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0E9CD" w14:textId="3017E159" w:rsidR="00CA299A" w:rsidRPr="00B92219" w:rsidRDefault="00CA299A" w:rsidP="00CA299A">
      <w:pPr>
        <w:ind w:firstLine="0"/>
        <w:jc w:val="center"/>
        <w:rPr>
          <w:rFonts w:cs="Times New Roman"/>
          <w:b/>
          <w:sz w:val="36"/>
          <w:lang w:val="en-GB"/>
        </w:rPr>
      </w:pPr>
      <w:r w:rsidRPr="00B92219">
        <w:rPr>
          <w:rFonts w:cs="Times New Roman"/>
          <w:b/>
          <w:sz w:val="36"/>
          <w:lang w:val="en-GB"/>
        </w:rPr>
        <w:t xml:space="preserve">Decoupling management inefficiency: Myopia, </w:t>
      </w:r>
      <w:r w:rsidRPr="00B92219">
        <w:rPr>
          <w:rFonts w:cs="Times New Roman"/>
          <w:b/>
          <w:noProof/>
          <w:sz w:val="36"/>
          <w:lang w:val="en-GB"/>
        </w:rPr>
        <w:t>hyperopia</w:t>
      </w:r>
      <w:r w:rsidRPr="00B92219">
        <w:rPr>
          <w:rFonts w:cs="Times New Roman"/>
          <w:b/>
          <w:sz w:val="36"/>
          <w:lang w:val="en-GB"/>
        </w:rPr>
        <w:t xml:space="preserve"> and takeover</w:t>
      </w:r>
      <w:r w:rsidR="00C72C14">
        <w:rPr>
          <w:rFonts w:cs="Times New Roman"/>
          <w:b/>
          <w:sz w:val="36"/>
          <w:lang w:val="en-GB"/>
        </w:rPr>
        <w:t xml:space="preserve"> likelihood.</w:t>
      </w:r>
    </w:p>
    <w:p w14:paraId="6E7A5884" w14:textId="77777777" w:rsidR="00005B9F" w:rsidRPr="00B92219" w:rsidRDefault="00005B9F" w:rsidP="00CA299A">
      <w:pPr>
        <w:ind w:firstLine="0"/>
        <w:jc w:val="center"/>
        <w:rPr>
          <w:rFonts w:cs="Times New Roman"/>
          <w:b/>
          <w:sz w:val="36"/>
          <w:lang w:val="en-GB"/>
        </w:rPr>
      </w:pPr>
      <w:bookmarkStart w:id="0" w:name="_GoBack"/>
      <w:bookmarkEnd w:id="0"/>
    </w:p>
    <w:p w14:paraId="56437A08" w14:textId="27FE033D" w:rsidR="00CA299A" w:rsidRPr="00B92219" w:rsidRDefault="00CA299A" w:rsidP="00521A7F">
      <w:pPr>
        <w:spacing w:after="0" w:line="240" w:lineRule="auto"/>
        <w:jc w:val="center"/>
        <w:rPr>
          <w:rFonts w:cs="Times New Roman"/>
          <w:noProof/>
          <w:sz w:val="28"/>
          <w:lang w:val="en-GB"/>
        </w:rPr>
      </w:pPr>
      <w:r w:rsidRPr="00B92219">
        <w:rPr>
          <w:rFonts w:cs="Times New Roman"/>
          <w:sz w:val="28"/>
          <w:lang w:val="en-GB"/>
        </w:rPr>
        <w:t xml:space="preserve">Abongeh </w:t>
      </w:r>
      <w:r w:rsidR="00422798">
        <w:rPr>
          <w:rFonts w:cs="Times New Roman"/>
          <w:sz w:val="28"/>
          <w:lang w:val="en-GB"/>
        </w:rPr>
        <w:t xml:space="preserve">A. </w:t>
      </w:r>
      <w:r w:rsidRPr="00B92219">
        <w:rPr>
          <w:rFonts w:cs="Times New Roman"/>
          <w:noProof/>
          <w:sz w:val="28"/>
          <w:lang w:val="en-GB"/>
        </w:rPr>
        <w:t>Tunyi</w:t>
      </w:r>
    </w:p>
    <w:p w14:paraId="75AD6138" w14:textId="77777777" w:rsidR="00CA299A" w:rsidRPr="00B92219" w:rsidRDefault="00CA299A" w:rsidP="00521A7F">
      <w:pPr>
        <w:spacing w:after="0" w:line="240" w:lineRule="auto"/>
        <w:jc w:val="center"/>
        <w:rPr>
          <w:rFonts w:cs="Times New Roman"/>
          <w:noProof/>
          <w:sz w:val="28"/>
          <w:lang w:val="en-GB"/>
        </w:rPr>
      </w:pPr>
      <w:r w:rsidRPr="00B92219">
        <w:rPr>
          <w:rFonts w:cs="Times New Roman"/>
          <w:noProof/>
          <w:sz w:val="28"/>
          <w:lang w:val="en-GB"/>
        </w:rPr>
        <w:t>Accounting and Financial Management Division</w:t>
      </w:r>
    </w:p>
    <w:p w14:paraId="177789CC" w14:textId="77777777" w:rsidR="00CA299A" w:rsidRPr="00B92219" w:rsidRDefault="00CA299A" w:rsidP="00521A7F">
      <w:pPr>
        <w:spacing w:after="0" w:line="240" w:lineRule="auto"/>
        <w:jc w:val="center"/>
        <w:rPr>
          <w:rFonts w:cs="Times New Roman"/>
          <w:sz w:val="28"/>
          <w:lang w:val="en-GB"/>
        </w:rPr>
      </w:pPr>
      <w:r w:rsidRPr="00B92219">
        <w:rPr>
          <w:rFonts w:cs="Times New Roman"/>
          <w:noProof/>
          <w:sz w:val="28"/>
          <w:lang w:val="en-GB"/>
        </w:rPr>
        <w:t>University of Sheffield Management School</w:t>
      </w:r>
    </w:p>
    <w:p w14:paraId="5FEE12AD" w14:textId="77777777" w:rsidR="00CA299A" w:rsidRPr="00B92219" w:rsidRDefault="00CA299A" w:rsidP="00521A7F">
      <w:pPr>
        <w:spacing w:after="0" w:line="240" w:lineRule="auto"/>
        <w:jc w:val="center"/>
        <w:rPr>
          <w:rFonts w:cs="Times New Roman"/>
          <w:sz w:val="28"/>
          <w:lang w:val="en-GB"/>
        </w:rPr>
      </w:pPr>
      <w:r w:rsidRPr="00B92219">
        <w:rPr>
          <w:rFonts w:cs="Times New Roman"/>
          <w:sz w:val="28"/>
          <w:lang w:val="en-GB"/>
        </w:rPr>
        <w:t>University of Sheffield</w:t>
      </w:r>
    </w:p>
    <w:p w14:paraId="4B4F6032" w14:textId="77777777" w:rsidR="00CA299A" w:rsidRPr="00B92219" w:rsidRDefault="00CA299A" w:rsidP="00521A7F">
      <w:pPr>
        <w:spacing w:after="0" w:line="240" w:lineRule="auto"/>
        <w:jc w:val="center"/>
        <w:rPr>
          <w:rFonts w:cs="Times New Roman"/>
          <w:sz w:val="28"/>
          <w:lang w:val="en-GB"/>
        </w:rPr>
      </w:pPr>
      <w:r w:rsidRPr="00B92219">
        <w:rPr>
          <w:rFonts w:cs="Times New Roman"/>
          <w:sz w:val="28"/>
          <w:lang w:val="en-GB"/>
        </w:rPr>
        <w:t>Sheffield, UK</w:t>
      </w:r>
    </w:p>
    <w:p w14:paraId="3F2A46D7" w14:textId="77777777" w:rsidR="00CA299A" w:rsidRPr="00B92219" w:rsidRDefault="00CA299A" w:rsidP="00521A7F">
      <w:pPr>
        <w:spacing w:after="0" w:line="240" w:lineRule="auto"/>
        <w:jc w:val="center"/>
        <w:rPr>
          <w:rFonts w:cs="Times New Roman"/>
          <w:sz w:val="28"/>
          <w:lang w:val="en-GB"/>
        </w:rPr>
      </w:pPr>
    </w:p>
    <w:p w14:paraId="53EC766D" w14:textId="77777777" w:rsidR="00CA299A" w:rsidRPr="00B92219" w:rsidRDefault="00CA299A" w:rsidP="00521A7F">
      <w:pPr>
        <w:spacing w:after="0" w:line="240" w:lineRule="auto"/>
        <w:jc w:val="center"/>
        <w:rPr>
          <w:rFonts w:cs="Times New Roman"/>
          <w:sz w:val="28"/>
          <w:lang w:val="en-GB"/>
        </w:rPr>
      </w:pPr>
      <w:r w:rsidRPr="00B92219">
        <w:rPr>
          <w:rFonts w:cs="Times New Roman"/>
          <w:sz w:val="28"/>
          <w:lang w:val="en-GB"/>
        </w:rPr>
        <w:t>Collins G. Ntim</w:t>
      </w:r>
    </w:p>
    <w:p w14:paraId="31882903" w14:textId="77777777" w:rsidR="00CA299A" w:rsidRPr="00B92219" w:rsidRDefault="00CA299A" w:rsidP="00521A7F">
      <w:pPr>
        <w:spacing w:after="0" w:line="240" w:lineRule="auto"/>
        <w:jc w:val="center"/>
        <w:rPr>
          <w:rFonts w:cs="Times New Roman"/>
          <w:sz w:val="28"/>
          <w:lang w:val="en-GB"/>
        </w:rPr>
      </w:pPr>
      <w:r w:rsidRPr="00B92219">
        <w:rPr>
          <w:rFonts w:cs="Times New Roman"/>
          <w:sz w:val="28"/>
          <w:lang w:val="en-GB"/>
        </w:rPr>
        <w:t>Centre for Research in Accounting, Accountability and Governance</w:t>
      </w:r>
    </w:p>
    <w:p w14:paraId="4F9A23C4" w14:textId="77777777" w:rsidR="00CA299A" w:rsidRPr="00B92219" w:rsidRDefault="00CA299A" w:rsidP="00521A7F">
      <w:pPr>
        <w:spacing w:after="0" w:line="240" w:lineRule="auto"/>
        <w:jc w:val="center"/>
        <w:rPr>
          <w:rFonts w:cs="Times New Roman"/>
          <w:sz w:val="28"/>
          <w:lang w:val="en-GB"/>
        </w:rPr>
      </w:pPr>
      <w:r w:rsidRPr="00B92219">
        <w:rPr>
          <w:rFonts w:cs="Times New Roman"/>
          <w:sz w:val="28"/>
          <w:lang w:val="en-GB"/>
        </w:rPr>
        <w:t>Department of Accounting</w:t>
      </w:r>
    </w:p>
    <w:p w14:paraId="675B0193" w14:textId="77777777" w:rsidR="00CA299A" w:rsidRPr="00B92219" w:rsidRDefault="00CA299A" w:rsidP="00521A7F">
      <w:pPr>
        <w:spacing w:after="0" w:line="240" w:lineRule="auto"/>
        <w:jc w:val="center"/>
        <w:rPr>
          <w:rFonts w:cs="Times New Roman"/>
          <w:sz w:val="28"/>
          <w:lang w:val="en-GB"/>
        </w:rPr>
      </w:pPr>
      <w:r w:rsidRPr="00B92219">
        <w:rPr>
          <w:rFonts w:cs="Times New Roman"/>
          <w:sz w:val="28"/>
          <w:lang w:val="en-GB"/>
        </w:rPr>
        <w:t>Southampton Business School</w:t>
      </w:r>
    </w:p>
    <w:p w14:paraId="29584968" w14:textId="77777777" w:rsidR="00CA299A" w:rsidRPr="00B92219" w:rsidRDefault="00CA299A" w:rsidP="00521A7F">
      <w:pPr>
        <w:spacing w:after="0" w:line="240" w:lineRule="auto"/>
        <w:jc w:val="center"/>
        <w:rPr>
          <w:rFonts w:cs="Times New Roman"/>
          <w:sz w:val="28"/>
          <w:lang w:val="en-GB"/>
        </w:rPr>
      </w:pPr>
      <w:r w:rsidRPr="00B92219">
        <w:rPr>
          <w:rFonts w:cs="Times New Roman"/>
          <w:sz w:val="28"/>
          <w:lang w:val="en-GB"/>
        </w:rPr>
        <w:t>University of Southampton</w:t>
      </w:r>
    </w:p>
    <w:p w14:paraId="3B04EEED" w14:textId="77777777" w:rsidR="00CA299A" w:rsidRPr="00B92219" w:rsidRDefault="00CA299A" w:rsidP="00521A7F">
      <w:pPr>
        <w:spacing w:after="0" w:line="240" w:lineRule="auto"/>
        <w:jc w:val="center"/>
        <w:rPr>
          <w:rFonts w:cs="Times New Roman"/>
          <w:sz w:val="28"/>
          <w:lang w:val="en-GB"/>
        </w:rPr>
      </w:pPr>
      <w:r w:rsidRPr="00B92219">
        <w:rPr>
          <w:rFonts w:cs="Times New Roman"/>
          <w:sz w:val="28"/>
          <w:lang w:val="en-GB"/>
        </w:rPr>
        <w:t>Southampton, UK</w:t>
      </w:r>
    </w:p>
    <w:p w14:paraId="474ED343" w14:textId="77777777" w:rsidR="00CA299A" w:rsidRPr="00B92219" w:rsidRDefault="00CA299A" w:rsidP="00521A7F">
      <w:pPr>
        <w:spacing w:after="0" w:line="240" w:lineRule="auto"/>
        <w:jc w:val="center"/>
        <w:rPr>
          <w:rFonts w:cs="Times New Roman"/>
          <w:sz w:val="28"/>
          <w:lang w:val="en-GB"/>
        </w:rPr>
      </w:pPr>
    </w:p>
    <w:p w14:paraId="360B9106" w14:textId="77777777" w:rsidR="00CA299A" w:rsidRPr="00B92219" w:rsidRDefault="00CA299A" w:rsidP="00521A7F">
      <w:pPr>
        <w:spacing w:after="0" w:line="240" w:lineRule="auto"/>
        <w:jc w:val="center"/>
        <w:rPr>
          <w:rFonts w:cs="Times New Roman"/>
          <w:sz w:val="28"/>
          <w:lang w:val="en-GB"/>
        </w:rPr>
      </w:pPr>
      <w:r w:rsidRPr="00B92219">
        <w:rPr>
          <w:rFonts w:cs="Times New Roman"/>
          <w:sz w:val="28"/>
          <w:lang w:val="en-GB"/>
        </w:rPr>
        <w:t>Jo Danbolt</w:t>
      </w:r>
    </w:p>
    <w:p w14:paraId="74C76B4B" w14:textId="77777777" w:rsidR="00CA299A" w:rsidRPr="00B92219" w:rsidRDefault="00CA299A" w:rsidP="00521A7F">
      <w:pPr>
        <w:spacing w:after="0" w:line="240" w:lineRule="auto"/>
        <w:jc w:val="center"/>
        <w:rPr>
          <w:rFonts w:cs="Times New Roman"/>
          <w:sz w:val="28"/>
          <w:lang w:val="en-GB"/>
        </w:rPr>
      </w:pPr>
      <w:r w:rsidRPr="00B92219">
        <w:rPr>
          <w:rFonts w:cs="Times New Roman"/>
          <w:sz w:val="28"/>
          <w:lang w:val="en-GB"/>
        </w:rPr>
        <w:t>Accounting and Finance Group</w:t>
      </w:r>
    </w:p>
    <w:p w14:paraId="216C0D77" w14:textId="77777777" w:rsidR="00CA299A" w:rsidRPr="00B92219" w:rsidRDefault="00CA299A" w:rsidP="00521A7F">
      <w:pPr>
        <w:spacing w:after="0" w:line="240" w:lineRule="auto"/>
        <w:jc w:val="center"/>
        <w:rPr>
          <w:rFonts w:cs="Times New Roman"/>
          <w:sz w:val="28"/>
          <w:lang w:val="en-GB"/>
        </w:rPr>
      </w:pPr>
      <w:r w:rsidRPr="00B92219">
        <w:rPr>
          <w:rFonts w:cs="Times New Roman"/>
          <w:sz w:val="28"/>
          <w:lang w:val="en-GB"/>
        </w:rPr>
        <w:t>University of Edinburgh Business School</w:t>
      </w:r>
    </w:p>
    <w:p w14:paraId="494D5364" w14:textId="77777777" w:rsidR="00CA299A" w:rsidRPr="00B92219" w:rsidRDefault="00CA299A" w:rsidP="00521A7F">
      <w:pPr>
        <w:spacing w:after="0" w:line="240" w:lineRule="auto"/>
        <w:jc w:val="center"/>
        <w:rPr>
          <w:rFonts w:cs="Times New Roman"/>
          <w:sz w:val="28"/>
          <w:lang w:val="en-GB"/>
        </w:rPr>
      </w:pPr>
      <w:r w:rsidRPr="00B92219">
        <w:rPr>
          <w:rFonts w:cs="Times New Roman"/>
          <w:sz w:val="28"/>
          <w:lang w:val="en-GB"/>
        </w:rPr>
        <w:t>University of Edinburgh</w:t>
      </w:r>
    </w:p>
    <w:p w14:paraId="3684EFE8" w14:textId="77777777" w:rsidR="00CA299A" w:rsidRPr="00B92219" w:rsidRDefault="00CA299A" w:rsidP="00521A7F">
      <w:pPr>
        <w:spacing w:after="0" w:line="240" w:lineRule="auto"/>
        <w:jc w:val="center"/>
        <w:rPr>
          <w:rFonts w:cs="Times New Roman"/>
          <w:sz w:val="28"/>
          <w:lang w:val="en-GB"/>
        </w:rPr>
      </w:pPr>
      <w:r w:rsidRPr="00B92219">
        <w:rPr>
          <w:rFonts w:cs="Times New Roman"/>
          <w:sz w:val="28"/>
          <w:lang w:val="en-GB"/>
        </w:rPr>
        <w:t>Edinburgh, UK</w:t>
      </w:r>
    </w:p>
    <w:p w14:paraId="24F46330" w14:textId="77777777" w:rsidR="00CA299A" w:rsidRPr="00B92219" w:rsidRDefault="00CA299A" w:rsidP="00521A7F">
      <w:pPr>
        <w:spacing w:after="0" w:line="240" w:lineRule="auto"/>
        <w:jc w:val="center"/>
        <w:rPr>
          <w:rFonts w:cs="Times New Roman"/>
          <w:sz w:val="28"/>
          <w:lang w:val="en-GB"/>
        </w:rPr>
      </w:pPr>
    </w:p>
    <w:p w14:paraId="526E637E" w14:textId="77777777" w:rsidR="00CA299A" w:rsidRPr="00B92219" w:rsidRDefault="00CA299A" w:rsidP="00521A7F">
      <w:pPr>
        <w:spacing w:after="0" w:line="240" w:lineRule="auto"/>
        <w:jc w:val="center"/>
        <w:rPr>
          <w:rFonts w:cs="Times New Roman"/>
          <w:sz w:val="32"/>
          <w:lang w:val="en-GB"/>
        </w:rPr>
      </w:pPr>
    </w:p>
    <w:p w14:paraId="6FEBA75F" w14:textId="77777777" w:rsidR="00CA299A" w:rsidRPr="00B92219" w:rsidRDefault="00CA299A" w:rsidP="00CA299A">
      <w:pPr>
        <w:spacing w:line="240" w:lineRule="auto"/>
        <w:jc w:val="center"/>
        <w:rPr>
          <w:rFonts w:cs="Times New Roman"/>
          <w:sz w:val="32"/>
          <w:lang w:val="en-GB"/>
        </w:rPr>
      </w:pPr>
    </w:p>
    <w:p w14:paraId="3E80D61B" w14:textId="77777777" w:rsidR="00CA299A" w:rsidRPr="00B92219" w:rsidRDefault="00CA299A" w:rsidP="00CA299A">
      <w:pPr>
        <w:spacing w:line="240" w:lineRule="auto"/>
        <w:ind w:firstLine="0"/>
        <w:rPr>
          <w:rFonts w:cs="Times New Roman"/>
          <w:b/>
          <w:sz w:val="20"/>
          <w:szCs w:val="20"/>
          <w:lang w:val="en-GB"/>
        </w:rPr>
      </w:pPr>
    </w:p>
    <w:p w14:paraId="5962F0A5" w14:textId="733558EF" w:rsidR="00AC635E" w:rsidRDefault="00AC635E" w:rsidP="00CA299A">
      <w:pPr>
        <w:spacing w:line="240" w:lineRule="auto"/>
        <w:ind w:firstLine="0"/>
        <w:rPr>
          <w:rFonts w:cs="Times New Roman"/>
          <w:sz w:val="20"/>
          <w:szCs w:val="20"/>
          <w:lang w:val="en-GB"/>
        </w:rPr>
      </w:pPr>
    </w:p>
    <w:p w14:paraId="60A1BB3D" w14:textId="0B952CA1" w:rsidR="00AC635E" w:rsidRDefault="00AC635E" w:rsidP="00CA299A">
      <w:pPr>
        <w:spacing w:line="240" w:lineRule="auto"/>
        <w:ind w:firstLine="0"/>
        <w:rPr>
          <w:rFonts w:cs="Times New Roman"/>
          <w:sz w:val="20"/>
          <w:szCs w:val="20"/>
          <w:lang w:val="en-GB"/>
        </w:rPr>
      </w:pPr>
    </w:p>
    <w:p w14:paraId="74DDC76B" w14:textId="77777777" w:rsidR="00AC635E" w:rsidRPr="00B92219" w:rsidRDefault="00AC635E" w:rsidP="00CA299A">
      <w:pPr>
        <w:spacing w:line="240" w:lineRule="auto"/>
        <w:ind w:firstLine="0"/>
        <w:rPr>
          <w:rFonts w:cs="Times New Roman"/>
          <w:sz w:val="20"/>
          <w:szCs w:val="20"/>
          <w:lang w:val="en-GB"/>
        </w:rPr>
      </w:pPr>
    </w:p>
    <w:p w14:paraId="698C2820" w14:textId="77777777" w:rsidR="00CA299A" w:rsidRPr="00B92219" w:rsidRDefault="00CA299A" w:rsidP="00CA299A">
      <w:pPr>
        <w:spacing w:line="240" w:lineRule="auto"/>
        <w:ind w:firstLine="0"/>
        <w:rPr>
          <w:rFonts w:cs="Times New Roman"/>
          <w:sz w:val="20"/>
          <w:szCs w:val="20"/>
          <w:lang w:val="en-GB"/>
        </w:rPr>
      </w:pPr>
    </w:p>
    <w:p w14:paraId="6BC379D6" w14:textId="77777777" w:rsidR="00CA299A" w:rsidRPr="00B92219" w:rsidRDefault="00CA299A" w:rsidP="00CA299A">
      <w:pPr>
        <w:spacing w:line="240" w:lineRule="auto"/>
        <w:ind w:firstLine="0"/>
        <w:rPr>
          <w:rFonts w:cs="Times New Roman"/>
          <w:sz w:val="20"/>
          <w:szCs w:val="20"/>
          <w:lang w:val="en-GB"/>
        </w:rPr>
      </w:pPr>
    </w:p>
    <w:p w14:paraId="5B19AF5F" w14:textId="39ECDE5F" w:rsidR="00CA299A" w:rsidRPr="00B53AE9" w:rsidRDefault="00CA299A" w:rsidP="00CA299A">
      <w:pPr>
        <w:spacing w:line="240" w:lineRule="auto"/>
        <w:ind w:firstLine="0"/>
        <w:rPr>
          <w:rFonts w:cs="Times New Roman"/>
          <w:sz w:val="22"/>
          <w:szCs w:val="20"/>
          <w:lang w:val="en-GB"/>
        </w:rPr>
      </w:pPr>
      <w:r w:rsidRPr="00B53AE9">
        <w:rPr>
          <w:rFonts w:cs="Times New Roman"/>
          <w:sz w:val="22"/>
          <w:szCs w:val="20"/>
          <w:lang w:val="en-GB"/>
        </w:rPr>
        <w:t>Acknowledgements: We are grateful to participants at the British Accounti</w:t>
      </w:r>
      <w:r w:rsidR="00812A6F">
        <w:rPr>
          <w:rFonts w:cs="Times New Roman"/>
          <w:sz w:val="22"/>
          <w:szCs w:val="20"/>
          <w:lang w:val="en-GB"/>
        </w:rPr>
        <w:t xml:space="preserve">ng &amp; Finance Association (2017), </w:t>
      </w:r>
      <w:r w:rsidRPr="00B53AE9">
        <w:rPr>
          <w:rFonts w:cs="Times New Roman"/>
          <w:sz w:val="22"/>
          <w:szCs w:val="20"/>
          <w:lang w:val="en-GB"/>
        </w:rPr>
        <w:t>W</w:t>
      </w:r>
      <w:r w:rsidR="00812A6F">
        <w:rPr>
          <w:rFonts w:cs="Times New Roman"/>
          <w:sz w:val="22"/>
          <w:szCs w:val="20"/>
          <w:lang w:val="en-GB"/>
        </w:rPr>
        <w:t xml:space="preserve">orld Finance Association (2017) and International Finance &amp; Banking Society (2018) </w:t>
      </w:r>
      <w:r w:rsidRPr="00B53AE9">
        <w:rPr>
          <w:rFonts w:cs="Times New Roman"/>
          <w:sz w:val="22"/>
          <w:szCs w:val="20"/>
          <w:lang w:val="en-GB"/>
        </w:rPr>
        <w:t>meetings for helpful comments on previous versions of this paper. The paper has also benefited from critique by seminar participants at the Universities of Essex and Sheffield. We acknowledge financial support from the University of Sheffield. Jo Danbolt holds the Baillie Gifford Chair in Financial Markets, and his research is partially funded by a Baillie Gifford endowment held by the University of Edinburgh Business School. Baillie Gifford has no role in or influence over the research conducted.</w:t>
      </w:r>
    </w:p>
    <w:p w14:paraId="0369BBB6" w14:textId="77777777" w:rsidR="00CA299A" w:rsidRPr="00B92219" w:rsidRDefault="00CA299A" w:rsidP="00CA299A">
      <w:pPr>
        <w:spacing w:line="240" w:lineRule="auto"/>
        <w:jc w:val="center"/>
        <w:rPr>
          <w:rFonts w:cs="Times New Roman"/>
          <w:sz w:val="36"/>
          <w:lang w:val="en-GB"/>
        </w:rPr>
      </w:pPr>
      <w:r w:rsidRPr="00B92219">
        <w:rPr>
          <w:rFonts w:cs="Times New Roman"/>
          <w:sz w:val="36"/>
          <w:lang w:val="en-GB"/>
        </w:rPr>
        <w:br w:type="page"/>
      </w:r>
    </w:p>
    <w:p w14:paraId="0A52F3B0" w14:textId="2DB14345" w:rsidR="00CA299A" w:rsidRPr="00B92219" w:rsidRDefault="00CA299A" w:rsidP="00CA299A">
      <w:pPr>
        <w:ind w:firstLine="0"/>
        <w:jc w:val="center"/>
        <w:rPr>
          <w:rFonts w:cs="Times New Roman"/>
          <w:b/>
          <w:sz w:val="36"/>
          <w:szCs w:val="32"/>
          <w:lang w:val="en-GB"/>
        </w:rPr>
      </w:pPr>
      <w:r w:rsidRPr="00B92219">
        <w:rPr>
          <w:rFonts w:cs="Times New Roman"/>
          <w:b/>
          <w:sz w:val="36"/>
          <w:szCs w:val="32"/>
          <w:lang w:val="en-GB"/>
        </w:rPr>
        <w:lastRenderedPageBreak/>
        <w:t>Decoupling management inefficiency: Myopia, hyperopia and takeover</w:t>
      </w:r>
      <w:r w:rsidR="00C72C14">
        <w:rPr>
          <w:rFonts w:cs="Times New Roman"/>
          <w:b/>
          <w:sz w:val="36"/>
          <w:szCs w:val="32"/>
          <w:lang w:val="en-GB"/>
        </w:rPr>
        <w:t xml:space="preserve"> likelihood</w:t>
      </w:r>
      <w:r w:rsidRPr="00B92219">
        <w:rPr>
          <w:rFonts w:cs="Times New Roman"/>
          <w:b/>
          <w:sz w:val="36"/>
          <w:szCs w:val="32"/>
          <w:lang w:val="en-GB"/>
        </w:rPr>
        <w:t>.</w:t>
      </w:r>
    </w:p>
    <w:p w14:paraId="2B5B4DC0" w14:textId="77777777" w:rsidR="00CA299A" w:rsidRPr="00B92219" w:rsidRDefault="00CA299A" w:rsidP="00CA299A">
      <w:pPr>
        <w:rPr>
          <w:rFonts w:cs="Times New Roman"/>
          <w:sz w:val="36"/>
          <w:lang w:val="en-GB"/>
        </w:rPr>
      </w:pPr>
    </w:p>
    <w:p w14:paraId="68C29C09" w14:textId="77777777" w:rsidR="00CA299A" w:rsidRPr="00B92219" w:rsidRDefault="00CA299A" w:rsidP="00CA299A">
      <w:pPr>
        <w:ind w:firstLine="0"/>
        <w:jc w:val="center"/>
        <w:rPr>
          <w:rFonts w:cs="Times New Roman"/>
          <w:sz w:val="36"/>
          <w:lang w:val="en-GB"/>
        </w:rPr>
      </w:pPr>
      <w:r w:rsidRPr="00B92219">
        <w:rPr>
          <w:rFonts w:cs="Times New Roman"/>
          <w:sz w:val="36"/>
          <w:lang w:val="en-GB"/>
        </w:rPr>
        <w:t>Abstract</w:t>
      </w:r>
    </w:p>
    <w:p w14:paraId="0CE8E495" w14:textId="4A6C1B82" w:rsidR="00CA299A" w:rsidRPr="00B92219" w:rsidRDefault="00CA299A" w:rsidP="00CA299A">
      <w:pPr>
        <w:ind w:firstLine="0"/>
        <w:rPr>
          <w:rFonts w:cs="Times New Roman"/>
          <w:lang w:val="en-GB"/>
        </w:rPr>
      </w:pPr>
      <w:r w:rsidRPr="00B92219">
        <w:rPr>
          <w:rFonts w:cs="Times New Roman"/>
          <w:lang w:val="en-GB"/>
        </w:rPr>
        <w:t xml:space="preserve">Using combinations of accounting and stock market performance measures, we advance a comprehensive </w:t>
      </w:r>
      <w:r w:rsidR="00B92219" w:rsidRPr="00B92219">
        <w:rPr>
          <w:rFonts w:cs="Times New Roman"/>
          <w:lang w:val="en-GB"/>
        </w:rPr>
        <w:t>multidimensional</w:t>
      </w:r>
      <w:r w:rsidRPr="00B92219">
        <w:rPr>
          <w:rFonts w:cs="Times New Roman"/>
          <w:lang w:val="en-GB"/>
        </w:rPr>
        <w:t xml:space="preserve"> framework for modelling management performance. This framework proposes “</w:t>
      </w:r>
      <w:r w:rsidR="00ED262D">
        <w:rPr>
          <w:rFonts w:cs="Times New Roman"/>
          <w:i/>
          <w:lang w:val="en-GB"/>
        </w:rPr>
        <w:t>poor</w:t>
      </w:r>
      <w:r w:rsidRPr="00B92219">
        <w:rPr>
          <w:rFonts w:cs="Times New Roman"/>
          <w:lang w:val="en-GB"/>
        </w:rPr>
        <w:t>” management, “</w:t>
      </w:r>
      <w:r w:rsidR="00ED262D">
        <w:rPr>
          <w:rFonts w:cs="Times New Roman"/>
          <w:i/>
          <w:lang w:val="en-GB"/>
        </w:rPr>
        <w:t>myopia</w:t>
      </w:r>
      <w:r w:rsidRPr="00B92219">
        <w:rPr>
          <w:rFonts w:cs="Times New Roman"/>
          <w:lang w:val="en-GB"/>
        </w:rPr>
        <w:t>”, “</w:t>
      </w:r>
      <w:r w:rsidR="00ED262D">
        <w:rPr>
          <w:rFonts w:cs="Times New Roman"/>
          <w:i/>
          <w:lang w:val="en-GB"/>
        </w:rPr>
        <w:t>hyperopia</w:t>
      </w:r>
      <w:r w:rsidRPr="00B92219">
        <w:rPr>
          <w:rFonts w:cs="Times New Roman"/>
          <w:lang w:val="en-GB"/>
        </w:rPr>
        <w:t>” and “</w:t>
      </w:r>
      <w:r w:rsidR="00ED262D">
        <w:rPr>
          <w:rFonts w:cs="Times New Roman"/>
          <w:i/>
          <w:lang w:val="en-GB"/>
        </w:rPr>
        <w:t>efficient</w:t>
      </w:r>
      <w:r w:rsidRPr="00B92219">
        <w:rPr>
          <w:rFonts w:cs="Times New Roman"/>
          <w:lang w:val="en-GB"/>
        </w:rPr>
        <w:t xml:space="preserve">” management, as four distinct </w:t>
      </w:r>
      <w:r w:rsidR="006B3320">
        <w:rPr>
          <w:rFonts w:cs="Times New Roman"/>
          <w:lang w:val="en-GB"/>
        </w:rPr>
        <w:t>attributes</w:t>
      </w:r>
      <w:r w:rsidRPr="00B92219">
        <w:rPr>
          <w:rFonts w:cs="Times New Roman"/>
          <w:lang w:val="en-GB"/>
        </w:rPr>
        <w:t xml:space="preserve"> of performance. We show that these new </w:t>
      </w:r>
      <w:r w:rsidR="00CA22D3">
        <w:rPr>
          <w:rFonts w:cs="Times New Roman"/>
          <w:lang w:val="en-GB"/>
        </w:rPr>
        <w:t xml:space="preserve">attributes </w:t>
      </w:r>
      <w:r w:rsidR="00CA22D3" w:rsidRPr="00B92219">
        <w:rPr>
          <w:rFonts w:cs="Times New Roman"/>
          <w:lang w:val="en-GB"/>
        </w:rPr>
        <w:t>align</w:t>
      </w:r>
      <w:r w:rsidRPr="00B92219">
        <w:rPr>
          <w:rFonts w:cs="Times New Roman"/>
          <w:lang w:val="en-GB"/>
        </w:rPr>
        <w:t xml:space="preserve"> with, and extend, existing frameworks for modelling management short-termism. We apply this framework to test the management inefficiency hypothesis using UK data over the </w:t>
      </w:r>
      <w:r w:rsidRPr="007048BA">
        <w:rPr>
          <w:rFonts w:cs="Times New Roman"/>
          <w:lang w:val="en-GB"/>
        </w:rPr>
        <w:t>period 198</w:t>
      </w:r>
      <w:r w:rsidR="003954A9" w:rsidRPr="007048BA">
        <w:rPr>
          <w:rFonts w:cs="Times New Roman"/>
          <w:lang w:val="en-GB"/>
        </w:rPr>
        <w:t>8</w:t>
      </w:r>
      <w:r w:rsidRPr="007048BA">
        <w:rPr>
          <w:rFonts w:cs="Times New Roman"/>
          <w:lang w:val="en-GB"/>
        </w:rPr>
        <w:t xml:space="preserve"> to 201</w:t>
      </w:r>
      <w:r w:rsidR="00451929" w:rsidRPr="007048BA">
        <w:rPr>
          <w:rFonts w:cs="Times New Roman"/>
          <w:lang w:val="en-GB"/>
        </w:rPr>
        <w:t>7</w:t>
      </w:r>
      <w:r w:rsidRPr="007048BA">
        <w:rPr>
          <w:rFonts w:cs="Times New Roman"/>
          <w:lang w:val="en-GB"/>
        </w:rPr>
        <w:t xml:space="preserve">. </w:t>
      </w:r>
      <w:r w:rsidRPr="00B92219">
        <w:rPr>
          <w:rFonts w:cs="Times New Roman"/>
          <w:lang w:val="en-GB"/>
        </w:rPr>
        <w:t xml:space="preserve">We find that takeover likelihood increases </w:t>
      </w:r>
      <w:r w:rsidR="00772E8C">
        <w:rPr>
          <w:rFonts w:cs="Times New Roman"/>
          <w:lang w:val="en-GB"/>
        </w:rPr>
        <w:t>with</w:t>
      </w:r>
      <w:r w:rsidRPr="00B92219">
        <w:rPr>
          <w:rFonts w:cs="Times New Roman"/>
          <w:lang w:val="en-GB"/>
        </w:rPr>
        <w:t xml:space="preserve"> “</w:t>
      </w:r>
      <w:r w:rsidR="00ED262D">
        <w:rPr>
          <w:rFonts w:cs="Times New Roman"/>
          <w:i/>
          <w:lang w:val="en-GB"/>
        </w:rPr>
        <w:t>poor</w:t>
      </w:r>
      <w:r w:rsidRPr="00B92219">
        <w:rPr>
          <w:rFonts w:cs="Times New Roman"/>
          <w:lang w:val="en-GB"/>
        </w:rPr>
        <w:t>” management and “</w:t>
      </w:r>
      <w:r w:rsidR="00ED262D">
        <w:rPr>
          <w:rFonts w:cs="Times New Roman"/>
          <w:i/>
          <w:lang w:val="en-GB"/>
        </w:rPr>
        <w:t>myopia</w:t>
      </w:r>
      <w:r w:rsidRPr="00B92219">
        <w:rPr>
          <w:rFonts w:cs="Times New Roman"/>
          <w:lang w:val="en-GB"/>
        </w:rPr>
        <w:t>”, but declines with “</w:t>
      </w:r>
      <w:r w:rsidR="00ED262D">
        <w:rPr>
          <w:rFonts w:cs="Times New Roman"/>
          <w:i/>
          <w:lang w:val="en-GB"/>
        </w:rPr>
        <w:t>hyperopia</w:t>
      </w:r>
      <w:r w:rsidRPr="00B92219">
        <w:rPr>
          <w:rFonts w:cs="Times New Roman"/>
          <w:lang w:val="en-GB"/>
        </w:rPr>
        <w:t>” and “</w:t>
      </w:r>
      <w:r w:rsidR="00ED262D">
        <w:rPr>
          <w:rFonts w:cs="Times New Roman"/>
          <w:i/>
          <w:lang w:val="en-GB"/>
        </w:rPr>
        <w:t>efficient</w:t>
      </w:r>
      <w:r w:rsidRPr="00B92219">
        <w:rPr>
          <w:rFonts w:cs="Times New Roman"/>
          <w:lang w:val="en-GB"/>
        </w:rPr>
        <w:t xml:space="preserve">” management. </w:t>
      </w:r>
      <w:r w:rsidR="009E5064">
        <w:rPr>
          <w:rFonts w:cs="Times New Roman"/>
          <w:lang w:val="en-GB"/>
        </w:rPr>
        <w:t>Our results suggest</w:t>
      </w:r>
      <w:r w:rsidRPr="00B92219">
        <w:rPr>
          <w:rFonts w:cs="Times New Roman"/>
          <w:lang w:val="en-GB"/>
        </w:rPr>
        <w:t xml:space="preserve"> that managers who focus on sustaining long-term shareholders value, even at the expense of current profitability, are less likely to be disciplined through takeovers. By contrast, managers who pursue profitability at the expense of long-term shareholder value-creation are more likely to face takeovers. Finally, we document the role of bidders as enforcers of market discipline. </w:t>
      </w:r>
    </w:p>
    <w:p w14:paraId="5D95DD67" w14:textId="77777777" w:rsidR="00CA299A" w:rsidRPr="00B92219" w:rsidRDefault="00CA299A" w:rsidP="00CA299A">
      <w:pPr>
        <w:ind w:firstLine="0"/>
        <w:rPr>
          <w:rFonts w:cs="Times New Roman"/>
          <w:lang w:val="en-GB"/>
        </w:rPr>
      </w:pPr>
    </w:p>
    <w:p w14:paraId="595B97E0" w14:textId="77777777" w:rsidR="00CA299A" w:rsidRPr="00B92219" w:rsidRDefault="00CA299A" w:rsidP="00CA299A">
      <w:pPr>
        <w:rPr>
          <w:rFonts w:cs="Times New Roman"/>
          <w:lang w:val="en-GB"/>
        </w:rPr>
      </w:pPr>
      <w:r w:rsidRPr="00B92219">
        <w:rPr>
          <w:rFonts w:cs="Times New Roman"/>
          <w:b/>
          <w:i/>
          <w:lang w:val="en-GB"/>
        </w:rPr>
        <w:t>Keywords:</w:t>
      </w:r>
      <w:r w:rsidRPr="00B92219">
        <w:rPr>
          <w:rFonts w:cs="Times New Roman"/>
          <w:lang w:val="en-GB"/>
        </w:rPr>
        <w:t xml:space="preserve"> Hyperopia, inefficient management hypothesis, management performance, myopia, takeovers</w:t>
      </w:r>
    </w:p>
    <w:p w14:paraId="29DE55F3" w14:textId="77777777" w:rsidR="00CA299A" w:rsidRPr="00B92219" w:rsidRDefault="00CA299A" w:rsidP="00CA299A">
      <w:pPr>
        <w:rPr>
          <w:rFonts w:cs="Times New Roman"/>
          <w:lang w:val="en-GB"/>
        </w:rPr>
      </w:pPr>
    </w:p>
    <w:p w14:paraId="5194227E" w14:textId="77777777" w:rsidR="00CA299A" w:rsidRPr="001A2BAE" w:rsidRDefault="00CA299A" w:rsidP="00CA299A">
      <w:pPr>
        <w:rPr>
          <w:rFonts w:cs="Times New Roman"/>
          <w:lang w:val="fr-FR"/>
        </w:rPr>
      </w:pPr>
      <w:r w:rsidRPr="001A2BAE">
        <w:rPr>
          <w:rFonts w:cs="Times New Roman"/>
          <w:b/>
          <w:i/>
          <w:lang w:val="fr-FR"/>
        </w:rPr>
        <w:t>JEL Classifications:</w:t>
      </w:r>
      <w:r w:rsidRPr="001A2BAE">
        <w:rPr>
          <w:rFonts w:cs="Times New Roman"/>
          <w:lang w:val="fr-FR"/>
        </w:rPr>
        <w:t xml:space="preserve"> G14, G32, G34, M41</w:t>
      </w:r>
    </w:p>
    <w:p w14:paraId="3AFC2619" w14:textId="77777777" w:rsidR="00CA299A" w:rsidRPr="001A2BAE" w:rsidRDefault="00CA299A" w:rsidP="00CA299A">
      <w:pPr>
        <w:rPr>
          <w:rFonts w:cs="Times New Roman"/>
          <w:lang w:val="fr-FR"/>
        </w:rPr>
      </w:pPr>
    </w:p>
    <w:p w14:paraId="764E5D41" w14:textId="77777777" w:rsidR="00CA299A" w:rsidRPr="001A2BAE" w:rsidRDefault="00CA299A" w:rsidP="00CA299A">
      <w:pPr>
        <w:rPr>
          <w:rFonts w:cs="Times New Roman"/>
          <w:lang w:val="fr-FR"/>
        </w:rPr>
        <w:sectPr w:rsidR="00CA299A" w:rsidRPr="001A2BAE" w:rsidSect="007B5ED9">
          <w:footerReference w:type="default" r:id="rId8"/>
          <w:type w:val="continuous"/>
          <w:pgSz w:w="11906" w:h="16838"/>
          <w:pgMar w:top="1304" w:right="964" w:bottom="1304" w:left="1077" w:header="708" w:footer="708" w:gutter="0"/>
          <w:cols w:space="708"/>
          <w:docGrid w:linePitch="360"/>
        </w:sectPr>
      </w:pPr>
    </w:p>
    <w:p w14:paraId="375C6E17" w14:textId="77777777" w:rsidR="00CA299A" w:rsidRPr="00B92219" w:rsidRDefault="00CA299A" w:rsidP="00CA299A">
      <w:pPr>
        <w:pStyle w:val="Heading1"/>
        <w:keepNext w:val="0"/>
        <w:keepLines w:val="0"/>
        <w:numPr>
          <w:ilvl w:val="0"/>
          <w:numId w:val="7"/>
        </w:numPr>
        <w:autoSpaceDE w:val="0"/>
        <w:autoSpaceDN w:val="0"/>
        <w:adjustRightInd w:val="0"/>
        <w:spacing w:after="200" w:line="240" w:lineRule="auto"/>
        <w:ind w:left="544" w:hanging="544"/>
        <w:contextualSpacing/>
        <w:rPr>
          <w:lang w:val="en-GB"/>
        </w:rPr>
      </w:pPr>
      <w:r w:rsidRPr="00B92219">
        <w:rPr>
          <w:lang w:val="en-GB"/>
        </w:rPr>
        <w:lastRenderedPageBreak/>
        <w:t>Introduction</w:t>
      </w:r>
    </w:p>
    <w:p w14:paraId="17C01367" w14:textId="4E0A7F0A" w:rsidR="00D24266" w:rsidRDefault="00A97FE6" w:rsidP="00E16C9F">
      <w:pPr>
        <w:ind w:firstLine="720"/>
        <w:rPr>
          <w:rFonts w:cs="Times New Roman"/>
          <w:lang w:val="en-GB"/>
        </w:rPr>
      </w:pPr>
      <w:r>
        <w:rPr>
          <w:rFonts w:cs="Times New Roman"/>
          <w:lang w:val="en-GB"/>
        </w:rPr>
        <w:t>Management p</w:t>
      </w:r>
      <w:r w:rsidR="00D24266">
        <w:rPr>
          <w:rFonts w:cs="Times New Roman"/>
          <w:lang w:val="en-GB"/>
        </w:rPr>
        <w:t xml:space="preserve">erformance is, perhaps, one of the most explored </w:t>
      </w:r>
      <w:r w:rsidR="00AC34F5">
        <w:rPr>
          <w:rFonts w:cs="Times New Roman"/>
          <w:lang w:val="en-GB"/>
        </w:rPr>
        <w:t xml:space="preserve">latent </w:t>
      </w:r>
      <w:r w:rsidR="00307534">
        <w:rPr>
          <w:rFonts w:cs="Times New Roman"/>
          <w:lang w:val="en-GB"/>
        </w:rPr>
        <w:t>variable</w:t>
      </w:r>
      <w:r w:rsidR="00E16C9F">
        <w:rPr>
          <w:rFonts w:cs="Times New Roman"/>
          <w:lang w:val="en-GB"/>
        </w:rPr>
        <w:t>s</w:t>
      </w:r>
      <w:r w:rsidR="00307534">
        <w:rPr>
          <w:rFonts w:cs="Times New Roman"/>
          <w:lang w:val="en-GB"/>
        </w:rPr>
        <w:t xml:space="preserve"> </w:t>
      </w:r>
      <w:r w:rsidR="00D24266">
        <w:rPr>
          <w:rFonts w:cs="Times New Roman"/>
          <w:lang w:val="en-GB"/>
        </w:rPr>
        <w:t xml:space="preserve">in </w:t>
      </w:r>
      <w:r w:rsidR="00D356B8">
        <w:rPr>
          <w:rFonts w:cs="Times New Roman"/>
          <w:lang w:val="en-GB"/>
        </w:rPr>
        <w:t xml:space="preserve">empirical </w:t>
      </w:r>
      <w:r w:rsidR="00D53921">
        <w:rPr>
          <w:rFonts w:cs="Times New Roman"/>
          <w:lang w:val="en-GB"/>
        </w:rPr>
        <w:t xml:space="preserve">accounting, </w:t>
      </w:r>
      <w:r w:rsidR="00D356B8">
        <w:rPr>
          <w:rFonts w:cs="Times New Roman"/>
          <w:lang w:val="en-GB"/>
        </w:rPr>
        <w:t xml:space="preserve">corporate </w:t>
      </w:r>
      <w:r w:rsidR="00307534">
        <w:rPr>
          <w:rFonts w:cs="Times New Roman"/>
          <w:lang w:val="en-GB"/>
        </w:rPr>
        <w:t>finance</w:t>
      </w:r>
      <w:r w:rsidR="00D53921">
        <w:rPr>
          <w:rFonts w:cs="Times New Roman"/>
          <w:lang w:val="en-GB"/>
        </w:rPr>
        <w:t xml:space="preserve"> and business management</w:t>
      </w:r>
      <w:r w:rsidR="00307534">
        <w:rPr>
          <w:rFonts w:cs="Times New Roman"/>
          <w:lang w:val="en-GB"/>
        </w:rPr>
        <w:t xml:space="preserve"> research</w:t>
      </w:r>
      <w:r w:rsidR="00BA2E3A">
        <w:rPr>
          <w:rFonts w:cs="Times New Roman"/>
          <w:lang w:val="en-GB"/>
        </w:rPr>
        <w:t xml:space="preserve">. </w:t>
      </w:r>
      <w:r w:rsidR="00E25287">
        <w:rPr>
          <w:rFonts w:cs="Times New Roman"/>
          <w:lang w:val="en-GB"/>
        </w:rPr>
        <w:t>Prior</w:t>
      </w:r>
      <w:r w:rsidR="00CB7C7C">
        <w:rPr>
          <w:rFonts w:cs="Times New Roman"/>
          <w:lang w:val="en-GB"/>
        </w:rPr>
        <w:t xml:space="preserve"> studies </w:t>
      </w:r>
      <w:r w:rsidR="00307534">
        <w:rPr>
          <w:rFonts w:cs="Times New Roman"/>
          <w:lang w:val="en-GB"/>
        </w:rPr>
        <w:t>(see, for example</w:t>
      </w:r>
      <w:r w:rsidR="00E16C9F">
        <w:rPr>
          <w:rFonts w:cs="Times New Roman"/>
          <w:lang w:val="en-GB"/>
        </w:rPr>
        <w:t xml:space="preserve">, </w:t>
      </w:r>
      <w:r w:rsidR="00E25287">
        <w:rPr>
          <w:rFonts w:cs="Times New Roman"/>
          <w:lang w:val="en-GB"/>
        </w:rPr>
        <w:t xml:space="preserve">Wiersma, 2017; </w:t>
      </w:r>
      <w:r w:rsidR="000036E5">
        <w:rPr>
          <w:rFonts w:cs="Times New Roman"/>
          <w:lang w:val="en-GB"/>
        </w:rPr>
        <w:t>Bennouri et al., 2018</w:t>
      </w:r>
      <w:r w:rsidR="00460F3A">
        <w:rPr>
          <w:rFonts w:cs="Times New Roman"/>
          <w:lang w:val="en-GB"/>
        </w:rPr>
        <w:t xml:space="preserve">; </w:t>
      </w:r>
      <w:r w:rsidR="00D13C96">
        <w:rPr>
          <w:rFonts w:cs="Times New Roman"/>
          <w:lang w:val="en-GB"/>
        </w:rPr>
        <w:t>Paniagua et al., 2018</w:t>
      </w:r>
      <w:r w:rsidR="00307534">
        <w:rPr>
          <w:rFonts w:cs="Times New Roman"/>
          <w:lang w:val="en-GB"/>
        </w:rPr>
        <w:t>)</w:t>
      </w:r>
      <w:r w:rsidR="00CB7C7C">
        <w:rPr>
          <w:rFonts w:cs="Times New Roman"/>
          <w:lang w:val="en-GB"/>
        </w:rPr>
        <w:t xml:space="preserve"> use measures</w:t>
      </w:r>
      <w:r w:rsidR="00BA2E3A">
        <w:rPr>
          <w:rFonts w:cs="Times New Roman"/>
          <w:lang w:val="en-GB"/>
        </w:rPr>
        <w:t xml:space="preserve"> of </w:t>
      </w:r>
      <w:r w:rsidR="00B81265">
        <w:rPr>
          <w:rFonts w:cs="Times New Roman"/>
          <w:lang w:val="en-GB"/>
        </w:rPr>
        <w:t xml:space="preserve">accounting </w:t>
      </w:r>
      <w:r w:rsidR="00BA2E3A">
        <w:rPr>
          <w:rFonts w:cs="Times New Roman"/>
          <w:lang w:val="en-GB"/>
        </w:rPr>
        <w:t xml:space="preserve">profitability including </w:t>
      </w:r>
      <w:r w:rsidR="00460F3A">
        <w:rPr>
          <w:rFonts w:cs="Times New Roman"/>
          <w:lang w:val="en-GB"/>
        </w:rPr>
        <w:t>return on assets</w:t>
      </w:r>
      <w:r w:rsidR="00A30CC6">
        <w:rPr>
          <w:rFonts w:cs="Times New Roman"/>
          <w:lang w:val="en-GB"/>
        </w:rPr>
        <w:t xml:space="preserve"> (ROA)</w:t>
      </w:r>
      <w:r w:rsidR="00460F3A">
        <w:rPr>
          <w:rFonts w:cs="Times New Roman"/>
          <w:lang w:val="en-GB"/>
        </w:rPr>
        <w:t xml:space="preserve">, </w:t>
      </w:r>
      <w:r w:rsidR="00EB2537">
        <w:rPr>
          <w:rFonts w:cs="Times New Roman"/>
          <w:lang w:val="en-GB"/>
        </w:rPr>
        <w:t xml:space="preserve">return on </w:t>
      </w:r>
      <w:r w:rsidR="00460F3A">
        <w:rPr>
          <w:rFonts w:cs="Times New Roman"/>
          <w:lang w:val="en-GB"/>
        </w:rPr>
        <w:t>equity</w:t>
      </w:r>
      <w:r w:rsidR="00A30CC6">
        <w:rPr>
          <w:rFonts w:cs="Times New Roman"/>
          <w:lang w:val="en-GB"/>
        </w:rPr>
        <w:t xml:space="preserve"> (ROE)</w:t>
      </w:r>
      <w:r w:rsidR="00460F3A">
        <w:rPr>
          <w:rFonts w:cs="Times New Roman"/>
          <w:lang w:val="en-GB"/>
        </w:rPr>
        <w:t xml:space="preserve"> and </w:t>
      </w:r>
      <w:r w:rsidR="00EB2537">
        <w:rPr>
          <w:rFonts w:cs="Times New Roman"/>
          <w:lang w:val="en-GB"/>
        </w:rPr>
        <w:t xml:space="preserve">return on </w:t>
      </w:r>
      <w:r w:rsidR="00460F3A">
        <w:rPr>
          <w:rFonts w:cs="Times New Roman"/>
          <w:lang w:val="en-GB"/>
        </w:rPr>
        <w:t>capital employed</w:t>
      </w:r>
      <w:r w:rsidR="00A30CC6">
        <w:rPr>
          <w:rFonts w:cs="Times New Roman"/>
          <w:lang w:val="en-GB"/>
        </w:rPr>
        <w:t xml:space="preserve"> (ROCE)</w:t>
      </w:r>
      <w:r w:rsidR="00460F3A">
        <w:rPr>
          <w:rFonts w:cs="Times New Roman"/>
          <w:lang w:val="en-GB"/>
        </w:rPr>
        <w:t>,</w:t>
      </w:r>
      <w:r w:rsidR="00CB7C7C">
        <w:rPr>
          <w:rFonts w:cs="Times New Roman"/>
          <w:lang w:val="en-GB"/>
        </w:rPr>
        <w:t xml:space="preserve"> </w:t>
      </w:r>
      <w:r w:rsidR="00B81265">
        <w:rPr>
          <w:rFonts w:cs="Times New Roman"/>
          <w:lang w:val="en-GB"/>
        </w:rPr>
        <w:t xml:space="preserve">as empirical proxies of management </w:t>
      </w:r>
      <w:r w:rsidR="00D13C96">
        <w:rPr>
          <w:rFonts w:cs="Times New Roman"/>
          <w:lang w:val="en-GB"/>
        </w:rPr>
        <w:t xml:space="preserve">or firm </w:t>
      </w:r>
      <w:r w:rsidR="00B81265">
        <w:rPr>
          <w:rFonts w:cs="Times New Roman"/>
          <w:lang w:val="en-GB"/>
        </w:rPr>
        <w:t>performance</w:t>
      </w:r>
      <w:r w:rsidR="00EB2537">
        <w:rPr>
          <w:rFonts w:cs="Times New Roman"/>
          <w:lang w:val="en-GB"/>
        </w:rPr>
        <w:t>,</w:t>
      </w:r>
      <w:r w:rsidR="00B81265">
        <w:rPr>
          <w:rFonts w:cs="Times New Roman"/>
          <w:lang w:val="en-GB"/>
        </w:rPr>
        <w:t xml:space="preserve"> while others </w:t>
      </w:r>
      <w:r w:rsidR="00E16C9F">
        <w:rPr>
          <w:rFonts w:cs="Times New Roman"/>
          <w:lang w:val="en-GB"/>
        </w:rPr>
        <w:t xml:space="preserve">(see, for example, </w:t>
      </w:r>
      <w:r w:rsidR="004F4E61">
        <w:rPr>
          <w:rFonts w:cs="Times New Roman"/>
          <w:lang w:val="en-GB"/>
        </w:rPr>
        <w:t>Li et al., 2018;</w:t>
      </w:r>
      <w:r w:rsidR="000036E5">
        <w:rPr>
          <w:rFonts w:cs="Times New Roman"/>
          <w:lang w:val="en-GB"/>
        </w:rPr>
        <w:t xml:space="preserve"> Bennouri et al., 2018</w:t>
      </w:r>
      <w:r w:rsidR="00460F3A">
        <w:rPr>
          <w:rFonts w:cs="Times New Roman"/>
          <w:lang w:val="en-GB"/>
        </w:rPr>
        <w:t>; Owen and Temesvary, 2018</w:t>
      </w:r>
      <w:r w:rsidR="00E16C9F">
        <w:rPr>
          <w:rFonts w:cs="Times New Roman"/>
          <w:lang w:val="en-GB"/>
        </w:rPr>
        <w:t>)</w:t>
      </w:r>
      <w:r w:rsidR="00CB7C7C">
        <w:rPr>
          <w:rFonts w:cs="Times New Roman"/>
          <w:lang w:val="en-GB"/>
        </w:rPr>
        <w:t xml:space="preserve"> use</w:t>
      </w:r>
      <w:r w:rsidR="00BA2E3A">
        <w:rPr>
          <w:rFonts w:cs="Times New Roman"/>
          <w:lang w:val="en-GB"/>
        </w:rPr>
        <w:t xml:space="preserve"> </w:t>
      </w:r>
      <w:r w:rsidR="00460F3A">
        <w:rPr>
          <w:rFonts w:cs="Times New Roman"/>
          <w:lang w:val="en-GB"/>
        </w:rPr>
        <w:t xml:space="preserve">market-based measures such as </w:t>
      </w:r>
      <w:r w:rsidR="000C5372">
        <w:rPr>
          <w:rFonts w:cs="Times New Roman"/>
          <w:lang w:val="en-GB"/>
        </w:rPr>
        <w:t xml:space="preserve">average </w:t>
      </w:r>
      <w:r w:rsidR="00BA2E3A">
        <w:rPr>
          <w:rFonts w:cs="Times New Roman"/>
          <w:lang w:val="en-GB"/>
        </w:rPr>
        <w:t>abnormal returns</w:t>
      </w:r>
      <w:r w:rsidR="00A30CC6">
        <w:rPr>
          <w:rFonts w:cs="Times New Roman"/>
          <w:lang w:val="en-GB"/>
        </w:rPr>
        <w:t xml:space="preserve"> (AAR)</w:t>
      </w:r>
      <w:r w:rsidR="00460F3A">
        <w:rPr>
          <w:rFonts w:cs="Times New Roman"/>
          <w:lang w:val="en-GB"/>
        </w:rPr>
        <w:t>, stock price growth</w:t>
      </w:r>
      <w:r w:rsidR="00CB7C7C">
        <w:rPr>
          <w:rFonts w:cs="Times New Roman"/>
          <w:lang w:val="en-GB"/>
        </w:rPr>
        <w:t xml:space="preserve"> </w:t>
      </w:r>
      <w:r w:rsidR="000036E5">
        <w:rPr>
          <w:rFonts w:cs="Times New Roman"/>
          <w:lang w:val="en-GB"/>
        </w:rPr>
        <w:t>and Tobin’s Q</w:t>
      </w:r>
      <w:r w:rsidR="00A30CC6">
        <w:rPr>
          <w:rFonts w:cs="Times New Roman"/>
          <w:lang w:val="en-GB"/>
        </w:rPr>
        <w:t>,</w:t>
      </w:r>
      <w:r w:rsidR="000036E5">
        <w:rPr>
          <w:rFonts w:cs="Times New Roman"/>
          <w:lang w:val="en-GB"/>
        </w:rPr>
        <w:t xml:space="preserve"> </w:t>
      </w:r>
      <w:r w:rsidR="00BA2E3A">
        <w:rPr>
          <w:rFonts w:cs="Times New Roman"/>
          <w:lang w:val="en-GB"/>
        </w:rPr>
        <w:t xml:space="preserve">for the same purpose. </w:t>
      </w:r>
      <w:r w:rsidR="002017D4">
        <w:rPr>
          <w:rFonts w:cs="Times New Roman"/>
          <w:lang w:val="en-GB"/>
        </w:rPr>
        <w:t xml:space="preserve">The implications of these choices </w:t>
      </w:r>
      <w:r w:rsidR="007A32A1">
        <w:rPr>
          <w:rFonts w:cs="Times New Roman"/>
          <w:lang w:val="en-GB"/>
        </w:rPr>
        <w:t>have not be</w:t>
      </w:r>
      <w:r w:rsidR="00772E8C">
        <w:rPr>
          <w:rFonts w:cs="Times New Roman"/>
          <w:lang w:val="en-GB"/>
        </w:rPr>
        <w:t>en</w:t>
      </w:r>
      <w:r w:rsidR="007A32A1">
        <w:rPr>
          <w:rFonts w:cs="Times New Roman"/>
          <w:lang w:val="en-GB"/>
        </w:rPr>
        <w:t xml:space="preserve"> document</w:t>
      </w:r>
      <w:r w:rsidR="00772E8C">
        <w:rPr>
          <w:rFonts w:cs="Times New Roman"/>
          <w:lang w:val="en-GB"/>
        </w:rPr>
        <w:t>ed,</w:t>
      </w:r>
      <w:r w:rsidR="007A32A1">
        <w:rPr>
          <w:rFonts w:cs="Times New Roman"/>
          <w:lang w:val="en-GB"/>
        </w:rPr>
        <w:t xml:space="preserve"> but as we will show, in some cases, </w:t>
      </w:r>
      <w:r w:rsidR="00772E8C">
        <w:rPr>
          <w:rFonts w:cs="Times New Roman"/>
          <w:lang w:val="en-GB"/>
        </w:rPr>
        <w:t xml:space="preserve">the choice can </w:t>
      </w:r>
      <w:r w:rsidR="007A32A1">
        <w:rPr>
          <w:rFonts w:cs="Times New Roman"/>
          <w:lang w:val="en-GB"/>
        </w:rPr>
        <w:t xml:space="preserve">lead to </w:t>
      </w:r>
      <w:r w:rsidR="00A30CC6">
        <w:rPr>
          <w:rFonts w:cs="Times New Roman"/>
          <w:lang w:val="en-GB"/>
        </w:rPr>
        <w:t xml:space="preserve">inconclusive or even </w:t>
      </w:r>
      <w:r w:rsidR="007A32A1">
        <w:rPr>
          <w:rFonts w:cs="Times New Roman"/>
          <w:lang w:val="en-GB"/>
        </w:rPr>
        <w:t>contradictory findings</w:t>
      </w:r>
      <w:r w:rsidR="00772E8C">
        <w:rPr>
          <w:rFonts w:cs="Times New Roman"/>
          <w:lang w:val="en-GB"/>
        </w:rPr>
        <w:t xml:space="preserve"> (Danbolt et al., 2016; Espahbodi and Espahbodi, 2003)</w:t>
      </w:r>
      <w:r w:rsidR="002017D4">
        <w:rPr>
          <w:rFonts w:cs="Times New Roman"/>
          <w:lang w:val="en-GB"/>
        </w:rPr>
        <w:t xml:space="preserve">. </w:t>
      </w:r>
      <w:r w:rsidR="00E16C9F">
        <w:rPr>
          <w:rFonts w:cs="Times New Roman"/>
          <w:lang w:val="en-GB"/>
        </w:rPr>
        <w:t xml:space="preserve">Besides the </w:t>
      </w:r>
      <w:r w:rsidR="00E16C9F" w:rsidRPr="005A4D67">
        <w:rPr>
          <w:rFonts w:cs="Times New Roman"/>
          <w:lang w:val="en-GB"/>
        </w:rPr>
        <w:t>lack of</w:t>
      </w:r>
      <w:r w:rsidR="00307534" w:rsidRPr="005A4D67">
        <w:rPr>
          <w:rFonts w:cs="Times New Roman"/>
          <w:lang w:val="en-GB"/>
        </w:rPr>
        <w:t xml:space="preserve"> consensus about how </w:t>
      </w:r>
      <w:r w:rsidR="00E16C9F" w:rsidRPr="005A4D67">
        <w:rPr>
          <w:rFonts w:cs="Times New Roman"/>
          <w:lang w:val="en-GB"/>
        </w:rPr>
        <w:t>this latent variable</w:t>
      </w:r>
      <w:r w:rsidR="00307534" w:rsidRPr="005A4D67">
        <w:rPr>
          <w:rFonts w:cs="Times New Roman"/>
          <w:lang w:val="en-GB"/>
        </w:rPr>
        <w:t xml:space="preserve"> should be </w:t>
      </w:r>
      <w:r w:rsidR="00E16C9F" w:rsidRPr="005A4D67">
        <w:rPr>
          <w:rFonts w:cs="Times New Roman"/>
          <w:lang w:val="en-GB"/>
        </w:rPr>
        <w:t xml:space="preserve">operationalised, current research tradition implicitly views management performance in a simple </w:t>
      </w:r>
      <w:r w:rsidR="00CA22D3">
        <w:rPr>
          <w:rFonts w:cs="Times New Roman"/>
          <w:lang w:val="en-GB"/>
        </w:rPr>
        <w:t>uni</w:t>
      </w:r>
      <w:r w:rsidR="00E16C9F" w:rsidRPr="005A4D67">
        <w:rPr>
          <w:rFonts w:cs="Times New Roman"/>
          <w:lang w:val="en-GB"/>
        </w:rPr>
        <w:t>dimensional manner</w:t>
      </w:r>
      <w:r w:rsidR="005A4D67" w:rsidRPr="005A4D67">
        <w:rPr>
          <w:rFonts w:cs="Times New Roman"/>
          <w:lang w:val="en-GB"/>
        </w:rPr>
        <w:t>—</w:t>
      </w:r>
      <w:r w:rsidR="00E16C9F" w:rsidRPr="005A4D67">
        <w:rPr>
          <w:rFonts w:cs="Times New Roman"/>
          <w:lang w:val="en-GB"/>
        </w:rPr>
        <w:t xml:space="preserve">efficient or poor management (Rappaport, 2005). Here, firms that report </w:t>
      </w:r>
      <w:r w:rsidR="00E16C9F" w:rsidRPr="005A4D67">
        <w:rPr>
          <w:rFonts w:cs="Times New Roman"/>
          <w:i/>
          <w:lang w:val="en-GB"/>
        </w:rPr>
        <w:t>high</w:t>
      </w:r>
      <w:r w:rsidR="00E16C9F" w:rsidRPr="005A4D67">
        <w:rPr>
          <w:rFonts w:cs="Times New Roman"/>
          <w:lang w:val="en-GB"/>
        </w:rPr>
        <w:t xml:space="preserve"> ROA, ROCE or AAR are considered </w:t>
      </w:r>
      <w:r w:rsidR="00ED262D">
        <w:rPr>
          <w:rFonts w:cs="Times New Roman"/>
          <w:i/>
          <w:lang w:val="en-GB"/>
        </w:rPr>
        <w:t>efficient</w:t>
      </w:r>
      <w:r w:rsidR="00EB2537">
        <w:rPr>
          <w:rFonts w:cs="Times New Roman"/>
          <w:lang w:val="en-GB"/>
        </w:rPr>
        <w:t>,</w:t>
      </w:r>
      <w:r w:rsidR="00E16C9F" w:rsidRPr="005A4D67">
        <w:rPr>
          <w:rFonts w:cs="Times New Roman"/>
          <w:lang w:val="en-GB"/>
        </w:rPr>
        <w:t xml:space="preserve"> while their counterparts reporting </w:t>
      </w:r>
      <w:r w:rsidR="00E16C9F" w:rsidRPr="005A4D67">
        <w:rPr>
          <w:rFonts w:cs="Times New Roman"/>
          <w:i/>
          <w:lang w:val="en-GB"/>
        </w:rPr>
        <w:t>low</w:t>
      </w:r>
      <w:r w:rsidR="00E16C9F" w:rsidRPr="005A4D67">
        <w:rPr>
          <w:rFonts w:cs="Times New Roman"/>
          <w:lang w:val="en-GB"/>
        </w:rPr>
        <w:t xml:space="preserve"> values are considered </w:t>
      </w:r>
      <w:r w:rsidR="00ED262D">
        <w:rPr>
          <w:rFonts w:cs="Times New Roman"/>
          <w:i/>
          <w:lang w:val="en-GB"/>
        </w:rPr>
        <w:t>poor</w:t>
      </w:r>
      <w:r w:rsidR="00E16C9F" w:rsidRPr="005A4D67">
        <w:rPr>
          <w:rFonts w:cs="Times New Roman"/>
          <w:lang w:val="en-GB"/>
        </w:rPr>
        <w:t>. All other firms are calibrated along this two</w:t>
      </w:r>
      <w:r w:rsidR="00EB2537">
        <w:rPr>
          <w:rFonts w:cs="Times New Roman"/>
          <w:lang w:val="en-GB"/>
        </w:rPr>
        <w:t>-</w:t>
      </w:r>
      <w:r w:rsidR="00E16C9F" w:rsidRPr="005A4D67">
        <w:rPr>
          <w:rFonts w:cs="Times New Roman"/>
          <w:lang w:val="en-GB"/>
        </w:rPr>
        <w:t>dimensional scale</w:t>
      </w:r>
      <w:r w:rsidR="00406F03">
        <w:rPr>
          <w:rFonts w:cs="Times New Roman"/>
          <w:lang w:val="en-GB"/>
        </w:rPr>
        <w:t>, which provides an indication of relative performance</w:t>
      </w:r>
      <w:r w:rsidR="00E16C9F" w:rsidRPr="005A4D67">
        <w:rPr>
          <w:rFonts w:cs="Times New Roman"/>
          <w:lang w:val="en-GB"/>
        </w:rPr>
        <w:t>. In this paper</w:t>
      </w:r>
      <w:r w:rsidR="006E492E">
        <w:rPr>
          <w:rFonts w:cs="Times New Roman"/>
          <w:lang w:val="en-GB"/>
        </w:rPr>
        <w:t>,</w:t>
      </w:r>
      <w:r w:rsidR="008D25C4">
        <w:rPr>
          <w:rFonts w:cs="Times New Roman"/>
          <w:lang w:val="en-GB"/>
        </w:rPr>
        <w:t xml:space="preserve"> </w:t>
      </w:r>
      <w:r w:rsidR="00E16C9F" w:rsidRPr="005A4D67">
        <w:rPr>
          <w:rFonts w:cs="Times New Roman"/>
          <w:lang w:val="en-GB"/>
        </w:rPr>
        <w:t xml:space="preserve">we depart from this tradition in proposing a comprehensive multidimensional framework for modelling management performance that consists of four distinct </w:t>
      </w:r>
      <w:r w:rsidR="006B3320">
        <w:rPr>
          <w:rFonts w:cs="Times New Roman"/>
          <w:lang w:val="en-GB"/>
        </w:rPr>
        <w:t>attributes</w:t>
      </w:r>
      <w:r w:rsidR="00010B6B">
        <w:rPr>
          <w:rFonts w:cs="Times New Roman"/>
          <w:lang w:val="en-GB"/>
        </w:rPr>
        <w:t xml:space="preserve"> of performance: (i) </w:t>
      </w:r>
      <w:r w:rsidR="00ED262D">
        <w:rPr>
          <w:rFonts w:cs="Times New Roman"/>
          <w:i/>
          <w:iCs/>
          <w:lang w:val="en-GB"/>
        </w:rPr>
        <w:t>poor</w:t>
      </w:r>
      <w:r w:rsidR="00E16C9F" w:rsidRPr="005A4D67">
        <w:rPr>
          <w:rFonts w:cs="Times New Roman"/>
          <w:lang w:val="en-GB"/>
        </w:rPr>
        <w:t xml:space="preserve"> management; (ii) </w:t>
      </w:r>
      <w:r w:rsidR="007A32A1">
        <w:rPr>
          <w:rFonts w:cs="Times New Roman"/>
          <w:lang w:val="en-GB"/>
        </w:rPr>
        <w:t xml:space="preserve">short-termism or </w:t>
      </w:r>
      <w:r w:rsidR="00ED262D">
        <w:rPr>
          <w:rFonts w:cs="Times New Roman"/>
          <w:i/>
          <w:iCs/>
          <w:lang w:val="en-GB"/>
        </w:rPr>
        <w:t>myopia</w:t>
      </w:r>
      <w:r w:rsidR="00E16C9F" w:rsidRPr="005A4D67">
        <w:rPr>
          <w:rFonts w:cs="Times New Roman"/>
          <w:lang w:val="en-GB"/>
        </w:rPr>
        <w:t xml:space="preserve">; (iii) </w:t>
      </w:r>
      <w:r w:rsidR="007A32A1">
        <w:rPr>
          <w:rFonts w:cs="Times New Roman"/>
          <w:lang w:val="en-GB"/>
        </w:rPr>
        <w:t xml:space="preserve">long-termism or </w:t>
      </w:r>
      <w:r w:rsidR="00ED262D">
        <w:rPr>
          <w:rFonts w:cs="Times New Roman"/>
          <w:i/>
          <w:iCs/>
          <w:lang w:val="en-GB"/>
        </w:rPr>
        <w:t>hyperopia</w:t>
      </w:r>
      <w:r w:rsidR="00010B6B">
        <w:rPr>
          <w:rFonts w:cs="Times New Roman"/>
          <w:lang w:val="en-GB"/>
        </w:rPr>
        <w:t xml:space="preserve">; and (iv) </w:t>
      </w:r>
      <w:r w:rsidR="00ED262D">
        <w:rPr>
          <w:rFonts w:cs="Times New Roman"/>
          <w:i/>
          <w:iCs/>
          <w:lang w:val="en-GB"/>
        </w:rPr>
        <w:t>efficient</w:t>
      </w:r>
      <w:r w:rsidR="00E16C9F" w:rsidRPr="005A4D67">
        <w:rPr>
          <w:rFonts w:cs="Times New Roman"/>
          <w:lang w:val="en-GB"/>
        </w:rPr>
        <w:t xml:space="preserve"> management</w:t>
      </w:r>
      <w:r w:rsidR="00406F03">
        <w:rPr>
          <w:rFonts w:cs="Times New Roman"/>
          <w:lang w:val="en-GB"/>
        </w:rPr>
        <w:t xml:space="preserve">, instead of the </w:t>
      </w:r>
      <w:r w:rsidR="002E346E">
        <w:rPr>
          <w:rFonts w:cs="Times New Roman"/>
          <w:lang w:val="en-GB"/>
        </w:rPr>
        <w:t>uni</w:t>
      </w:r>
      <w:r w:rsidR="00406F03">
        <w:rPr>
          <w:rFonts w:cs="Times New Roman"/>
          <w:lang w:val="en-GB"/>
        </w:rPr>
        <w:t>dimensional scale</w:t>
      </w:r>
      <w:r w:rsidR="002E346E">
        <w:rPr>
          <w:rFonts w:cs="Times New Roman"/>
          <w:lang w:val="en-GB"/>
        </w:rPr>
        <w:t xml:space="preserve"> (</w:t>
      </w:r>
      <w:r w:rsidR="00ED262D">
        <w:rPr>
          <w:rFonts w:cs="Times New Roman"/>
          <w:i/>
          <w:lang w:val="en-GB"/>
        </w:rPr>
        <w:t>poor</w:t>
      </w:r>
      <w:r w:rsidR="002E346E">
        <w:rPr>
          <w:rFonts w:cs="Times New Roman"/>
          <w:lang w:val="en-GB"/>
        </w:rPr>
        <w:t>—</w:t>
      </w:r>
      <w:r w:rsidR="00ED262D">
        <w:rPr>
          <w:rFonts w:cs="Times New Roman"/>
          <w:i/>
          <w:lang w:val="en-GB"/>
        </w:rPr>
        <w:t>efficient</w:t>
      </w:r>
      <w:r w:rsidR="002E346E">
        <w:rPr>
          <w:rFonts w:cs="Times New Roman"/>
          <w:lang w:val="en-GB"/>
        </w:rPr>
        <w:t>)</w:t>
      </w:r>
      <w:r w:rsidR="00406F03">
        <w:rPr>
          <w:rFonts w:cs="Times New Roman"/>
          <w:lang w:val="en-GB"/>
        </w:rPr>
        <w:t xml:space="preserve">, implicit in prior studies. </w:t>
      </w:r>
      <w:r w:rsidR="007A32A1">
        <w:rPr>
          <w:rFonts w:cs="Times New Roman"/>
          <w:lang w:val="en-GB"/>
        </w:rPr>
        <w:t xml:space="preserve">Our framework extends the traditional framework </w:t>
      </w:r>
      <w:r w:rsidR="00406F03">
        <w:rPr>
          <w:rFonts w:cs="Times New Roman"/>
          <w:lang w:val="en-GB"/>
        </w:rPr>
        <w:t>but</w:t>
      </w:r>
      <w:r w:rsidR="007A32A1">
        <w:rPr>
          <w:rFonts w:cs="Times New Roman"/>
          <w:lang w:val="en-GB"/>
        </w:rPr>
        <w:t xml:space="preserve"> relies on the same proxies </w:t>
      </w:r>
      <w:r w:rsidR="00406F03">
        <w:rPr>
          <w:rFonts w:cs="Times New Roman"/>
          <w:lang w:val="en-GB"/>
        </w:rPr>
        <w:t xml:space="preserve">of financial </w:t>
      </w:r>
      <w:r w:rsidR="007A32A1">
        <w:rPr>
          <w:rFonts w:cs="Times New Roman"/>
          <w:lang w:val="en-GB"/>
        </w:rPr>
        <w:t xml:space="preserve">(e.g., </w:t>
      </w:r>
      <w:r w:rsidR="00406F03">
        <w:rPr>
          <w:rFonts w:cs="Times New Roman"/>
          <w:lang w:val="en-GB"/>
        </w:rPr>
        <w:t xml:space="preserve">ROA, </w:t>
      </w:r>
      <w:r w:rsidR="007A32A1">
        <w:rPr>
          <w:rFonts w:cs="Times New Roman"/>
          <w:lang w:val="en-GB"/>
        </w:rPr>
        <w:t>ROCE</w:t>
      </w:r>
      <w:r w:rsidR="00406F03">
        <w:rPr>
          <w:rFonts w:cs="Times New Roman"/>
          <w:lang w:val="en-GB"/>
        </w:rPr>
        <w:t>)</w:t>
      </w:r>
      <w:r w:rsidR="007A32A1">
        <w:rPr>
          <w:rFonts w:cs="Times New Roman"/>
          <w:lang w:val="en-GB"/>
        </w:rPr>
        <w:t xml:space="preserve"> and </w:t>
      </w:r>
      <w:r w:rsidR="00406F03">
        <w:rPr>
          <w:rFonts w:cs="Times New Roman"/>
          <w:lang w:val="en-GB"/>
        </w:rPr>
        <w:t xml:space="preserve">market-based (AAR) measures of performance </w:t>
      </w:r>
      <w:r w:rsidR="007A32A1">
        <w:rPr>
          <w:rFonts w:cs="Times New Roman"/>
          <w:lang w:val="en-GB"/>
        </w:rPr>
        <w:t>that have been recurrently used in the literature.</w:t>
      </w:r>
      <w:r w:rsidR="00406F03">
        <w:rPr>
          <w:rFonts w:cs="Times New Roman"/>
          <w:lang w:val="en-GB"/>
        </w:rPr>
        <w:t xml:space="preserve"> It recognises that these measures proxy for distinct performance attributes and hence, are complements not substitutes.</w:t>
      </w:r>
    </w:p>
    <w:p w14:paraId="43A32818" w14:textId="5D585B69" w:rsidR="001F6878" w:rsidRDefault="007A32A1" w:rsidP="00CA299A">
      <w:pPr>
        <w:ind w:firstLine="720"/>
        <w:rPr>
          <w:rFonts w:cs="Times New Roman"/>
          <w:lang w:val="en-GB"/>
        </w:rPr>
      </w:pPr>
      <w:r>
        <w:rPr>
          <w:rFonts w:cs="Times New Roman"/>
          <w:lang w:val="en-GB"/>
        </w:rPr>
        <w:t xml:space="preserve">To demonstrate the applicability of our framework, we draw on a related issue that has been extensively </w:t>
      </w:r>
      <w:r w:rsidR="001F6878">
        <w:rPr>
          <w:rFonts w:cs="Times New Roman"/>
          <w:lang w:val="en-GB"/>
        </w:rPr>
        <w:t>explored</w:t>
      </w:r>
      <w:r>
        <w:rPr>
          <w:rFonts w:cs="Times New Roman"/>
          <w:lang w:val="en-GB"/>
        </w:rPr>
        <w:t xml:space="preserve"> </w:t>
      </w:r>
      <w:r w:rsidR="001F6878">
        <w:rPr>
          <w:rFonts w:cs="Times New Roman"/>
          <w:lang w:val="en-GB"/>
        </w:rPr>
        <w:t>with</w:t>
      </w:r>
      <w:r>
        <w:rPr>
          <w:rFonts w:cs="Times New Roman"/>
          <w:lang w:val="en-GB"/>
        </w:rPr>
        <w:t xml:space="preserve"> inconclusive</w:t>
      </w:r>
      <w:r w:rsidR="001F6878">
        <w:rPr>
          <w:rFonts w:cs="Times New Roman"/>
          <w:lang w:val="en-GB"/>
        </w:rPr>
        <w:t xml:space="preserve"> findings—</w:t>
      </w:r>
      <w:r w:rsidR="00CA299A" w:rsidRPr="00B92219">
        <w:rPr>
          <w:rFonts w:cs="Times New Roman"/>
          <w:lang w:val="en-GB"/>
        </w:rPr>
        <w:t>the role of the market for corporate control (MCC) as a disciplinary mechanism</w:t>
      </w:r>
      <w:r w:rsidR="001F6878">
        <w:rPr>
          <w:rFonts w:cs="Times New Roman"/>
          <w:lang w:val="en-GB"/>
        </w:rPr>
        <w:t>. T</w:t>
      </w:r>
      <w:r w:rsidR="001F6878" w:rsidRPr="00B92219">
        <w:rPr>
          <w:rFonts w:cs="Times New Roman"/>
          <w:lang w:val="en-GB"/>
        </w:rPr>
        <w:t>he inefficient management hypothesis of takeovers (Brar et al., 2009; Cremers et al., 2009; Danbolt et al., 2016)</w:t>
      </w:r>
      <w:r w:rsidR="001F6878">
        <w:rPr>
          <w:rFonts w:cs="Times New Roman"/>
          <w:lang w:val="en-GB"/>
        </w:rPr>
        <w:t xml:space="preserve"> suggests</w:t>
      </w:r>
      <w:r w:rsidR="001F6878" w:rsidRPr="00B92219">
        <w:rPr>
          <w:rFonts w:cs="Times New Roman"/>
          <w:lang w:val="en-GB"/>
        </w:rPr>
        <w:t xml:space="preserve"> that takeovers play a key role in the correction of management inefficienc</w:t>
      </w:r>
      <w:r w:rsidR="001F6878">
        <w:rPr>
          <w:rFonts w:cs="Times New Roman"/>
          <w:lang w:val="en-GB"/>
        </w:rPr>
        <w:t xml:space="preserve">y by targeting underperforming </w:t>
      </w:r>
      <w:r w:rsidR="00291EF0">
        <w:rPr>
          <w:rFonts w:cs="Times New Roman"/>
          <w:lang w:val="en-GB"/>
        </w:rPr>
        <w:t xml:space="preserve">or </w:t>
      </w:r>
      <w:r w:rsidR="00ED262D">
        <w:rPr>
          <w:rFonts w:cs="Times New Roman"/>
          <w:i/>
          <w:lang w:val="en-GB"/>
        </w:rPr>
        <w:t>poor</w:t>
      </w:r>
      <w:r w:rsidR="00010B6B">
        <w:rPr>
          <w:rFonts w:cs="Times New Roman"/>
          <w:lang w:val="en-GB"/>
        </w:rPr>
        <w:t xml:space="preserve"> </w:t>
      </w:r>
      <w:r w:rsidR="00291EF0">
        <w:rPr>
          <w:rFonts w:cs="Times New Roman"/>
          <w:lang w:val="en-GB"/>
        </w:rPr>
        <w:t>management</w:t>
      </w:r>
      <w:r w:rsidR="001F6878">
        <w:rPr>
          <w:rFonts w:cs="Times New Roman"/>
          <w:lang w:val="en-GB"/>
        </w:rPr>
        <w:t>. In essence, the hypothesis suggests that takeover likelihood should decline with management performance</w:t>
      </w:r>
      <w:r w:rsidR="00CC1CE9">
        <w:rPr>
          <w:rFonts w:cs="Times New Roman"/>
          <w:lang w:val="en-GB"/>
        </w:rPr>
        <w:t>,</w:t>
      </w:r>
      <w:r w:rsidR="00291EF0">
        <w:rPr>
          <w:rFonts w:cs="Times New Roman"/>
          <w:lang w:val="en-GB"/>
        </w:rPr>
        <w:t xml:space="preserve"> with </w:t>
      </w:r>
      <w:r w:rsidR="00ED262D">
        <w:rPr>
          <w:rFonts w:cs="Times New Roman"/>
          <w:i/>
          <w:lang w:val="en-GB"/>
        </w:rPr>
        <w:t>poor</w:t>
      </w:r>
      <w:r w:rsidR="00010B6B">
        <w:rPr>
          <w:rFonts w:cs="Times New Roman"/>
          <w:lang w:val="en-GB"/>
        </w:rPr>
        <w:t xml:space="preserve"> </w:t>
      </w:r>
      <w:r w:rsidR="00291EF0">
        <w:rPr>
          <w:rFonts w:cs="Times New Roman"/>
          <w:lang w:val="en-GB"/>
        </w:rPr>
        <w:t>management most likely</w:t>
      </w:r>
      <w:r w:rsidR="00CC1CE9">
        <w:rPr>
          <w:rFonts w:cs="Times New Roman"/>
          <w:lang w:val="en-GB"/>
        </w:rPr>
        <w:t>,</w:t>
      </w:r>
      <w:r w:rsidR="00291EF0">
        <w:rPr>
          <w:rFonts w:cs="Times New Roman"/>
          <w:lang w:val="en-GB"/>
        </w:rPr>
        <w:t xml:space="preserve"> and </w:t>
      </w:r>
      <w:r w:rsidR="00ED262D">
        <w:rPr>
          <w:rFonts w:cs="Times New Roman"/>
          <w:i/>
          <w:lang w:val="en-GB"/>
        </w:rPr>
        <w:t>efficient</w:t>
      </w:r>
      <w:r w:rsidR="00010B6B">
        <w:rPr>
          <w:rFonts w:cs="Times New Roman"/>
          <w:lang w:val="en-GB"/>
        </w:rPr>
        <w:t xml:space="preserve"> </w:t>
      </w:r>
      <w:r w:rsidR="00291EF0">
        <w:rPr>
          <w:rFonts w:cs="Times New Roman"/>
          <w:lang w:val="en-GB"/>
        </w:rPr>
        <w:t>management least likely</w:t>
      </w:r>
      <w:r w:rsidR="00CC1CE9">
        <w:rPr>
          <w:rFonts w:cs="Times New Roman"/>
          <w:lang w:val="en-GB"/>
        </w:rPr>
        <w:t>,</w:t>
      </w:r>
      <w:r w:rsidR="00291EF0">
        <w:rPr>
          <w:rFonts w:cs="Times New Roman"/>
          <w:lang w:val="en-GB"/>
        </w:rPr>
        <w:t xml:space="preserve"> to receive takeover bids</w:t>
      </w:r>
      <w:r w:rsidR="001F6878">
        <w:rPr>
          <w:rFonts w:cs="Times New Roman"/>
          <w:lang w:val="en-GB"/>
        </w:rPr>
        <w:t>.</w:t>
      </w:r>
      <w:r w:rsidR="00502B58">
        <w:rPr>
          <w:rFonts w:cs="Times New Roman"/>
          <w:lang w:val="en-GB"/>
        </w:rPr>
        <w:t xml:space="preserve"> Hav</w:t>
      </w:r>
      <w:r w:rsidR="00F33CAD">
        <w:rPr>
          <w:rFonts w:cs="Times New Roman"/>
          <w:lang w:val="en-GB"/>
        </w:rPr>
        <w:t>ing</w:t>
      </w:r>
      <w:r w:rsidR="00502B58">
        <w:rPr>
          <w:rFonts w:cs="Times New Roman"/>
          <w:lang w:val="en-GB"/>
        </w:rPr>
        <w:t xml:space="preserve"> evidenced the need for a more comprehensive multidimensional framework, </w:t>
      </w:r>
      <w:r w:rsidR="006E492E">
        <w:rPr>
          <w:rFonts w:cs="Times New Roman"/>
          <w:lang w:val="en-GB"/>
        </w:rPr>
        <w:t>we extend</w:t>
      </w:r>
      <w:r w:rsidR="00502B58">
        <w:rPr>
          <w:rFonts w:cs="Times New Roman"/>
          <w:lang w:val="en-GB"/>
        </w:rPr>
        <w:t xml:space="preserve"> the</w:t>
      </w:r>
      <w:r w:rsidR="00CC1CE9">
        <w:rPr>
          <w:rFonts w:cs="Times New Roman"/>
          <w:lang w:val="en-GB"/>
        </w:rPr>
        <w:t xml:space="preserve"> literature on the</w:t>
      </w:r>
      <w:r w:rsidR="00502B58">
        <w:rPr>
          <w:rFonts w:cs="Times New Roman"/>
          <w:lang w:val="en-GB"/>
        </w:rPr>
        <w:t xml:space="preserve"> inefficient management hypothesis by exploring the relati</w:t>
      </w:r>
      <w:r w:rsidR="006776BD">
        <w:rPr>
          <w:rFonts w:cs="Times New Roman"/>
          <w:lang w:val="en-GB"/>
        </w:rPr>
        <w:t xml:space="preserve">on between our new </w:t>
      </w:r>
      <w:r w:rsidR="006B3320">
        <w:rPr>
          <w:rFonts w:cs="Times New Roman"/>
          <w:lang w:val="en-GB"/>
        </w:rPr>
        <w:t>attributes</w:t>
      </w:r>
      <w:r w:rsidR="006776BD">
        <w:rPr>
          <w:rFonts w:cs="Times New Roman"/>
          <w:lang w:val="en-GB"/>
        </w:rPr>
        <w:t xml:space="preserve">; </w:t>
      </w:r>
      <w:r w:rsidR="00ED262D">
        <w:rPr>
          <w:rFonts w:cs="Times New Roman"/>
          <w:i/>
          <w:lang w:val="en-GB"/>
        </w:rPr>
        <w:t>myopia</w:t>
      </w:r>
      <w:r w:rsidR="00502B58">
        <w:rPr>
          <w:rFonts w:cs="Times New Roman"/>
          <w:lang w:val="en-GB"/>
        </w:rPr>
        <w:t xml:space="preserve"> and </w:t>
      </w:r>
      <w:r w:rsidR="00ED262D">
        <w:rPr>
          <w:rFonts w:cs="Times New Roman"/>
          <w:i/>
          <w:lang w:val="en-GB"/>
        </w:rPr>
        <w:t>hyperopia</w:t>
      </w:r>
      <w:r w:rsidR="00502B58">
        <w:rPr>
          <w:rFonts w:cs="Times New Roman"/>
          <w:lang w:val="en-GB"/>
        </w:rPr>
        <w:t xml:space="preserve">, and takeover </w:t>
      </w:r>
      <w:r w:rsidR="00502B58">
        <w:rPr>
          <w:rFonts w:cs="Times New Roman"/>
          <w:lang w:val="en-GB"/>
        </w:rPr>
        <w:lastRenderedPageBreak/>
        <w:t>likelihood. For this, we draw from the</w:t>
      </w:r>
      <w:r w:rsidR="00E93EA7">
        <w:rPr>
          <w:rFonts w:cs="Times New Roman"/>
          <w:lang w:val="en-GB"/>
        </w:rPr>
        <w:t xml:space="preserve"> earnings management literature and contribute to the debate on the consequences of earnings management by </w:t>
      </w:r>
      <w:r w:rsidR="00576383">
        <w:rPr>
          <w:rFonts w:cs="Times New Roman"/>
          <w:lang w:val="en-GB"/>
        </w:rPr>
        <w:t>(1) linking earnings management and management inefficiency, and (2) identifying a market mechanism (MCC) that, partly,</w:t>
      </w:r>
      <w:r w:rsidR="00B27B83">
        <w:rPr>
          <w:rFonts w:cs="Times New Roman"/>
          <w:lang w:val="en-GB"/>
        </w:rPr>
        <w:t xml:space="preserve"> corrects these inefficiencies</w:t>
      </w:r>
      <w:r w:rsidR="00576383">
        <w:rPr>
          <w:rFonts w:cs="Times New Roman"/>
          <w:lang w:val="en-GB"/>
        </w:rPr>
        <w:t>.</w:t>
      </w:r>
    </w:p>
    <w:p w14:paraId="4C792CA9" w14:textId="02081A1B" w:rsidR="00CA299A" w:rsidRPr="00B92219" w:rsidRDefault="00CC1CE9" w:rsidP="00D66668">
      <w:pPr>
        <w:ind w:firstLine="720"/>
        <w:rPr>
          <w:rFonts w:cs="Times New Roman"/>
          <w:lang w:val="en-GB"/>
        </w:rPr>
      </w:pPr>
      <w:r>
        <w:rPr>
          <w:rFonts w:cs="Times New Roman"/>
          <w:lang w:val="en-GB"/>
        </w:rPr>
        <w:t>Prior research has extensively documented m</w:t>
      </w:r>
      <w:r w:rsidR="00CA299A" w:rsidRPr="00B92219">
        <w:rPr>
          <w:rFonts w:cs="Times New Roman"/>
          <w:lang w:val="en-GB"/>
        </w:rPr>
        <w:t>anagements’ fixation on achieving short-term earnings targets, even at the cost of long-t</w:t>
      </w:r>
      <w:r>
        <w:rPr>
          <w:rFonts w:cs="Times New Roman"/>
          <w:lang w:val="en-GB"/>
        </w:rPr>
        <w:t xml:space="preserve">erm shareholder value creation </w:t>
      </w:r>
      <w:r w:rsidR="00CA299A" w:rsidRPr="00B92219">
        <w:rPr>
          <w:rFonts w:cs="Times New Roman"/>
          <w:lang w:val="en-GB"/>
        </w:rPr>
        <w:t>(Healy and Wahlen, 1999; Graham et al., 2006). Healy and Wahlen (1999), for example, find that, besides applying judgement in financial reporting, managers reduce long-term investments by freezing hiring, closing underperforming units and delaying critical maintenance projects, amongst others, in order to meet short-term earnings target</w:t>
      </w:r>
      <w:r w:rsidR="005101D0">
        <w:rPr>
          <w:rFonts w:cs="Times New Roman"/>
          <w:lang w:val="en-GB"/>
        </w:rPr>
        <w:t>s</w:t>
      </w:r>
      <w:r w:rsidR="00CA299A" w:rsidRPr="00B92219">
        <w:rPr>
          <w:rFonts w:cs="Times New Roman"/>
          <w:lang w:val="en-GB"/>
        </w:rPr>
        <w:t xml:space="preserve"> set by them or their analysts. In a survey of 401 senior financial executives of U.S companies, Graham et al. (2006) also find that 80 percent of respondents would decrease “discretionary” spending, such as R&amp;D, advertising and maintenance</w:t>
      </w:r>
      <w:r w:rsidR="005101D0">
        <w:rPr>
          <w:rFonts w:cs="Times New Roman"/>
          <w:lang w:val="en-GB"/>
        </w:rPr>
        <w:t>,</w:t>
      </w:r>
      <w:r w:rsidR="00CA299A" w:rsidRPr="00B92219">
        <w:rPr>
          <w:rFonts w:cs="Times New Roman"/>
          <w:lang w:val="en-GB"/>
        </w:rPr>
        <w:t xml:space="preserve"> to meet their earnings target. Th</w:t>
      </w:r>
      <w:r w:rsidR="00DA6473">
        <w:rPr>
          <w:rFonts w:cs="Times New Roman"/>
          <w:lang w:val="en-GB"/>
        </w:rPr>
        <w:t>e</w:t>
      </w:r>
      <w:r w:rsidR="00CA299A" w:rsidRPr="00B92219">
        <w:rPr>
          <w:rFonts w:cs="Times New Roman"/>
          <w:lang w:val="en-GB"/>
        </w:rPr>
        <w:t xml:space="preserve"> pervasive nature of </w:t>
      </w:r>
      <w:r w:rsidR="00DA6473">
        <w:rPr>
          <w:rFonts w:cs="Times New Roman"/>
          <w:lang w:val="en-GB"/>
        </w:rPr>
        <w:t xml:space="preserve">such </w:t>
      </w:r>
      <w:r w:rsidR="00CA299A" w:rsidRPr="00B92219">
        <w:rPr>
          <w:rFonts w:cs="Times New Roman"/>
          <w:lang w:val="en-GB"/>
        </w:rPr>
        <w:t xml:space="preserve">managerial short-termism is, perhaps, </w:t>
      </w:r>
      <w:r w:rsidR="00CA22D3">
        <w:rPr>
          <w:rFonts w:cs="Times New Roman"/>
          <w:lang w:val="en-GB"/>
        </w:rPr>
        <w:t>driven</w:t>
      </w:r>
      <w:r w:rsidR="00CA299A" w:rsidRPr="00B92219">
        <w:rPr>
          <w:rFonts w:cs="Times New Roman"/>
          <w:lang w:val="en-GB"/>
        </w:rPr>
        <w:t xml:space="preserve"> by pay-for-performance </w:t>
      </w:r>
      <w:r w:rsidR="00DA6473">
        <w:rPr>
          <w:rFonts w:cs="Times New Roman"/>
          <w:lang w:val="en-GB"/>
        </w:rPr>
        <w:t xml:space="preserve">reward </w:t>
      </w:r>
      <w:r w:rsidR="00CA299A" w:rsidRPr="00B92219">
        <w:rPr>
          <w:rFonts w:cs="Times New Roman"/>
          <w:lang w:val="en-GB"/>
        </w:rPr>
        <w:t>system</w:t>
      </w:r>
      <w:r w:rsidR="00DA6473">
        <w:rPr>
          <w:rFonts w:cs="Times New Roman"/>
          <w:lang w:val="en-GB"/>
        </w:rPr>
        <w:t>s</w:t>
      </w:r>
      <w:r w:rsidR="00CA299A" w:rsidRPr="00B92219">
        <w:rPr>
          <w:rFonts w:cs="Times New Roman"/>
          <w:lang w:val="en-GB"/>
        </w:rPr>
        <w:t xml:space="preserve"> (Lambert and Lacker, 1987; Duru et al., 2012). A few studies have examined whether the takeover market discourages management </w:t>
      </w:r>
      <w:r w:rsidR="00CA22D3">
        <w:rPr>
          <w:rFonts w:cs="Times New Roman"/>
          <w:lang w:val="en-GB"/>
        </w:rPr>
        <w:t>short-termism</w:t>
      </w:r>
      <w:r w:rsidR="00DA6473">
        <w:rPr>
          <w:rFonts w:cs="Times New Roman"/>
          <w:lang w:val="en-GB"/>
        </w:rPr>
        <w:t xml:space="preserve"> in spite </w:t>
      </w:r>
      <w:r>
        <w:rPr>
          <w:rFonts w:cs="Times New Roman"/>
          <w:lang w:val="en-GB"/>
        </w:rPr>
        <w:t xml:space="preserve">of </w:t>
      </w:r>
      <w:r w:rsidR="00DA6473">
        <w:rPr>
          <w:rFonts w:cs="Times New Roman"/>
          <w:lang w:val="en-GB"/>
        </w:rPr>
        <w:t>the incentive to adopt a myopic approach (Meulboek, 1990; Faleye, 2007; Atanassov, 2013)</w:t>
      </w:r>
      <w:r w:rsidR="00CA299A" w:rsidRPr="00B92219">
        <w:rPr>
          <w:rFonts w:cs="Times New Roman"/>
          <w:lang w:val="en-GB"/>
        </w:rPr>
        <w:t>.</w:t>
      </w:r>
      <w:r w:rsidR="00D66668">
        <w:rPr>
          <w:rFonts w:cs="Times New Roman"/>
          <w:lang w:val="en-GB"/>
        </w:rPr>
        <w:t xml:space="preserve"> </w:t>
      </w:r>
      <w:r>
        <w:rPr>
          <w:rFonts w:cs="Times New Roman"/>
          <w:lang w:val="en-GB"/>
        </w:rPr>
        <w:t xml:space="preserve">For example, </w:t>
      </w:r>
      <w:r w:rsidR="00D66668">
        <w:rPr>
          <w:rFonts w:cs="Times New Roman"/>
          <w:lang w:val="en-GB"/>
        </w:rPr>
        <w:t xml:space="preserve">Meulboek et al. (1990) </w:t>
      </w:r>
      <w:r w:rsidR="00CA299A" w:rsidRPr="00B92219">
        <w:rPr>
          <w:rFonts w:cs="Times New Roman"/>
          <w:lang w:val="en-GB"/>
        </w:rPr>
        <w:t xml:space="preserve">document a decline in R&amp;D investments in US firms that </w:t>
      </w:r>
      <w:r>
        <w:rPr>
          <w:rFonts w:cs="Times New Roman"/>
          <w:lang w:val="en-GB"/>
        </w:rPr>
        <w:t>adopt</w:t>
      </w:r>
      <w:r w:rsidR="00D66668">
        <w:rPr>
          <w:rFonts w:cs="Times New Roman"/>
          <w:lang w:val="en-GB"/>
        </w:rPr>
        <w:t xml:space="preserve"> antitakeover amendments</w:t>
      </w:r>
      <w:r w:rsidR="006A5D68">
        <w:rPr>
          <w:rFonts w:cs="Times New Roman"/>
          <w:lang w:val="en-GB"/>
        </w:rPr>
        <w:t>,</w:t>
      </w:r>
      <w:r w:rsidR="00D66668">
        <w:rPr>
          <w:rFonts w:cs="Times New Roman"/>
          <w:lang w:val="en-GB"/>
        </w:rPr>
        <w:t xml:space="preserve"> while</w:t>
      </w:r>
      <w:r w:rsidR="00CA299A" w:rsidRPr="00B92219">
        <w:rPr>
          <w:rFonts w:cs="Times New Roman"/>
          <w:lang w:val="en-GB"/>
        </w:rPr>
        <w:t xml:space="preserve"> Faleye (2007) finds that US firms with classified boards are associated with lower R&amp;D spending. Similarly, Atanassov (2013) finds that US firms incorporated in states that pass anti-takeover laws experience a decline in innovation in the post-passage period. While these studies show that </w:t>
      </w:r>
      <w:r w:rsidR="00D66668">
        <w:rPr>
          <w:rFonts w:cs="Times New Roman"/>
          <w:lang w:val="en-GB"/>
        </w:rPr>
        <w:t xml:space="preserve">a decline in </w:t>
      </w:r>
      <w:r w:rsidR="00CA299A" w:rsidRPr="00B92219">
        <w:rPr>
          <w:rFonts w:cs="Times New Roman"/>
          <w:lang w:val="en-GB"/>
        </w:rPr>
        <w:t>the threat of takeovers</w:t>
      </w:r>
      <w:r w:rsidR="00D66668">
        <w:rPr>
          <w:rFonts w:cs="Times New Roman"/>
          <w:lang w:val="en-GB"/>
        </w:rPr>
        <w:t xml:space="preserve"> (e.g., by adopting classified boards or operating under the protection of anti-takeover amendments)</w:t>
      </w:r>
      <w:r w:rsidR="00CA299A" w:rsidRPr="00B92219">
        <w:rPr>
          <w:rFonts w:cs="Times New Roman"/>
          <w:lang w:val="en-GB"/>
        </w:rPr>
        <w:t xml:space="preserve"> reduces the tendency</w:t>
      </w:r>
      <w:r w:rsidR="00D66668">
        <w:rPr>
          <w:rFonts w:cs="Times New Roman"/>
          <w:lang w:val="en-GB"/>
        </w:rPr>
        <w:t xml:space="preserve"> or incentive</w:t>
      </w:r>
      <w:r w:rsidR="00CA299A" w:rsidRPr="00B92219">
        <w:rPr>
          <w:rFonts w:cs="Times New Roman"/>
          <w:lang w:val="en-GB"/>
        </w:rPr>
        <w:t xml:space="preserve"> f</w:t>
      </w:r>
      <w:r w:rsidR="00D66668">
        <w:rPr>
          <w:rFonts w:cs="Times New Roman"/>
          <w:lang w:val="en-GB"/>
        </w:rPr>
        <w:t>or management to be myopic, the studies</w:t>
      </w:r>
      <w:r w:rsidR="00CA299A" w:rsidRPr="00B92219">
        <w:rPr>
          <w:rFonts w:cs="Times New Roman"/>
          <w:lang w:val="en-GB"/>
        </w:rPr>
        <w:t xml:space="preserve"> do not provide any insights on the consequences of management myopia. </w:t>
      </w:r>
      <w:r w:rsidR="00D66668">
        <w:rPr>
          <w:rFonts w:cs="Times New Roman"/>
          <w:lang w:val="en-GB"/>
        </w:rPr>
        <w:t xml:space="preserve">Our study, fills this gap by exploring whether the MCC potentially disciplines management myopia—which </w:t>
      </w:r>
      <w:r>
        <w:rPr>
          <w:rFonts w:cs="Times New Roman"/>
          <w:lang w:val="en-GB"/>
        </w:rPr>
        <w:t>our</w:t>
      </w:r>
      <w:r w:rsidR="00D66668">
        <w:rPr>
          <w:rFonts w:cs="Times New Roman"/>
          <w:lang w:val="en-GB"/>
        </w:rPr>
        <w:t xml:space="preserve"> framework considers to be a form of management inefficiency.</w:t>
      </w:r>
    </w:p>
    <w:p w14:paraId="7E58D247" w14:textId="68331D97" w:rsidR="00D66668" w:rsidRDefault="00CA299A" w:rsidP="00CA299A">
      <w:pPr>
        <w:ind w:firstLine="720"/>
        <w:rPr>
          <w:rFonts w:cs="Times New Roman"/>
          <w:lang w:val="en-GB"/>
        </w:rPr>
      </w:pPr>
      <w:r w:rsidRPr="00B92219">
        <w:rPr>
          <w:rFonts w:cs="Times New Roman"/>
          <w:lang w:val="en-GB"/>
        </w:rPr>
        <w:t>Theoretically, the role of the takeover market in enforcing managerial discipline is, possibly, weakened by the existence of other, perhaps more efficient, disciplinary mechanisms, including industry competition, corporate monitoring by boards, competition within the managerial labour market, threat of bankruptcies, and capital flight from poorly-performing to well-performing firms. This suggest</w:t>
      </w:r>
      <w:r w:rsidR="009C7B06">
        <w:rPr>
          <w:rFonts w:cs="Times New Roman"/>
          <w:lang w:val="en-GB"/>
        </w:rPr>
        <w:t>s</w:t>
      </w:r>
      <w:r w:rsidRPr="00B92219">
        <w:rPr>
          <w:rFonts w:cs="Times New Roman"/>
          <w:lang w:val="en-GB"/>
        </w:rPr>
        <w:t xml:space="preserve"> that takeovers are, perhaps, an expensive and imprecise solution to the problem of management inefficiency (Herzel and Shepro, 1990). </w:t>
      </w:r>
      <w:r w:rsidR="006B3320">
        <w:rPr>
          <w:rFonts w:cs="Times New Roman"/>
          <w:lang w:val="en-GB"/>
        </w:rPr>
        <w:t>Consistent with this view</w:t>
      </w:r>
      <w:r w:rsidRPr="00B92219">
        <w:rPr>
          <w:rFonts w:cs="Times New Roman"/>
          <w:lang w:val="en-GB"/>
        </w:rPr>
        <w:t xml:space="preserve">, several prior studies find no </w:t>
      </w:r>
      <w:r w:rsidR="00E93EA7" w:rsidRPr="00B92219">
        <w:rPr>
          <w:rFonts w:cs="Times New Roman"/>
          <w:lang w:val="en-GB"/>
        </w:rPr>
        <w:t>empirical</w:t>
      </w:r>
      <w:r w:rsidRPr="00B92219">
        <w:rPr>
          <w:rFonts w:cs="Times New Roman"/>
          <w:lang w:val="en-GB"/>
        </w:rPr>
        <w:t xml:space="preserve"> support for the inefficient management hypothesis (Franks and Mayer, 1996; Agrawal and Jaffe, 2003 and Powell, 1997). Notwithstanding, some empirical evidence supports the existence of a thriving MCC, where </w:t>
      </w:r>
      <w:r w:rsidRPr="00B92219">
        <w:rPr>
          <w:rFonts w:cs="Times New Roman"/>
          <w:lang w:val="en-GB"/>
        </w:rPr>
        <w:lastRenderedPageBreak/>
        <w:t xml:space="preserve">underperforming firms get acquired and/or underperforming managers get replaced through takeovers (Lang et al., 1989; Barnes, 1999 and Powell and Yawson, 2007). We argue that the mixed and inconclusive findings from prior </w:t>
      </w:r>
      <w:r w:rsidR="00D66668" w:rsidRPr="00B92219">
        <w:rPr>
          <w:rFonts w:cs="Times New Roman"/>
          <w:lang w:val="en-GB"/>
        </w:rPr>
        <w:t>research</w:t>
      </w:r>
      <w:r w:rsidRPr="00B92219">
        <w:rPr>
          <w:rFonts w:cs="Times New Roman"/>
          <w:lang w:val="en-GB"/>
        </w:rPr>
        <w:t xml:space="preserve"> is largely a consequence of limitations in the current conceptualisation of the management inefficiency construct</w:t>
      </w:r>
      <w:r w:rsidR="006B3320">
        <w:rPr>
          <w:rFonts w:cs="Times New Roman"/>
          <w:lang w:val="en-GB"/>
        </w:rPr>
        <w:t>—i.e., how management performance is measured</w:t>
      </w:r>
      <w:r w:rsidRPr="00B92219">
        <w:rPr>
          <w:rFonts w:cs="Times New Roman"/>
          <w:lang w:val="en-GB"/>
        </w:rPr>
        <w:t xml:space="preserve">. </w:t>
      </w:r>
    </w:p>
    <w:p w14:paraId="76E2D8BC" w14:textId="6357773C" w:rsidR="00CA299A" w:rsidRPr="00B92219" w:rsidRDefault="00CA299A" w:rsidP="00CA299A">
      <w:pPr>
        <w:ind w:firstLine="720"/>
        <w:rPr>
          <w:rFonts w:cs="Times New Roman"/>
          <w:lang w:val="en-GB"/>
        </w:rPr>
      </w:pPr>
      <w:r w:rsidRPr="00B92219">
        <w:rPr>
          <w:rFonts w:cs="Times New Roman"/>
          <w:lang w:val="en-GB"/>
        </w:rPr>
        <w:t xml:space="preserve">Prior empirical studies indiscriminately use accounting and market measures of performance (e.g., </w:t>
      </w:r>
      <w:r w:rsidR="000C5372">
        <w:rPr>
          <w:rFonts w:cs="Times New Roman"/>
          <w:lang w:val="en-GB"/>
        </w:rPr>
        <w:t>ROA, ROCE, ROE</w:t>
      </w:r>
      <w:r w:rsidRPr="00B92219">
        <w:rPr>
          <w:rFonts w:cs="Times New Roman"/>
          <w:lang w:val="en-GB"/>
        </w:rPr>
        <w:t xml:space="preserve">, Tobin’s Q </w:t>
      </w:r>
      <w:r w:rsidR="000C5372">
        <w:rPr>
          <w:rFonts w:cs="Times New Roman"/>
          <w:lang w:val="en-GB"/>
        </w:rPr>
        <w:t xml:space="preserve">and </w:t>
      </w:r>
      <w:r w:rsidR="006F796E">
        <w:rPr>
          <w:rFonts w:cs="Times New Roman"/>
          <w:lang w:val="en-GB"/>
        </w:rPr>
        <w:t>AAR</w:t>
      </w:r>
      <w:r w:rsidRPr="00B92219">
        <w:rPr>
          <w:rFonts w:cs="Times New Roman"/>
          <w:lang w:val="en-GB"/>
        </w:rPr>
        <w:t>) to proxy for management performance (Agrawal and Jaffe, 2003; Powell and Yawson, 2007; Danbolt et al., 2016). These studies consider performance as a unidimensional variable, along a linear scale with two extremes—</w:t>
      </w:r>
      <w:r w:rsidR="00D66668">
        <w:rPr>
          <w:rFonts w:cs="Times New Roman"/>
          <w:lang w:val="en-GB"/>
        </w:rPr>
        <w:t>efficient</w:t>
      </w:r>
      <w:r w:rsidRPr="00B92219">
        <w:rPr>
          <w:rFonts w:cs="Times New Roman"/>
          <w:lang w:val="en-GB"/>
        </w:rPr>
        <w:t xml:space="preserve"> performance and poor performance—and implicitly assume that each manager’s performance can be calibrated along this unidimensional scale. We decouple the, arguably, complex construct of management inefficiency within the context of the MCC by proposing that “</w:t>
      </w:r>
      <w:r w:rsidR="00ED262D">
        <w:rPr>
          <w:rFonts w:cs="Times New Roman"/>
          <w:i/>
          <w:lang w:val="en-GB"/>
        </w:rPr>
        <w:t>poor</w:t>
      </w:r>
      <w:r w:rsidR="0006248A">
        <w:rPr>
          <w:rFonts w:cs="Times New Roman"/>
          <w:lang w:val="en-GB"/>
        </w:rPr>
        <w:t>” management, “</w:t>
      </w:r>
      <w:r w:rsidR="00ED262D">
        <w:rPr>
          <w:rFonts w:cs="Times New Roman"/>
          <w:i/>
          <w:lang w:val="en-GB"/>
        </w:rPr>
        <w:t>myopia</w:t>
      </w:r>
      <w:r w:rsidRPr="00B92219">
        <w:rPr>
          <w:rFonts w:cs="Times New Roman"/>
          <w:lang w:val="en-GB"/>
        </w:rPr>
        <w:t>” and “</w:t>
      </w:r>
      <w:r w:rsidR="00ED262D">
        <w:rPr>
          <w:rFonts w:cs="Times New Roman"/>
          <w:i/>
          <w:lang w:val="en-GB"/>
        </w:rPr>
        <w:t>hyperopia</w:t>
      </w:r>
      <w:r w:rsidRPr="00B92219">
        <w:rPr>
          <w:rFonts w:cs="Times New Roman"/>
          <w:lang w:val="en-GB"/>
        </w:rPr>
        <w:t xml:space="preserve">” are distinct </w:t>
      </w:r>
      <w:r w:rsidR="006B3320">
        <w:rPr>
          <w:rFonts w:cs="Times New Roman"/>
          <w:lang w:val="en-GB"/>
        </w:rPr>
        <w:t>attributes</w:t>
      </w:r>
      <w:r w:rsidRPr="00B92219">
        <w:rPr>
          <w:rFonts w:cs="Times New Roman"/>
          <w:lang w:val="en-GB"/>
        </w:rPr>
        <w:t xml:space="preserve"> of inefficient management. In this sense, as opposed to simply describing management as “good” or “poor”, we propose that managers can be </w:t>
      </w:r>
      <w:r w:rsidR="00D66668" w:rsidRPr="00B92219">
        <w:rPr>
          <w:rFonts w:cs="Times New Roman"/>
          <w:lang w:val="en-GB"/>
        </w:rPr>
        <w:t>categorised</w:t>
      </w:r>
      <w:r w:rsidRPr="00B92219">
        <w:rPr>
          <w:rFonts w:cs="Times New Roman"/>
          <w:lang w:val="en-GB"/>
        </w:rPr>
        <w:t xml:space="preserve"> as “</w:t>
      </w:r>
      <w:r w:rsidRPr="005575A3">
        <w:rPr>
          <w:rFonts w:cs="Times New Roman"/>
          <w:i/>
          <w:lang w:val="en-GB"/>
        </w:rPr>
        <w:t>efficient</w:t>
      </w:r>
      <w:r w:rsidRPr="00B92219">
        <w:rPr>
          <w:rFonts w:cs="Times New Roman"/>
          <w:lang w:val="en-GB"/>
        </w:rPr>
        <w:t>”, “</w:t>
      </w:r>
      <w:r w:rsidRPr="005575A3">
        <w:rPr>
          <w:rFonts w:cs="Times New Roman"/>
          <w:i/>
          <w:lang w:val="en-GB"/>
        </w:rPr>
        <w:t>myopic</w:t>
      </w:r>
      <w:r w:rsidRPr="00B92219">
        <w:rPr>
          <w:rFonts w:cs="Times New Roman"/>
          <w:lang w:val="en-GB"/>
        </w:rPr>
        <w:t>”, “</w:t>
      </w:r>
      <w:r w:rsidRPr="005575A3">
        <w:rPr>
          <w:rFonts w:cs="Times New Roman"/>
          <w:i/>
          <w:lang w:val="en-GB"/>
        </w:rPr>
        <w:t>hyperopic</w:t>
      </w:r>
      <w:r w:rsidRPr="00B92219">
        <w:rPr>
          <w:rFonts w:cs="Times New Roman"/>
          <w:lang w:val="en-GB"/>
        </w:rPr>
        <w:t xml:space="preserve">” </w:t>
      </w:r>
      <w:r w:rsidR="00C31C34">
        <w:rPr>
          <w:rFonts w:cs="Times New Roman"/>
          <w:lang w:val="en-GB"/>
        </w:rPr>
        <w:t>or</w:t>
      </w:r>
      <w:r w:rsidR="00C31C34" w:rsidRPr="00B92219">
        <w:rPr>
          <w:rFonts w:cs="Times New Roman"/>
          <w:lang w:val="en-GB"/>
        </w:rPr>
        <w:t xml:space="preserve"> </w:t>
      </w:r>
      <w:r w:rsidRPr="00B92219">
        <w:rPr>
          <w:rFonts w:cs="Times New Roman"/>
          <w:lang w:val="en-GB"/>
        </w:rPr>
        <w:t>“</w:t>
      </w:r>
      <w:r w:rsidRPr="005575A3">
        <w:rPr>
          <w:rFonts w:cs="Times New Roman"/>
          <w:i/>
          <w:lang w:val="en-GB"/>
        </w:rPr>
        <w:t>poor</w:t>
      </w:r>
      <w:r w:rsidRPr="00B92219">
        <w:rPr>
          <w:rFonts w:cs="Times New Roman"/>
          <w:lang w:val="en-GB"/>
        </w:rPr>
        <w:t xml:space="preserve">”. Our rationale for this new </w:t>
      </w:r>
      <w:r w:rsidR="00CA22D3">
        <w:rPr>
          <w:rFonts w:cs="Times New Roman"/>
          <w:lang w:val="en-GB"/>
        </w:rPr>
        <w:t>multidimension</w:t>
      </w:r>
      <w:r w:rsidRPr="00B92219">
        <w:rPr>
          <w:rFonts w:cs="Times New Roman"/>
          <w:lang w:val="en-GB"/>
        </w:rPr>
        <w:t>al framework is summarised below and fully discussed in Section 2.</w:t>
      </w:r>
    </w:p>
    <w:p w14:paraId="77A19297" w14:textId="338BC06C" w:rsidR="00CA299A" w:rsidRPr="00B92219" w:rsidRDefault="00CA299A" w:rsidP="00CA299A">
      <w:pPr>
        <w:ind w:firstLine="720"/>
        <w:rPr>
          <w:rFonts w:cs="Times New Roman"/>
          <w:lang w:val="en-GB"/>
        </w:rPr>
      </w:pPr>
      <w:r w:rsidRPr="00B92219">
        <w:rPr>
          <w:rFonts w:cs="Times New Roman"/>
          <w:lang w:val="en-GB"/>
        </w:rPr>
        <w:t xml:space="preserve">It is widely accepted that accounting measures, such as ROA, ROCE and ROE, amongst others, best measure </w:t>
      </w:r>
      <w:r w:rsidRPr="00C72C14">
        <w:rPr>
          <w:rFonts w:cs="Times New Roman"/>
          <w:i/>
          <w:lang w:val="en-GB"/>
        </w:rPr>
        <w:t>past</w:t>
      </w:r>
      <w:r w:rsidRPr="00B92219">
        <w:rPr>
          <w:rFonts w:cs="Times New Roman"/>
          <w:lang w:val="en-GB"/>
        </w:rPr>
        <w:t xml:space="preserve"> performance, whilst stock market variables, such as abnormal returns, measure </w:t>
      </w:r>
      <w:r w:rsidRPr="00C72C14">
        <w:rPr>
          <w:rFonts w:cs="Times New Roman"/>
          <w:i/>
          <w:lang w:val="en-GB"/>
        </w:rPr>
        <w:t>future</w:t>
      </w:r>
      <w:r w:rsidRPr="00B92219">
        <w:rPr>
          <w:rFonts w:cs="Times New Roman"/>
          <w:lang w:val="en-GB"/>
        </w:rPr>
        <w:t xml:space="preserve"> prospects (Rappaport, 1986; Lambert and Larcker, 1987). Using simple combinations of accounting and stock market measures, we are able to identify four distinct categories of management performance: (i) </w:t>
      </w:r>
      <w:r w:rsidR="00ED262D">
        <w:rPr>
          <w:rFonts w:cs="Times New Roman"/>
          <w:i/>
          <w:lang w:val="en-GB"/>
        </w:rPr>
        <w:t>efficient</w:t>
      </w:r>
      <w:r w:rsidRPr="00B92219">
        <w:rPr>
          <w:rFonts w:cs="Times New Roman"/>
          <w:i/>
          <w:lang w:val="en-GB"/>
        </w:rPr>
        <w:t xml:space="preserve"> </w:t>
      </w:r>
      <w:r w:rsidRPr="00B92219">
        <w:rPr>
          <w:rFonts w:cs="Times New Roman"/>
          <w:lang w:val="en-GB"/>
        </w:rPr>
        <w:t xml:space="preserve">(high accounting and high stock market performance); (ii) </w:t>
      </w:r>
      <w:r w:rsidR="00ED262D">
        <w:rPr>
          <w:rFonts w:cs="Times New Roman"/>
          <w:i/>
          <w:lang w:val="en-GB"/>
        </w:rPr>
        <w:t>myopia</w:t>
      </w:r>
      <w:r w:rsidRPr="00B92219">
        <w:rPr>
          <w:rFonts w:cs="Times New Roman"/>
          <w:lang w:val="en-GB"/>
        </w:rPr>
        <w:t xml:space="preserve"> (high accounting, but low stock performance); (iii) </w:t>
      </w:r>
      <w:r w:rsidR="00ED262D">
        <w:rPr>
          <w:rFonts w:cs="Times New Roman"/>
          <w:i/>
          <w:lang w:val="en-GB"/>
        </w:rPr>
        <w:t>hyperopia</w:t>
      </w:r>
      <w:r w:rsidRPr="00B92219">
        <w:rPr>
          <w:rFonts w:cs="Times New Roman"/>
          <w:i/>
          <w:lang w:val="en-GB"/>
        </w:rPr>
        <w:t xml:space="preserve"> </w:t>
      </w:r>
      <w:r w:rsidRPr="00B92219">
        <w:rPr>
          <w:rFonts w:cs="Times New Roman"/>
          <w:lang w:val="en-GB"/>
        </w:rPr>
        <w:t xml:space="preserve">(low accounting, but high stock market performance); and (iv) </w:t>
      </w:r>
      <w:r w:rsidR="00ED262D">
        <w:rPr>
          <w:rFonts w:cs="Times New Roman"/>
          <w:i/>
          <w:lang w:val="en-GB"/>
        </w:rPr>
        <w:t>poor</w:t>
      </w:r>
      <w:r w:rsidRPr="00B92219">
        <w:rPr>
          <w:rFonts w:cs="Times New Roman"/>
          <w:i/>
          <w:lang w:val="en-GB"/>
        </w:rPr>
        <w:t xml:space="preserve"> </w:t>
      </w:r>
      <w:r w:rsidRPr="00B92219">
        <w:rPr>
          <w:rFonts w:cs="Times New Roman"/>
          <w:lang w:val="en-GB"/>
        </w:rPr>
        <w:t xml:space="preserve">(low accounting and low stock market performance). We validate this framework by showing that firms classified as myopic are more likely to reduce R&amp;D in the next period when compared to their </w:t>
      </w:r>
      <w:r w:rsidR="005575A3">
        <w:rPr>
          <w:rFonts w:cs="Times New Roman"/>
          <w:i/>
          <w:lang w:val="en-GB"/>
        </w:rPr>
        <w:t xml:space="preserve">hyperopic </w:t>
      </w:r>
      <w:r w:rsidRPr="00B92219">
        <w:rPr>
          <w:rFonts w:cs="Times New Roman"/>
          <w:lang w:val="en-GB"/>
        </w:rPr>
        <w:t xml:space="preserve">counterparts. We also show that </w:t>
      </w:r>
      <w:r w:rsidR="00ED262D">
        <w:rPr>
          <w:rFonts w:cs="Times New Roman"/>
          <w:i/>
          <w:lang w:val="en-GB"/>
        </w:rPr>
        <w:t>myopic</w:t>
      </w:r>
      <w:r w:rsidRPr="00B92219">
        <w:rPr>
          <w:rFonts w:cs="Times New Roman"/>
          <w:lang w:val="en-GB"/>
        </w:rPr>
        <w:t xml:space="preserve"> firms are associated with positive discretionary accruals (evidence of accrual earnings management) while their </w:t>
      </w:r>
      <w:r w:rsidR="005575A3">
        <w:rPr>
          <w:rFonts w:cs="Times New Roman"/>
          <w:i/>
          <w:lang w:val="en-GB"/>
        </w:rPr>
        <w:t xml:space="preserve">hyperopic </w:t>
      </w:r>
      <w:r w:rsidRPr="00B92219">
        <w:rPr>
          <w:rFonts w:cs="Times New Roman"/>
          <w:lang w:val="en-GB"/>
        </w:rPr>
        <w:t xml:space="preserve">counterparts are associated with negative discretionary accruals. We use our </w:t>
      </w:r>
      <w:r w:rsidR="00CA22D3">
        <w:rPr>
          <w:rFonts w:cs="Times New Roman"/>
          <w:lang w:val="en-GB"/>
        </w:rPr>
        <w:t>multidimension</w:t>
      </w:r>
      <w:r w:rsidRPr="00B92219">
        <w:rPr>
          <w:rFonts w:cs="Times New Roman"/>
          <w:lang w:val="en-GB"/>
        </w:rPr>
        <w:t xml:space="preserve">al framework to shed new light on the inefficient management hypothesis of takeovers. </w:t>
      </w:r>
    </w:p>
    <w:p w14:paraId="0C819316" w14:textId="292A0F35" w:rsidR="00CA299A" w:rsidRPr="007048BA" w:rsidRDefault="006E492E" w:rsidP="00CA299A">
      <w:pPr>
        <w:ind w:firstLine="720"/>
        <w:rPr>
          <w:rFonts w:cs="Times New Roman"/>
          <w:lang w:val="en-GB"/>
        </w:rPr>
      </w:pPr>
      <w:r>
        <w:rPr>
          <w:rFonts w:cs="Times New Roman"/>
          <w:lang w:val="en-GB"/>
        </w:rPr>
        <w:t>In summary, w</w:t>
      </w:r>
      <w:r w:rsidR="00CA299A" w:rsidRPr="00B92219">
        <w:rPr>
          <w:rFonts w:cs="Times New Roman"/>
          <w:lang w:val="en-GB"/>
        </w:rPr>
        <w:t xml:space="preserve">e make two </w:t>
      </w:r>
      <w:r w:rsidR="00FA5007">
        <w:rPr>
          <w:rFonts w:cs="Times New Roman"/>
          <w:lang w:val="en-GB"/>
        </w:rPr>
        <w:t xml:space="preserve">main </w:t>
      </w:r>
      <w:r w:rsidR="00CA299A" w:rsidRPr="00B92219">
        <w:rPr>
          <w:rFonts w:cs="Times New Roman"/>
          <w:lang w:val="en-GB"/>
        </w:rPr>
        <w:t xml:space="preserve">contributions to the extant literature. Firstly, we develop and validate a simple, yet comprehensive, </w:t>
      </w:r>
      <w:r w:rsidR="00B92219" w:rsidRPr="00B92219">
        <w:rPr>
          <w:rFonts w:cs="Times New Roman"/>
          <w:lang w:val="en-GB"/>
        </w:rPr>
        <w:t>multidimensional</w:t>
      </w:r>
      <w:r w:rsidR="00CA299A" w:rsidRPr="00B92219">
        <w:rPr>
          <w:rFonts w:cs="Times New Roman"/>
          <w:lang w:val="en-GB"/>
        </w:rPr>
        <w:t xml:space="preserve"> framework for modelling management performance. This method integrates management horizon (short-termism </w:t>
      </w:r>
      <w:r w:rsidR="00B92219" w:rsidRPr="00B92219">
        <w:rPr>
          <w:rFonts w:cs="Times New Roman"/>
          <w:lang w:val="en-GB"/>
        </w:rPr>
        <w:t>versus</w:t>
      </w:r>
      <w:r w:rsidR="00CA299A" w:rsidRPr="00B92219">
        <w:rPr>
          <w:rFonts w:cs="Times New Roman"/>
          <w:lang w:val="en-GB"/>
        </w:rPr>
        <w:t xml:space="preserve"> long-termism) with performance and uses readily-available firm-level information to construct proxies. Prior studies primarily use a decline in R&amp;D expenditure as a measure of management myopia (e.g., Meulbroek et al., 1990; Wahal </w:t>
      </w:r>
      <w:r w:rsidR="00CA299A" w:rsidRPr="00B92219">
        <w:rPr>
          <w:rFonts w:cs="Times New Roman"/>
          <w:lang w:val="en-GB"/>
        </w:rPr>
        <w:lastRenderedPageBreak/>
        <w:t xml:space="preserve">and McConnell, </w:t>
      </w:r>
      <w:r w:rsidR="00CA299A" w:rsidRPr="007048BA">
        <w:rPr>
          <w:rFonts w:cs="Times New Roman"/>
          <w:lang w:val="en-GB"/>
        </w:rPr>
        <w:t>2000; Faleye, 2007; Holden and Lundstrum, 2009)</w:t>
      </w:r>
      <w:r w:rsidR="003A2808" w:rsidRPr="007048BA">
        <w:rPr>
          <w:rFonts w:cs="Times New Roman"/>
          <w:lang w:val="en-GB"/>
        </w:rPr>
        <w:t>,</w:t>
      </w:r>
      <w:r w:rsidR="00CA299A" w:rsidRPr="007048BA">
        <w:rPr>
          <w:rFonts w:cs="Times New Roman"/>
          <w:lang w:val="en-GB"/>
        </w:rPr>
        <w:t xml:space="preserve"> but as documented by Boubaker et al., (2017)</w:t>
      </w:r>
      <w:r w:rsidR="003A2808" w:rsidRPr="007048BA">
        <w:rPr>
          <w:rFonts w:cs="Times New Roman"/>
          <w:lang w:val="en-GB"/>
        </w:rPr>
        <w:t>,</w:t>
      </w:r>
      <w:r w:rsidR="00CA299A" w:rsidRPr="007048BA">
        <w:rPr>
          <w:rFonts w:cs="Times New Roman"/>
          <w:lang w:val="en-GB"/>
        </w:rPr>
        <w:t xml:space="preserve"> a significant proportion of firms do not report any investment in R&amp;D. </w:t>
      </w:r>
      <w:r w:rsidR="005575A3" w:rsidRPr="007048BA">
        <w:rPr>
          <w:lang w:val="en-GB"/>
        </w:rPr>
        <w:t xml:space="preserve">Indeed, we find that only 29.95 percent of UK firms </w:t>
      </w:r>
      <w:r w:rsidR="00990E6F" w:rsidRPr="007048BA">
        <w:rPr>
          <w:lang w:val="en-GB"/>
        </w:rPr>
        <w:t>report R&amp;D spending between 1988</w:t>
      </w:r>
      <w:r w:rsidR="005575A3" w:rsidRPr="007048BA">
        <w:rPr>
          <w:lang w:val="en-GB"/>
        </w:rPr>
        <w:t xml:space="preserve"> and 2017. </w:t>
      </w:r>
      <w:r w:rsidR="00CA299A" w:rsidRPr="007048BA">
        <w:rPr>
          <w:lang w:val="en-GB"/>
        </w:rPr>
        <w:t xml:space="preserve">Further, firms which outsource R&amp;D or acquire innovation will be misclassified as myopic firms due to low investment in in-house R&amp;D projects. </w:t>
      </w:r>
      <w:r w:rsidR="00CA299A" w:rsidRPr="007048BA">
        <w:rPr>
          <w:rFonts w:cs="Times New Roman"/>
          <w:lang w:val="en-GB"/>
        </w:rPr>
        <w:t xml:space="preserve">A few studies have used firms’ ability to meet analysts’ earnings forecasts, a decline in capital expenditure, as well as discretionary accruals due to earnings management as evidence of firm myopic </w:t>
      </w:r>
      <w:r w:rsidR="00B92219" w:rsidRPr="007048BA">
        <w:rPr>
          <w:rFonts w:cs="Times New Roman"/>
          <w:lang w:val="en-GB"/>
        </w:rPr>
        <w:t>behaviour</w:t>
      </w:r>
      <w:r w:rsidR="00CA299A" w:rsidRPr="007048BA">
        <w:rPr>
          <w:rFonts w:cs="Times New Roman"/>
          <w:lang w:val="en-GB"/>
        </w:rPr>
        <w:t xml:space="preserve"> (Wahal and McConnell, 2000; Boubaker et al. 2017). The problems with such measures are evident. For example, earnings forecasts rely on analysts following which is biased towards large firms, and capital expenditure will naturally vary with firm lifecycle and industry. Our measures yield consistent results with some of these other measures. For example, firms </w:t>
      </w:r>
      <w:r w:rsidR="00247DEA" w:rsidRPr="007048BA">
        <w:rPr>
          <w:rFonts w:cs="Times New Roman"/>
          <w:lang w:val="en-GB"/>
        </w:rPr>
        <w:t xml:space="preserve">we </w:t>
      </w:r>
      <w:r w:rsidR="00196104" w:rsidRPr="007048BA">
        <w:rPr>
          <w:rFonts w:cs="Times New Roman"/>
          <w:lang w:val="en-GB"/>
        </w:rPr>
        <w:t>classify</w:t>
      </w:r>
      <w:r w:rsidR="00CA299A" w:rsidRPr="007048BA">
        <w:rPr>
          <w:rFonts w:cs="Times New Roman"/>
          <w:lang w:val="en-GB"/>
        </w:rPr>
        <w:t xml:space="preserve"> as </w:t>
      </w:r>
      <w:r w:rsidR="00CA299A" w:rsidRPr="007048BA">
        <w:rPr>
          <w:rFonts w:cs="Times New Roman"/>
          <w:i/>
          <w:lang w:val="en-GB"/>
        </w:rPr>
        <w:t>myopic</w:t>
      </w:r>
      <w:r w:rsidR="00CA299A" w:rsidRPr="007048BA">
        <w:rPr>
          <w:rFonts w:cs="Times New Roman"/>
          <w:lang w:val="en-GB"/>
        </w:rPr>
        <w:t xml:space="preserve"> </w:t>
      </w:r>
      <w:r w:rsidR="00247DEA" w:rsidRPr="007048BA">
        <w:rPr>
          <w:rFonts w:cs="Times New Roman"/>
          <w:lang w:val="en-GB"/>
        </w:rPr>
        <w:t>in one period, report</w:t>
      </w:r>
      <w:r w:rsidR="00CA299A" w:rsidRPr="007048BA">
        <w:rPr>
          <w:rFonts w:cs="Times New Roman"/>
          <w:lang w:val="en-GB"/>
        </w:rPr>
        <w:t xml:space="preserve"> significantly lower levels of R&amp;D investment </w:t>
      </w:r>
      <w:r w:rsidR="00247DEA" w:rsidRPr="007048BA">
        <w:rPr>
          <w:rFonts w:cs="Times New Roman"/>
          <w:lang w:val="en-GB"/>
        </w:rPr>
        <w:t xml:space="preserve">in the next period, </w:t>
      </w:r>
      <w:r w:rsidR="00196104" w:rsidRPr="007048BA">
        <w:rPr>
          <w:rFonts w:cs="Times New Roman"/>
          <w:lang w:val="en-GB"/>
        </w:rPr>
        <w:t>when compared</w:t>
      </w:r>
      <w:r w:rsidR="00CA299A" w:rsidRPr="007048BA">
        <w:rPr>
          <w:rFonts w:cs="Times New Roman"/>
          <w:lang w:val="en-GB"/>
        </w:rPr>
        <w:t xml:space="preserve"> to their </w:t>
      </w:r>
      <w:r w:rsidR="00CA299A" w:rsidRPr="007048BA">
        <w:rPr>
          <w:rFonts w:cs="Times New Roman"/>
          <w:i/>
          <w:lang w:val="en-GB"/>
        </w:rPr>
        <w:t>hyperopic</w:t>
      </w:r>
      <w:r w:rsidR="00CA299A" w:rsidRPr="007048BA">
        <w:rPr>
          <w:rFonts w:cs="Times New Roman"/>
          <w:lang w:val="en-GB"/>
        </w:rPr>
        <w:t xml:space="preserve"> counterparts. Additionally, our </w:t>
      </w:r>
      <w:r w:rsidR="00CA299A" w:rsidRPr="007048BA">
        <w:rPr>
          <w:rFonts w:cs="Times New Roman"/>
          <w:i/>
          <w:lang w:val="en-GB"/>
        </w:rPr>
        <w:t>myopic</w:t>
      </w:r>
      <w:r w:rsidR="00CA299A" w:rsidRPr="007048BA">
        <w:rPr>
          <w:rFonts w:cs="Times New Roman"/>
          <w:lang w:val="en-GB"/>
        </w:rPr>
        <w:t xml:space="preserve"> firms, unlike their </w:t>
      </w:r>
      <w:r w:rsidR="00CA299A" w:rsidRPr="007048BA">
        <w:rPr>
          <w:rFonts w:cs="Times New Roman"/>
          <w:i/>
          <w:lang w:val="en-GB"/>
        </w:rPr>
        <w:t>hyperopic</w:t>
      </w:r>
      <w:r w:rsidR="00CA299A" w:rsidRPr="007048BA">
        <w:rPr>
          <w:rFonts w:cs="Times New Roman"/>
          <w:lang w:val="en-GB"/>
        </w:rPr>
        <w:t xml:space="preserve"> counterparts, are more likely to engage in accrual-based earnings management.</w:t>
      </w:r>
      <w:r w:rsidR="00CA299A" w:rsidRPr="007048BA">
        <w:rPr>
          <w:lang w:val="en-GB"/>
        </w:rPr>
        <w:t xml:space="preserve"> </w:t>
      </w:r>
      <w:r w:rsidR="00FA5007" w:rsidRPr="007048BA">
        <w:rPr>
          <w:lang w:val="en-GB"/>
        </w:rPr>
        <w:t>Importantly, b</w:t>
      </w:r>
      <w:r w:rsidR="00CA299A" w:rsidRPr="007048BA">
        <w:rPr>
          <w:rFonts w:cs="Times New Roman"/>
          <w:lang w:val="en-GB"/>
        </w:rPr>
        <w:t>eing less data intensive than alternative measures, our simple framework can more easily be applied to a wider set of firm</w:t>
      </w:r>
      <w:r w:rsidR="00FA5007" w:rsidRPr="007048BA">
        <w:rPr>
          <w:rFonts w:cs="Times New Roman"/>
          <w:lang w:val="en-GB"/>
        </w:rPr>
        <w:t>s</w:t>
      </w:r>
      <w:r w:rsidR="00CA299A" w:rsidRPr="007048BA">
        <w:rPr>
          <w:rFonts w:cs="Times New Roman"/>
          <w:lang w:val="en-GB"/>
        </w:rPr>
        <w:t>.</w:t>
      </w:r>
    </w:p>
    <w:p w14:paraId="05CF7D23" w14:textId="3F7A2F5E" w:rsidR="006E492E" w:rsidRPr="007048BA" w:rsidRDefault="00CA299A" w:rsidP="00CA299A">
      <w:pPr>
        <w:ind w:firstLine="720"/>
        <w:rPr>
          <w:rFonts w:cs="Times New Roman"/>
          <w:lang w:val="en-GB"/>
        </w:rPr>
      </w:pPr>
      <w:r w:rsidRPr="007048BA">
        <w:rPr>
          <w:rFonts w:cs="Times New Roman"/>
          <w:lang w:val="en-GB"/>
        </w:rPr>
        <w:t>Second</w:t>
      </w:r>
      <w:r w:rsidR="000168DF" w:rsidRPr="007048BA">
        <w:rPr>
          <w:rFonts w:cs="Times New Roman"/>
          <w:lang w:val="en-GB"/>
        </w:rPr>
        <w:t>ly</w:t>
      </w:r>
      <w:r w:rsidRPr="007048BA">
        <w:rPr>
          <w:rFonts w:cs="Times New Roman"/>
          <w:lang w:val="en-GB"/>
        </w:rPr>
        <w:t>, we contribute to the merger and acquisition</w:t>
      </w:r>
      <w:r w:rsidR="000168DF" w:rsidRPr="007048BA">
        <w:rPr>
          <w:rFonts w:cs="Times New Roman"/>
          <w:lang w:val="en-GB"/>
        </w:rPr>
        <w:t xml:space="preserve"> (M&amp;A)</w:t>
      </w:r>
      <w:r w:rsidRPr="007048BA">
        <w:rPr>
          <w:rFonts w:cs="Times New Roman"/>
          <w:lang w:val="en-GB"/>
        </w:rPr>
        <w:t xml:space="preserve"> literature, </w:t>
      </w:r>
      <w:r w:rsidR="006F796E" w:rsidRPr="007048BA">
        <w:rPr>
          <w:rFonts w:cs="Times New Roman"/>
          <w:lang w:val="en-GB"/>
        </w:rPr>
        <w:t>by explaining the inconsistent findings in prior studies</w:t>
      </w:r>
      <w:r w:rsidRPr="007048BA">
        <w:rPr>
          <w:rFonts w:cs="Times New Roman"/>
          <w:lang w:val="en-GB"/>
        </w:rPr>
        <w:t xml:space="preserve"> on the disciplinary role of takeovers</w:t>
      </w:r>
      <w:r w:rsidR="006F796E" w:rsidRPr="007048BA">
        <w:rPr>
          <w:rFonts w:cs="Times New Roman"/>
          <w:lang w:val="en-GB"/>
        </w:rPr>
        <w:t>—the management inefficiency hypothesis.</w:t>
      </w:r>
      <w:r w:rsidRPr="007048BA">
        <w:rPr>
          <w:rFonts w:cs="Times New Roman"/>
          <w:lang w:val="en-GB"/>
        </w:rPr>
        <w:t xml:space="preserve"> </w:t>
      </w:r>
      <w:r w:rsidR="00E1412B" w:rsidRPr="007048BA">
        <w:rPr>
          <w:rFonts w:cs="Times New Roman"/>
          <w:lang w:val="en-GB"/>
        </w:rPr>
        <w:t>This hypothes</w:t>
      </w:r>
      <w:r w:rsidR="006F796E" w:rsidRPr="007048BA">
        <w:rPr>
          <w:rFonts w:cs="Times New Roman"/>
          <w:lang w:val="en-GB"/>
        </w:rPr>
        <w:t>i</w:t>
      </w:r>
      <w:r w:rsidR="00E1412B" w:rsidRPr="007048BA">
        <w:rPr>
          <w:rFonts w:cs="Times New Roman"/>
          <w:lang w:val="en-GB"/>
        </w:rPr>
        <w:t>s has been explored</w:t>
      </w:r>
      <w:r w:rsidR="006F416F" w:rsidRPr="007048BA">
        <w:rPr>
          <w:rFonts w:cs="Times New Roman"/>
          <w:lang w:val="en-GB"/>
        </w:rPr>
        <w:t xml:space="preserve"> </w:t>
      </w:r>
      <w:r w:rsidR="00E1412B" w:rsidRPr="007048BA">
        <w:rPr>
          <w:rFonts w:cs="Times New Roman"/>
          <w:lang w:val="en-GB"/>
        </w:rPr>
        <w:t xml:space="preserve">in </w:t>
      </w:r>
      <w:r w:rsidR="006F796E" w:rsidRPr="007048BA">
        <w:rPr>
          <w:rFonts w:cs="Times New Roman"/>
          <w:lang w:val="en-GB"/>
        </w:rPr>
        <w:t xml:space="preserve">several </w:t>
      </w:r>
      <w:r w:rsidR="00BD751B" w:rsidRPr="007048BA">
        <w:rPr>
          <w:rFonts w:cs="Times New Roman"/>
          <w:lang w:val="en-GB"/>
        </w:rPr>
        <w:t xml:space="preserve">prior studies, with </w:t>
      </w:r>
      <w:r w:rsidR="006F416F" w:rsidRPr="007048BA">
        <w:rPr>
          <w:rFonts w:cs="Times New Roman"/>
          <w:lang w:val="en-GB"/>
        </w:rPr>
        <w:t>inconclusive</w:t>
      </w:r>
      <w:r w:rsidR="00BD751B" w:rsidRPr="007048BA">
        <w:rPr>
          <w:rFonts w:cs="Times New Roman"/>
          <w:lang w:val="en-GB"/>
        </w:rPr>
        <w:t xml:space="preserve"> findings</w:t>
      </w:r>
      <w:r w:rsidR="00E1412B" w:rsidRPr="007048BA">
        <w:rPr>
          <w:rFonts w:cs="Times New Roman"/>
          <w:lang w:val="en-GB"/>
        </w:rPr>
        <w:t>.</w:t>
      </w:r>
      <w:r w:rsidR="006F416F" w:rsidRPr="007048BA">
        <w:rPr>
          <w:rFonts w:cs="Times New Roman"/>
          <w:lang w:val="en-GB"/>
        </w:rPr>
        <w:t xml:space="preserve"> </w:t>
      </w:r>
      <w:r w:rsidR="00BD751B" w:rsidRPr="007048BA">
        <w:rPr>
          <w:rFonts w:cs="Times New Roman"/>
          <w:lang w:val="en-GB"/>
        </w:rPr>
        <w:t xml:space="preserve">For instance, </w:t>
      </w:r>
      <w:r w:rsidR="006F416F" w:rsidRPr="007048BA">
        <w:rPr>
          <w:rFonts w:cs="Times New Roman"/>
          <w:lang w:val="en-GB"/>
        </w:rPr>
        <w:t xml:space="preserve">Palepu (1986) and Danbolt et al. (2016) find that takeover likelihood decreases with a firm’s stock market returns, but increases with a firm’s </w:t>
      </w:r>
      <w:r w:rsidR="000168DF" w:rsidRPr="007048BA">
        <w:rPr>
          <w:rFonts w:cs="Times New Roman"/>
          <w:lang w:val="en-GB"/>
        </w:rPr>
        <w:t>accounting return.</w:t>
      </w:r>
      <w:r w:rsidR="006F416F" w:rsidRPr="007048BA">
        <w:rPr>
          <w:rFonts w:cs="Times New Roman"/>
          <w:lang w:val="en-GB"/>
        </w:rPr>
        <w:t xml:space="preserve"> Brar et al. (2009) show that takeover likelihood increases with accounting </w:t>
      </w:r>
      <w:r w:rsidR="006F796E" w:rsidRPr="007048BA">
        <w:rPr>
          <w:rFonts w:cs="Times New Roman"/>
          <w:lang w:val="en-GB"/>
        </w:rPr>
        <w:t>return</w:t>
      </w:r>
      <w:r w:rsidR="000168DF" w:rsidRPr="007048BA">
        <w:rPr>
          <w:rFonts w:cs="Times New Roman"/>
          <w:lang w:val="en-GB"/>
        </w:rPr>
        <w:t>.</w:t>
      </w:r>
      <w:r w:rsidR="00BD751B" w:rsidRPr="007048BA">
        <w:t xml:space="preserve"> Espahbodi and Espahbodi (2003) find that takeover likelihood has a negative, but insignificant, relation with abnormal returns and a positive, but insignificant, relation with ROE. Together, these studies suggest that, consistent with the hypothesis, takeover likelihood declines with stock market performance, but inconsistent with the hypothesis, takeover likelihood also increases with accounting performance. W</w:t>
      </w:r>
      <w:r w:rsidR="00BD751B" w:rsidRPr="007048BA">
        <w:rPr>
          <w:rFonts w:cs="Times New Roman"/>
          <w:lang w:val="en-GB"/>
        </w:rPr>
        <w:t xml:space="preserve">e further discuss these inconsistencies in more detail in section 2.1. </w:t>
      </w:r>
      <w:r w:rsidR="006F416F" w:rsidRPr="007048BA">
        <w:rPr>
          <w:rFonts w:cs="Times New Roman"/>
          <w:lang w:val="en-GB"/>
        </w:rPr>
        <w:t xml:space="preserve">Our framework which proposes performance as a multidimensional construct enables </w:t>
      </w:r>
      <w:r w:rsidR="00BD751B" w:rsidRPr="007048BA">
        <w:rPr>
          <w:rFonts w:cs="Times New Roman"/>
          <w:lang w:val="en-GB"/>
        </w:rPr>
        <w:t xml:space="preserve">us to </w:t>
      </w:r>
      <w:r w:rsidR="004C2C4F" w:rsidRPr="007048BA">
        <w:rPr>
          <w:rFonts w:cs="Times New Roman"/>
          <w:lang w:val="en-GB"/>
        </w:rPr>
        <w:t>shed</w:t>
      </w:r>
      <w:r w:rsidR="00BD751B" w:rsidRPr="007048BA">
        <w:rPr>
          <w:rFonts w:cs="Times New Roman"/>
          <w:lang w:val="en-GB"/>
        </w:rPr>
        <w:t xml:space="preserve"> light on this </w:t>
      </w:r>
      <w:r w:rsidR="004C1828" w:rsidRPr="007048BA">
        <w:rPr>
          <w:rFonts w:cs="Times New Roman"/>
          <w:lang w:val="en-GB"/>
        </w:rPr>
        <w:t>conundrum</w:t>
      </w:r>
      <w:r w:rsidR="00BD751B" w:rsidRPr="007048BA">
        <w:rPr>
          <w:rFonts w:cs="Times New Roman"/>
          <w:lang w:val="en-GB"/>
        </w:rPr>
        <w:t>.</w:t>
      </w:r>
      <w:r w:rsidR="006F796E" w:rsidRPr="007048BA">
        <w:rPr>
          <w:rFonts w:cs="Times New Roman"/>
          <w:lang w:val="en-GB"/>
        </w:rPr>
        <w:t xml:space="preserve"> </w:t>
      </w:r>
      <w:r w:rsidR="004C1828" w:rsidRPr="007048BA">
        <w:rPr>
          <w:rFonts w:cs="Times New Roman"/>
          <w:lang w:val="en-GB"/>
        </w:rPr>
        <w:t>By using our framework, we show</w:t>
      </w:r>
      <w:r w:rsidR="006F796E" w:rsidRPr="007048BA">
        <w:rPr>
          <w:rFonts w:cs="Times New Roman"/>
          <w:lang w:val="en-GB"/>
        </w:rPr>
        <w:t xml:space="preserve"> that takeover likelihood increases with </w:t>
      </w:r>
      <w:r w:rsidR="006F796E" w:rsidRPr="007048BA">
        <w:rPr>
          <w:rFonts w:cs="Times New Roman"/>
          <w:i/>
          <w:lang w:val="en-GB"/>
        </w:rPr>
        <w:t>poor</w:t>
      </w:r>
      <w:r w:rsidR="006F796E" w:rsidRPr="007048BA">
        <w:rPr>
          <w:rFonts w:cs="Times New Roman"/>
          <w:lang w:val="en-GB"/>
        </w:rPr>
        <w:t xml:space="preserve"> management and management </w:t>
      </w:r>
      <w:r w:rsidR="006F796E" w:rsidRPr="007048BA">
        <w:rPr>
          <w:rFonts w:cs="Times New Roman"/>
          <w:i/>
          <w:lang w:val="en-GB"/>
        </w:rPr>
        <w:t>myopia</w:t>
      </w:r>
      <w:r w:rsidR="006F796E" w:rsidRPr="007048BA">
        <w:rPr>
          <w:rFonts w:cs="Times New Roman"/>
          <w:lang w:val="en-GB"/>
        </w:rPr>
        <w:t xml:space="preserve">, but generally declines with management </w:t>
      </w:r>
      <w:r w:rsidR="006F796E" w:rsidRPr="007048BA">
        <w:rPr>
          <w:rFonts w:cs="Times New Roman"/>
          <w:i/>
          <w:lang w:val="en-GB"/>
        </w:rPr>
        <w:t>hyperopia</w:t>
      </w:r>
      <w:r w:rsidR="006F796E" w:rsidRPr="007048BA">
        <w:rPr>
          <w:rFonts w:cs="Times New Roman"/>
          <w:lang w:val="en-GB"/>
        </w:rPr>
        <w:t xml:space="preserve">. </w:t>
      </w:r>
      <w:r w:rsidR="00D41B29" w:rsidRPr="007048BA">
        <w:rPr>
          <w:rFonts w:cs="Times New Roman"/>
          <w:lang w:val="en-GB"/>
        </w:rPr>
        <w:t>We find</w:t>
      </w:r>
      <w:r w:rsidRPr="007048BA">
        <w:rPr>
          <w:rFonts w:cs="Times New Roman"/>
          <w:lang w:val="en-GB"/>
        </w:rPr>
        <w:t xml:space="preserve"> that </w:t>
      </w:r>
      <w:r w:rsidRPr="007048BA">
        <w:rPr>
          <w:rFonts w:cs="Times New Roman"/>
          <w:i/>
          <w:lang w:val="en-GB"/>
        </w:rPr>
        <w:t>efficient</w:t>
      </w:r>
      <w:r w:rsidRPr="007048BA">
        <w:rPr>
          <w:rFonts w:cs="Times New Roman"/>
          <w:lang w:val="en-GB"/>
        </w:rPr>
        <w:t xml:space="preserve"> managers are least prone to takeovers. The results suggest that managers who perform poorly both in the accounting and market sense, as well as managers who focus on generating short-term profits for investors at the expense of long-term shareholder value, are more likely to be disciplined through takeovers. In contrast, managers who focus on creating long-term value, even at the expense of current profitability, are less likely to be disciplined through takeovers. This provides new evidence on the management inefficiency </w:t>
      </w:r>
      <w:r w:rsidR="004B1D3B" w:rsidRPr="007048BA">
        <w:rPr>
          <w:rFonts w:cs="Times New Roman"/>
          <w:lang w:val="en-GB"/>
        </w:rPr>
        <w:lastRenderedPageBreak/>
        <w:t>hypothesis and explains</w:t>
      </w:r>
      <w:r w:rsidRPr="007048BA">
        <w:rPr>
          <w:rFonts w:cs="Times New Roman"/>
          <w:lang w:val="en-GB"/>
        </w:rPr>
        <w:t xml:space="preserve"> the apparent inconsistencies in prior research.</w:t>
      </w:r>
      <w:r w:rsidR="00FA5007" w:rsidRPr="007048BA">
        <w:rPr>
          <w:rFonts w:cs="Times New Roman"/>
          <w:lang w:val="en-GB"/>
        </w:rPr>
        <w:t xml:space="preserve"> It also provides new insights on the consequences of earnings management by highlighting the role of the MCC in discouraging management </w:t>
      </w:r>
      <w:r w:rsidR="00FA5007" w:rsidRPr="007048BA">
        <w:rPr>
          <w:rFonts w:cs="Times New Roman"/>
          <w:i/>
          <w:lang w:val="en-GB"/>
        </w:rPr>
        <w:t>myopia</w:t>
      </w:r>
      <w:r w:rsidR="00FA5007" w:rsidRPr="007048BA">
        <w:rPr>
          <w:rFonts w:cs="Times New Roman"/>
          <w:lang w:val="en-GB"/>
        </w:rPr>
        <w:t>.</w:t>
      </w:r>
    </w:p>
    <w:p w14:paraId="761D7182" w14:textId="37885FC9" w:rsidR="00CA299A" w:rsidRPr="007048BA" w:rsidRDefault="00CA299A" w:rsidP="00CA299A">
      <w:pPr>
        <w:ind w:firstLine="720"/>
        <w:rPr>
          <w:rFonts w:cs="Times New Roman"/>
          <w:lang w:val="en-GB"/>
        </w:rPr>
      </w:pPr>
      <w:r w:rsidRPr="007048BA">
        <w:rPr>
          <w:rFonts w:cs="Times New Roman"/>
          <w:lang w:val="en-GB"/>
        </w:rPr>
        <w:t xml:space="preserve">The rest of the paper is structured as follows. We develop our multidimensional framework and discuss our hypotheses in Section 2. We discuss our empirical methods, data and sample in </w:t>
      </w:r>
      <w:r w:rsidR="00FA5007" w:rsidRPr="007048BA">
        <w:rPr>
          <w:rFonts w:cs="Times New Roman"/>
          <w:lang w:val="en-GB"/>
        </w:rPr>
        <w:t>Section</w:t>
      </w:r>
      <w:r w:rsidRPr="007048BA">
        <w:rPr>
          <w:rFonts w:cs="Times New Roman"/>
          <w:lang w:val="en-GB"/>
        </w:rPr>
        <w:t xml:space="preserve"> 3 and discuss our empirical results in Section 4. Our concluding remarks are presented in Section 5.</w:t>
      </w:r>
    </w:p>
    <w:p w14:paraId="629873E6" w14:textId="77777777" w:rsidR="00CA299A" w:rsidRPr="007048BA" w:rsidRDefault="00CA299A" w:rsidP="00CA299A">
      <w:pPr>
        <w:pStyle w:val="Heading1"/>
        <w:keepNext w:val="0"/>
        <w:keepLines w:val="0"/>
        <w:numPr>
          <w:ilvl w:val="0"/>
          <w:numId w:val="7"/>
        </w:numPr>
        <w:autoSpaceDE w:val="0"/>
        <w:autoSpaceDN w:val="0"/>
        <w:adjustRightInd w:val="0"/>
        <w:spacing w:after="200" w:line="240" w:lineRule="auto"/>
        <w:ind w:left="544" w:hanging="544"/>
        <w:contextualSpacing/>
        <w:rPr>
          <w:lang w:val="en-GB"/>
        </w:rPr>
      </w:pPr>
      <w:r w:rsidRPr="007048BA">
        <w:rPr>
          <w:lang w:val="en-GB"/>
        </w:rPr>
        <w:t>Review of literature and hypotheses development</w:t>
      </w:r>
    </w:p>
    <w:p w14:paraId="0DA31925" w14:textId="77777777" w:rsidR="00CA299A" w:rsidRPr="007048BA" w:rsidRDefault="00CA299A" w:rsidP="00CA299A">
      <w:pPr>
        <w:pStyle w:val="Heading2"/>
        <w:keepNext w:val="0"/>
        <w:keepLines w:val="0"/>
        <w:numPr>
          <w:ilvl w:val="1"/>
          <w:numId w:val="7"/>
        </w:numPr>
        <w:autoSpaceDE w:val="0"/>
        <w:autoSpaceDN w:val="0"/>
        <w:adjustRightInd w:val="0"/>
        <w:spacing w:before="240" w:after="120" w:line="240" w:lineRule="auto"/>
        <w:ind w:left="805" w:hanging="805"/>
        <w:contextualSpacing/>
        <w:rPr>
          <w:lang w:val="en-GB"/>
        </w:rPr>
      </w:pPr>
      <w:r w:rsidRPr="007048BA">
        <w:rPr>
          <w:lang w:val="en-GB"/>
        </w:rPr>
        <w:t>Theory and evidence on the disciplinary role of takeovers</w:t>
      </w:r>
    </w:p>
    <w:p w14:paraId="6F006814" w14:textId="33383826" w:rsidR="00CA299A" w:rsidRPr="007048BA" w:rsidRDefault="00CA299A" w:rsidP="00CA299A">
      <w:pPr>
        <w:ind w:firstLine="720"/>
        <w:rPr>
          <w:rFonts w:cs="Times New Roman"/>
          <w:lang w:val="en-GB"/>
        </w:rPr>
      </w:pPr>
      <w:r w:rsidRPr="007048BA">
        <w:rPr>
          <w:rFonts w:cs="Times New Roman"/>
          <w:lang w:val="en-GB"/>
        </w:rPr>
        <w:t>The MCC theory suggests that, in an active takeover market, various management teams compete for the rights to manage a firm’s resources in a manner that maximises shareholder value (Manne, 1965; Jensen and Ruback, 1983). Consistent with this theory, the inefficient management hypothesis of takeovers suggests that managers, who deviate from the best interest of their shareholders</w:t>
      </w:r>
      <w:r w:rsidR="0080726C" w:rsidRPr="007048BA">
        <w:rPr>
          <w:rFonts w:cs="Times New Roman"/>
          <w:lang w:val="en-GB"/>
        </w:rPr>
        <w:t>,</w:t>
      </w:r>
      <w:r w:rsidRPr="007048BA">
        <w:rPr>
          <w:rFonts w:cs="Times New Roman"/>
          <w:lang w:val="en-GB"/>
        </w:rPr>
        <w:t xml:space="preserve"> are replaced by more efficient management teams (Manne, 1965; Jensen and Ruback, 1983; Palepu, 1986). Empirical evidence on the inefficient management hypothesis and the existence of the MCC, is generally mixed and inconclusive. Prior studies either find no support for or evidence against the inefficient management hypothesis (Franks and Mayer, 1996; Berger and Ofek, 1996; Agrawal and Jaffe, 2003).</w:t>
      </w:r>
      <w:r w:rsidRPr="007048BA">
        <w:rPr>
          <w:rStyle w:val="FootnoteReference"/>
          <w:rFonts w:cs="Times New Roman"/>
          <w:lang w:val="en-GB"/>
        </w:rPr>
        <w:footnoteReference w:id="1"/>
      </w:r>
      <w:r w:rsidRPr="007048BA">
        <w:rPr>
          <w:rFonts w:cs="Times New Roman"/>
          <w:lang w:val="en-GB"/>
        </w:rPr>
        <w:t xml:space="preserve"> Notwithstanding, some contradictory empirical evidence supports the existence of a thriving MCC (Asquith, 1983; Lang et al., 1989). </w:t>
      </w:r>
    </w:p>
    <w:p w14:paraId="7DA5BF99" w14:textId="4AC746F1" w:rsidR="00CA299A" w:rsidRPr="007048BA" w:rsidRDefault="00CA299A" w:rsidP="00CA299A">
      <w:pPr>
        <w:ind w:firstLine="720"/>
        <w:rPr>
          <w:rFonts w:cs="Times New Roman"/>
          <w:lang w:val="en-GB"/>
        </w:rPr>
      </w:pPr>
      <w:r w:rsidRPr="007048BA">
        <w:rPr>
          <w:rFonts w:cs="Times New Roman"/>
          <w:lang w:val="en-GB"/>
        </w:rPr>
        <w:t>More recently, the management inefficiency hypothesis has been directly tested in the takeover prediction literature. The evidence from this literature is also inconclusive. In support of the management inefficiency hypothesis, some studies find that targets have lower accounting performance (Barnes, 1999; Cremers et al., 2009) and lower stock market performance (Powell and Yawson, 2007; Danbolt et al., 2016) when compared to non-targets. Others find no significant difference between targets and non-targets in terms of accounting profitability and stock market performance (e.g., Ambrose and Megginson, 1992; Espahbodi and Espahbodi, 2003). Yet, some studies report mixed results from the same sample</w:t>
      </w:r>
      <w:r w:rsidR="0022142B" w:rsidRPr="007048BA">
        <w:rPr>
          <w:rFonts w:cs="Times New Roman"/>
          <w:lang w:val="en-GB"/>
        </w:rPr>
        <w:t xml:space="preserve"> (Palepu, 1986; Brar et al., 2009; Danbolt et al., 2016)</w:t>
      </w:r>
      <w:r w:rsidRPr="007048BA">
        <w:rPr>
          <w:rFonts w:cs="Times New Roman"/>
          <w:lang w:val="en-GB"/>
        </w:rPr>
        <w:t>.</w:t>
      </w:r>
      <w:r w:rsidR="00C64B60" w:rsidRPr="007048BA">
        <w:rPr>
          <w:rStyle w:val="FootnoteReference"/>
          <w:rFonts w:cs="Times New Roman"/>
          <w:lang w:val="en-GB"/>
        </w:rPr>
        <w:footnoteReference w:id="2"/>
      </w:r>
      <w:r w:rsidRPr="007048BA">
        <w:rPr>
          <w:rFonts w:cs="Times New Roman"/>
          <w:lang w:val="en-GB"/>
        </w:rPr>
        <w:t xml:space="preserve"> </w:t>
      </w:r>
      <w:r w:rsidR="00CB4813" w:rsidRPr="007048BA">
        <w:rPr>
          <w:rFonts w:cs="Times New Roman"/>
          <w:lang w:val="en-GB"/>
        </w:rPr>
        <w:t xml:space="preserve"> In a nutshell therefore,</w:t>
      </w:r>
      <w:r w:rsidRPr="007048BA">
        <w:rPr>
          <w:rFonts w:cs="Times New Roman"/>
          <w:lang w:val="en-GB"/>
        </w:rPr>
        <w:t xml:space="preserve"> there is as yet no consensus on this </w:t>
      </w:r>
      <w:r w:rsidRPr="007048BA">
        <w:rPr>
          <w:rFonts w:cs="Times New Roman"/>
          <w:lang w:val="en-GB"/>
        </w:rPr>
        <w:lastRenderedPageBreak/>
        <w:t>age-old conundrum; are takeovers initiated to discipline inefficient management? We examine this question, by proposing a recalibration of the scales for measuring management performance in this context.</w:t>
      </w:r>
    </w:p>
    <w:p w14:paraId="5AB445FE" w14:textId="77777777" w:rsidR="00CA299A" w:rsidRPr="007048BA" w:rsidRDefault="00CA299A" w:rsidP="00CA299A">
      <w:pPr>
        <w:pStyle w:val="Heading2"/>
        <w:keepNext w:val="0"/>
        <w:keepLines w:val="0"/>
        <w:numPr>
          <w:ilvl w:val="1"/>
          <w:numId w:val="7"/>
        </w:numPr>
        <w:autoSpaceDE w:val="0"/>
        <w:autoSpaceDN w:val="0"/>
        <w:adjustRightInd w:val="0"/>
        <w:spacing w:before="240" w:after="120" w:line="240" w:lineRule="auto"/>
        <w:ind w:left="805" w:hanging="805"/>
        <w:contextualSpacing/>
        <w:rPr>
          <w:lang w:val="en-GB"/>
        </w:rPr>
      </w:pPr>
      <w:r w:rsidRPr="007048BA">
        <w:rPr>
          <w:lang w:val="en-GB"/>
        </w:rPr>
        <w:t>Measuring and calibrating management performance</w:t>
      </w:r>
    </w:p>
    <w:p w14:paraId="50EE1363" w14:textId="4DB82071" w:rsidR="00CA299A" w:rsidRPr="007048BA" w:rsidRDefault="00CA299A" w:rsidP="00CA299A">
      <w:pPr>
        <w:ind w:firstLine="720"/>
        <w:rPr>
          <w:rFonts w:cs="Times New Roman"/>
          <w:lang w:val="en-GB"/>
        </w:rPr>
      </w:pPr>
      <w:r w:rsidRPr="007048BA">
        <w:rPr>
          <w:rFonts w:cs="Times New Roman"/>
          <w:lang w:val="en-GB"/>
        </w:rPr>
        <w:t xml:space="preserve">Management or firm performance is, perhaps, one of the most studied concepts in business research, with several studies investigating antecedents or determinants of performance. Yet, there is no consensus on how performance should be measured (Miller et al., 2013). The extant accounting, finance and business literature use accounting measures, such </w:t>
      </w:r>
      <w:r w:rsidR="007D0F62" w:rsidRPr="007048BA">
        <w:rPr>
          <w:rFonts w:cs="Times New Roman"/>
          <w:lang w:val="en-GB"/>
        </w:rPr>
        <w:t xml:space="preserve">ROA, ROCE and </w:t>
      </w:r>
      <w:r w:rsidRPr="007048BA">
        <w:rPr>
          <w:rFonts w:cs="Times New Roman"/>
          <w:lang w:val="en-GB"/>
        </w:rPr>
        <w:t xml:space="preserve">ROE, as well as market measures, such as </w:t>
      </w:r>
      <w:r w:rsidR="007D0F62" w:rsidRPr="007048BA">
        <w:rPr>
          <w:rFonts w:cs="Times New Roman"/>
          <w:lang w:val="en-GB"/>
        </w:rPr>
        <w:t>AAR</w:t>
      </w:r>
      <w:r w:rsidR="00B64EC8" w:rsidRPr="007048BA">
        <w:rPr>
          <w:rFonts w:cs="Times New Roman"/>
          <w:lang w:val="en-GB"/>
        </w:rPr>
        <w:t>,</w:t>
      </w:r>
      <w:r w:rsidRPr="007048BA">
        <w:rPr>
          <w:rFonts w:cs="Times New Roman"/>
          <w:lang w:val="en-GB"/>
        </w:rPr>
        <w:t xml:space="preserve"> to proxy for performance. Some studies use hybrid measures, such as Tobin’s Q, </w:t>
      </w:r>
      <w:r w:rsidR="007D0F62" w:rsidRPr="007048BA">
        <w:rPr>
          <w:rFonts w:cs="Times New Roman"/>
          <w:lang w:val="en-GB"/>
        </w:rPr>
        <w:t>price to earnings ratio (PE)</w:t>
      </w:r>
      <w:r w:rsidR="00B64EC8" w:rsidRPr="007048BA">
        <w:rPr>
          <w:rFonts w:cs="Times New Roman"/>
          <w:lang w:val="en-GB"/>
        </w:rPr>
        <w:t>,</w:t>
      </w:r>
      <w:r w:rsidRPr="007048BA">
        <w:rPr>
          <w:rFonts w:cs="Times New Roman"/>
          <w:lang w:val="en-GB"/>
        </w:rPr>
        <w:t xml:space="preserve"> and market</w:t>
      </w:r>
      <w:r w:rsidR="007D0F62" w:rsidRPr="007048BA">
        <w:rPr>
          <w:rFonts w:cs="Times New Roman"/>
          <w:lang w:val="en-GB"/>
        </w:rPr>
        <w:t xml:space="preserve"> to book values (MTB)</w:t>
      </w:r>
      <w:r w:rsidR="00B64EC8" w:rsidRPr="007048BA">
        <w:rPr>
          <w:rFonts w:cs="Times New Roman"/>
          <w:lang w:val="en-GB"/>
        </w:rPr>
        <w:t>,</w:t>
      </w:r>
      <w:r w:rsidRPr="007048BA">
        <w:rPr>
          <w:rFonts w:cs="Times New Roman"/>
          <w:lang w:val="en-GB"/>
        </w:rPr>
        <w:t xml:space="preserve"> to proxy for performance, although such measures have been argued to proxy for market misvaluation rather than performance (Dybvig and Warachka, 2015). While it is generally accepted that these pure accounting and market measures reasonably capture the underlying concept of management performance, their use sometimes leads to researcher dilemma when empirical results are not consistent across market and accounting measures (Palepu, 1986; Espahbodi and Espahbodi, 2003; Brar et al., 2009). </w:t>
      </w:r>
    </w:p>
    <w:p w14:paraId="586AAF4E" w14:textId="7ED8DE40" w:rsidR="00CA299A" w:rsidRPr="007048BA" w:rsidRDefault="00CA299A" w:rsidP="00CA299A">
      <w:pPr>
        <w:ind w:firstLine="720"/>
        <w:rPr>
          <w:rFonts w:cs="Times New Roman"/>
          <w:lang w:val="en-GB"/>
        </w:rPr>
      </w:pPr>
      <w:r w:rsidRPr="007048BA">
        <w:rPr>
          <w:rFonts w:cs="Times New Roman"/>
          <w:lang w:val="en-GB"/>
        </w:rPr>
        <w:t>A review of the literature shows that most researchers, at least in their discussions, calibrate management performance along a two</w:t>
      </w:r>
      <w:r w:rsidR="00B64EC8" w:rsidRPr="007048BA">
        <w:rPr>
          <w:rFonts w:cs="Times New Roman"/>
          <w:lang w:val="en-GB"/>
        </w:rPr>
        <w:t>-</w:t>
      </w:r>
      <w:r w:rsidRPr="007048BA">
        <w:rPr>
          <w:rFonts w:cs="Times New Roman"/>
          <w:lang w:val="en-GB"/>
        </w:rPr>
        <w:t>dimensional scale with “good” and “poor” performance as extremes. This is particularly prevalent in the M&amp;A literature. Specifically, prior studies testing the management inefficiency hypothesis (e.g., Palepu, 1986; Barnes, 1999; Powell, 2001; Agarwal and Jaffe, 2003; Powell and Yawson, 2007; Cremers et al., 2009; Danbolt et al., 2016)</w:t>
      </w:r>
      <w:r w:rsidR="00B64EC8" w:rsidRPr="007048BA">
        <w:rPr>
          <w:rFonts w:cs="Times New Roman"/>
          <w:lang w:val="en-GB"/>
        </w:rPr>
        <w:t>,</w:t>
      </w:r>
      <w:r w:rsidRPr="007048BA">
        <w:rPr>
          <w:rFonts w:cs="Times New Roman"/>
          <w:lang w:val="en-GB"/>
        </w:rPr>
        <w:t xml:space="preserve"> implicitly assume that management performance can be classified along a scale of </w:t>
      </w:r>
      <w:r w:rsidR="00215DE7" w:rsidRPr="007048BA">
        <w:rPr>
          <w:rFonts w:cs="Times New Roman"/>
          <w:i/>
          <w:lang w:val="en-GB"/>
        </w:rPr>
        <w:t>efficient</w:t>
      </w:r>
      <w:r w:rsidRPr="007048BA">
        <w:rPr>
          <w:rFonts w:cs="Times New Roman"/>
          <w:lang w:val="en-GB"/>
        </w:rPr>
        <w:t xml:space="preserve"> (outperform) or </w:t>
      </w:r>
      <w:r w:rsidRPr="007048BA">
        <w:rPr>
          <w:rFonts w:cs="Times New Roman"/>
          <w:i/>
          <w:lang w:val="en-GB"/>
        </w:rPr>
        <w:t>poor</w:t>
      </w:r>
      <w:r w:rsidRPr="007048BA">
        <w:rPr>
          <w:rFonts w:cs="Times New Roman"/>
          <w:lang w:val="en-GB"/>
        </w:rPr>
        <w:t xml:space="preserve"> (underperform) relative to some benchmark (e.g., a sample of matched firms, the industry</w:t>
      </w:r>
      <w:r w:rsidR="00B64EC8" w:rsidRPr="007048BA">
        <w:rPr>
          <w:rFonts w:cs="Times New Roman"/>
          <w:lang w:val="en-GB"/>
        </w:rPr>
        <w:t>,</w:t>
      </w:r>
      <w:r w:rsidRPr="007048BA">
        <w:rPr>
          <w:rFonts w:cs="Times New Roman"/>
          <w:lang w:val="en-GB"/>
        </w:rPr>
        <w:t xml:space="preserve"> or the entire market). Further, these studies indiscriminately use different accounting and stock mar</w:t>
      </w:r>
      <w:r w:rsidR="00A71FB9" w:rsidRPr="007048BA">
        <w:rPr>
          <w:rFonts w:cs="Times New Roman"/>
          <w:lang w:val="en-GB"/>
        </w:rPr>
        <w:t xml:space="preserve">ket variables, such as ROA, ROE, </w:t>
      </w:r>
      <w:r w:rsidRPr="007048BA">
        <w:rPr>
          <w:rFonts w:cs="Times New Roman"/>
          <w:lang w:val="en-GB"/>
        </w:rPr>
        <w:t xml:space="preserve">ROCE, </w:t>
      </w:r>
      <w:r w:rsidR="00A71FB9" w:rsidRPr="007048BA">
        <w:rPr>
          <w:rFonts w:cs="Times New Roman"/>
          <w:lang w:val="en-GB"/>
        </w:rPr>
        <w:t>AAR</w:t>
      </w:r>
      <w:r w:rsidRPr="007048BA">
        <w:rPr>
          <w:rFonts w:cs="Times New Roman"/>
          <w:lang w:val="en-GB"/>
        </w:rPr>
        <w:t>, and Tobin’s Q, amongst others, as proxies of management quality or firm performance.</w:t>
      </w:r>
      <w:r w:rsidR="0010794B" w:rsidRPr="007048BA">
        <w:rPr>
          <w:rFonts w:cs="Times New Roman"/>
          <w:lang w:val="en-GB"/>
        </w:rPr>
        <w:t xml:space="preserve"> </w:t>
      </w:r>
      <w:r w:rsidRPr="007048BA">
        <w:rPr>
          <w:rFonts w:cs="Times New Roman"/>
          <w:lang w:val="en-GB"/>
        </w:rPr>
        <w:t>This narrow definition of management performance means that some studies report conflicting results when two measures of performance have opposite effects on takeover likelihood.</w:t>
      </w:r>
      <w:r w:rsidR="00817699" w:rsidRPr="007048BA">
        <w:t xml:space="preserve"> For example, Palepu (1986) finds that takeover likelihood has a positive, but insignificant, relation with return on equity (ROE), but a negative and significant relation with average excess stock market returns. Espahbodi and Espahbodi (2003) also </w:t>
      </w:r>
      <w:r w:rsidR="00817699" w:rsidRPr="007048BA">
        <w:lastRenderedPageBreak/>
        <w:t>find that takeover likelihood has a negative, but insignificant, relation with abnormal returns and a positive, but insignificant, relation with ROE. Danbolt et al. (2016) find that takeover likelihood is positively related to ROA (insignificant), but declines with average excess return.</w:t>
      </w:r>
    </w:p>
    <w:p w14:paraId="0FD42439" w14:textId="77777777" w:rsidR="00CA299A" w:rsidRPr="007048BA" w:rsidRDefault="00CA299A" w:rsidP="00CA299A">
      <w:pPr>
        <w:ind w:firstLine="720"/>
        <w:rPr>
          <w:rFonts w:cs="Times New Roman"/>
          <w:lang w:val="en-GB"/>
        </w:rPr>
      </w:pPr>
      <w:r w:rsidRPr="007048BA">
        <w:rPr>
          <w:rFonts w:cs="Times New Roman"/>
          <w:lang w:val="en-GB"/>
        </w:rPr>
        <w:t xml:space="preserve">Whilst it is generally hypothesised that poor management performance can lead to takeovers, there is no consensus on what constitutes ‘poor management performance’. The mixed findings in the ex-ante literature appear to be a result of the use of different performance proxies (both accounting and market-based) across different studies. In general, firms are described as being poorly managed when their accounting and/or stock market performance is lower than a benchmark, and well managed otherwise. </w:t>
      </w:r>
    </w:p>
    <w:p w14:paraId="587E4CDD" w14:textId="020B087D" w:rsidR="00CA299A" w:rsidRPr="007048BA" w:rsidRDefault="00CA299A" w:rsidP="00615F16">
      <w:pPr>
        <w:ind w:firstLine="720"/>
        <w:rPr>
          <w:rFonts w:cs="Times New Roman"/>
          <w:lang w:val="en-GB"/>
        </w:rPr>
      </w:pPr>
      <w:r w:rsidRPr="007048BA">
        <w:rPr>
          <w:rFonts w:cs="Times New Roman"/>
          <w:lang w:val="en-GB"/>
        </w:rPr>
        <w:t xml:space="preserve">While market-based performance measures (i.e., measures based on stock prices) are thought to estimate the present value of all future cash flows that will accrue to a particular stock as a result of the manager’s actions (Lambert and Larcker, 1987), accounting measures have been criticised for their inability to reflect the future consequences of current managerial actions (Rappaport, 1986). </w:t>
      </w:r>
      <w:r w:rsidR="0038667F" w:rsidRPr="007048BA">
        <w:rPr>
          <w:rFonts w:cs="Times New Roman"/>
          <w:lang w:val="en-GB"/>
        </w:rPr>
        <w:t>The two measures of management performance can, perhaps, be considered as complements rather than substitutes, as accounting measures mainly gauge management’s historical performance, whilst market measures assess management’s future prospects. Indeed</w:t>
      </w:r>
      <w:r w:rsidRPr="007048BA">
        <w:rPr>
          <w:rFonts w:cs="Times New Roman"/>
          <w:lang w:val="en-GB"/>
        </w:rPr>
        <w:t>, Lambert and Larcker (1987) argue that accounting regulations may limit the ability of accounting performance to reflect future cash flows that a firm may generate as a result of current management actions</w:t>
      </w:r>
      <w:r w:rsidR="00BE5F48" w:rsidRPr="007048BA">
        <w:rPr>
          <w:rFonts w:cs="Times New Roman"/>
          <w:lang w:val="en-GB"/>
        </w:rPr>
        <w:t>, hence,</w:t>
      </w:r>
      <w:r w:rsidR="00BE5F48" w:rsidRPr="007048BA">
        <w:rPr>
          <w:rFonts w:eastAsia="Times New Roman" w:cs="Times New Roman"/>
          <w:szCs w:val="24"/>
          <w:lang w:eastAsia="en-GB"/>
        </w:rPr>
        <w:t xml:space="preserve"> there are benefits in combining accounting and market measures when evaluating management performance</w:t>
      </w:r>
      <w:r w:rsidR="00BE5F48" w:rsidRPr="007048BA">
        <w:rPr>
          <w:rFonts w:eastAsia="Times New Roman" w:cs="Times New Roman"/>
          <w:color w:val="0070C0"/>
          <w:szCs w:val="24"/>
          <w:lang w:eastAsia="en-GB"/>
        </w:rPr>
        <w:t>.</w:t>
      </w:r>
      <w:r w:rsidRPr="007048BA">
        <w:rPr>
          <w:rFonts w:cs="Times New Roman"/>
          <w:lang w:val="en-GB"/>
        </w:rPr>
        <w:t xml:space="preserve"> </w:t>
      </w:r>
      <w:r w:rsidR="0038667F" w:rsidRPr="007048BA">
        <w:rPr>
          <w:rFonts w:cs="Times New Roman"/>
          <w:lang w:val="en-GB"/>
        </w:rPr>
        <w:t>I</w:t>
      </w:r>
      <w:r w:rsidR="00615F16" w:rsidRPr="007048BA">
        <w:rPr>
          <w:rFonts w:cs="Times New Roman"/>
          <w:lang w:val="en-GB"/>
        </w:rPr>
        <w:t>n our dataset, w</w:t>
      </w:r>
      <w:r w:rsidR="00615F16" w:rsidRPr="007048BA">
        <w:rPr>
          <w:lang w:val="en-GB"/>
        </w:rPr>
        <w:t>e find that, in t</w:t>
      </w:r>
      <w:r w:rsidR="009D44DE" w:rsidRPr="007048BA">
        <w:rPr>
          <w:lang w:val="en-GB"/>
        </w:rPr>
        <w:t>he case of UK firms between 1988</w:t>
      </w:r>
      <w:r w:rsidR="00615F16" w:rsidRPr="007048BA">
        <w:rPr>
          <w:lang w:val="en-GB"/>
        </w:rPr>
        <w:t xml:space="preserve"> and 2017, the correlation coefficient (rho) between accounting (ROCE) and market measures (</w:t>
      </w:r>
      <w:r w:rsidR="0038667F" w:rsidRPr="007048BA">
        <w:rPr>
          <w:lang w:val="en-GB"/>
        </w:rPr>
        <w:t>AAR</w:t>
      </w:r>
      <w:r w:rsidR="00615F16" w:rsidRPr="007048BA">
        <w:rPr>
          <w:lang w:val="en-GB"/>
        </w:rPr>
        <w:t xml:space="preserve">) of firm performance is </w:t>
      </w:r>
      <w:r w:rsidR="0085710B" w:rsidRPr="007048BA">
        <w:rPr>
          <w:lang w:val="en-GB"/>
        </w:rPr>
        <w:t>-</w:t>
      </w:r>
      <w:r w:rsidR="00615F16" w:rsidRPr="007048BA">
        <w:rPr>
          <w:color w:val="FF0000"/>
          <w:lang w:val="en-GB"/>
        </w:rPr>
        <w:t>0.0</w:t>
      </w:r>
      <w:r w:rsidR="0085710B" w:rsidRPr="007048BA">
        <w:rPr>
          <w:color w:val="FF0000"/>
          <w:lang w:val="en-GB"/>
        </w:rPr>
        <w:t>5</w:t>
      </w:r>
      <w:r w:rsidR="00615F16" w:rsidRPr="007048BA">
        <w:rPr>
          <w:lang w:val="en-GB"/>
        </w:rPr>
        <w:t xml:space="preserve">, suggesting that these two measures are complements, but not substitutes in modelling management performance. </w:t>
      </w:r>
    </w:p>
    <w:p w14:paraId="3A39688A" w14:textId="15DE7D26" w:rsidR="00CA299A" w:rsidRPr="007048BA" w:rsidRDefault="00CA299A" w:rsidP="00CA299A">
      <w:pPr>
        <w:ind w:firstLine="720"/>
        <w:rPr>
          <w:rFonts w:cs="Times New Roman"/>
          <w:lang w:val="en-GB"/>
        </w:rPr>
      </w:pPr>
      <w:r w:rsidRPr="007048BA">
        <w:rPr>
          <w:rFonts w:cs="Times New Roman"/>
          <w:lang w:val="en-GB"/>
        </w:rPr>
        <w:t xml:space="preserve">Much of the evidence in the M&amp;A literature points to the possibility that bidders show a preference for targets with potential for profitability. There is overwhelming evidence that, on average, targets are profitable firms—as shown by their accounting performance (Palepu, 1986; Brar et al., 2009; De and Jindra, 2012; Danbolt et al., 2016). The evidence also suggests that, despite current profitability, targets have a lower prospect for future growth or a limited ability to generate future cash flows (Danbolt et al., 2016). This is corroborated by findings that targets face declining sales growth and declining stock returns prior to receiving a bid (Brar et al., 2009; Powell and Yawson, 2007; Palepu, 1986; Danbolt et al., 2016). In this sense, current empirical tests of the management inefficiency hypothesis are, perhaps, too general to provide meaningful insights. </w:t>
      </w:r>
    </w:p>
    <w:p w14:paraId="476C501F" w14:textId="77777777" w:rsidR="00CA299A" w:rsidRPr="007048BA" w:rsidRDefault="00CA299A" w:rsidP="00CA299A">
      <w:pPr>
        <w:ind w:firstLine="720"/>
        <w:jc w:val="center"/>
        <w:rPr>
          <w:rFonts w:cs="Times New Roman"/>
          <w:b/>
          <w:lang w:val="en-GB"/>
        </w:rPr>
      </w:pPr>
      <w:r w:rsidRPr="007048BA">
        <w:rPr>
          <w:rFonts w:cs="Times New Roman"/>
          <w:b/>
          <w:lang w:val="en-GB"/>
        </w:rPr>
        <w:t>[Insert Figure 1 about here]</w:t>
      </w:r>
    </w:p>
    <w:p w14:paraId="4765E754" w14:textId="09DDAF76" w:rsidR="00CA299A" w:rsidRPr="007048BA" w:rsidRDefault="00CA299A" w:rsidP="00CA299A">
      <w:pPr>
        <w:ind w:firstLine="720"/>
        <w:rPr>
          <w:rFonts w:cs="Times New Roman"/>
          <w:lang w:val="en-GB"/>
        </w:rPr>
      </w:pPr>
      <w:r w:rsidRPr="007048BA">
        <w:rPr>
          <w:rFonts w:cs="Times New Roman"/>
          <w:lang w:val="en-GB"/>
        </w:rPr>
        <w:lastRenderedPageBreak/>
        <w:t>As shown in Figure 1, management can achieve one of four different combinations of accounting and stock market performance, namely: (i) high accounting &amp; high stock market performance; (ii) high accounting &amp; low stock market performance; (iii) low accounting &amp; high stock market performance; and (iv) low accounting &amp; low stock market performance. Managers who are able to achieve both high accounting and stock market performance are clearly efficient (</w:t>
      </w:r>
      <w:r w:rsidR="00ED262D" w:rsidRPr="007048BA">
        <w:rPr>
          <w:rFonts w:cs="Times New Roman"/>
          <w:i/>
          <w:lang w:val="en-GB"/>
        </w:rPr>
        <w:t>efficient</w:t>
      </w:r>
      <w:r w:rsidRPr="007048BA">
        <w:rPr>
          <w:rFonts w:cs="Times New Roman"/>
          <w:lang w:val="en-GB"/>
        </w:rPr>
        <w:t>). Their counterparts who achieve low accounting, as well as low stock market performance are also clearly inefficient (</w:t>
      </w:r>
      <w:r w:rsidR="00ED262D" w:rsidRPr="007048BA">
        <w:rPr>
          <w:rFonts w:cs="Times New Roman"/>
          <w:i/>
          <w:lang w:val="en-GB"/>
        </w:rPr>
        <w:t>poor</w:t>
      </w:r>
      <w:r w:rsidRPr="007048BA">
        <w:rPr>
          <w:rFonts w:cs="Times New Roman"/>
          <w:lang w:val="en-GB"/>
        </w:rPr>
        <w:t xml:space="preserve">). We argue that a combination of high accounting, but low stock market </w:t>
      </w:r>
      <w:r w:rsidR="00B92219" w:rsidRPr="007048BA">
        <w:rPr>
          <w:rFonts w:cs="Times New Roman"/>
          <w:lang w:val="en-GB"/>
        </w:rPr>
        <w:t>performance</w:t>
      </w:r>
      <w:r w:rsidRPr="007048BA">
        <w:rPr>
          <w:rFonts w:cs="Times New Roman"/>
          <w:lang w:val="en-GB"/>
        </w:rPr>
        <w:t xml:space="preserve"> is indicative of management short-termism (</w:t>
      </w:r>
      <w:r w:rsidR="00ED262D" w:rsidRPr="007048BA">
        <w:rPr>
          <w:rFonts w:cs="Times New Roman"/>
          <w:i/>
          <w:lang w:val="en-GB"/>
        </w:rPr>
        <w:t>myopia</w:t>
      </w:r>
      <w:r w:rsidRPr="007048BA">
        <w:rPr>
          <w:rFonts w:cs="Times New Roman"/>
          <w:lang w:val="en-GB"/>
        </w:rPr>
        <w:t xml:space="preserve">), as these managers achieve high current earnings (accounting performance) </w:t>
      </w:r>
      <w:r w:rsidR="005F1DA1" w:rsidRPr="007048BA">
        <w:rPr>
          <w:rFonts w:cs="Times New Roman"/>
          <w:lang w:val="en-GB"/>
        </w:rPr>
        <w:t xml:space="preserve">from past activities </w:t>
      </w:r>
      <w:r w:rsidRPr="007048BA">
        <w:rPr>
          <w:rFonts w:cs="Times New Roman"/>
          <w:lang w:val="en-GB"/>
        </w:rPr>
        <w:t xml:space="preserve">at the expense of long term shareholder value (stock market returns). Conversely, we argue that a combination of low accounting but high stock market </w:t>
      </w:r>
      <w:r w:rsidR="00D8280C" w:rsidRPr="007048BA">
        <w:rPr>
          <w:rFonts w:cs="Times New Roman"/>
          <w:lang w:val="en-GB"/>
        </w:rPr>
        <w:t>performance</w:t>
      </w:r>
      <w:r w:rsidRPr="007048BA">
        <w:rPr>
          <w:rFonts w:cs="Times New Roman"/>
          <w:lang w:val="en-GB"/>
        </w:rPr>
        <w:t xml:space="preserve"> is indicative of management long-termism (</w:t>
      </w:r>
      <w:r w:rsidR="00ED262D" w:rsidRPr="007048BA">
        <w:rPr>
          <w:rFonts w:cs="Times New Roman"/>
          <w:i/>
          <w:lang w:val="en-GB"/>
        </w:rPr>
        <w:t>hyperopia</w:t>
      </w:r>
      <w:r w:rsidRPr="007048BA">
        <w:rPr>
          <w:rFonts w:cs="Times New Roman"/>
          <w:lang w:val="en-GB"/>
        </w:rPr>
        <w:t>).</w:t>
      </w:r>
    </w:p>
    <w:p w14:paraId="2E08F8C1" w14:textId="4D20FAC4" w:rsidR="005955C6" w:rsidRPr="007048BA" w:rsidRDefault="00FE2200" w:rsidP="000E6E6A">
      <w:pPr>
        <w:ind w:firstLine="720"/>
        <w:rPr>
          <w:rFonts w:cs="Times New Roman"/>
          <w:lang w:val="en-GB"/>
        </w:rPr>
      </w:pPr>
      <w:r w:rsidRPr="007048BA">
        <w:rPr>
          <w:rFonts w:cs="Times New Roman"/>
          <w:lang w:val="en-GB"/>
        </w:rPr>
        <w:t xml:space="preserve">Therefore, with regards to our framework, we </w:t>
      </w:r>
      <w:r w:rsidR="005F1DA1" w:rsidRPr="007048BA">
        <w:rPr>
          <w:rFonts w:cs="Times New Roman"/>
          <w:lang w:val="en-GB"/>
        </w:rPr>
        <w:t>conceptualise</w:t>
      </w:r>
      <w:r w:rsidRPr="007048BA">
        <w:rPr>
          <w:rFonts w:cs="Times New Roman"/>
          <w:lang w:val="en-GB"/>
        </w:rPr>
        <w:t xml:space="preserve"> our categories as follows: (1) </w:t>
      </w:r>
      <w:r w:rsidRPr="007048BA">
        <w:rPr>
          <w:rFonts w:cs="Times New Roman"/>
          <w:i/>
          <w:lang w:val="en-GB"/>
        </w:rPr>
        <w:t>Poor</w:t>
      </w:r>
      <w:r w:rsidRPr="007048BA">
        <w:rPr>
          <w:rFonts w:cs="Times New Roman"/>
          <w:lang w:val="en-GB"/>
        </w:rPr>
        <w:t xml:space="preserve"> management are managers who achieve relatively low accounting and</w:t>
      </w:r>
      <w:r w:rsidR="00EF4B5A" w:rsidRPr="007048BA">
        <w:rPr>
          <w:rFonts w:cs="Times New Roman"/>
          <w:lang w:val="en-GB"/>
        </w:rPr>
        <w:t xml:space="preserve"> low</w:t>
      </w:r>
      <w:r w:rsidR="005F1DA1" w:rsidRPr="007048BA">
        <w:rPr>
          <w:rFonts w:cs="Times New Roman"/>
          <w:lang w:val="en-GB"/>
        </w:rPr>
        <w:t xml:space="preserve"> stock market returns. That is, they report low earnings from past activities</w:t>
      </w:r>
      <w:r w:rsidRPr="007048BA">
        <w:rPr>
          <w:rFonts w:cs="Times New Roman"/>
          <w:lang w:val="en-GB"/>
        </w:rPr>
        <w:t xml:space="preserve"> and </w:t>
      </w:r>
      <w:r w:rsidR="005F1DA1" w:rsidRPr="007048BA">
        <w:rPr>
          <w:rFonts w:cs="Times New Roman"/>
          <w:lang w:val="en-GB"/>
        </w:rPr>
        <w:t xml:space="preserve">also have </w:t>
      </w:r>
      <w:r w:rsidRPr="007048BA">
        <w:rPr>
          <w:rFonts w:cs="Times New Roman"/>
          <w:lang w:val="en-GB"/>
        </w:rPr>
        <w:t>poor future prospects</w:t>
      </w:r>
      <w:r w:rsidR="005F1DA1" w:rsidRPr="007048BA">
        <w:rPr>
          <w:rFonts w:cs="Times New Roman"/>
          <w:lang w:val="en-GB"/>
        </w:rPr>
        <w:t xml:space="preserve"> or opportunities for generating positive net cash flows</w:t>
      </w:r>
      <w:r w:rsidRPr="007048BA">
        <w:rPr>
          <w:rFonts w:cs="Times New Roman"/>
          <w:lang w:val="en-GB"/>
        </w:rPr>
        <w:t xml:space="preserve">. (2) </w:t>
      </w:r>
      <w:r w:rsidRPr="007048BA">
        <w:rPr>
          <w:rFonts w:cs="Times New Roman"/>
          <w:i/>
          <w:lang w:val="en-GB"/>
        </w:rPr>
        <w:t>Myopic</w:t>
      </w:r>
      <w:r w:rsidRPr="007048BA">
        <w:rPr>
          <w:rFonts w:cs="Times New Roman"/>
          <w:lang w:val="en-GB"/>
        </w:rPr>
        <w:t xml:space="preserve"> management </w:t>
      </w:r>
      <w:r w:rsidR="00EF4B5A" w:rsidRPr="007048BA">
        <w:rPr>
          <w:rFonts w:cs="Times New Roman"/>
          <w:lang w:val="en-GB"/>
        </w:rPr>
        <w:t>are managers who achieve relatively high accounting but low stock market returns</w:t>
      </w:r>
      <w:r w:rsidR="005F1DA1" w:rsidRPr="007048BA">
        <w:rPr>
          <w:rFonts w:cs="Times New Roman"/>
          <w:lang w:val="en-GB"/>
        </w:rPr>
        <w:t xml:space="preserve">. </w:t>
      </w:r>
      <w:r w:rsidR="000E6E6A" w:rsidRPr="007048BA">
        <w:rPr>
          <w:rFonts w:cs="Times New Roman"/>
          <w:lang w:val="en-GB"/>
        </w:rPr>
        <w:t>Such</w:t>
      </w:r>
      <w:r w:rsidR="005F1DA1" w:rsidRPr="007048BA">
        <w:rPr>
          <w:rFonts w:cs="Times New Roman"/>
          <w:lang w:val="en-GB"/>
        </w:rPr>
        <w:t xml:space="preserve"> managers report</w:t>
      </w:r>
      <w:r w:rsidR="000E6E6A" w:rsidRPr="007048BA">
        <w:rPr>
          <w:rFonts w:cs="Times New Roman"/>
          <w:lang w:val="en-GB"/>
        </w:rPr>
        <w:t xml:space="preserve"> high earnings</w:t>
      </w:r>
      <w:r w:rsidR="00EF4B5A" w:rsidRPr="007048BA">
        <w:rPr>
          <w:rFonts w:cs="Times New Roman"/>
          <w:lang w:val="en-GB"/>
        </w:rPr>
        <w:t xml:space="preserve"> </w:t>
      </w:r>
      <w:r w:rsidR="000E6E6A" w:rsidRPr="007048BA">
        <w:rPr>
          <w:rFonts w:cs="Times New Roman"/>
          <w:lang w:val="en-GB"/>
        </w:rPr>
        <w:t>from past activities usually at the expense of</w:t>
      </w:r>
      <w:r w:rsidR="00EF4B5A" w:rsidRPr="007048BA">
        <w:rPr>
          <w:rFonts w:cs="Times New Roman"/>
          <w:lang w:val="en-GB"/>
        </w:rPr>
        <w:t xml:space="preserve"> future prospects. (3) </w:t>
      </w:r>
      <w:r w:rsidR="00EF4B5A" w:rsidRPr="007048BA">
        <w:rPr>
          <w:rFonts w:cs="Times New Roman"/>
          <w:i/>
          <w:lang w:val="en-GB"/>
        </w:rPr>
        <w:t>Hyperopic</w:t>
      </w:r>
      <w:r w:rsidR="00EF4B5A" w:rsidRPr="007048BA">
        <w:rPr>
          <w:rFonts w:cs="Times New Roman"/>
          <w:lang w:val="en-GB"/>
        </w:rPr>
        <w:t xml:space="preserve"> management are managers who achieve relatively low accounting but high stock market returns</w:t>
      </w:r>
      <w:r w:rsidR="000E6E6A" w:rsidRPr="007048BA">
        <w:rPr>
          <w:rFonts w:cs="Times New Roman"/>
          <w:lang w:val="en-GB"/>
        </w:rPr>
        <w:t>. While these managers achieve low earnings</w:t>
      </w:r>
      <w:r w:rsidR="00EF4B5A" w:rsidRPr="007048BA">
        <w:rPr>
          <w:rFonts w:cs="Times New Roman"/>
          <w:lang w:val="en-GB"/>
        </w:rPr>
        <w:t xml:space="preserve"> </w:t>
      </w:r>
      <w:r w:rsidR="000E6E6A" w:rsidRPr="007048BA">
        <w:rPr>
          <w:rFonts w:cs="Times New Roman"/>
          <w:lang w:val="en-GB"/>
        </w:rPr>
        <w:t>from past activities, they have good future prospects</w:t>
      </w:r>
      <w:r w:rsidR="00EF4B5A" w:rsidRPr="007048BA">
        <w:rPr>
          <w:rFonts w:cs="Times New Roman"/>
          <w:lang w:val="en-GB"/>
        </w:rPr>
        <w:t xml:space="preserve">. (4) </w:t>
      </w:r>
      <w:r w:rsidR="00EF4B5A" w:rsidRPr="007048BA">
        <w:rPr>
          <w:rFonts w:cs="Times New Roman"/>
          <w:i/>
          <w:lang w:val="en-GB"/>
        </w:rPr>
        <w:t>Efficient</w:t>
      </w:r>
      <w:r w:rsidR="00EF4B5A" w:rsidRPr="007048BA">
        <w:rPr>
          <w:rFonts w:cs="Times New Roman"/>
          <w:lang w:val="en-GB"/>
        </w:rPr>
        <w:t xml:space="preserve"> management are managers who achieve relatively high accounting and high stock market returns</w:t>
      </w:r>
      <w:r w:rsidR="000E6E6A" w:rsidRPr="007048BA">
        <w:rPr>
          <w:rFonts w:cs="Times New Roman"/>
          <w:lang w:val="en-GB"/>
        </w:rPr>
        <w:t>. These managers achieve high earnings from past activities and also</w:t>
      </w:r>
      <w:r w:rsidR="00EF4B5A" w:rsidRPr="007048BA">
        <w:rPr>
          <w:rFonts w:cs="Times New Roman"/>
          <w:lang w:val="en-GB"/>
        </w:rPr>
        <w:t xml:space="preserve"> </w:t>
      </w:r>
      <w:r w:rsidR="000E6E6A" w:rsidRPr="007048BA">
        <w:rPr>
          <w:rFonts w:cs="Times New Roman"/>
          <w:lang w:val="en-GB"/>
        </w:rPr>
        <w:t>exhibit</w:t>
      </w:r>
      <w:r w:rsidR="00EF4B5A" w:rsidRPr="007048BA">
        <w:rPr>
          <w:rFonts w:cs="Times New Roman"/>
          <w:lang w:val="en-GB"/>
        </w:rPr>
        <w:t xml:space="preserve"> good future prospects. The difference between </w:t>
      </w:r>
      <w:r w:rsidR="00EF4B5A" w:rsidRPr="007048BA">
        <w:rPr>
          <w:rFonts w:cs="Times New Roman"/>
          <w:i/>
          <w:lang w:val="en-GB"/>
        </w:rPr>
        <w:t>poor</w:t>
      </w:r>
      <w:r w:rsidR="00EF4B5A" w:rsidRPr="007048BA">
        <w:rPr>
          <w:rFonts w:cs="Times New Roman"/>
          <w:lang w:val="en-GB"/>
        </w:rPr>
        <w:t xml:space="preserve"> and </w:t>
      </w:r>
      <w:r w:rsidR="00EF4B5A" w:rsidRPr="007048BA">
        <w:rPr>
          <w:rFonts w:cs="Times New Roman"/>
          <w:i/>
          <w:lang w:val="en-GB"/>
        </w:rPr>
        <w:t>myopic</w:t>
      </w:r>
      <w:r w:rsidR="00EF4B5A" w:rsidRPr="007048BA">
        <w:rPr>
          <w:rFonts w:cs="Times New Roman"/>
          <w:lang w:val="en-GB"/>
        </w:rPr>
        <w:t xml:space="preserve"> lies with their </w:t>
      </w:r>
      <w:r w:rsidR="000E6E6A" w:rsidRPr="007048BA">
        <w:rPr>
          <w:rFonts w:cs="Times New Roman"/>
          <w:lang w:val="en-GB"/>
        </w:rPr>
        <w:t>past earnings or</w:t>
      </w:r>
      <w:r w:rsidR="00EF4B5A" w:rsidRPr="007048BA">
        <w:rPr>
          <w:rFonts w:cs="Times New Roman"/>
          <w:lang w:val="en-GB"/>
        </w:rPr>
        <w:t xml:space="preserve"> accounting performance i.e., poor management have low accounting performance while myopic management have high accounting performance. Similarly, the difference between hyperopic and efficient management lies with their accounting performance. Poor management and efficient management have no similarities in terms of performance</w:t>
      </w:r>
      <w:r w:rsidR="000E6E6A" w:rsidRPr="007048BA">
        <w:rPr>
          <w:rFonts w:cs="Times New Roman"/>
          <w:lang w:val="en-GB"/>
        </w:rPr>
        <w:t xml:space="preserve"> (accounting or stock market)</w:t>
      </w:r>
      <w:r w:rsidR="00EF4B5A" w:rsidRPr="007048BA">
        <w:rPr>
          <w:rFonts w:cs="Times New Roman"/>
          <w:lang w:val="en-GB"/>
        </w:rPr>
        <w:t xml:space="preserve">. Similarly, </w:t>
      </w:r>
      <w:r w:rsidR="005164B7" w:rsidRPr="007048BA">
        <w:rPr>
          <w:rFonts w:cs="Times New Roman"/>
          <w:lang w:val="en-GB"/>
        </w:rPr>
        <w:t xml:space="preserve">in terms of performance, </w:t>
      </w:r>
      <w:r w:rsidR="00EF4B5A" w:rsidRPr="007048BA">
        <w:rPr>
          <w:rFonts w:cs="Times New Roman"/>
          <w:lang w:val="en-GB"/>
        </w:rPr>
        <w:t xml:space="preserve">myopic management are </w:t>
      </w:r>
      <w:r w:rsidR="005164B7" w:rsidRPr="007048BA">
        <w:rPr>
          <w:rFonts w:cs="Times New Roman"/>
          <w:lang w:val="en-GB"/>
        </w:rPr>
        <w:t>starkly</w:t>
      </w:r>
      <w:r w:rsidR="00EF4B5A" w:rsidRPr="007048BA">
        <w:rPr>
          <w:rFonts w:cs="Times New Roman"/>
          <w:lang w:val="en-GB"/>
        </w:rPr>
        <w:t xml:space="preserve"> different from hyperopic management</w:t>
      </w:r>
    </w:p>
    <w:p w14:paraId="2B685EE1" w14:textId="2CD4716E" w:rsidR="00CA299A" w:rsidRPr="007048BA" w:rsidRDefault="00CA299A" w:rsidP="00CA299A">
      <w:pPr>
        <w:ind w:firstLine="720"/>
        <w:rPr>
          <w:rFonts w:cs="Times New Roman"/>
          <w:lang w:val="en-GB"/>
        </w:rPr>
      </w:pPr>
      <w:r w:rsidRPr="007048BA">
        <w:rPr>
          <w:rFonts w:cs="Times New Roman"/>
          <w:lang w:val="en-GB"/>
        </w:rPr>
        <w:t xml:space="preserve">Prior studies, such as Palepu (1986), Barnes (1999), Powell (2001), Agarwal and Jaffe (2003), Powell and Yawson, (2007), Cremers et al. (2009) and Danbolt et al. (2016), implicitly assume the existence of the first and fourth </w:t>
      </w:r>
      <w:r w:rsidR="006B3320" w:rsidRPr="007048BA">
        <w:rPr>
          <w:rFonts w:cs="Times New Roman"/>
          <w:lang w:val="en-GB"/>
        </w:rPr>
        <w:t>attributes</w:t>
      </w:r>
      <w:r w:rsidRPr="007048BA">
        <w:rPr>
          <w:rFonts w:cs="Times New Roman"/>
          <w:lang w:val="en-GB"/>
        </w:rPr>
        <w:t xml:space="preserve"> (i.e., </w:t>
      </w:r>
      <w:r w:rsidR="00ED262D" w:rsidRPr="007048BA">
        <w:rPr>
          <w:rFonts w:cs="Times New Roman"/>
          <w:i/>
          <w:lang w:val="en-GB"/>
        </w:rPr>
        <w:t>efficient</w:t>
      </w:r>
      <w:r w:rsidRPr="007048BA">
        <w:rPr>
          <w:rFonts w:cs="Times New Roman"/>
          <w:lang w:val="en-GB"/>
        </w:rPr>
        <w:t xml:space="preserve"> and </w:t>
      </w:r>
      <w:r w:rsidR="00ED262D" w:rsidRPr="007048BA">
        <w:rPr>
          <w:rFonts w:cs="Times New Roman"/>
          <w:i/>
          <w:lang w:val="en-GB"/>
        </w:rPr>
        <w:t>poor</w:t>
      </w:r>
      <w:r w:rsidRPr="007048BA">
        <w:rPr>
          <w:rFonts w:cs="Times New Roman"/>
          <w:lang w:val="en-GB"/>
        </w:rPr>
        <w:t xml:space="preserve">), but ignore the second and third </w:t>
      </w:r>
      <w:r w:rsidR="006B3320" w:rsidRPr="007048BA">
        <w:rPr>
          <w:rFonts w:cs="Times New Roman"/>
          <w:lang w:val="en-GB"/>
        </w:rPr>
        <w:t>attributes</w:t>
      </w:r>
      <w:r w:rsidRPr="007048BA">
        <w:rPr>
          <w:rFonts w:cs="Times New Roman"/>
          <w:lang w:val="en-GB"/>
        </w:rPr>
        <w:t xml:space="preserve"> (i.e., </w:t>
      </w:r>
      <w:r w:rsidR="00ED262D" w:rsidRPr="007048BA">
        <w:rPr>
          <w:rFonts w:cs="Times New Roman"/>
          <w:i/>
          <w:lang w:val="en-GB"/>
        </w:rPr>
        <w:t>myopia</w:t>
      </w:r>
      <w:r w:rsidRPr="007048BA">
        <w:rPr>
          <w:rFonts w:cs="Times New Roman"/>
          <w:lang w:val="en-GB"/>
        </w:rPr>
        <w:t xml:space="preserve"> and </w:t>
      </w:r>
      <w:r w:rsidR="00ED262D" w:rsidRPr="007048BA">
        <w:rPr>
          <w:rFonts w:cs="Times New Roman"/>
          <w:i/>
          <w:lang w:val="en-GB"/>
        </w:rPr>
        <w:t>hyperopia</w:t>
      </w:r>
      <w:r w:rsidRPr="007048BA">
        <w:rPr>
          <w:rFonts w:cs="Times New Roman"/>
          <w:lang w:val="en-GB"/>
        </w:rPr>
        <w:t xml:space="preserve">). Clearly, we need to validate the existence of the second and third </w:t>
      </w:r>
      <w:r w:rsidR="006B3320" w:rsidRPr="007048BA">
        <w:rPr>
          <w:rFonts w:cs="Times New Roman"/>
          <w:lang w:val="en-GB"/>
        </w:rPr>
        <w:t>attributes</w:t>
      </w:r>
      <w:r w:rsidRPr="007048BA">
        <w:rPr>
          <w:rFonts w:cs="Times New Roman"/>
          <w:lang w:val="en-GB"/>
        </w:rPr>
        <w:t xml:space="preserve">, which we do by exploring </w:t>
      </w:r>
      <w:r w:rsidR="00215DE7" w:rsidRPr="007048BA">
        <w:rPr>
          <w:rFonts w:cs="Times New Roman"/>
          <w:lang w:val="en-GB"/>
        </w:rPr>
        <w:t>the earnings management behaviour of firms in these categories</w:t>
      </w:r>
      <w:r w:rsidRPr="007048BA">
        <w:rPr>
          <w:rFonts w:cs="Times New Roman"/>
          <w:lang w:val="en-GB"/>
        </w:rPr>
        <w:t>.</w:t>
      </w:r>
    </w:p>
    <w:p w14:paraId="5E0C9DA7" w14:textId="77777777" w:rsidR="00CA299A" w:rsidRPr="007048BA" w:rsidRDefault="00CA299A" w:rsidP="00CA299A">
      <w:pPr>
        <w:pStyle w:val="Heading2"/>
        <w:keepNext w:val="0"/>
        <w:keepLines w:val="0"/>
        <w:numPr>
          <w:ilvl w:val="1"/>
          <w:numId w:val="7"/>
        </w:numPr>
        <w:autoSpaceDE w:val="0"/>
        <w:autoSpaceDN w:val="0"/>
        <w:adjustRightInd w:val="0"/>
        <w:spacing w:before="240" w:after="120" w:line="240" w:lineRule="auto"/>
        <w:ind w:left="805" w:hanging="805"/>
        <w:contextualSpacing/>
        <w:rPr>
          <w:lang w:val="en-GB"/>
        </w:rPr>
      </w:pPr>
      <w:r w:rsidRPr="007048BA">
        <w:rPr>
          <w:lang w:val="en-GB"/>
        </w:rPr>
        <w:lastRenderedPageBreak/>
        <w:t xml:space="preserve">Management inefficiency and takeover likelihood: Hypotheses </w:t>
      </w:r>
    </w:p>
    <w:p w14:paraId="6199D5E8" w14:textId="1BEADF15" w:rsidR="00CA299A" w:rsidRPr="007048BA" w:rsidRDefault="00CA299A" w:rsidP="00CA299A">
      <w:pPr>
        <w:ind w:firstLine="720"/>
        <w:rPr>
          <w:rFonts w:cs="Times New Roman"/>
          <w:lang w:val="en-GB"/>
        </w:rPr>
      </w:pPr>
      <w:r w:rsidRPr="007048BA">
        <w:rPr>
          <w:rFonts w:cs="Times New Roman"/>
          <w:lang w:val="en-GB"/>
        </w:rPr>
        <w:t>In this section, we develop two testable hypotheses that will allow us to use our new framework to shed new light on the management inefficiency hypothesis. Consistent with the objective of the firm (Manne, 1965; Jensen and Meckling, 1976), efficient managers are those who are able to maximise shareholder wealth both in the short and long run (i.e., the firm’s present value). They can create short and long-term value by maximising current profitability using strategies, which do not jeopardise future earnings. Additionally, they are less likely to be swayed by the pressures of meeting earnings targets typically put forward by myopic corporate stakeholders, such as daily traders and short-term investors. Consequently, firms run by efficient managers are not only more likely to have higher historical accounting performance, but also higher stock market performance (</w:t>
      </w:r>
      <w:r w:rsidR="00ED262D" w:rsidRPr="007048BA">
        <w:rPr>
          <w:rFonts w:cs="Times New Roman"/>
          <w:i/>
          <w:lang w:val="en-GB"/>
        </w:rPr>
        <w:t>efficient</w:t>
      </w:r>
      <w:r w:rsidRPr="007048BA">
        <w:rPr>
          <w:rFonts w:cs="Times New Roman"/>
          <w:lang w:val="en-GB"/>
        </w:rPr>
        <w:t>)</w:t>
      </w:r>
      <w:r w:rsidR="000141C1" w:rsidRPr="007048BA">
        <w:rPr>
          <w:rFonts w:cs="Times New Roman"/>
          <w:lang w:val="en-GB"/>
        </w:rPr>
        <w:t>,</w:t>
      </w:r>
      <w:r w:rsidRPr="007048BA">
        <w:rPr>
          <w:rFonts w:cs="Times New Roman"/>
          <w:lang w:val="en-GB"/>
        </w:rPr>
        <w:t xml:space="preserve"> to reflect the firms’ future prospects. Consequently, their strong performance bestows such managers with the financial backing, reputational clout, and stakeholder (board and shareholders) support required to fend off unwanted takeovers. On the contrary, their counterparts who achieve low accounting performance and low stock market performance (</w:t>
      </w:r>
      <w:r w:rsidR="00ED262D" w:rsidRPr="007048BA">
        <w:rPr>
          <w:rFonts w:cs="Times New Roman"/>
          <w:i/>
          <w:lang w:val="en-GB"/>
        </w:rPr>
        <w:t>poor</w:t>
      </w:r>
      <w:r w:rsidRPr="007048BA">
        <w:rPr>
          <w:rFonts w:cs="Times New Roman"/>
          <w:lang w:val="en-GB"/>
        </w:rPr>
        <w:t xml:space="preserve">) are unlikely to have the support required to retain their independence. Consistent with the undervaluation hypothesis of takeovers (Palepu, 1986), these firms will constitute an </w:t>
      </w:r>
      <w:r w:rsidR="00B92219" w:rsidRPr="007048BA">
        <w:rPr>
          <w:rFonts w:cs="Times New Roman"/>
          <w:lang w:val="en-GB"/>
        </w:rPr>
        <w:t>under-priced</w:t>
      </w:r>
      <w:r w:rsidRPr="007048BA">
        <w:rPr>
          <w:rFonts w:cs="Times New Roman"/>
          <w:lang w:val="en-GB"/>
        </w:rPr>
        <w:t xml:space="preserve"> asset to any bidder with the strategy and managerial capacity to reverse the firms’ fortunes. We, therefore, hypothesise that managers who perform below (above) average over the two </w:t>
      </w:r>
      <w:r w:rsidR="006B3320" w:rsidRPr="007048BA">
        <w:rPr>
          <w:rFonts w:cs="Times New Roman"/>
          <w:lang w:val="en-GB"/>
        </w:rPr>
        <w:t>attributes</w:t>
      </w:r>
      <w:r w:rsidRPr="007048BA">
        <w:rPr>
          <w:rFonts w:cs="Times New Roman"/>
          <w:lang w:val="en-GB"/>
        </w:rPr>
        <w:t>—accounting and market performance—are more (less) likely to be exposed to takeovers (hypothesis 1). Our first hypothesis is form</w:t>
      </w:r>
      <w:r w:rsidR="000141C1" w:rsidRPr="007048BA">
        <w:rPr>
          <w:rFonts w:cs="Times New Roman"/>
          <w:lang w:val="en-GB"/>
        </w:rPr>
        <w:t>al</w:t>
      </w:r>
      <w:r w:rsidRPr="007048BA">
        <w:rPr>
          <w:rFonts w:cs="Times New Roman"/>
          <w:lang w:val="en-GB"/>
        </w:rPr>
        <w:t>ly stated as below:</w:t>
      </w:r>
    </w:p>
    <w:p w14:paraId="65B00B55" w14:textId="01255AAB" w:rsidR="00CA299A" w:rsidRPr="007048BA" w:rsidRDefault="00CA299A" w:rsidP="00CA299A">
      <w:pPr>
        <w:ind w:left="720" w:firstLine="0"/>
        <w:rPr>
          <w:rFonts w:cs="Times New Roman"/>
          <w:b/>
          <w:i/>
          <w:lang w:val="en-GB"/>
        </w:rPr>
      </w:pPr>
      <w:r w:rsidRPr="007048BA">
        <w:rPr>
          <w:rFonts w:cs="Times New Roman"/>
          <w:b/>
          <w:i/>
          <w:lang w:val="en-GB"/>
        </w:rPr>
        <w:t>H1: Takeover likelihood declines</w:t>
      </w:r>
      <w:r w:rsidR="00046840" w:rsidRPr="007048BA">
        <w:rPr>
          <w:rFonts w:cs="Times New Roman"/>
          <w:b/>
          <w:i/>
          <w:lang w:val="en-GB"/>
        </w:rPr>
        <w:t xml:space="preserve"> (increases)</w:t>
      </w:r>
      <w:r w:rsidRPr="007048BA">
        <w:rPr>
          <w:rFonts w:cs="Times New Roman"/>
          <w:b/>
          <w:i/>
          <w:lang w:val="en-GB"/>
        </w:rPr>
        <w:t xml:space="preserve"> with </w:t>
      </w:r>
      <w:r w:rsidR="00ED262D" w:rsidRPr="007048BA">
        <w:rPr>
          <w:rFonts w:cs="Times New Roman"/>
          <w:b/>
          <w:i/>
          <w:lang w:val="en-GB"/>
        </w:rPr>
        <w:t>efficient</w:t>
      </w:r>
      <w:r w:rsidR="00046840" w:rsidRPr="007048BA">
        <w:rPr>
          <w:rFonts w:cs="Times New Roman"/>
          <w:b/>
          <w:i/>
          <w:lang w:val="en-GB"/>
        </w:rPr>
        <w:t xml:space="preserve"> (</w:t>
      </w:r>
      <w:r w:rsidR="00ED262D" w:rsidRPr="007048BA">
        <w:rPr>
          <w:rFonts w:cs="Times New Roman"/>
          <w:b/>
          <w:i/>
          <w:lang w:val="en-GB"/>
        </w:rPr>
        <w:t>poor</w:t>
      </w:r>
      <w:r w:rsidR="00046840" w:rsidRPr="007048BA">
        <w:rPr>
          <w:rFonts w:cs="Times New Roman"/>
          <w:b/>
          <w:i/>
          <w:lang w:val="en-GB"/>
        </w:rPr>
        <w:t>) management.</w:t>
      </w:r>
    </w:p>
    <w:p w14:paraId="46542B64" w14:textId="66DB43EF" w:rsidR="00CA299A" w:rsidRPr="007048BA" w:rsidRDefault="00CA299A" w:rsidP="00CA299A">
      <w:pPr>
        <w:ind w:firstLine="720"/>
        <w:rPr>
          <w:rFonts w:cs="Times New Roman"/>
          <w:lang w:val="en-GB"/>
        </w:rPr>
      </w:pPr>
      <w:r w:rsidRPr="007048BA">
        <w:rPr>
          <w:rFonts w:cs="Times New Roman"/>
          <w:lang w:val="en-GB"/>
        </w:rPr>
        <w:t xml:space="preserve">Our second hypothesis focuses on our two new </w:t>
      </w:r>
      <w:r w:rsidR="006B3320" w:rsidRPr="007048BA">
        <w:rPr>
          <w:rFonts w:cs="Times New Roman"/>
          <w:lang w:val="en-GB"/>
        </w:rPr>
        <w:t>attributes</w:t>
      </w:r>
      <w:r w:rsidRPr="007048BA">
        <w:rPr>
          <w:rFonts w:cs="Times New Roman"/>
          <w:lang w:val="en-GB"/>
        </w:rPr>
        <w:t xml:space="preserve">. Prior research suggests that portfolio managers focus on short-term earnings and portfolio tracking error rather than traditional discounted cash flow analysis, whilst financial analysts fixate on quarterly earnings rather than fundamental analysis in investment decision making (Rappaport, 2005). It is, therefore, not surprising that managers, in their bid to satisfy the investment community, prioritise short-term earnings over the creation of long-term value for their shareholders (Rappaport, 2005; Graham et al., 2006). This focus on earnings could see managers decrease discretionary expenditure or investment in projects that yield long-term value (such as recruitment, training and development, marketing &amp; advertisement, R&amp;D and product development, the maintenance of assets and replacement of major equipment) in order to achieve short-term earnings targets set by them or their analysts (Graham et al., 2006). For managers to maximise long-term value, their primary commitment must be to continuing or long-term shareholders and not to day traders, momentum investors and other </w:t>
      </w:r>
      <w:r w:rsidRPr="007048BA">
        <w:rPr>
          <w:rFonts w:cs="Times New Roman"/>
          <w:lang w:val="en-GB"/>
        </w:rPr>
        <w:lastRenderedPageBreak/>
        <w:t xml:space="preserve">short-term oriented investors (Rappaport, 2005). Short-termism or myopia can, therefore, be described as a distinct </w:t>
      </w:r>
      <w:r w:rsidR="002E346E" w:rsidRPr="007048BA">
        <w:rPr>
          <w:rFonts w:cs="Times New Roman"/>
          <w:lang w:val="en-GB"/>
        </w:rPr>
        <w:t>attribute</w:t>
      </w:r>
      <w:r w:rsidRPr="007048BA">
        <w:rPr>
          <w:rFonts w:cs="Times New Roman"/>
          <w:lang w:val="en-GB"/>
        </w:rPr>
        <w:t xml:space="preserve"> of management inefficiency, where managers achieve short-term performance at the expense of long-term performance. </w:t>
      </w:r>
    </w:p>
    <w:p w14:paraId="26118042" w14:textId="44F3D5A3" w:rsidR="00CA299A" w:rsidRPr="007048BA" w:rsidRDefault="00CA299A" w:rsidP="00CA299A">
      <w:pPr>
        <w:ind w:firstLine="720"/>
        <w:rPr>
          <w:rFonts w:cs="Times New Roman"/>
          <w:lang w:val="en-GB"/>
        </w:rPr>
      </w:pPr>
      <w:r w:rsidRPr="007048BA">
        <w:rPr>
          <w:rFonts w:cs="Times New Roman"/>
          <w:lang w:val="en-GB"/>
        </w:rPr>
        <w:t xml:space="preserve">The flip side to managerial short-termism is a situation, where managers focus on creating long-term value for shareholders at the expense of short-term profitability—management long-termism or hyperopia. Whether this is another </w:t>
      </w:r>
      <w:r w:rsidR="002E346E" w:rsidRPr="007048BA">
        <w:rPr>
          <w:rFonts w:cs="Times New Roman"/>
          <w:lang w:val="en-GB"/>
        </w:rPr>
        <w:t>attribute</w:t>
      </w:r>
      <w:r w:rsidRPr="007048BA">
        <w:rPr>
          <w:rFonts w:cs="Times New Roman"/>
          <w:lang w:val="en-GB"/>
        </w:rPr>
        <w:t xml:space="preserve"> of inefficiency is subject to debate. The view taken in the mainstream finance literature is that the maximisation of long-term shareholder value is the primary objective of the firm (Jensen and Meckling, 1976). Arguably, a firm with a </w:t>
      </w:r>
      <w:r w:rsidRPr="007048BA">
        <w:rPr>
          <w:rFonts w:cs="Times New Roman"/>
          <w:i/>
          <w:lang w:val="en-GB"/>
        </w:rPr>
        <w:t>hyperopic</w:t>
      </w:r>
      <w:r w:rsidRPr="007048BA">
        <w:rPr>
          <w:rFonts w:cs="Times New Roman"/>
          <w:lang w:val="en-GB"/>
        </w:rPr>
        <w:t xml:space="preserve"> management team is likely to have a higher stock market value than it would have with myopic management team. This high stock market value reflects future prospects, particularly, the future cash flows to be enjoyed as a consequence of current managerial actions. The inefficient management hypothesis suggests that inefficiently managed firms are acquired by bidders who believe they can generate higher future cash flows given current firm resources (Palepu, 1986; Danbolt et al., 2016). Consistent with this hypothesis, therefore, it is unlikely that firms with </w:t>
      </w:r>
      <w:r w:rsidRPr="007048BA">
        <w:rPr>
          <w:rFonts w:cs="Times New Roman"/>
          <w:i/>
          <w:lang w:val="en-GB"/>
        </w:rPr>
        <w:t>hyperopic</w:t>
      </w:r>
      <w:r w:rsidRPr="007048BA">
        <w:rPr>
          <w:rFonts w:cs="Times New Roman"/>
          <w:lang w:val="en-GB"/>
        </w:rPr>
        <w:t xml:space="preserve"> management teams will be targeted by bidders seeking opportunities to generate higher future cash flows. Further, such firms are likely to command a high price in comparison to current profits, making it difficult for bidders to justify the usual high takeover premiums (Franks and Harris, 1989; Danbolt and Maciver, 2012). We, therefore, predict that firms with </w:t>
      </w:r>
      <w:r w:rsidRPr="007048BA">
        <w:rPr>
          <w:rFonts w:cs="Times New Roman"/>
          <w:i/>
          <w:lang w:val="en-GB"/>
        </w:rPr>
        <w:t>hyperopic</w:t>
      </w:r>
      <w:r w:rsidRPr="007048BA">
        <w:rPr>
          <w:rFonts w:cs="Times New Roman"/>
          <w:lang w:val="en-GB"/>
        </w:rPr>
        <w:t xml:space="preserve"> management teams are less likely to be takeover targets while firms with myopic management teams are more exposed to takeovers.</w:t>
      </w:r>
    </w:p>
    <w:p w14:paraId="08723128" w14:textId="1AA7BB68" w:rsidR="00CA299A" w:rsidRPr="007048BA" w:rsidRDefault="00CA299A" w:rsidP="00CA299A">
      <w:pPr>
        <w:ind w:firstLine="720"/>
        <w:rPr>
          <w:rFonts w:cs="Times New Roman"/>
          <w:b/>
          <w:i/>
          <w:lang w:val="en-GB"/>
        </w:rPr>
      </w:pPr>
      <w:r w:rsidRPr="007048BA">
        <w:rPr>
          <w:rFonts w:cs="Times New Roman"/>
          <w:b/>
          <w:i/>
          <w:lang w:val="en-GB"/>
        </w:rPr>
        <w:t>H2: Takeover likelihood increases</w:t>
      </w:r>
      <w:r w:rsidR="00046840" w:rsidRPr="007048BA">
        <w:rPr>
          <w:rFonts w:cs="Times New Roman"/>
          <w:b/>
          <w:i/>
          <w:lang w:val="en-GB"/>
        </w:rPr>
        <w:t xml:space="preserve"> (declines)</w:t>
      </w:r>
      <w:r w:rsidRPr="007048BA">
        <w:rPr>
          <w:rFonts w:cs="Times New Roman"/>
          <w:b/>
          <w:i/>
          <w:lang w:val="en-GB"/>
        </w:rPr>
        <w:t xml:space="preserve"> with </w:t>
      </w:r>
      <w:r w:rsidR="009E2183" w:rsidRPr="007048BA">
        <w:rPr>
          <w:rFonts w:cs="Times New Roman"/>
          <w:b/>
          <w:i/>
          <w:lang w:val="en-GB"/>
        </w:rPr>
        <w:t xml:space="preserve">management </w:t>
      </w:r>
      <w:r w:rsidR="00ED262D" w:rsidRPr="007048BA">
        <w:rPr>
          <w:rFonts w:cs="Times New Roman"/>
          <w:b/>
          <w:i/>
          <w:lang w:val="en-GB"/>
        </w:rPr>
        <w:t>myopia</w:t>
      </w:r>
      <w:r w:rsidRPr="007048BA">
        <w:rPr>
          <w:rFonts w:cs="Times New Roman"/>
          <w:b/>
          <w:i/>
          <w:lang w:val="en-GB"/>
        </w:rPr>
        <w:t xml:space="preserve"> </w:t>
      </w:r>
      <w:r w:rsidR="00046840" w:rsidRPr="007048BA">
        <w:rPr>
          <w:rFonts w:cs="Times New Roman"/>
          <w:b/>
          <w:i/>
          <w:lang w:val="en-GB"/>
        </w:rPr>
        <w:t>(</w:t>
      </w:r>
      <w:r w:rsidR="00ED262D" w:rsidRPr="007048BA">
        <w:rPr>
          <w:rFonts w:cs="Times New Roman"/>
          <w:b/>
          <w:i/>
          <w:lang w:val="en-GB"/>
        </w:rPr>
        <w:t>hyperopia</w:t>
      </w:r>
      <w:r w:rsidR="00046840" w:rsidRPr="007048BA">
        <w:rPr>
          <w:rFonts w:cs="Times New Roman"/>
          <w:b/>
          <w:i/>
          <w:lang w:val="en-GB"/>
        </w:rPr>
        <w:t>)</w:t>
      </w:r>
      <w:r w:rsidRPr="007048BA">
        <w:rPr>
          <w:rFonts w:cs="Times New Roman"/>
          <w:b/>
          <w:i/>
          <w:lang w:val="en-GB"/>
        </w:rPr>
        <w:t>.</w:t>
      </w:r>
    </w:p>
    <w:p w14:paraId="1FD48275" w14:textId="0382ADFC" w:rsidR="00CA299A" w:rsidRPr="007048BA" w:rsidRDefault="00CA299A" w:rsidP="00CA299A">
      <w:pPr>
        <w:pStyle w:val="Heading1"/>
        <w:keepNext w:val="0"/>
        <w:keepLines w:val="0"/>
        <w:numPr>
          <w:ilvl w:val="0"/>
          <w:numId w:val="7"/>
        </w:numPr>
        <w:autoSpaceDE w:val="0"/>
        <w:autoSpaceDN w:val="0"/>
        <w:adjustRightInd w:val="0"/>
        <w:spacing w:after="200" w:line="240" w:lineRule="auto"/>
        <w:ind w:left="544" w:hanging="544"/>
        <w:contextualSpacing/>
        <w:rPr>
          <w:lang w:val="en-GB"/>
        </w:rPr>
      </w:pPr>
      <w:r w:rsidRPr="007048BA">
        <w:rPr>
          <w:lang w:val="en-GB"/>
        </w:rPr>
        <w:t>Empirical method</w:t>
      </w:r>
      <w:r w:rsidR="00C72C14" w:rsidRPr="007048BA">
        <w:rPr>
          <w:lang w:val="en-GB"/>
        </w:rPr>
        <w:t>s</w:t>
      </w:r>
      <w:r w:rsidRPr="007048BA">
        <w:rPr>
          <w:lang w:val="en-GB"/>
        </w:rPr>
        <w:t xml:space="preserve"> </w:t>
      </w:r>
    </w:p>
    <w:p w14:paraId="369D7B73" w14:textId="72C6105B" w:rsidR="00CA299A" w:rsidRPr="007048BA" w:rsidRDefault="00CA299A" w:rsidP="00CA299A">
      <w:pPr>
        <w:pStyle w:val="Heading2"/>
        <w:ind w:left="805" w:hanging="805"/>
        <w:rPr>
          <w:lang w:val="en-GB"/>
        </w:rPr>
      </w:pPr>
      <w:r w:rsidRPr="007048BA">
        <w:rPr>
          <w:lang w:val="en-GB"/>
        </w:rPr>
        <w:t>3.1</w:t>
      </w:r>
      <w:r w:rsidRPr="007048BA">
        <w:rPr>
          <w:lang w:val="en-GB"/>
        </w:rPr>
        <w:tab/>
        <w:t xml:space="preserve">Developing the </w:t>
      </w:r>
      <w:r w:rsidR="00C72C14" w:rsidRPr="007048BA">
        <w:rPr>
          <w:lang w:val="en-GB"/>
        </w:rPr>
        <w:t xml:space="preserve">empirical </w:t>
      </w:r>
      <w:r w:rsidRPr="007048BA">
        <w:rPr>
          <w:lang w:val="en-GB"/>
        </w:rPr>
        <w:t>framework</w:t>
      </w:r>
    </w:p>
    <w:p w14:paraId="5295C66A" w14:textId="77723703" w:rsidR="00CA299A" w:rsidRPr="007048BA" w:rsidRDefault="00CA299A" w:rsidP="00CA299A">
      <w:pPr>
        <w:ind w:firstLine="720"/>
        <w:rPr>
          <w:rFonts w:cs="Times New Roman"/>
          <w:lang w:val="en-GB"/>
        </w:rPr>
      </w:pPr>
      <w:r w:rsidRPr="007048BA">
        <w:rPr>
          <w:rFonts w:cs="Times New Roman"/>
          <w:lang w:val="en-GB"/>
        </w:rPr>
        <w:t xml:space="preserve">We start by developing measures for our four </w:t>
      </w:r>
      <w:r w:rsidR="006B3320" w:rsidRPr="007048BA">
        <w:rPr>
          <w:rFonts w:cs="Times New Roman"/>
          <w:lang w:val="en-GB"/>
        </w:rPr>
        <w:t>attributes</w:t>
      </w:r>
      <w:r w:rsidRPr="007048BA">
        <w:rPr>
          <w:rFonts w:cs="Times New Roman"/>
          <w:lang w:val="en-GB"/>
        </w:rPr>
        <w:t xml:space="preserve"> of management performance; </w:t>
      </w:r>
      <w:r w:rsidR="00ED262D" w:rsidRPr="007048BA">
        <w:rPr>
          <w:rFonts w:cs="Times New Roman"/>
          <w:i/>
          <w:lang w:val="en-GB"/>
        </w:rPr>
        <w:t>poor</w:t>
      </w:r>
      <w:r w:rsidRPr="007048BA">
        <w:rPr>
          <w:rFonts w:cs="Times New Roman"/>
          <w:i/>
          <w:lang w:val="en-GB"/>
        </w:rPr>
        <w:t xml:space="preserve">, </w:t>
      </w:r>
      <w:r w:rsidR="00ED262D" w:rsidRPr="007048BA">
        <w:rPr>
          <w:rFonts w:cs="Times New Roman"/>
          <w:i/>
          <w:lang w:val="en-GB"/>
        </w:rPr>
        <w:t>myopia</w:t>
      </w:r>
      <w:r w:rsidRPr="007048BA">
        <w:rPr>
          <w:rFonts w:cs="Times New Roman"/>
          <w:i/>
          <w:lang w:val="en-GB"/>
        </w:rPr>
        <w:t xml:space="preserve">, </w:t>
      </w:r>
      <w:r w:rsidR="00ED262D" w:rsidRPr="007048BA">
        <w:rPr>
          <w:rFonts w:cs="Times New Roman"/>
          <w:i/>
          <w:lang w:val="en-GB"/>
        </w:rPr>
        <w:t>hyperopia</w:t>
      </w:r>
      <w:r w:rsidRPr="007048BA">
        <w:rPr>
          <w:rFonts w:cs="Times New Roman"/>
          <w:lang w:val="en-GB"/>
        </w:rPr>
        <w:t xml:space="preserve"> and </w:t>
      </w:r>
      <w:r w:rsidR="00ED262D" w:rsidRPr="007048BA">
        <w:rPr>
          <w:rFonts w:cs="Times New Roman"/>
          <w:i/>
          <w:lang w:val="en-GB"/>
        </w:rPr>
        <w:t>efficient</w:t>
      </w:r>
      <w:r w:rsidRPr="007048BA">
        <w:rPr>
          <w:rFonts w:cs="Times New Roman"/>
          <w:lang w:val="en-GB"/>
        </w:rPr>
        <w:t xml:space="preserve">. </w:t>
      </w:r>
      <w:r w:rsidR="00170105" w:rsidRPr="007048BA">
        <w:rPr>
          <w:rFonts w:cs="Times New Roman"/>
          <w:lang w:val="en-GB"/>
        </w:rPr>
        <w:t xml:space="preserve">As we will discuss, our data is obtained from </w:t>
      </w:r>
      <w:r w:rsidR="002B4EFC" w:rsidRPr="007048BA">
        <w:rPr>
          <w:rFonts w:cs="Times New Roman"/>
          <w:lang w:val="en-GB"/>
        </w:rPr>
        <w:t xml:space="preserve">Thomson </w:t>
      </w:r>
      <w:r w:rsidR="00170105" w:rsidRPr="007048BA">
        <w:rPr>
          <w:rFonts w:cs="Times New Roman"/>
          <w:lang w:val="en-GB"/>
        </w:rPr>
        <w:t>DataStream so we note</w:t>
      </w:r>
      <w:r w:rsidR="00DC5561" w:rsidRPr="007048BA">
        <w:rPr>
          <w:rFonts w:cs="Times New Roman"/>
          <w:lang w:val="en-GB"/>
        </w:rPr>
        <w:t xml:space="preserve"> </w:t>
      </w:r>
      <w:r w:rsidR="00170105" w:rsidRPr="007048BA">
        <w:rPr>
          <w:rFonts w:cs="Times New Roman"/>
          <w:lang w:val="en-GB"/>
        </w:rPr>
        <w:t xml:space="preserve">DataStream </w:t>
      </w:r>
      <w:r w:rsidR="00DC5561" w:rsidRPr="007048BA">
        <w:rPr>
          <w:rFonts w:cs="Times New Roman"/>
          <w:lang w:val="en-GB"/>
        </w:rPr>
        <w:t>variable</w:t>
      </w:r>
      <w:r w:rsidR="00170105" w:rsidRPr="007048BA">
        <w:rPr>
          <w:rFonts w:cs="Times New Roman"/>
          <w:lang w:val="en-GB"/>
        </w:rPr>
        <w:t xml:space="preserve"> codes in parenthesis. </w:t>
      </w:r>
      <w:r w:rsidRPr="007048BA">
        <w:rPr>
          <w:rFonts w:cs="Times New Roman"/>
          <w:lang w:val="en-GB"/>
        </w:rPr>
        <w:t>We use accounting and market measures of performance to capture two measures of management performance—historical (accounting) and future (market). Consistent with prior studies (e.g., Palepu, 1986, Brar et al., 2009, Danbolt et al., 2016), the return on capital employed (</w:t>
      </w:r>
      <w:r w:rsidRPr="007048BA">
        <w:rPr>
          <w:rFonts w:cs="Times New Roman"/>
          <w:iCs/>
          <w:lang w:val="en-GB"/>
        </w:rPr>
        <w:t>ROCE</w:t>
      </w:r>
      <w:r w:rsidRPr="007048BA">
        <w:rPr>
          <w:rFonts w:cs="Times New Roman"/>
          <w:lang w:val="en-GB"/>
        </w:rPr>
        <w:t>) and the average daily abnormal stock return (</w:t>
      </w:r>
      <w:r w:rsidRPr="007048BA">
        <w:rPr>
          <w:rFonts w:cs="Times New Roman"/>
          <w:iCs/>
          <w:lang w:val="en-GB"/>
        </w:rPr>
        <w:t>AAR</w:t>
      </w:r>
      <w:r w:rsidRPr="007048BA">
        <w:rPr>
          <w:rFonts w:cs="Times New Roman"/>
          <w:lang w:val="en-GB"/>
        </w:rPr>
        <w:t xml:space="preserve">) over the last year are used to measure management performance. ROCE is computed as the ratio of net operating income before tax and depreciation </w:t>
      </w:r>
      <w:r w:rsidR="00AE6A4F" w:rsidRPr="007048BA">
        <w:rPr>
          <w:rFonts w:cs="Times New Roman"/>
          <w:lang w:val="en-GB"/>
        </w:rPr>
        <w:t xml:space="preserve">or </w:t>
      </w:r>
      <w:r w:rsidRPr="007048BA">
        <w:rPr>
          <w:rFonts w:cs="Times New Roman"/>
          <w:iCs/>
          <w:lang w:val="en-GB"/>
        </w:rPr>
        <w:t>EBITDA</w:t>
      </w:r>
      <w:r w:rsidR="00AE6A4F" w:rsidRPr="007048BA">
        <w:rPr>
          <w:rFonts w:cs="Times New Roman"/>
          <w:iCs/>
          <w:lang w:val="en-GB"/>
        </w:rPr>
        <w:t xml:space="preserve"> (WC01250</w:t>
      </w:r>
      <w:r w:rsidRPr="007048BA">
        <w:rPr>
          <w:rFonts w:cs="Times New Roman"/>
          <w:lang w:val="en-GB"/>
        </w:rPr>
        <w:t>) to total capital employed</w:t>
      </w:r>
      <w:r w:rsidR="00AE6A4F" w:rsidRPr="007048BA">
        <w:rPr>
          <w:rFonts w:cs="Times New Roman"/>
          <w:lang w:val="en-GB"/>
        </w:rPr>
        <w:t xml:space="preserve"> (</w:t>
      </w:r>
      <w:r w:rsidR="00170105" w:rsidRPr="007048BA">
        <w:rPr>
          <w:rFonts w:cs="Times New Roman"/>
          <w:lang w:val="en-GB"/>
        </w:rPr>
        <w:t>WC03998</w:t>
      </w:r>
      <w:r w:rsidR="00AE6A4F" w:rsidRPr="007048BA">
        <w:rPr>
          <w:rFonts w:cs="Times New Roman"/>
          <w:lang w:val="en-GB"/>
        </w:rPr>
        <w:t>)</w:t>
      </w:r>
      <w:r w:rsidRPr="007048BA">
        <w:rPr>
          <w:rFonts w:cs="Times New Roman"/>
          <w:lang w:val="en-GB"/>
        </w:rPr>
        <w:t xml:space="preserve">. This ratio measures </w:t>
      </w:r>
      <w:r w:rsidRPr="007048BA">
        <w:rPr>
          <w:rFonts w:cs="Times New Roman"/>
          <w:lang w:val="en-GB"/>
        </w:rPr>
        <w:lastRenderedPageBreak/>
        <w:t>management’s success in utilising resources efficiently in the generation of profits through regular business operations in the previous period. The market measure of management performance is the average daily abnormal return (</w:t>
      </w:r>
      <w:r w:rsidRPr="007048BA">
        <w:rPr>
          <w:rFonts w:cs="Times New Roman"/>
          <w:iCs/>
          <w:lang w:val="en-GB"/>
        </w:rPr>
        <w:t>AAR</w:t>
      </w:r>
      <w:r w:rsidRPr="007048BA">
        <w:rPr>
          <w:rFonts w:cs="Times New Roman"/>
          <w:lang w:val="en-GB"/>
        </w:rPr>
        <w:t>)—a measure of a firm’s stock market performance. Daily abnormal returns (</w:t>
      </w:r>
      <w:r w:rsidRPr="007048BA">
        <w:rPr>
          <w:rFonts w:cs="Times New Roman"/>
          <w:iCs/>
          <w:lang w:val="en-GB"/>
        </w:rPr>
        <w:t>DAR</w:t>
      </w:r>
      <w:r w:rsidRPr="007048BA">
        <w:rPr>
          <w:rFonts w:cs="Times New Roman"/>
          <w:lang w:val="en-GB"/>
        </w:rPr>
        <w:t xml:space="preserve">) is computed from daily </w:t>
      </w:r>
      <w:r w:rsidR="00E10E12" w:rsidRPr="007048BA">
        <w:rPr>
          <w:rFonts w:cs="Times New Roman"/>
          <w:lang w:val="en-GB"/>
        </w:rPr>
        <w:t>return</w:t>
      </w:r>
      <w:r w:rsidRPr="007048BA">
        <w:rPr>
          <w:rFonts w:cs="Times New Roman"/>
          <w:lang w:val="en-GB"/>
        </w:rPr>
        <w:t xml:space="preserve"> index</w:t>
      </w:r>
      <w:r w:rsidR="00170105" w:rsidRPr="007048BA">
        <w:rPr>
          <w:rFonts w:cs="Times New Roman"/>
          <w:lang w:val="en-GB"/>
        </w:rPr>
        <w:t xml:space="preserve"> (RI)</w:t>
      </w:r>
      <w:r w:rsidRPr="007048BA">
        <w:rPr>
          <w:rFonts w:cs="Times New Roman"/>
          <w:lang w:val="en-GB"/>
        </w:rPr>
        <w:t xml:space="preserve"> data using the OLS market model (Brown and Warner, 1985) </w:t>
      </w:r>
      <w:r w:rsidR="00C471DF" w:rsidRPr="007048BA">
        <w:rPr>
          <w:rFonts w:cs="Times New Roman"/>
          <w:lang w:val="en-GB"/>
        </w:rPr>
        <w:t xml:space="preserve">in </w:t>
      </w:r>
      <w:r w:rsidR="0022579D" w:rsidRPr="007048BA">
        <w:rPr>
          <w:rFonts w:cs="Times New Roman"/>
          <w:lang w:val="en-GB"/>
        </w:rPr>
        <w:t>e</w:t>
      </w:r>
      <w:r w:rsidR="00C471DF" w:rsidRPr="007048BA">
        <w:rPr>
          <w:rFonts w:cs="Times New Roman"/>
          <w:lang w:val="en-GB"/>
        </w:rPr>
        <w:t xml:space="preserve">quation (1) </w:t>
      </w:r>
      <w:r w:rsidRPr="007048BA">
        <w:rPr>
          <w:rFonts w:cs="Times New Roman"/>
          <w:lang w:val="en-GB"/>
        </w:rPr>
        <w:t xml:space="preserve">below. </w:t>
      </w:r>
    </w:p>
    <w:tbl>
      <w:tblPr>
        <w:tblW w:w="5000" w:type="pct"/>
        <w:tblBorders>
          <w:insideH w:val="single" w:sz="4" w:space="0" w:color="000000" w:themeColor="text1"/>
        </w:tblBorders>
        <w:tblLook w:val="04A0" w:firstRow="1" w:lastRow="0" w:firstColumn="1" w:lastColumn="0" w:noHBand="0" w:noVBand="1"/>
      </w:tblPr>
      <w:tblGrid>
        <w:gridCol w:w="728"/>
        <w:gridCol w:w="8743"/>
        <w:gridCol w:w="728"/>
      </w:tblGrid>
      <w:tr w:rsidR="00CA299A" w:rsidRPr="007048BA" w14:paraId="2089968C" w14:textId="77777777" w:rsidTr="00DE254A">
        <w:tc>
          <w:tcPr>
            <w:tcW w:w="350" w:type="pct"/>
            <w:shd w:val="clear" w:color="auto" w:fill="auto"/>
            <w:vAlign w:val="center"/>
          </w:tcPr>
          <w:p w14:paraId="56E9AFF7" w14:textId="77777777" w:rsidR="00CA299A" w:rsidRPr="007048BA" w:rsidRDefault="00CA299A" w:rsidP="00DE254A">
            <w:pPr>
              <w:ind w:firstLine="0"/>
              <w:rPr>
                <w:rFonts w:cs="Times New Roman"/>
                <w:lang w:val="en-GB"/>
              </w:rPr>
            </w:pPr>
          </w:p>
        </w:tc>
        <w:tc>
          <w:tcPr>
            <w:tcW w:w="4200" w:type="pct"/>
            <w:shd w:val="clear" w:color="auto" w:fill="auto"/>
            <w:vAlign w:val="center"/>
          </w:tcPr>
          <w:p w14:paraId="5E10804E" w14:textId="77777777" w:rsidR="00CA299A" w:rsidRPr="007048BA" w:rsidRDefault="007048BA" w:rsidP="004B243E">
            <w:pPr>
              <w:ind w:firstLine="0"/>
              <w:rPr>
                <w:rFonts w:cs="Times New Roman"/>
                <w:lang w:val="en-GB"/>
              </w:rPr>
            </w:pPr>
            <m:oMathPara>
              <m:oMath>
                <m:sSub>
                  <m:sSubPr>
                    <m:ctrlPr>
                      <w:rPr>
                        <w:rFonts w:ascii="Cambria Math" w:hAnsi="Cambria Math" w:cs="Times New Roman"/>
                        <w:i/>
                        <w:lang w:val="en-GB"/>
                      </w:rPr>
                    </m:ctrlPr>
                  </m:sSubPr>
                  <m:e>
                    <m:r>
                      <w:rPr>
                        <w:rFonts w:ascii="Cambria Math" w:hAnsi="Cambria Math" w:cs="Times New Roman"/>
                        <w:lang w:val="en-GB"/>
                      </w:rPr>
                      <m:t>DAR</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it</m:t>
                    </m:r>
                  </m:sub>
                </m:sSub>
                <m:r>
                  <w:rPr>
                    <w:rFonts w:ascii="Cambria Math" w:hAnsi="Cambria Math" w:cs="Times New Roman"/>
                    <w:lang w:val="en-GB"/>
                  </w:rPr>
                  <m:t>-</m:t>
                </m:r>
                <m:d>
                  <m:dPr>
                    <m:ctrlPr>
                      <w:rPr>
                        <w:rFonts w:ascii="Cambria Math" w:hAnsi="Cambria Math" w:cs="Times New Roman"/>
                        <w:i/>
                        <w:lang w:val="en-GB"/>
                      </w:rPr>
                    </m:ctrlPr>
                  </m:dPr>
                  <m:e>
                    <m:sSub>
                      <m:sSubPr>
                        <m:ctrlPr>
                          <w:rPr>
                            <w:rFonts w:ascii="Cambria Math" w:hAnsi="Cambria Math" w:cs="Times New Roman"/>
                            <w:i/>
                            <w:lang w:val="en-GB"/>
                          </w:rPr>
                        </m:ctrlPr>
                      </m:sSubPr>
                      <m:e>
                        <m:acc>
                          <m:accPr>
                            <m:ctrlPr>
                              <w:rPr>
                                <w:rFonts w:ascii="Cambria Math" w:hAnsi="Cambria Math" w:cs="Times New Roman"/>
                                <w:i/>
                                <w:lang w:val="en-GB"/>
                              </w:rPr>
                            </m:ctrlPr>
                          </m:accPr>
                          <m:e>
                            <m:r>
                              <w:rPr>
                                <w:rFonts w:ascii="Cambria Math" w:hAnsi="Cambria Math" w:cs="Times New Roman"/>
                                <w:lang w:val="en-GB"/>
                              </w:rPr>
                              <m:t>α</m:t>
                            </m:r>
                          </m:e>
                        </m:acc>
                      </m:e>
                      <m:sub>
                        <m:r>
                          <w:rPr>
                            <w:rFonts w:ascii="Cambria Math" w:hAnsi="Cambria Math" w:cs="Times New Roman"/>
                            <w:lang w:val="en-GB"/>
                          </w:rPr>
                          <m:t>i</m:t>
                        </m:r>
                      </m:sub>
                    </m:sSub>
                    <m:r>
                      <w:rPr>
                        <w:rFonts w:ascii="Cambria Math" w:hAnsi="Cambria Math" w:cs="Times New Roman"/>
                        <w:lang w:val="en-GB"/>
                      </w:rPr>
                      <m:t>+</m:t>
                    </m:r>
                    <m:sSub>
                      <m:sSubPr>
                        <m:ctrlPr>
                          <w:rPr>
                            <w:rFonts w:ascii="Cambria Math" w:hAnsi="Cambria Math" w:cs="Times New Roman"/>
                            <w:i/>
                            <w:lang w:val="en-GB"/>
                          </w:rPr>
                        </m:ctrlPr>
                      </m:sSubPr>
                      <m:e>
                        <m:acc>
                          <m:accPr>
                            <m:ctrlPr>
                              <w:rPr>
                                <w:rFonts w:ascii="Cambria Math" w:hAnsi="Cambria Math" w:cs="Times New Roman"/>
                                <w:i/>
                                <w:lang w:val="en-GB"/>
                              </w:rPr>
                            </m:ctrlPr>
                          </m:accPr>
                          <m:e>
                            <m:r>
                              <w:rPr>
                                <w:rFonts w:ascii="Cambria Math" w:hAnsi="Cambria Math" w:cs="Times New Roman"/>
                                <w:lang w:val="en-GB"/>
                              </w:rPr>
                              <m:t>β</m:t>
                            </m:r>
                          </m:e>
                        </m:acc>
                      </m:e>
                      <m:sub>
                        <m:r>
                          <w:rPr>
                            <w:rFonts w:ascii="Cambria Math" w:hAnsi="Cambria Math" w:cs="Times New Roman"/>
                            <w:lang w:val="en-GB"/>
                          </w:rPr>
                          <m:t>i</m:t>
                        </m:r>
                      </m:sub>
                    </m:sSub>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mt</m:t>
                        </m:r>
                      </m:sub>
                    </m:sSub>
                  </m:e>
                </m:d>
              </m:oMath>
            </m:oMathPara>
          </w:p>
        </w:tc>
        <w:tc>
          <w:tcPr>
            <w:tcW w:w="350" w:type="pct"/>
            <w:shd w:val="clear" w:color="auto" w:fill="auto"/>
            <w:vAlign w:val="center"/>
          </w:tcPr>
          <w:p w14:paraId="3A17078E" w14:textId="77777777" w:rsidR="00CA299A" w:rsidRPr="007048BA" w:rsidRDefault="00CA299A" w:rsidP="004B243E">
            <w:pPr>
              <w:ind w:firstLine="0"/>
              <w:rPr>
                <w:rFonts w:cs="Times New Roman"/>
                <w:lang w:val="en-GB"/>
              </w:rPr>
            </w:pPr>
            <w:r w:rsidRPr="007048BA">
              <w:rPr>
                <w:rFonts w:cs="Times New Roman"/>
                <w:lang w:val="en-GB"/>
              </w:rPr>
              <w:fldChar w:fldCharType="begin"/>
            </w:r>
            <w:r w:rsidRPr="007048BA">
              <w:rPr>
                <w:rFonts w:cs="Times New Roman"/>
                <w:lang w:val="en-GB"/>
              </w:rPr>
              <w:instrText xml:space="preserve"> LISTNUM "WMeq" "NumberDefault" \L 4 </w:instrText>
            </w:r>
            <w:r w:rsidRPr="007048BA">
              <w:rPr>
                <w:rFonts w:cs="Times New Roman"/>
                <w:lang w:val="en-GB"/>
              </w:rPr>
              <w:fldChar w:fldCharType="end"/>
            </w:r>
          </w:p>
        </w:tc>
      </w:tr>
    </w:tbl>
    <w:p w14:paraId="59614908" w14:textId="229FEA6E" w:rsidR="00CA299A" w:rsidRPr="007048BA" w:rsidRDefault="00CA299A" w:rsidP="00AB041F">
      <w:pPr>
        <w:ind w:firstLine="720"/>
        <w:rPr>
          <w:rFonts w:cs="Times New Roman"/>
          <w:lang w:val="en-GB"/>
        </w:rPr>
      </w:pPr>
      <w:r w:rsidRPr="007048BA">
        <w:rPr>
          <w:rFonts w:cs="Times New Roman"/>
          <w:i/>
          <w:lang w:val="en-GB"/>
        </w:rPr>
        <w:t>DAR</w:t>
      </w:r>
      <w:r w:rsidRPr="007048BA">
        <w:rPr>
          <w:rFonts w:cs="Times New Roman"/>
          <w:lang w:val="en-GB"/>
        </w:rPr>
        <w:t xml:space="preserve"> for a firm </w:t>
      </w:r>
      <w:r w:rsidRPr="007048BA">
        <w:rPr>
          <w:rFonts w:cs="Times New Roman"/>
          <w:i/>
          <w:iCs/>
          <w:lang w:val="en-GB"/>
        </w:rPr>
        <w:t>i</w:t>
      </w:r>
      <w:r w:rsidRPr="007048BA">
        <w:rPr>
          <w:rFonts w:cs="Times New Roman"/>
          <w:lang w:val="en-GB"/>
        </w:rPr>
        <w:t xml:space="preserve"> at time </w:t>
      </w:r>
      <w:r w:rsidRPr="007048BA">
        <w:rPr>
          <w:rFonts w:cs="Times New Roman"/>
          <w:i/>
          <w:iCs/>
          <w:lang w:val="en-GB"/>
        </w:rPr>
        <w:t>t</w:t>
      </w:r>
      <w:r w:rsidRPr="007048BA">
        <w:rPr>
          <w:rFonts w:cs="Times New Roman"/>
          <w:lang w:val="en-GB"/>
        </w:rPr>
        <w:t xml:space="preserve"> is given by the difference between the firm’s actual stock return (</w:t>
      </w:r>
      <m:oMath>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it</m:t>
            </m:r>
          </m:sub>
        </m:sSub>
        <m:r>
          <w:rPr>
            <w:rFonts w:ascii="Cambria Math" w:hAnsi="Cambria Math" w:cs="Times New Roman"/>
            <w:lang w:val="en-GB"/>
          </w:rPr>
          <m:t xml:space="preserve">) </m:t>
        </m:r>
      </m:oMath>
      <w:r w:rsidRPr="007048BA">
        <w:rPr>
          <w:rFonts w:cs="Times New Roman"/>
          <w:lang w:val="en-GB"/>
        </w:rPr>
        <w:t xml:space="preserve">and expected stock return </w:t>
      </w:r>
      <m:oMath>
        <m:d>
          <m:dPr>
            <m:ctrlPr>
              <w:rPr>
                <w:rFonts w:ascii="Cambria Math" w:hAnsi="Cambria Math" w:cs="Times New Roman"/>
                <w:lang w:val="en-GB"/>
              </w:rPr>
            </m:ctrlPr>
          </m:dPr>
          <m:e>
            <m:sSub>
              <m:sSubPr>
                <m:ctrlPr>
                  <w:rPr>
                    <w:rFonts w:ascii="Cambria Math" w:hAnsi="Cambria Math" w:cs="Times New Roman"/>
                    <w:i/>
                    <w:iCs/>
                    <w:lang w:val="en-GB"/>
                  </w:rPr>
                </m:ctrlPr>
              </m:sSubPr>
              <m:e>
                <m:acc>
                  <m:accPr>
                    <m:ctrlPr>
                      <w:rPr>
                        <w:rFonts w:ascii="Cambria Math" w:hAnsi="Cambria Math" w:cs="Times New Roman"/>
                        <w:i/>
                        <w:iCs/>
                        <w:lang w:val="en-GB"/>
                      </w:rPr>
                    </m:ctrlPr>
                  </m:accPr>
                  <m:e>
                    <m:r>
                      <w:rPr>
                        <w:rFonts w:ascii="Cambria Math" w:hAnsi="Cambria Math" w:cs="Times New Roman"/>
                        <w:lang w:val="en-GB"/>
                      </w:rPr>
                      <m:t>∝</m:t>
                    </m:r>
                  </m:e>
                </m:acc>
              </m:e>
              <m:sub>
                <m:r>
                  <w:rPr>
                    <w:rFonts w:ascii="Cambria Math" w:hAnsi="Cambria Math" w:cs="Times New Roman"/>
                    <w:lang w:val="en-GB"/>
                  </w:rPr>
                  <m:t>i</m:t>
                </m:r>
              </m:sub>
            </m:sSub>
            <m:r>
              <w:rPr>
                <w:rFonts w:ascii="Cambria Math" w:hAnsi="Cambria Math" w:cs="Times New Roman"/>
                <w:lang w:val="en-GB"/>
              </w:rPr>
              <m:t>+</m:t>
            </m:r>
            <m:sSub>
              <m:sSubPr>
                <m:ctrlPr>
                  <w:rPr>
                    <w:rFonts w:ascii="Cambria Math" w:hAnsi="Cambria Math" w:cs="Times New Roman"/>
                    <w:i/>
                    <w:iCs/>
                    <w:lang w:val="en-GB"/>
                  </w:rPr>
                </m:ctrlPr>
              </m:sSubPr>
              <m:e>
                <m:acc>
                  <m:accPr>
                    <m:ctrlPr>
                      <w:rPr>
                        <w:rFonts w:ascii="Cambria Math" w:hAnsi="Cambria Math" w:cs="Times New Roman"/>
                        <w:i/>
                        <w:iCs/>
                        <w:lang w:val="en-GB"/>
                      </w:rPr>
                    </m:ctrlPr>
                  </m:accPr>
                  <m:e>
                    <m:r>
                      <w:rPr>
                        <w:rFonts w:ascii="Cambria Math" w:hAnsi="Cambria Math" w:cs="Times New Roman"/>
                        <w:lang w:val="en-GB"/>
                      </w:rPr>
                      <m:t>β</m:t>
                    </m:r>
                  </m:e>
                </m:acc>
              </m:e>
              <m:sub>
                <m:r>
                  <w:rPr>
                    <w:rFonts w:ascii="Cambria Math" w:hAnsi="Cambria Math" w:cs="Times New Roman"/>
                    <w:lang w:val="en-GB"/>
                  </w:rPr>
                  <m:t>i</m:t>
                </m:r>
              </m:sub>
            </m:sSub>
            <m:sSub>
              <m:sSubPr>
                <m:ctrlPr>
                  <w:rPr>
                    <w:rFonts w:ascii="Cambria Math" w:hAnsi="Cambria Math" w:cs="Times New Roman"/>
                    <w:i/>
                    <w:iCs/>
                    <w:lang w:val="en-GB"/>
                  </w:rPr>
                </m:ctrlPr>
              </m:sSubPr>
              <m:e>
                <m:r>
                  <w:rPr>
                    <w:rFonts w:ascii="Cambria Math" w:hAnsi="Cambria Math" w:cs="Times New Roman"/>
                    <w:lang w:val="en-GB"/>
                  </w:rPr>
                  <m:t>R</m:t>
                </m:r>
              </m:e>
              <m:sub>
                <m:r>
                  <w:rPr>
                    <w:rFonts w:ascii="Cambria Math" w:hAnsi="Cambria Math" w:cs="Times New Roman"/>
                    <w:lang w:val="en-GB"/>
                  </w:rPr>
                  <m:t>mt</m:t>
                </m:r>
              </m:sub>
            </m:sSub>
          </m:e>
        </m:d>
      </m:oMath>
      <w:r w:rsidR="00AB041F" w:rsidRPr="007048BA">
        <w:rPr>
          <w:rFonts w:cs="Times New Roman"/>
          <w:i/>
          <w:iCs/>
          <w:lang w:val="en-GB"/>
        </w:rPr>
        <w:t xml:space="preserve"> </w:t>
      </w:r>
      <w:r w:rsidR="00AB041F" w:rsidRPr="007048BA">
        <w:rPr>
          <w:rFonts w:cs="Times New Roman"/>
          <w:lang w:val="en-GB"/>
        </w:rPr>
        <w:t xml:space="preserve">at time, </w:t>
      </w:r>
      <w:r w:rsidR="00AB041F" w:rsidRPr="007048BA">
        <w:rPr>
          <w:rFonts w:cs="Times New Roman"/>
          <w:i/>
          <w:iCs/>
          <w:lang w:val="en-GB"/>
        </w:rPr>
        <w:t>t</w:t>
      </w:r>
      <w:r w:rsidR="00AB041F" w:rsidRPr="007048BA">
        <w:rPr>
          <w:rFonts w:cs="Times New Roman"/>
          <w:lang w:val="en-GB"/>
        </w:rPr>
        <w:t>. The simple return</w:t>
      </w:r>
      <w:r w:rsidRPr="007048BA">
        <w:rPr>
          <w:rFonts w:cs="Times New Roman"/>
          <w:lang w:val="en-GB"/>
        </w:rPr>
        <w:t xml:space="preserve"> for each firm</w:t>
      </w:r>
      <w:r w:rsidRPr="007048BA">
        <w:rPr>
          <w:rFonts w:cs="Times New Roman"/>
          <w:i/>
          <w:lang w:val="en-GB"/>
        </w:rPr>
        <w:t xml:space="preserve"> i</w:t>
      </w:r>
      <w:r w:rsidRPr="007048BA">
        <w:rPr>
          <w:rFonts w:cs="Times New Roman"/>
          <w:lang w:val="en-GB"/>
        </w:rPr>
        <w:t xml:space="preserve"> on day </w:t>
      </w:r>
      <w:r w:rsidRPr="007048BA">
        <w:rPr>
          <w:rFonts w:cs="Times New Roman"/>
          <w:i/>
          <w:lang w:val="en-GB"/>
        </w:rPr>
        <w:t>t</w:t>
      </w:r>
      <w:r w:rsidRPr="007048BA">
        <w:rPr>
          <w:rFonts w:cs="Times New Roman"/>
          <w:lang w:val="en-GB"/>
        </w:rPr>
        <w:t xml:space="preserve"> (denoted </w:t>
      </w:r>
      <m:oMath>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it</m:t>
            </m:r>
          </m:sub>
        </m:sSub>
      </m:oMath>
      <w:r w:rsidRPr="007048BA">
        <w:rPr>
          <w:rFonts w:cs="Times New Roman"/>
          <w:lang w:val="en-GB"/>
        </w:rPr>
        <w:t xml:space="preserve">) and the market </w:t>
      </w:r>
      <w:r w:rsidRPr="007048BA">
        <w:rPr>
          <w:rFonts w:cs="Times New Roman"/>
          <w:i/>
          <w:iCs/>
          <w:lang w:val="en-GB"/>
        </w:rPr>
        <w:t xml:space="preserve">m </w:t>
      </w:r>
      <w:r w:rsidRPr="007048BA">
        <w:rPr>
          <w:rFonts w:cs="Times New Roman"/>
          <w:lang w:val="en-GB"/>
        </w:rPr>
        <w:t xml:space="preserve">on day </w:t>
      </w:r>
      <w:r w:rsidRPr="007048BA">
        <w:rPr>
          <w:rFonts w:cs="Times New Roman"/>
          <w:i/>
          <w:lang w:val="en-GB"/>
        </w:rPr>
        <w:t>t</w:t>
      </w:r>
      <w:r w:rsidRPr="007048BA">
        <w:rPr>
          <w:rFonts w:cs="Times New Roman"/>
          <w:lang w:val="en-GB"/>
        </w:rPr>
        <w:t xml:space="preserve"> (denoted </w:t>
      </w:r>
      <m:oMath>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mt</m:t>
            </m:r>
          </m:sub>
        </m:sSub>
      </m:oMath>
      <w:r w:rsidRPr="007048BA">
        <w:rPr>
          <w:rFonts w:cs="Times New Roman"/>
          <w:lang w:val="en-GB"/>
        </w:rPr>
        <w:t>) are first computed. The daily return of the FTSE All-Share (</w:t>
      </w:r>
      <m:oMath>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mt</m:t>
            </m:r>
          </m:sub>
        </m:sSub>
        <m:r>
          <w:rPr>
            <w:rFonts w:ascii="Cambria Math" w:hAnsi="Cambria Math" w:cs="Times New Roman"/>
            <w:lang w:val="en-GB"/>
          </w:rPr>
          <m:t>)</m:t>
        </m:r>
      </m:oMath>
      <w:r w:rsidRPr="007048BA">
        <w:rPr>
          <w:rFonts w:cs="Times New Roman"/>
          <w:lang w:val="en-GB"/>
        </w:rPr>
        <w:t xml:space="preserve"> is used as a proxy for the daily market returns. Next, </w:t>
      </w:r>
      <m:oMath>
        <m:sSub>
          <m:sSubPr>
            <m:ctrlPr>
              <w:rPr>
                <w:rFonts w:ascii="Cambria Math" w:hAnsi="Cambria Math" w:cs="Times New Roman"/>
                <w:i/>
                <w:iCs/>
                <w:lang w:val="en-GB"/>
              </w:rPr>
            </m:ctrlPr>
          </m:sSubPr>
          <m:e>
            <m:acc>
              <m:accPr>
                <m:ctrlPr>
                  <w:rPr>
                    <w:rFonts w:ascii="Cambria Math" w:hAnsi="Cambria Math" w:cs="Times New Roman"/>
                    <w:i/>
                    <w:iCs/>
                    <w:lang w:val="en-GB"/>
                  </w:rPr>
                </m:ctrlPr>
              </m:accPr>
              <m:e>
                <m:r>
                  <w:rPr>
                    <w:rFonts w:ascii="Cambria Math" w:hAnsi="Cambria Math" w:cs="Times New Roman"/>
                    <w:lang w:val="en-GB"/>
                  </w:rPr>
                  <m:t>∝</m:t>
                </m:r>
              </m:e>
            </m:acc>
          </m:e>
          <m:sub>
            <m:r>
              <w:rPr>
                <w:rFonts w:ascii="Cambria Math" w:hAnsi="Cambria Math" w:cs="Times New Roman"/>
                <w:lang w:val="en-GB"/>
              </w:rPr>
              <m:t>i</m:t>
            </m:r>
          </m:sub>
        </m:sSub>
      </m:oMath>
      <w:r w:rsidRPr="007048BA">
        <w:rPr>
          <w:rFonts w:cs="Times New Roman"/>
          <w:iCs/>
          <w:lang w:val="en-GB"/>
        </w:rPr>
        <w:t xml:space="preserve"> and </w:t>
      </w:r>
      <m:oMath>
        <m:sSub>
          <m:sSubPr>
            <m:ctrlPr>
              <w:rPr>
                <w:rFonts w:ascii="Cambria Math" w:hAnsi="Cambria Math" w:cs="Times New Roman"/>
                <w:i/>
                <w:iCs/>
                <w:lang w:val="en-GB"/>
              </w:rPr>
            </m:ctrlPr>
          </m:sSubPr>
          <m:e>
            <m:acc>
              <m:accPr>
                <m:ctrlPr>
                  <w:rPr>
                    <w:rFonts w:ascii="Cambria Math" w:hAnsi="Cambria Math" w:cs="Times New Roman"/>
                    <w:i/>
                    <w:iCs/>
                    <w:lang w:val="en-GB"/>
                  </w:rPr>
                </m:ctrlPr>
              </m:accPr>
              <m:e>
                <m:r>
                  <w:rPr>
                    <w:rFonts w:ascii="Cambria Math" w:hAnsi="Cambria Math" w:cs="Times New Roman"/>
                    <w:lang w:val="en-GB"/>
                  </w:rPr>
                  <m:t>β</m:t>
                </m:r>
              </m:e>
            </m:acc>
          </m:e>
          <m:sub>
            <m:r>
              <w:rPr>
                <w:rFonts w:ascii="Cambria Math" w:hAnsi="Cambria Math" w:cs="Times New Roman"/>
                <w:lang w:val="en-GB"/>
              </w:rPr>
              <m:t>i</m:t>
            </m:r>
          </m:sub>
        </m:sSub>
      </m:oMath>
      <w:r w:rsidRPr="007048BA">
        <w:rPr>
          <w:rFonts w:cs="Times New Roman"/>
          <w:iCs/>
          <w:lang w:val="en-GB"/>
        </w:rPr>
        <w:t xml:space="preserve"> are estimated by using data in the previous period</w:t>
      </w:r>
      <w:r w:rsidR="00C72C14" w:rsidRPr="007048BA">
        <w:rPr>
          <w:rFonts w:cs="Times New Roman"/>
          <w:iCs/>
          <w:lang w:val="en-GB"/>
        </w:rPr>
        <w:t xml:space="preserve">, </w:t>
      </w:r>
      <w:r w:rsidR="00C72C14" w:rsidRPr="007048BA">
        <w:rPr>
          <w:rFonts w:cs="Times New Roman"/>
          <w:i/>
          <w:iCs/>
          <w:lang w:val="en-GB"/>
        </w:rPr>
        <w:t>t-1</w:t>
      </w:r>
      <w:r w:rsidRPr="007048BA">
        <w:rPr>
          <w:rFonts w:cs="Times New Roman"/>
          <w:iCs/>
          <w:lang w:val="en-GB"/>
        </w:rPr>
        <w:t xml:space="preserve"> (</w:t>
      </w:r>
      <w:r w:rsidR="00C72C14" w:rsidRPr="007048BA">
        <w:rPr>
          <w:rFonts w:cs="Times New Roman"/>
          <w:iCs/>
          <w:lang w:val="en-GB"/>
        </w:rPr>
        <w:t xml:space="preserve">i.e., </w:t>
      </w:r>
      <w:r w:rsidRPr="007048BA">
        <w:rPr>
          <w:rFonts w:cs="Times New Roman"/>
          <w:iCs/>
          <w:lang w:val="en-GB"/>
        </w:rPr>
        <w:t xml:space="preserve">260 trading days). Each firm’s daily stock returns in the previous period is regressed on its daily market returns and the coefficients of the regression model are used as estimates of </w:t>
      </w:r>
      <m:oMath>
        <m:sSub>
          <m:sSubPr>
            <m:ctrlPr>
              <w:rPr>
                <w:rFonts w:ascii="Cambria Math" w:hAnsi="Cambria Math" w:cs="Times New Roman"/>
                <w:i/>
                <w:iCs/>
                <w:lang w:val="en-GB"/>
              </w:rPr>
            </m:ctrlPr>
          </m:sSubPr>
          <m:e>
            <m:acc>
              <m:accPr>
                <m:ctrlPr>
                  <w:rPr>
                    <w:rFonts w:ascii="Cambria Math" w:hAnsi="Cambria Math" w:cs="Times New Roman"/>
                    <w:i/>
                    <w:iCs/>
                    <w:lang w:val="en-GB"/>
                  </w:rPr>
                </m:ctrlPr>
              </m:accPr>
              <m:e>
                <m:r>
                  <w:rPr>
                    <w:rFonts w:ascii="Cambria Math" w:hAnsi="Cambria Math" w:cs="Times New Roman"/>
                    <w:lang w:val="en-GB"/>
                  </w:rPr>
                  <m:t>∝</m:t>
                </m:r>
              </m:e>
            </m:acc>
          </m:e>
          <m:sub>
            <m:r>
              <w:rPr>
                <w:rFonts w:ascii="Cambria Math" w:hAnsi="Cambria Math" w:cs="Times New Roman"/>
                <w:lang w:val="en-GB"/>
              </w:rPr>
              <m:t>i</m:t>
            </m:r>
          </m:sub>
        </m:sSub>
      </m:oMath>
      <w:r w:rsidRPr="007048BA">
        <w:rPr>
          <w:rFonts w:cs="Times New Roman"/>
          <w:iCs/>
          <w:lang w:val="en-GB"/>
        </w:rPr>
        <w:t xml:space="preserve"> and </w:t>
      </w:r>
      <m:oMath>
        <m:sSub>
          <m:sSubPr>
            <m:ctrlPr>
              <w:rPr>
                <w:rFonts w:ascii="Cambria Math" w:hAnsi="Cambria Math" w:cs="Times New Roman"/>
                <w:i/>
                <w:iCs/>
                <w:lang w:val="en-GB"/>
              </w:rPr>
            </m:ctrlPr>
          </m:sSubPr>
          <m:e>
            <m:acc>
              <m:accPr>
                <m:ctrlPr>
                  <w:rPr>
                    <w:rFonts w:ascii="Cambria Math" w:hAnsi="Cambria Math" w:cs="Times New Roman"/>
                    <w:i/>
                    <w:iCs/>
                    <w:lang w:val="en-GB"/>
                  </w:rPr>
                </m:ctrlPr>
              </m:accPr>
              <m:e>
                <m:r>
                  <w:rPr>
                    <w:rFonts w:ascii="Cambria Math" w:hAnsi="Cambria Math" w:cs="Times New Roman"/>
                    <w:lang w:val="en-GB"/>
                  </w:rPr>
                  <m:t>β</m:t>
                </m:r>
              </m:e>
            </m:acc>
          </m:e>
          <m:sub>
            <m:r>
              <w:rPr>
                <w:rFonts w:ascii="Cambria Math" w:hAnsi="Cambria Math" w:cs="Times New Roman"/>
                <w:lang w:val="en-GB"/>
              </w:rPr>
              <m:t>i</m:t>
            </m:r>
          </m:sub>
        </m:sSub>
      </m:oMath>
      <w:r w:rsidRPr="007048BA">
        <w:rPr>
          <w:rFonts w:cs="Times New Roman"/>
          <w:lang w:val="en-GB"/>
        </w:rPr>
        <w:t xml:space="preserve"> in the current period. </w:t>
      </w:r>
      <w:r w:rsidR="00AB041F" w:rsidRPr="007048BA">
        <w:rPr>
          <w:rFonts w:cs="Times New Roman"/>
          <w:lang w:val="en-GB"/>
        </w:rPr>
        <w:t xml:space="preserve">The </w:t>
      </w:r>
      <w:r w:rsidR="00EC2CF3" w:rsidRPr="007048BA">
        <w:rPr>
          <w:rFonts w:cs="Times New Roman"/>
          <w:i/>
          <w:lang w:val="en-GB"/>
        </w:rPr>
        <w:t>DAR</w:t>
      </w:r>
      <w:r w:rsidR="00EC2CF3" w:rsidRPr="007048BA">
        <w:rPr>
          <w:rFonts w:cs="Times New Roman"/>
          <w:lang w:val="en-GB"/>
        </w:rPr>
        <w:t xml:space="preserve"> </w:t>
      </w:r>
      <w:r w:rsidR="00E10E12" w:rsidRPr="007048BA">
        <w:rPr>
          <w:rFonts w:cs="Times New Roman"/>
          <w:lang w:val="en-GB"/>
        </w:rPr>
        <w:t>over the 260 days are</w:t>
      </w:r>
      <w:r w:rsidR="00EC2CF3" w:rsidRPr="007048BA">
        <w:rPr>
          <w:rFonts w:cs="Times New Roman"/>
          <w:lang w:val="en-GB"/>
        </w:rPr>
        <w:t xml:space="preserve"> </w:t>
      </w:r>
      <w:r w:rsidR="00E10E12" w:rsidRPr="007048BA">
        <w:rPr>
          <w:rFonts w:cs="Times New Roman"/>
          <w:lang w:val="en-GB"/>
        </w:rPr>
        <w:t>averaged</w:t>
      </w:r>
      <w:r w:rsidR="00EC2CF3" w:rsidRPr="007048BA">
        <w:rPr>
          <w:rFonts w:cs="Times New Roman"/>
          <w:lang w:val="en-GB"/>
        </w:rPr>
        <w:t xml:space="preserve"> to obtain</w:t>
      </w:r>
      <w:r w:rsidR="00E10E12" w:rsidRPr="007048BA">
        <w:rPr>
          <w:rFonts w:cs="Times New Roman"/>
          <w:lang w:val="en-GB"/>
        </w:rPr>
        <w:t xml:space="preserve"> the</w:t>
      </w:r>
      <w:r w:rsidR="00EC2CF3" w:rsidRPr="007048BA">
        <w:rPr>
          <w:rFonts w:cs="Times New Roman"/>
          <w:lang w:val="en-GB"/>
        </w:rPr>
        <w:t xml:space="preserve"> average </w:t>
      </w:r>
      <w:r w:rsidR="00AB041F" w:rsidRPr="007048BA">
        <w:rPr>
          <w:rFonts w:cs="Times New Roman"/>
          <w:lang w:val="en-GB"/>
        </w:rPr>
        <w:t>abnormal return (</w:t>
      </w:r>
      <w:r w:rsidR="00AB041F" w:rsidRPr="007048BA">
        <w:rPr>
          <w:rFonts w:cs="Times New Roman"/>
          <w:i/>
          <w:iCs/>
          <w:lang w:val="en-GB"/>
        </w:rPr>
        <w:t>AAR</w:t>
      </w:r>
      <w:r w:rsidR="00AB041F" w:rsidRPr="007048BA">
        <w:rPr>
          <w:rFonts w:cs="Times New Roman"/>
          <w:lang w:val="en-GB"/>
        </w:rPr>
        <w:t>) for each year.</w:t>
      </w:r>
    </w:p>
    <w:p w14:paraId="043B9F63" w14:textId="4F031A0C" w:rsidR="00CA299A" w:rsidRPr="007048BA" w:rsidRDefault="00CA299A" w:rsidP="00CA299A">
      <w:pPr>
        <w:ind w:firstLine="720"/>
        <w:rPr>
          <w:rFonts w:cs="Times New Roman"/>
          <w:lang w:val="en-GB"/>
        </w:rPr>
      </w:pPr>
      <w:r w:rsidRPr="007048BA">
        <w:rPr>
          <w:rFonts w:cs="Times New Roman"/>
          <w:lang w:val="en-GB"/>
        </w:rPr>
        <w:t xml:space="preserve">Next, we derive industry-year </w:t>
      </w:r>
      <w:r w:rsidR="00DE4D3D" w:rsidRPr="007048BA">
        <w:rPr>
          <w:rFonts w:cs="Times New Roman"/>
          <w:lang w:val="en-GB"/>
        </w:rPr>
        <w:t>medians</w:t>
      </w:r>
      <w:r w:rsidRPr="007048BA">
        <w:rPr>
          <w:rFonts w:cs="Times New Roman"/>
          <w:lang w:val="en-GB"/>
        </w:rPr>
        <w:t xml:space="preserve"> of </w:t>
      </w:r>
      <w:r w:rsidRPr="007048BA">
        <w:rPr>
          <w:rFonts w:cs="Times New Roman"/>
          <w:iCs/>
          <w:lang w:val="en-GB"/>
        </w:rPr>
        <w:t>ROCE</w:t>
      </w:r>
      <w:r w:rsidRPr="007048BA">
        <w:rPr>
          <w:rFonts w:cs="Times New Roman"/>
          <w:lang w:val="en-GB"/>
        </w:rPr>
        <w:t xml:space="preserve"> and </w:t>
      </w:r>
      <w:r w:rsidRPr="007048BA">
        <w:rPr>
          <w:rFonts w:cs="Times New Roman"/>
          <w:iCs/>
          <w:lang w:val="en-GB"/>
        </w:rPr>
        <w:t>AAR</w:t>
      </w:r>
      <w:r w:rsidRPr="007048BA">
        <w:rPr>
          <w:rFonts w:cs="Times New Roman"/>
          <w:lang w:val="en-GB"/>
        </w:rPr>
        <w:t xml:space="preserve">. Each firm’s </w:t>
      </w:r>
      <w:r w:rsidRPr="007048BA">
        <w:rPr>
          <w:rFonts w:cs="Times New Roman"/>
          <w:iCs/>
          <w:lang w:val="en-GB"/>
        </w:rPr>
        <w:t>ROCE</w:t>
      </w:r>
      <w:r w:rsidRPr="007048BA">
        <w:rPr>
          <w:rFonts w:cs="Times New Roman"/>
          <w:lang w:val="en-GB"/>
        </w:rPr>
        <w:t xml:space="preserve"> and </w:t>
      </w:r>
      <w:r w:rsidRPr="007048BA">
        <w:rPr>
          <w:rFonts w:cs="Times New Roman"/>
          <w:iCs/>
          <w:lang w:val="en-GB"/>
        </w:rPr>
        <w:t>AAR</w:t>
      </w:r>
      <w:r w:rsidRPr="007048BA">
        <w:rPr>
          <w:rFonts w:cs="Times New Roman"/>
          <w:lang w:val="en-GB"/>
        </w:rPr>
        <w:t xml:space="preserve"> are classified as “high” if it is greater than or equal to </w:t>
      </w:r>
      <w:r w:rsidRPr="007048BA">
        <w:rPr>
          <w:rFonts w:cs="Times New Roman"/>
          <w:color w:val="FF0000"/>
          <w:lang w:val="en-GB"/>
        </w:rPr>
        <w:t xml:space="preserve">its </w:t>
      </w:r>
      <w:r w:rsidR="00DC5561" w:rsidRPr="007048BA">
        <w:rPr>
          <w:rFonts w:cs="Times New Roman"/>
          <w:color w:val="FF0000"/>
          <w:lang w:val="en-GB"/>
        </w:rPr>
        <w:t>2</w:t>
      </w:r>
      <w:r w:rsidRPr="007048BA">
        <w:rPr>
          <w:rFonts w:cs="Times New Roman"/>
          <w:color w:val="FF0000"/>
          <w:lang w:val="en-GB"/>
        </w:rPr>
        <w:t xml:space="preserve">-digit SIC code industry </w:t>
      </w:r>
      <w:r w:rsidR="00DE4D3D" w:rsidRPr="007048BA">
        <w:rPr>
          <w:rFonts w:cs="Times New Roman"/>
          <w:lang w:val="en-GB"/>
        </w:rPr>
        <w:t>median</w:t>
      </w:r>
      <w:r w:rsidRPr="007048BA">
        <w:rPr>
          <w:rFonts w:cs="Times New Roman"/>
          <w:lang w:val="en-GB"/>
        </w:rPr>
        <w:t xml:space="preserve"> in that year, and “low” if otherwise.</w:t>
      </w:r>
      <w:r w:rsidR="00721765" w:rsidRPr="007048BA">
        <w:rPr>
          <w:rStyle w:val="FootnoteReference"/>
          <w:rFonts w:cs="Times New Roman"/>
          <w:lang w:val="en-GB"/>
        </w:rPr>
        <w:footnoteReference w:id="3"/>
      </w:r>
      <w:r w:rsidRPr="007048BA">
        <w:rPr>
          <w:rFonts w:cs="Times New Roman"/>
          <w:lang w:val="en-GB"/>
        </w:rPr>
        <w:t xml:space="preserve"> These classifications of “high” and “low” are used to calibrate four </w:t>
      </w:r>
      <w:r w:rsidR="006B3320" w:rsidRPr="007048BA">
        <w:rPr>
          <w:rFonts w:cs="Times New Roman"/>
          <w:lang w:val="en-GB"/>
        </w:rPr>
        <w:t>attributes</w:t>
      </w:r>
      <w:r w:rsidRPr="007048BA">
        <w:rPr>
          <w:rFonts w:cs="Times New Roman"/>
          <w:lang w:val="en-GB"/>
        </w:rPr>
        <w:t xml:space="preserve"> of management performance with each firm-year observation attributed only one of the these four categories (see Figure 1). That is, </w:t>
      </w:r>
      <w:r w:rsidR="00ED262D" w:rsidRPr="007048BA">
        <w:rPr>
          <w:rFonts w:cs="Times New Roman"/>
          <w:i/>
          <w:lang w:val="en-GB"/>
        </w:rPr>
        <w:t>efficient</w:t>
      </w:r>
      <w:r w:rsidRPr="007048BA">
        <w:rPr>
          <w:rFonts w:cs="Times New Roman"/>
          <w:lang w:val="en-GB"/>
        </w:rPr>
        <w:t xml:space="preserve"> refers to managers who are able to achieve “high” accounting (</w:t>
      </w:r>
      <w:r w:rsidRPr="007048BA">
        <w:rPr>
          <w:rFonts w:cs="Times New Roman"/>
          <w:iCs/>
          <w:lang w:val="en-GB"/>
        </w:rPr>
        <w:t>ROCE</w:t>
      </w:r>
      <w:r w:rsidRPr="007048BA">
        <w:rPr>
          <w:rFonts w:cs="Times New Roman"/>
          <w:lang w:val="en-GB"/>
        </w:rPr>
        <w:t>) and “high” stock market performance (</w:t>
      </w:r>
      <w:r w:rsidRPr="007048BA">
        <w:rPr>
          <w:rFonts w:cs="Times New Roman"/>
          <w:iCs/>
          <w:lang w:val="en-GB"/>
        </w:rPr>
        <w:t>AAR</w:t>
      </w:r>
      <w:r w:rsidRPr="007048BA">
        <w:rPr>
          <w:rFonts w:cs="Times New Roman"/>
          <w:lang w:val="en-GB"/>
        </w:rPr>
        <w:t xml:space="preserve">); </w:t>
      </w:r>
      <w:r w:rsidR="00ED262D" w:rsidRPr="007048BA">
        <w:rPr>
          <w:rFonts w:cs="Times New Roman"/>
          <w:i/>
          <w:lang w:val="en-GB"/>
        </w:rPr>
        <w:t>myopia</w:t>
      </w:r>
      <w:r w:rsidRPr="007048BA">
        <w:rPr>
          <w:rFonts w:cs="Times New Roman"/>
          <w:lang w:val="en-GB"/>
        </w:rPr>
        <w:t xml:space="preserve"> to those who achieve “high” accounting, but “low” stock performance; </w:t>
      </w:r>
      <w:r w:rsidR="00ED262D" w:rsidRPr="007048BA">
        <w:rPr>
          <w:rFonts w:cs="Times New Roman"/>
          <w:i/>
          <w:lang w:val="en-GB"/>
        </w:rPr>
        <w:t>hyperopia</w:t>
      </w:r>
      <w:r w:rsidRPr="007048BA">
        <w:rPr>
          <w:rFonts w:cs="Times New Roman"/>
          <w:lang w:val="en-GB"/>
        </w:rPr>
        <w:t xml:space="preserve"> to those who achieve “low” accounting , but “high” stock market performance; and </w:t>
      </w:r>
      <w:r w:rsidR="00ED262D" w:rsidRPr="007048BA">
        <w:rPr>
          <w:rFonts w:cs="Times New Roman"/>
          <w:i/>
          <w:lang w:val="en-GB"/>
        </w:rPr>
        <w:t>poor</w:t>
      </w:r>
      <w:r w:rsidRPr="007048BA">
        <w:rPr>
          <w:rFonts w:cs="Times New Roman"/>
          <w:lang w:val="en-GB"/>
        </w:rPr>
        <w:t xml:space="preserve"> to those who achieve “low” accounting and “low” stock market performance.</w:t>
      </w:r>
      <w:r w:rsidRPr="007048BA">
        <w:rPr>
          <w:rStyle w:val="FootnoteReference"/>
          <w:rFonts w:cs="Times New Roman"/>
          <w:lang w:val="en-GB"/>
        </w:rPr>
        <w:footnoteReference w:id="4"/>
      </w:r>
      <w:r w:rsidRPr="007048BA">
        <w:rPr>
          <w:rFonts w:cs="Times New Roman"/>
          <w:lang w:val="en-GB"/>
        </w:rPr>
        <w:t xml:space="preserve"> </w:t>
      </w:r>
    </w:p>
    <w:p w14:paraId="7E5E4685" w14:textId="77777777" w:rsidR="00CA299A" w:rsidRPr="007048BA" w:rsidRDefault="00CA299A" w:rsidP="00CA299A">
      <w:pPr>
        <w:pStyle w:val="Heading2"/>
        <w:ind w:left="805" w:hanging="805"/>
        <w:rPr>
          <w:lang w:val="en-GB"/>
        </w:rPr>
      </w:pPr>
      <w:r w:rsidRPr="007048BA">
        <w:rPr>
          <w:lang w:val="en-GB"/>
        </w:rPr>
        <w:t>3.2</w:t>
      </w:r>
      <w:r w:rsidRPr="007048BA">
        <w:rPr>
          <w:lang w:val="en-GB"/>
        </w:rPr>
        <w:tab/>
        <w:t>Validating the framework</w:t>
      </w:r>
    </w:p>
    <w:p w14:paraId="01C446F2" w14:textId="4A786267" w:rsidR="00CA299A" w:rsidRPr="007048BA" w:rsidRDefault="00CA299A" w:rsidP="00CA299A">
      <w:pPr>
        <w:rPr>
          <w:rFonts w:cs="Times New Roman"/>
          <w:lang w:val="en-GB"/>
        </w:rPr>
      </w:pPr>
      <w:r w:rsidRPr="007048BA">
        <w:rPr>
          <w:lang w:val="en-GB"/>
        </w:rPr>
        <w:tab/>
        <w:t xml:space="preserve">We first seek to establish that our </w:t>
      </w:r>
      <w:r w:rsidR="006B3320" w:rsidRPr="007048BA">
        <w:rPr>
          <w:lang w:val="en-GB"/>
        </w:rPr>
        <w:t>attributes</w:t>
      </w:r>
      <w:r w:rsidRPr="007048BA">
        <w:rPr>
          <w:lang w:val="en-GB"/>
        </w:rPr>
        <w:t xml:space="preserve"> are valid and distinct from each other. Here, we use multiple analysis of variance (MANOVA)</w:t>
      </w:r>
      <w:r w:rsidR="00287838" w:rsidRPr="007048BA">
        <w:rPr>
          <w:lang w:val="en-GB"/>
        </w:rPr>
        <w:t xml:space="preserve"> to compare the vector of mean </w:t>
      </w:r>
      <w:r w:rsidRPr="007048BA">
        <w:rPr>
          <w:lang w:val="en-GB"/>
        </w:rPr>
        <w:t xml:space="preserve">firm characteristics of firm-years </w:t>
      </w:r>
      <w:r w:rsidRPr="007048BA">
        <w:rPr>
          <w:lang w:val="en-GB"/>
        </w:rPr>
        <w:lastRenderedPageBreak/>
        <w:t xml:space="preserve">in our four categories. We also use </w:t>
      </w:r>
      <w:r w:rsidR="00222881" w:rsidRPr="007048BA">
        <w:rPr>
          <w:lang w:val="en-GB"/>
        </w:rPr>
        <w:t>one-way</w:t>
      </w:r>
      <w:r w:rsidRPr="007048BA">
        <w:rPr>
          <w:lang w:val="en-GB"/>
        </w:rPr>
        <w:t xml:space="preserve"> analysis of variance (ANOVA) to compare firm-years in our four categories </w:t>
      </w:r>
      <w:r w:rsidR="00BB230E" w:rsidRPr="007048BA">
        <w:rPr>
          <w:lang w:val="en-GB"/>
        </w:rPr>
        <w:t>across</w:t>
      </w:r>
      <w:r w:rsidRPr="007048BA">
        <w:rPr>
          <w:lang w:val="en-GB"/>
        </w:rPr>
        <w:t xml:space="preserve"> several characteristics. </w:t>
      </w:r>
      <w:r w:rsidR="00287838" w:rsidRPr="007048BA">
        <w:rPr>
          <w:lang w:val="en-GB"/>
        </w:rPr>
        <w:t xml:space="preserve">Our objective is to see whether the firms within each of the four categories are similar to each other but different from firms in the other three categories. We consider an extensive set of firm </w:t>
      </w:r>
      <w:r w:rsidR="00010D54" w:rsidRPr="007048BA">
        <w:rPr>
          <w:lang w:val="en-GB"/>
        </w:rPr>
        <w:t>characteristics</w:t>
      </w:r>
      <w:r w:rsidR="00287838" w:rsidRPr="007048BA">
        <w:rPr>
          <w:lang w:val="en-GB"/>
        </w:rPr>
        <w:t xml:space="preserve"> including</w:t>
      </w:r>
      <w:r w:rsidR="00D52ECA" w:rsidRPr="007048BA">
        <w:rPr>
          <w:lang w:val="en-GB"/>
        </w:rPr>
        <w:t>,</w:t>
      </w:r>
      <w:r w:rsidR="00287838" w:rsidRPr="007048BA">
        <w:rPr>
          <w:lang w:val="en-GB"/>
        </w:rPr>
        <w:t xml:space="preserve"> measures of; liquidity, leverage, sales growth, free cash flow, age, size and tangibility, amongst others.</w:t>
      </w:r>
    </w:p>
    <w:p w14:paraId="61E2514F" w14:textId="6712A075" w:rsidR="00CA299A" w:rsidRPr="007048BA" w:rsidRDefault="00CA299A" w:rsidP="00CA299A">
      <w:pPr>
        <w:ind w:firstLine="720"/>
        <w:rPr>
          <w:lang w:val="en-GB"/>
        </w:rPr>
      </w:pPr>
      <w:r w:rsidRPr="007048BA">
        <w:rPr>
          <w:lang w:val="en-GB"/>
        </w:rPr>
        <w:t xml:space="preserve">Firms classified by our framework as </w:t>
      </w:r>
      <w:r w:rsidR="00ED262D" w:rsidRPr="007048BA">
        <w:rPr>
          <w:i/>
          <w:lang w:val="en-GB"/>
        </w:rPr>
        <w:t>poor</w:t>
      </w:r>
      <w:r w:rsidRPr="007048BA">
        <w:rPr>
          <w:lang w:val="en-GB"/>
        </w:rPr>
        <w:t xml:space="preserve"> or </w:t>
      </w:r>
      <w:r w:rsidR="00ED262D" w:rsidRPr="007048BA">
        <w:rPr>
          <w:i/>
          <w:lang w:val="en-GB"/>
        </w:rPr>
        <w:t>efficient</w:t>
      </w:r>
      <w:r w:rsidRPr="007048BA">
        <w:rPr>
          <w:lang w:val="en-GB"/>
        </w:rPr>
        <w:t xml:space="preserve"> are clearly underperforming and outperforming (respectively) in co</w:t>
      </w:r>
      <w:r w:rsidR="00351933" w:rsidRPr="007048BA">
        <w:rPr>
          <w:lang w:val="en-GB"/>
        </w:rPr>
        <w:t xml:space="preserve">mparison to their counterparts. </w:t>
      </w:r>
      <w:r w:rsidR="00010D54" w:rsidRPr="007048BA">
        <w:rPr>
          <w:lang w:val="en-GB"/>
        </w:rPr>
        <w:t xml:space="preserve">We have suggested </w:t>
      </w:r>
      <w:r w:rsidR="00ED262D" w:rsidRPr="007048BA">
        <w:rPr>
          <w:i/>
          <w:lang w:val="en-GB"/>
        </w:rPr>
        <w:t>myopia</w:t>
      </w:r>
      <w:r w:rsidR="00010D54" w:rsidRPr="007048BA">
        <w:rPr>
          <w:lang w:val="en-GB"/>
        </w:rPr>
        <w:t xml:space="preserve"> and </w:t>
      </w:r>
      <w:r w:rsidR="00ED262D" w:rsidRPr="007048BA">
        <w:rPr>
          <w:i/>
          <w:lang w:val="en-GB"/>
        </w:rPr>
        <w:t>hyperopia</w:t>
      </w:r>
      <w:r w:rsidR="00010D54" w:rsidRPr="007048BA">
        <w:rPr>
          <w:lang w:val="en-GB"/>
        </w:rPr>
        <w:t xml:space="preserve"> as two new attributes capturing management horizon. The extant UK and US literature</w:t>
      </w:r>
      <w:r w:rsidR="00C72C14" w:rsidRPr="007048BA">
        <w:rPr>
          <w:lang w:val="en-GB"/>
        </w:rPr>
        <w:t xml:space="preserve"> argues</w:t>
      </w:r>
      <w:r w:rsidR="00010D54" w:rsidRPr="007048BA">
        <w:rPr>
          <w:lang w:val="en-GB"/>
        </w:rPr>
        <w:t xml:space="preserve"> that a reduction in R&amp;D investment is symptomatic of management short-termism through real earnings management (</w:t>
      </w:r>
      <w:r w:rsidR="00010D54" w:rsidRPr="007048BA">
        <w:rPr>
          <w:rFonts w:cs="Times New Roman"/>
          <w:lang w:val="en-GB"/>
        </w:rPr>
        <w:t xml:space="preserve">Healy and Wahlen, 1999; Graham et al., 2006; </w:t>
      </w:r>
      <w:r w:rsidR="00010D54" w:rsidRPr="007048BA">
        <w:rPr>
          <w:lang w:val="en-GB"/>
        </w:rPr>
        <w:t>Osma and Young, 2009; Athanasakou et al., 2011). Hence, o</w:t>
      </w:r>
      <w:r w:rsidRPr="007048BA">
        <w:rPr>
          <w:lang w:val="en-GB"/>
        </w:rPr>
        <w:t>ur next validation test explores whether the firms class</w:t>
      </w:r>
      <w:r w:rsidR="00BB230E" w:rsidRPr="007048BA">
        <w:rPr>
          <w:lang w:val="en-GB"/>
        </w:rPr>
        <w:t>i</w:t>
      </w:r>
      <w:r w:rsidRPr="007048BA">
        <w:rPr>
          <w:lang w:val="en-GB"/>
        </w:rPr>
        <w:t xml:space="preserve">fied as </w:t>
      </w:r>
      <w:r w:rsidR="00ED262D" w:rsidRPr="007048BA">
        <w:rPr>
          <w:i/>
          <w:lang w:val="en-GB"/>
        </w:rPr>
        <w:t>myopi</w:t>
      </w:r>
      <w:r w:rsidR="00712D43" w:rsidRPr="007048BA">
        <w:rPr>
          <w:i/>
          <w:lang w:val="en-GB"/>
        </w:rPr>
        <w:t>c</w:t>
      </w:r>
      <w:r w:rsidRPr="007048BA">
        <w:rPr>
          <w:lang w:val="en-GB"/>
        </w:rPr>
        <w:t xml:space="preserve"> </w:t>
      </w:r>
      <w:r w:rsidR="00010D54" w:rsidRPr="007048BA">
        <w:rPr>
          <w:lang w:val="en-GB"/>
        </w:rPr>
        <w:t>(</w:t>
      </w:r>
      <w:r w:rsidRPr="007048BA">
        <w:rPr>
          <w:lang w:val="en-GB"/>
        </w:rPr>
        <w:t xml:space="preserve">and </w:t>
      </w:r>
      <w:r w:rsidR="00712D43" w:rsidRPr="007048BA">
        <w:rPr>
          <w:i/>
          <w:lang w:val="en-GB"/>
        </w:rPr>
        <w:t>hyperopic</w:t>
      </w:r>
      <w:r w:rsidR="00010D54" w:rsidRPr="007048BA">
        <w:rPr>
          <w:lang w:val="en-GB"/>
        </w:rPr>
        <w:t xml:space="preserve">) </w:t>
      </w:r>
      <w:r w:rsidRPr="007048BA">
        <w:rPr>
          <w:lang w:val="en-GB"/>
        </w:rPr>
        <w:t>in our framework are more likely to reduce (</w:t>
      </w:r>
      <w:r w:rsidR="00010D54" w:rsidRPr="007048BA">
        <w:rPr>
          <w:lang w:val="en-GB"/>
        </w:rPr>
        <w:t>and</w:t>
      </w:r>
      <w:r w:rsidRPr="007048BA">
        <w:rPr>
          <w:lang w:val="en-GB"/>
        </w:rPr>
        <w:t xml:space="preserve"> increase) R&amp;D investments in the next period, respectively. We estimate the following </w:t>
      </w:r>
      <w:r w:rsidR="00063801" w:rsidRPr="007048BA">
        <w:rPr>
          <w:lang w:val="en-GB"/>
        </w:rPr>
        <w:t>OLS model</w:t>
      </w:r>
      <w:r w:rsidR="00EB7A6C" w:rsidRPr="007048BA">
        <w:rPr>
          <w:lang w:val="en-GB"/>
        </w:rPr>
        <w:t xml:space="preserve"> </w:t>
      </w:r>
      <w:r w:rsidR="00D52ECA" w:rsidRPr="007048BA">
        <w:rPr>
          <w:lang w:val="en-GB"/>
        </w:rPr>
        <w:t>(</w:t>
      </w:r>
      <w:r w:rsidR="0022579D" w:rsidRPr="007048BA">
        <w:rPr>
          <w:lang w:val="en-GB"/>
        </w:rPr>
        <w:t>e</w:t>
      </w:r>
      <w:r w:rsidR="00D52ECA" w:rsidRPr="007048BA">
        <w:rPr>
          <w:lang w:val="en-GB"/>
        </w:rPr>
        <w:t xml:space="preserve">quation 2) </w:t>
      </w:r>
      <w:r w:rsidR="00EB7A6C" w:rsidRPr="007048BA">
        <w:rPr>
          <w:lang w:val="en-GB"/>
        </w:rPr>
        <w:t>for R&amp;D investment (RDI)</w:t>
      </w:r>
      <w:r w:rsidRPr="007048BA">
        <w:rPr>
          <w:lang w:val="en-GB"/>
        </w:rPr>
        <w:t>, controlling for firm characteristics, as w</w:t>
      </w:r>
      <w:r w:rsidR="00BB3863" w:rsidRPr="007048BA">
        <w:rPr>
          <w:lang w:val="en-GB"/>
        </w:rPr>
        <w:t xml:space="preserve">ell as, industry and year fixed </w:t>
      </w:r>
      <w:r w:rsidRPr="007048BA">
        <w:rPr>
          <w:lang w:val="en-GB"/>
        </w:rPr>
        <w:t>effects</w:t>
      </w:r>
      <w:r w:rsidR="00D52ECA" w:rsidRPr="007048BA">
        <w:rPr>
          <w:lang w:val="en-GB"/>
        </w:rPr>
        <w:t>:</w:t>
      </w:r>
    </w:p>
    <w:p w14:paraId="7D5638B1" w14:textId="07EB8999" w:rsidR="00CA299A" w:rsidRPr="007048BA" w:rsidRDefault="007048BA" w:rsidP="004B243E">
      <w:pPr>
        <w:jc w:val="center"/>
        <w:rPr>
          <w:lang w:val="en-GB"/>
        </w:rPr>
      </w:pPr>
      <m:oMath>
        <m:sSub>
          <m:sSubPr>
            <m:ctrlPr>
              <w:rPr>
                <w:rFonts w:ascii="Cambria Math" w:hAnsi="Cambria Math"/>
                <w:i/>
                <w:lang w:val="en-GB"/>
              </w:rPr>
            </m:ctrlPr>
          </m:sSubPr>
          <m:e>
            <m:r>
              <w:rPr>
                <w:rFonts w:ascii="Cambria Math" w:hAnsi="Cambria Math"/>
                <w:lang w:val="en-GB"/>
              </w:rPr>
              <m:t>RDI</m:t>
            </m:r>
          </m:e>
          <m:sub>
            <m:r>
              <w:rPr>
                <w:rFonts w:ascii="Cambria Math" w:hAnsi="Cambria Math"/>
                <w:lang w:val="en-GB"/>
              </w:rPr>
              <m:t>it</m:t>
            </m:r>
          </m:sub>
        </m:sSub>
        <m:r>
          <w:rPr>
            <w:rFonts w:ascii="Cambria Math" w:hAnsi="Cambria Math"/>
            <w:lang w:val="en-GB"/>
          </w:rPr>
          <m:t>=α+β*</m:t>
        </m:r>
        <m:sSub>
          <m:sSubPr>
            <m:ctrlPr>
              <w:rPr>
                <w:rFonts w:ascii="Cambria Math" w:hAnsi="Cambria Math"/>
                <w:i/>
                <w:lang w:val="en-GB"/>
              </w:rPr>
            </m:ctrlPr>
          </m:sSubPr>
          <m:e>
            <m:r>
              <w:rPr>
                <w:rFonts w:ascii="Cambria Math" w:hAnsi="Cambria Math"/>
                <w:lang w:val="en-GB"/>
              </w:rPr>
              <m:t>Performance</m:t>
            </m:r>
          </m:e>
          <m:sub>
            <m:r>
              <w:rPr>
                <w:rFonts w:ascii="Cambria Math" w:hAnsi="Cambria Math"/>
                <w:lang w:val="en-GB"/>
              </w:rPr>
              <m:t>it-1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γ*Controls</m:t>
            </m:r>
          </m:e>
          <m:sub>
            <m:r>
              <w:rPr>
                <w:rFonts w:ascii="Cambria Math" w:hAnsi="Cambria Math"/>
                <w:lang w:val="en-GB"/>
              </w:rPr>
              <m:t>it-1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ε</m:t>
            </m:r>
          </m:e>
          <m:sub>
            <m:r>
              <w:rPr>
                <w:rFonts w:ascii="Cambria Math" w:hAnsi="Cambria Math"/>
                <w:lang w:val="en-GB"/>
              </w:rPr>
              <m:t>it</m:t>
            </m:r>
          </m:sub>
        </m:sSub>
      </m:oMath>
      <w:r w:rsidR="00CA299A" w:rsidRPr="007048BA">
        <w:rPr>
          <w:lang w:val="en-GB"/>
        </w:rPr>
        <w:t xml:space="preserve">                            (2)</w:t>
      </w:r>
    </w:p>
    <w:p w14:paraId="35DA45DA" w14:textId="5CC759C2" w:rsidR="00CA299A" w:rsidRPr="007048BA" w:rsidRDefault="00BF0AE2" w:rsidP="00BF0AE2">
      <w:pPr>
        <w:rPr>
          <w:lang w:val="en-GB"/>
        </w:rPr>
      </w:pPr>
      <w:r w:rsidRPr="007048BA">
        <w:rPr>
          <w:lang w:val="en-GB"/>
        </w:rPr>
        <w:t xml:space="preserve">R&amp;D investment (RDI) is measured as the ratio of R&amp;D expenditure (WC01201) to total assets (WC02999). </w:t>
      </w:r>
      <w:r w:rsidR="00063801" w:rsidRPr="007048BA">
        <w:rPr>
          <w:rFonts w:cs="Times New Roman"/>
          <w:lang w:val="en-GB" w:eastAsia="zh-CN"/>
        </w:rPr>
        <w:t xml:space="preserve">The independent variable of interest is </w:t>
      </w:r>
      <w:r w:rsidR="00EF63A8" w:rsidRPr="007048BA">
        <w:rPr>
          <w:rFonts w:cs="Times New Roman"/>
          <w:i/>
          <w:lang w:val="en-GB" w:eastAsia="zh-CN"/>
        </w:rPr>
        <w:t>performance</w:t>
      </w:r>
      <w:r w:rsidR="00063801" w:rsidRPr="007048BA">
        <w:rPr>
          <w:rFonts w:cs="Times New Roman"/>
          <w:lang w:val="en-GB" w:eastAsia="zh-CN"/>
        </w:rPr>
        <w:t xml:space="preserve">, measured using our four dummy variables; </w:t>
      </w:r>
      <w:r w:rsidR="00ED262D" w:rsidRPr="007048BA">
        <w:rPr>
          <w:rFonts w:cs="Times New Roman"/>
          <w:i/>
          <w:lang w:val="en-GB" w:eastAsia="zh-CN"/>
        </w:rPr>
        <w:t>poor</w:t>
      </w:r>
      <w:r w:rsidR="00063801" w:rsidRPr="007048BA">
        <w:rPr>
          <w:rFonts w:cs="Times New Roman"/>
          <w:i/>
          <w:lang w:val="en-GB" w:eastAsia="zh-CN"/>
        </w:rPr>
        <w:t xml:space="preserve">, </w:t>
      </w:r>
      <w:r w:rsidR="00ED262D" w:rsidRPr="007048BA">
        <w:rPr>
          <w:rFonts w:cs="Times New Roman"/>
          <w:i/>
          <w:lang w:val="en-GB" w:eastAsia="zh-CN"/>
        </w:rPr>
        <w:t>myopia</w:t>
      </w:r>
      <w:r w:rsidR="00063801" w:rsidRPr="007048BA">
        <w:rPr>
          <w:rFonts w:cs="Times New Roman"/>
          <w:i/>
          <w:lang w:val="en-GB" w:eastAsia="zh-CN"/>
        </w:rPr>
        <w:t xml:space="preserve">, </w:t>
      </w:r>
      <w:r w:rsidR="00ED262D" w:rsidRPr="007048BA">
        <w:rPr>
          <w:rFonts w:cs="Times New Roman"/>
          <w:i/>
          <w:lang w:val="en-GB" w:eastAsia="zh-CN"/>
        </w:rPr>
        <w:t>hyperopia</w:t>
      </w:r>
      <w:r w:rsidR="00063801" w:rsidRPr="007048BA">
        <w:rPr>
          <w:rFonts w:cs="Times New Roman"/>
          <w:lang w:val="en-GB" w:eastAsia="zh-CN"/>
        </w:rPr>
        <w:t xml:space="preserve"> and </w:t>
      </w:r>
      <w:r w:rsidR="00ED262D" w:rsidRPr="007048BA">
        <w:rPr>
          <w:rFonts w:cs="Times New Roman"/>
          <w:i/>
          <w:lang w:val="en-GB" w:eastAsia="zh-CN"/>
        </w:rPr>
        <w:t>efficient</w:t>
      </w:r>
      <w:r w:rsidR="00063801" w:rsidRPr="007048BA">
        <w:rPr>
          <w:rFonts w:cs="Times New Roman"/>
          <w:lang w:val="en-GB" w:eastAsia="zh-CN"/>
        </w:rPr>
        <w:t>.</w:t>
      </w:r>
      <w:r w:rsidR="00224A82" w:rsidRPr="007048BA">
        <w:rPr>
          <w:rFonts w:cs="Times New Roman"/>
          <w:lang w:val="en-GB" w:eastAsia="zh-CN"/>
        </w:rPr>
        <w:t xml:space="preserve"> </w:t>
      </w:r>
      <w:r w:rsidR="00CA299A" w:rsidRPr="007048BA">
        <w:rPr>
          <w:lang w:val="en-GB"/>
        </w:rPr>
        <w:t xml:space="preserve">A negative coefficient for </w:t>
      </w:r>
      <w:r w:rsidR="00ED262D" w:rsidRPr="007048BA">
        <w:rPr>
          <w:i/>
          <w:lang w:val="en-GB"/>
        </w:rPr>
        <w:t>myopia</w:t>
      </w:r>
      <w:r w:rsidR="00010D54" w:rsidRPr="007048BA">
        <w:rPr>
          <w:lang w:val="en-GB"/>
        </w:rPr>
        <w:t xml:space="preserve"> and positive </w:t>
      </w:r>
      <w:r w:rsidR="00D52ECA" w:rsidRPr="007048BA">
        <w:rPr>
          <w:lang w:val="en-GB"/>
        </w:rPr>
        <w:t xml:space="preserve">for </w:t>
      </w:r>
      <w:r w:rsidR="00ED262D" w:rsidRPr="007048BA">
        <w:rPr>
          <w:i/>
          <w:lang w:val="en-GB"/>
        </w:rPr>
        <w:t>hyperopia</w:t>
      </w:r>
      <w:r w:rsidR="00CA299A" w:rsidRPr="007048BA">
        <w:rPr>
          <w:lang w:val="en-GB"/>
        </w:rPr>
        <w:t xml:space="preserve"> will support our contention that </w:t>
      </w:r>
      <w:r w:rsidR="00010D54" w:rsidRPr="007048BA">
        <w:rPr>
          <w:lang w:val="en-GB"/>
        </w:rPr>
        <w:t xml:space="preserve">these </w:t>
      </w:r>
      <w:r w:rsidR="00CA299A" w:rsidRPr="007048BA">
        <w:rPr>
          <w:lang w:val="en-GB"/>
        </w:rPr>
        <w:t>categories capture firms that are more likely to disinvest and invest</w:t>
      </w:r>
      <w:r w:rsidR="00D52ECA" w:rsidRPr="007048BA">
        <w:rPr>
          <w:lang w:val="en-GB"/>
        </w:rPr>
        <w:t>,</w:t>
      </w:r>
      <w:r w:rsidR="00CA299A" w:rsidRPr="007048BA">
        <w:rPr>
          <w:lang w:val="en-GB"/>
        </w:rPr>
        <w:t xml:space="preserve"> respectively</w:t>
      </w:r>
      <w:r w:rsidR="00D52ECA" w:rsidRPr="007048BA">
        <w:rPr>
          <w:lang w:val="en-GB"/>
        </w:rPr>
        <w:t>,</w:t>
      </w:r>
      <w:r w:rsidR="00CA299A" w:rsidRPr="007048BA">
        <w:rPr>
          <w:lang w:val="en-GB"/>
        </w:rPr>
        <w:t xml:space="preserve"> in R&amp;D. In </w:t>
      </w:r>
      <w:r w:rsidR="00DD7B1E" w:rsidRPr="007048BA">
        <w:rPr>
          <w:lang w:val="en-GB"/>
        </w:rPr>
        <w:t>all</w:t>
      </w:r>
      <w:r w:rsidR="00CA299A" w:rsidRPr="007048BA">
        <w:rPr>
          <w:lang w:val="en-GB"/>
        </w:rPr>
        <w:t xml:space="preserve"> models, we lag all our independent variables by one period to address </w:t>
      </w:r>
      <w:r w:rsidR="00D52ECA" w:rsidRPr="007048BA">
        <w:rPr>
          <w:lang w:val="en-GB"/>
        </w:rPr>
        <w:t xml:space="preserve">potential </w:t>
      </w:r>
      <w:r w:rsidR="00CA299A" w:rsidRPr="007048BA">
        <w:rPr>
          <w:lang w:val="en-GB"/>
        </w:rPr>
        <w:t xml:space="preserve">reverse causality issues. Another potential source of endogeneity in our case is </w:t>
      </w:r>
      <w:r w:rsidR="00BB230E" w:rsidRPr="007048BA">
        <w:rPr>
          <w:lang w:val="en-GB"/>
        </w:rPr>
        <w:t>self-selection</w:t>
      </w:r>
      <w:r w:rsidR="00CA299A" w:rsidRPr="007048BA">
        <w:rPr>
          <w:lang w:val="en-GB"/>
        </w:rPr>
        <w:t xml:space="preserve"> bias, as only </w:t>
      </w:r>
      <w:r w:rsidR="00EC7168" w:rsidRPr="007048BA">
        <w:rPr>
          <w:lang w:val="en-GB"/>
        </w:rPr>
        <w:t>29.95</w:t>
      </w:r>
      <w:r w:rsidR="00CA299A" w:rsidRPr="007048BA">
        <w:rPr>
          <w:lang w:val="en-GB"/>
        </w:rPr>
        <w:t xml:space="preserve"> percent of firms in our sample appear to engage in R&amp;D</w:t>
      </w:r>
      <w:r w:rsidR="00EC7168" w:rsidRPr="007048BA">
        <w:rPr>
          <w:lang w:val="en-GB"/>
        </w:rPr>
        <w:t xml:space="preserve"> between 1988 and 2017</w:t>
      </w:r>
      <w:r w:rsidR="00CA299A" w:rsidRPr="007048BA">
        <w:rPr>
          <w:lang w:val="en-GB"/>
        </w:rPr>
        <w:t xml:space="preserve">. </w:t>
      </w:r>
      <w:r w:rsidR="0003268D" w:rsidRPr="007048BA">
        <w:rPr>
          <w:lang w:val="en-GB"/>
        </w:rPr>
        <w:t>In our model, w</w:t>
      </w:r>
      <w:r w:rsidR="00222881" w:rsidRPr="007048BA">
        <w:rPr>
          <w:lang w:val="en-GB"/>
        </w:rPr>
        <w:t>e use the Heckman Two-</w:t>
      </w:r>
      <w:r w:rsidR="00CA299A" w:rsidRPr="007048BA">
        <w:rPr>
          <w:lang w:val="en-GB"/>
        </w:rPr>
        <w:t>Stage method (Heckman, 1979) to correct for selection bias. In the first stage, we estimate the likelih</w:t>
      </w:r>
      <w:r w:rsidR="00DD7B1E" w:rsidRPr="007048BA">
        <w:rPr>
          <w:lang w:val="en-GB"/>
        </w:rPr>
        <w:t>ood of reporting R&amp;D (i.e., R&amp;D</w:t>
      </w:r>
      <w:r w:rsidR="00CA299A" w:rsidRPr="007048BA">
        <w:rPr>
          <w:lang w:val="en-GB"/>
        </w:rPr>
        <w:t>&gt;0) conditional upon observed firm characteristics using a probit model. This allows us to compute the inverse Mills’ ratio (the non-selection hazard), which we use as an additional control variable in the second stage.</w:t>
      </w:r>
      <w:r w:rsidR="00E06CF9" w:rsidRPr="007048BA">
        <w:rPr>
          <w:rStyle w:val="FootnoteReference"/>
          <w:lang w:val="en-GB"/>
        </w:rPr>
        <w:footnoteReference w:id="5"/>
      </w:r>
      <w:r w:rsidR="00CA299A" w:rsidRPr="007048BA">
        <w:rPr>
          <w:lang w:val="en-GB"/>
        </w:rPr>
        <w:t xml:space="preserve"> The other control variables in the model include variables that have been shown in prior studies to impact on firm-level R&amp;D investments, including Tobin’s Q, firm size, liquidity, leverage, sales growth, level of tangible assets and firm age. See appendix 1 for details on variable construction.</w:t>
      </w:r>
    </w:p>
    <w:p w14:paraId="1CC91942" w14:textId="5BBDDA6D" w:rsidR="00873C05" w:rsidRPr="007048BA" w:rsidRDefault="00CA299A" w:rsidP="00DF2783">
      <w:pPr>
        <w:ind w:firstLine="0"/>
        <w:rPr>
          <w:lang w:val="en-GB"/>
        </w:rPr>
      </w:pPr>
      <w:r w:rsidRPr="007048BA">
        <w:rPr>
          <w:lang w:val="en-GB"/>
        </w:rPr>
        <w:lastRenderedPageBreak/>
        <w:tab/>
      </w:r>
      <w:r w:rsidR="00127C10" w:rsidRPr="007048BA">
        <w:rPr>
          <w:lang w:val="en-GB"/>
        </w:rPr>
        <w:t>While a reduction of R&amp;D is symptomatic of real earnings management behaviour it does not only capture real earnings management. Secondly, our use of RDI as the dependent variable in equation 2 can lead to simultaneity bias (endogeneity)</w:t>
      </w:r>
      <w:r w:rsidR="002D1ABB" w:rsidRPr="007048BA">
        <w:rPr>
          <w:lang w:val="en-GB"/>
        </w:rPr>
        <w:t>, which might not be fully addressed by the use of lags</w:t>
      </w:r>
      <w:r w:rsidR="00127C10" w:rsidRPr="007048BA">
        <w:rPr>
          <w:lang w:val="en-GB"/>
        </w:rPr>
        <w:t xml:space="preserve">. </w:t>
      </w:r>
      <w:r w:rsidR="002D1ABB" w:rsidRPr="007048BA">
        <w:rPr>
          <w:lang w:val="en-GB"/>
        </w:rPr>
        <w:t>Hence, o</w:t>
      </w:r>
      <w:r w:rsidR="0011292A" w:rsidRPr="007048BA">
        <w:rPr>
          <w:lang w:val="en-GB"/>
        </w:rPr>
        <w:t xml:space="preserve">ur second proxy for real earnings management behaviour through the reduction of discretionary expenditures (primarily, R&amp;D) comes from the real earnings management literature. We do not explore other real earnings management strategies </w:t>
      </w:r>
      <w:r w:rsidR="0011292A" w:rsidRPr="007048BA">
        <w:rPr>
          <w:rFonts w:cs="Times New Roman"/>
          <w:lang w:val="en-GB"/>
        </w:rPr>
        <w:t xml:space="preserve">(specifically, abnormal cash flows from operations and abnormal production costs) </w:t>
      </w:r>
      <w:r w:rsidR="0011292A" w:rsidRPr="007048BA">
        <w:rPr>
          <w:lang w:val="en-GB"/>
        </w:rPr>
        <w:t>due to</w:t>
      </w:r>
      <w:r w:rsidR="0011292A" w:rsidRPr="007048BA">
        <w:rPr>
          <w:rFonts w:cs="Times New Roman"/>
          <w:lang w:val="en-GB"/>
        </w:rPr>
        <w:t xml:space="preserve"> the limited evidence on their pervasiveness in the UK context (Athanasakou et al., 2009, 2011). </w:t>
      </w:r>
      <w:r w:rsidR="0011292A" w:rsidRPr="007048BA">
        <w:rPr>
          <w:lang w:val="en-GB"/>
        </w:rPr>
        <w:t xml:space="preserve">Cohen and Zarowin (2010) argue that firms that manage earnings upwards are likely to have abnormally low levels of discretionary expenses. Hence, </w:t>
      </w:r>
      <w:r w:rsidR="0011292A" w:rsidRPr="007048BA">
        <w:rPr>
          <w:rFonts w:cs="Times New Roman"/>
          <w:lang w:val="en-GB"/>
        </w:rPr>
        <w:t xml:space="preserve">we explore whether firm-year observations classified as </w:t>
      </w:r>
      <w:r w:rsidR="0011292A" w:rsidRPr="007048BA">
        <w:rPr>
          <w:rFonts w:cs="Times New Roman"/>
          <w:i/>
          <w:lang w:val="en-GB"/>
        </w:rPr>
        <w:t>myopia</w:t>
      </w:r>
      <w:r w:rsidR="0011292A" w:rsidRPr="007048BA">
        <w:rPr>
          <w:rFonts w:cs="Times New Roman"/>
          <w:lang w:val="en-GB"/>
        </w:rPr>
        <w:t xml:space="preserve"> (</w:t>
      </w:r>
      <w:r w:rsidR="0011292A" w:rsidRPr="007048BA">
        <w:rPr>
          <w:rFonts w:cs="Times New Roman"/>
          <w:i/>
          <w:lang w:val="en-GB"/>
        </w:rPr>
        <w:t>hyperopia</w:t>
      </w:r>
      <w:r w:rsidR="0011292A" w:rsidRPr="007048BA">
        <w:rPr>
          <w:rFonts w:cs="Times New Roman"/>
          <w:lang w:val="en-GB"/>
        </w:rPr>
        <w:t>) under our framework report significantly negative (positive) abnormal discretionary expenses</w:t>
      </w:r>
      <w:r w:rsidR="00AB4231" w:rsidRPr="007048BA">
        <w:rPr>
          <w:rFonts w:cs="Times New Roman"/>
          <w:lang w:val="en-GB"/>
        </w:rPr>
        <w:t>. W</w:t>
      </w:r>
      <w:r w:rsidR="0011292A" w:rsidRPr="007048BA">
        <w:rPr>
          <w:lang w:val="en-GB"/>
        </w:rPr>
        <w:t xml:space="preserve">e follow Dechow et al. (1998), Roychowdhury (2006) and Cohen and Zarowin (2010) to estimate the levels of abnormal discretionary expenses for each firm-year observation in our sample. </w:t>
      </w:r>
    </w:p>
    <w:p w14:paraId="3A4786D9" w14:textId="77777777" w:rsidR="007D2F38" w:rsidRPr="007048BA" w:rsidRDefault="007048BA" w:rsidP="007D2F38">
      <w:pPr>
        <w:jc w:val="center"/>
        <w:rPr>
          <w:sz w:val="28"/>
        </w:rPr>
      </w:pPr>
      <m:oMath>
        <m:f>
          <m:fPr>
            <m:ctrlPr>
              <w:rPr>
                <w:rFonts w:ascii="Latin Modern Math" w:hAnsi="Latin Modern Math"/>
                <w:i/>
                <w:sz w:val="26"/>
                <w:szCs w:val="26"/>
              </w:rPr>
            </m:ctrlPr>
          </m:fPr>
          <m:num>
            <m:sSub>
              <m:sSubPr>
                <m:ctrlPr>
                  <w:rPr>
                    <w:rFonts w:ascii="Latin Modern Math" w:hAnsi="Latin Modern Math"/>
                    <w:i/>
                    <w:sz w:val="26"/>
                    <w:szCs w:val="26"/>
                  </w:rPr>
                </m:ctrlPr>
              </m:sSubPr>
              <m:e>
                <m:r>
                  <w:rPr>
                    <w:rFonts w:ascii="Latin Modern Math" w:hAnsi="Latin Modern Math"/>
                    <w:sz w:val="26"/>
                    <w:szCs w:val="26"/>
                  </w:rPr>
                  <m:t>DISX</m:t>
                </m:r>
              </m:e>
              <m:sub>
                <m:r>
                  <w:rPr>
                    <w:rFonts w:ascii="Latin Modern Math" w:hAnsi="Latin Modern Math"/>
                    <w:sz w:val="26"/>
                    <w:szCs w:val="26"/>
                  </w:rPr>
                  <m:t>it</m:t>
                </m:r>
              </m:sub>
            </m:sSub>
          </m:num>
          <m:den>
            <m:sSub>
              <m:sSubPr>
                <m:ctrlPr>
                  <w:rPr>
                    <w:rFonts w:ascii="Latin Modern Math" w:hAnsi="Latin Modern Math"/>
                    <w:i/>
                    <w:sz w:val="26"/>
                    <w:szCs w:val="26"/>
                  </w:rPr>
                </m:ctrlPr>
              </m:sSubPr>
              <m:e>
                <m:r>
                  <w:rPr>
                    <w:rFonts w:ascii="Latin Modern Math" w:hAnsi="Latin Modern Math"/>
                    <w:sz w:val="26"/>
                    <w:szCs w:val="26"/>
                  </w:rPr>
                  <m:t>Assets</m:t>
                </m:r>
              </m:e>
              <m:sub>
                <m:r>
                  <w:rPr>
                    <w:rFonts w:ascii="Latin Modern Math" w:hAnsi="Latin Modern Math"/>
                    <w:sz w:val="26"/>
                    <w:szCs w:val="26"/>
                  </w:rPr>
                  <m:t>it-1</m:t>
                </m:r>
              </m:sub>
            </m:sSub>
          </m:den>
        </m:f>
        <m:r>
          <w:rPr>
            <w:rFonts w:ascii="Latin Modern Math" w:hAnsi="Latin Modern Math"/>
            <w:sz w:val="26"/>
            <w:szCs w:val="26"/>
          </w:rPr>
          <m:t xml:space="preserve">= </m:t>
        </m:r>
        <m:sSub>
          <m:sSubPr>
            <m:ctrlPr>
              <w:rPr>
                <w:rFonts w:ascii="Latin Modern Math" w:hAnsi="Latin Modern Math"/>
                <w:i/>
                <w:sz w:val="26"/>
                <w:szCs w:val="26"/>
              </w:rPr>
            </m:ctrlPr>
          </m:sSubPr>
          <m:e>
            <m:r>
              <w:rPr>
                <w:rFonts w:ascii="Cambria Math" w:hAnsi="Cambria Math"/>
                <w:sz w:val="26"/>
                <w:szCs w:val="26"/>
              </w:rPr>
              <m:t>β</m:t>
            </m:r>
          </m:e>
          <m:sub>
            <m:r>
              <w:rPr>
                <w:rFonts w:ascii="Latin Modern Math" w:hAnsi="Latin Modern Math"/>
                <w:sz w:val="26"/>
                <w:szCs w:val="26"/>
              </w:rPr>
              <m:t>1</m:t>
            </m:r>
          </m:sub>
        </m:sSub>
        <m:f>
          <m:fPr>
            <m:ctrlPr>
              <w:rPr>
                <w:rFonts w:ascii="Latin Modern Math" w:hAnsi="Latin Modern Math"/>
                <w:i/>
                <w:sz w:val="26"/>
                <w:szCs w:val="26"/>
              </w:rPr>
            </m:ctrlPr>
          </m:fPr>
          <m:num>
            <m:r>
              <w:rPr>
                <w:rFonts w:ascii="Latin Modern Math" w:hAnsi="Latin Modern Math"/>
                <w:sz w:val="26"/>
                <w:szCs w:val="26"/>
              </w:rPr>
              <m:t>1</m:t>
            </m:r>
          </m:num>
          <m:den>
            <m:sSub>
              <m:sSubPr>
                <m:ctrlPr>
                  <w:rPr>
                    <w:rFonts w:ascii="Latin Modern Math" w:hAnsi="Latin Modern Math"/>
                    <w:i/>
                    <w:sz w:val="26"/>
                    <w:szCs w:val="26"/>
                  </w:rPr>
                </m:ctrlPr>
              </m:sSubPr>
              <m:e>
                <m:r>
                  <w:rPr>
                    <w:rFonts w:ascii="Latin Modern Math" w:hAnsi="Latin Modern Math"/>
                    <w:sz w:val="26"/>
                    <w:szCs w:val="26"/>
                  </w:rPr>
                  <m:t>Assets</m:t>
                </m:r>
              </m:e>
              <m:sub>
                <m:r>
                  <w:rPr>
                    <w:rFonts w:ascii="Latin Modern Math" w:hAnsi="Latin Modern Math"/>
                    <w:sz w:val="26"/>
                    <w:szCs w:val="26"/>
                  </w:rPr>
                  <m:t>it-1</m:t>
                </m:r>
              </m:sub>
            </m:sSub>
          </m:den>
        </m:f>
        <m:r>
          <w:rPr>
            <w:rFonts w:ascii="Latin Modern Math" w:hAnsi="Latin Modern Math"/>
            <w:sz w:val="26"/>
            <w:szCs w:val="26"/>
          </w:rPr>
          <m:t>+</m:t>
        </m:r>
        <m:sSub>
          <m:sSubPr>
            <m:ctrlPr>
              <w:rPr>
                <w:rFonts w:ascii="Latin Modern Math" w:hAnsi="Latin Modern Math"/>
                <w:i/>
                <w:sz w:val="26"/>
                <w:szCs w:val="26"/>
              </w:rPr>
            </m:ctrlPr>
          </m:sSubPr>
          <m:e>
            <m:r>
              <w:rPr>
                <w:rFonts w:ascii="Cambria Math" w:hAnsi="Cambria Math"/>
                <w:sz w:val="26"/>
                <w:szCs w:val="26"/>
              </w:rPr>
              <m:t>β</m:t>
            </m:r>
          </m:e>
          <m:sub>
            <m:r>
              <w:rPr>
                <w:rFonts w:ascii="Cambria Math" w:hAnsi="Latin Modern Math"/>
                <w:sz w:val="26"/>
                <w:szCs w:val="26"/>
              </w:rPr>
              <m:t>2</m:t>
            </m:r>
          </m:sub>
        </m:sSub>
        <m:f>
          <m:fPr>
            <m:ctrlPr>
              <w:rPr>
                <w:rFonts w:ascii="Latin Modern Math" w:hAnsi="Latin Modern Math"/>
                <w:i/>
                <w:sz w:val="26"/>
                <w:szCs w:val="26"/>
              </w:rPr>
            </m:ctrlPr>
          </m:fPr>
          <m:num>
            <m:sSub>
              <m:sSubPr>
                <m:ctrlPr>
                  <w:rPr>
                    <w:rFonts w:ascii="Latin Modern Math" w:hAnsi="Latin Modern Math"/>
                    <w:i/>
                    <w:sz w:val="26"/>
                    <w:szCs w:val="26"/>
                  </w:rPr>
                </m:ctrlPr>
              </m:sSubPr>
              <m:e>
                <m:r>
                  <w:rPr>
                    <w:rFonts w:ascii="Latin Modern Math" w:hAnsi="Latin Modern Math"/>
                    <w:sz w:val="26"/>
                    <w:szCs w:val="26"/>
                  </w:rPr>
                  <m:t>SALES</m:t>
                </m:r>
              </m:e>
              <m:sub>
                <m:r>
                  <w:rPr>
                    <w:rFonts w:ascii="Latin Modern Math" w:hAnsi="Latin Modern Math"/>
                    <w:sz w:val="26"/>
                    <w:szCs w:val="26"/>
                  </w:rPr>
                  <m:t>it</m:t>
                </m:r>
                <m:r>
                  <w:rPr>
                    <w:rFonts w:ascii="Cambria Math" w:hAnsi="Latin Modern Math"/>
                    <w:sz w:val="26"/>
                    <w:szCs w:val="26"/>
                  </w:rPr>
                  <m:t>-</m:t>
                </m:r>
                <m:r>
                  <w:rPr>
                    <w:rFonts w:ascii="Cambria Math" w:hAnsi="Latin Modern Math"/>
                    <w:sz w:val="26"/>
                    <w:szCs w:val="26"/>
                  </w:rPr>
                  <m:t>1</m:t>
                </m:r>
              </m:sub>
            </m:sSub>
          </m:num>
          <m:den>
            <m:sSub>
              <m:sSubPr>
                <m:ctrlPr>
                  <w:rPr>
                    <w:rFonts w:ascii="Latin Modern Math" w:hAnsi="Latin Modern Math"/>
                    <w:i/>
                    <w:sz w:val="26"/>
                    <w:szCs w:val="26"/>
                  </w:rPr>
                </m:ctrlPr>
              </m:sSubPr>
              <m:e>
                <m:r>
                  <w:rPr>
                    <w:rFonts w:ascii="Latin Modern Math" w:hAnsi="Latin Modern Math"/>
                    <w:sz w:val="26"/>
                    <w:szCs w:val="26"/>
                  </w:rPr>
                  <m:t>Assets</m:t>
                </m:r>
              </m:e>
              <m:sub>
                <m:r>
                  <w:rPr>
                    <w:rFonts w:ascii="Latin Modern Math" w:hAnsi="Latin Modern Math"/>
                    <w:sz w:val="26"/>
                    <w:szCs w:val="26"/>
                  </w:rPr>
                  <m:t>it-1</m:t>
                </m:r>
              </m:sub>
            </m:sSub>
          </m:den>
        </m:f>
        <m:r>
          <w:rPr>
            <w:rFonts w:ascii="Latin Modern Math" w:hAnsi="Latin Modern Math"/>
            <w:sz w:val="26"/>
            <w:szCs w:val="26"/>
          </w:rPr>
          <m:t>+</m:t>
        </m:r>
        <m:sSub>
          <m:sSubPr>
            <m:ctrlPr>
              <w:rPr>
                <w:rFonts w:ascii="Latin Modern Math" w:hAnsi="Latin Modern Math"/>
                <w:i/>
                <w:sz w:val="26"/>
                <w:szCs w:val="26"/>
              </w:rPr>
            </m:ctrlPr>
          </m:sSubPr>
          <m:e>
            <m:r>
              <w:rPr>
                <w:rFonts w:ascii="Cambria Math" w:hAnsi="Cambria Math"/>
                <w:sz w:val="26"/>
                <w:szCs w:val="26"/>
              </w:rPr>
              <m:t>ε</m:t>
            </m:r>
          </m:e>
          <m:sub>
            <m:r>
              <w:rPr>
                <w:rFonts w:ascii="Latin Modern Math" w:hAnsi="Latin Modern Math"/>
                <w:sz w:val="26"/>
                <w:szCs w:val="26"/>
              </w:rPr>
              <m:t>it</m:t>
            </m:r>
          </m:sub>
        </m:sSub>
      </m:oMath>
      <w:r w:rsidR="007D2F38" w:rsidRPr="007048BA">
        <w:rPr>
          <w:sz w:val="26"/>
          <w:szCs w:val="26"/>
        </w:rPr>
        <w:t xml:space="preserve">                    (3)</w:t>
      </w:r>
    </w:p>
    <w:p w14:paraId="2B1D9A56" w14:textId="3EDF9268" w:rsidR="007D2F38" w:rsidRPr="007048BA" w:rsidRDefault="00AB4231" w:rsidP="00621102">
      <w:pPr>
        <w:ind w:firstLine="720"/>
      </w:pPr>
      <w:r w:rsidRPr="007048BA">
        <w:rPr>
          <w:lang w:val="en-GB"/>
        </w:rPr>
        <w:t>We first estimate total discretionary expenses</w:t>
      </w:r>
      <w:r w:rsidR="000F3C76" w:rsidRPr="007048BA">
        <w:rPr>
          <w:lang w:val="en-GB"/>
        </w:rPr>
        <w:t xml:space="preserve"> (DISX)</w:t>
      </w:r>
      <w:r w:rsidRPr="007048BA">
        <w:rPr>
          <w:lang w:val="en-GB"/>
        </w:rPr>
        <w:t xml:space="preserve"> as the sum of R&amp;D expenditures</w:t>
      </w:r>
      <w:r w:rsidR="00873C05" w:rsidRPr="007048BA">
        <w:rPr>
          <w:lang w:val="en-GB"/>
        </w:rPr>
        <w:t xml:space="preserve"> (WC01201)</w:t>
      </w:r>
      <w:r w:rsidRPr="007048BA">
        <w:rPr>
          <w:lang w:val="en-GB"/>
        </w:rPr>
        <w:t xml:space="preserve"> and selling, general and administrative (SG</w:t>
      </w:r>
      <w:r w:rsidR="00873C05" w:rsidRPr="007048BA">
        <w:rPr>
          <w:lang w:val="en-GB"/>
        </w:rPr>
        <w:t>&amp;</w:t>
      </w:r>
      <w:r w:rsidRPr="007048BA">
        <w:rPr>
          <w:lang w:val="en-GB"/>
        </w:rPr>
        <w:t>A) expenditures</w:t>
      </w:r>
      <w:r w:rsidR="00873C05" w:rsidRPr="007048BA">
        <w:rPr>
          <w:lang w:val="en-GB"/>
        </w:rPr>
        <w:t xml:space="preserve"> (WC01101)</w:t>
      </w:r>
      <w:r w:rsidRPr="007048BA">
        <w:rPr>
          <w:lang w:val="en-GB"/>
        </w:rPr>
        <w:t xml:space="preserve">. </w:t>
      </w:r>
      <w:r w:rsidR="0027251F" w:rsidRPr="007048BA">
        <w:rPr>
          <w:lang w:val="en-GB"/>
        </w:rPr>
        <w:t xml:space="preserve">Consistent with </w:t>
      </w:r>
      <w:r w:rsidR="0027251F" w:rsidRPr="007048BA">
        <w:t>Cohen and Zarowin (2010), we model total discretionary expenditure as a function of lagged sales</w:t>
      </w:r>
      <w:r w:rsidR="000F3C76" w:rsidRPr="007048BA">
        <w:t xml:space="preserve"> (</w:t>
      </w:r>
      <w:r w:rsidR="000F3C76" w:rsidRPr="007048BA">
        <w:rPr>
          <w:rFonts w:cs="Times New Roman"/>
          <w:lang w:val="en-GB"/>
        </w:rPr>
        <w:t>(WC01001</w:t>
      </w:r>
      <w:r w:rsidR="000F3C76" w:rsidRPr="007048BA">
        <w:t>)</w:t>
      </w:r>
      <w:r w:rsidR="0027251F" w:rsidRPr="007048BA">
        <w:t xml:space="preserve"> and estimate equation 3 to derive expected or normal levels of discretionary expenses. </w:t>
      </w:r>
      <w:r w:rsidR="000F3C76" w:rsidRPr="007048BA">
        <w:t>In the equation, a</w:t>
      </w:r>
      <w:r w:rsidR="000F3C76" w:rsidRPr="007048BA">
        <w:rPr>
          <w:rFonts w:cs="Times New Roman"/>
          <w:lang w:val="en-GB"/>
        </w:rPr>
        <w:t>ll terms in are scaled by lagged total assets (</w:t>
      </w:r>
      <w:r w:rsidR="000F3C76" w:rsidRPr="007048BA">
        <w:rPr>
          <w:rFonts w:cs="Times New Roman"/>
          <w:i/>
          <w:lang w:val="en-GB"/>
        </w:rPr>
        <w:t>Assets</w:t>
      </w:r>
      <w:r w:rsidR="000F3C76" w:rsidRPr="007048BA">
        <w:rPr>
          <w:rFonts w:cs="Times New Roman"/>
          <w:lang w:val="en-GB"/>
        </w:rPr>
        <w:t xml:space="preserve">, WC02999). </w:t>
      </w:r>
      <w:r w:rsidR="00352400" w:rsidRPr="007048BA">
        <w:t>Abnormal</w:t>
      </w:r>
      <w:r w:rsidR="0027251F" w:rsidRPr="007048BA">
        <w:t xml:space="preserve"> discretionary expenditure</w:t>
      </w:r>
      <w:r w:rsidR="00352400" w:rsidRPr="007048BA">
        <w:t xml:space="preserve"> (AbDISX)</w:t>
      </w:r>
      <w:r w:rsidR="0027251F" w:rsidRPr="007048BA">
        <w:t xml:space="preserve"> is derived as the residual of this equation. </w:t>
      </w:r>
      <w:r w:rsidR="0011292A" w:rsidRPr="007048BA">
        <w:t xml:space="preserve">Given revenue levels, firms that manage earnings </w:t>
      </w:r>
      <w:r w:rsidR="0027251F" w:rsidRPr="007048BA">
        <w:t xml:space="preserve">upwards (i.e., </w:t>
      </w:r>
      <w:r w:rsidR="003F067E" w:rsidRPr="007048BA">
        <w:t xml:space="preserve">firms with </w:t>
      </w:r>
      <w:r w:rsidR="0027251F" w:rsidRPr="007048BA">
        <w:t xml:space="preserve">myopic </w:t>
      </w:r>
      <w:r w:rsidR="003F067E" w:rsidRPr="007048BA">
        <w:t>management</w:t>
      </w:r>
      <w:r w:rsidR="0027251F" w:rsidRPr="007048BA">
        <w:t xml:space="preserve">) </w:t>
      </w:r>
      <w:r w:rsidR="0011292A" w:rsidRPr="007048BA">
        <w:t xml:space="preserve">are likely to report </w:t>
      </w:r>
      <w:r w:rsidR="009120D9" w:rsidRPr="007048BA">
        <w:t>abnormally</w:t>
      </w:r>
      <w:r w:rsidR="0011292A" w:rsidRPr="007048BA">
        <w:t xml:space="preserve"> low abnormal discretionary expenses</w:t>
      </w:r>
      <w:r w:rsidR="0011292A" w:rsidRPr="007048BA">
        <w:rPr>
          <w:i/>
        </w:rPr>
        <w:t xml:space="preserve"> </w:t>
      </w:r>
      <w:r w:rsidR="0011292A" w:rsidRPr="007048BA">
        <w:t xml:space="preserve">(Cohen and Zarowin, 2010). </w:t>
      </w:r>
      <w:r w:rsidR="006F75CC" w:rsidRPr="007048BA">
        <w:t>We use this estimate of abnormal discretionary expenses to retest equation (2)</w:t>
      </w:r>
      <w:r w:rsidR="002166FD" w:rsidRPr="007048BA">
        <w:t xml:space="preserve"> while controlling reverse causality and self-selection bias</w:t>
      </w:r>
      <w:r w:rsidR="0063517C" w:rsidRPr="007048BA">
        <w:t>es</w:t>
      </w:r>
      <w:r w:rsidR="006F75CC" w:rsidRPr="007048BA">
        <w:t>.</w:t>
      </w:r>
    </w:p>
    <w:p w14:paraId="658046BE" w14:textId="4A20772D" w:rsidR="00595730" w:rsidRPr="007048BA" w:rsidRDefault="00AB1224" w:rsidP="00621102">
      <w:pPr>
        <w:ind w:firstLine="720"/>
        <w:rPr>
          <w:rFonts w:cs="Times New Roman"/>
          <w:lang w:val="en-GB"/>
        </w:rPr>
      </w:pPr>
      <w:r w:rsidRPr="007048BA">
        <w:rPr>
          <w:lang w:val="en-GB"/>
        </w:rPr>
        <w:t>Finally, w</w:t>
      </w:r>
      <w:r w:rsidR="00CA299A" w:rsidRPr="007048BA">
        <w:rPr>
          <w:rFonts w:cs="Times New Roman"/>
          <w:lang w:val="en-GB"/>
        </w:rPr>
        <w:t xml:space="preserve">e draw on literature which suggests that myopic managers will manage earnings upwards through accrual management channels (Jones, 1991; Dechow et al., 1995; </w:t>
      </w:r>
      <w:r w:rsidR="009120D9" w:rsidRPr="007048BA">
        <w:rPr>
          <w:rFonts w:cs="Times New Roman"/>
          <w:lang w:val="en-GB"/>
        </w:rPr>
        <w:t xml:space="preserve">Peasnell et al., 2000, 2005; </w:t>
      </w:r>
      <w:r w:rsidR="00CA299A" w:rsidRPr="007048BA">
        <w:rPr>
          <w:rFonts w:cs="Times New Roman"/>
          <w:lang w:val="en-GB"/>
        </w:rPr>
        <w:t xml:space="preserve">Chen et al., 2015). In essence, we explore whether firm-year observations </w:t>
      </w:r>
      <w:r w:rsidR="00DD7B1E" w:rsidRPr="007048BA">
        <w:rPr>
          <w:rFonts w:cs="Times New Roman"/>
          <w:lang w:val="en-GB"/>
        </w:rPr>
        <w:t>classified</w:t>
      </w:r>
      <w:r w:rsidR="00CA299A" w:rsidRPr="007048BA">
        <w:rPr>
          <w:rFonts w:cs="Times New Roman"/>
          <w:lang w:val="en-GB"/>
        </w:rPr>
        <w:t xml:space="preserve"> as </w:t>
      </w:r>
      <w:r w:rsidR="00ED262D" w:rsidRPr="007048BA">
        <w:rPr>
          <w:rFonts w:cs="Times New Roman"/>
          <w:i/>
          <w:lang w:val="en-GB"/>
        </w:rPr>
        <w:t>myopia</w:t>
      </w:r>
      <w:r w:rsidR="00CA299A" w:rsidRPr="007048BA">
        <w:rPr>
          <w:rFonts w:cs="Times New Roman"/>
          <w:lang w:val="en-GB"/>
        </w:rPr>
        <w:t xml:space="preserve"> (</w:t>
      </w:r>
      <w:r w:rsidR="00ED262D" w:rsidRPr="007048BA">
        <w:rPr>
          <w:rFonts w:cs="Times New Roman"/>
          <w:i/>
          <w:lang w:val="en-GB"/>
        </w:rPr>
        <w:t>hyperopia</w:t>
      </w:r>
      <w:r w:rsidR="00CA299A" w:rsidRPr="007048BA">
        <w:rPr>
          <w:rFonts w:cs="Times New Roman"/>
          <w:lang w:val="en-GB"/>
        </w:rPr>
        <w:t xml:space="preserve">) under our framework </w:t>
      </w:r>
      <w:r w:rsidR="009120D9" w:rsidRPr="007048BA">
        <w:rPr>
          <w:rFonts w:cs="Times New Roman"/>
          <w:lang w:val="en-GB"/>
        </w:rPr>
        <w:t>report significantly positive (negative) discretionary accruals</w:t>
      </w:r>
      <w:r w:rsidR="00A72160" w:rsidRPr="007048BA">
        <w:rPr>
          <w:rFonts w:cs="Times New Roman"/>
          <w:lang w:val="en-GB"/>
        </w:rPr>
        <w:t xml:space="preserve">. </w:t>
      </w:r>
      <w:r w:rsidR="00DD7B1E" w:rsidRPr="007048BA">
        <w:rPr>
          <w:rFonts w:cs="Times New Roman"/>
          <w:lang w:val="en-GB"/>
        </w:rPr>
        <w:t xml:space="preserve">For completeness, we also explore levels of discretionary accruals in </w:t>
      </w:r>
      <w:r w:rsidR="00ED262D" w:rsidRPr="007048BA">
        <w:rPr>
          <w:rFonts w:cs="Times New Roman"/>
          <w:i/>
          <w:lang w:val="en-GB"/>
        </w:rPr>
        <w:t>poor</w:t>
      </w:r>
      <w:r w:rsidR="00DD7B1E" w:rsidRPr="007048BA">
        <w:rPr>
          <w:rFonts w:cs="Times New Roman"/>
          <w:lang w:val="en-GB"/>
        </w:rPr>
        <w:t xml:space="preserve"> and </w:t>
      </w:r>
      <w:r w:rsidR="00ED262D" w:rsidRPr="007048BA">
        <w:rPr>
          <w:rFonts w:cs="Times New Roman"/>
          <w:i/>
          <w:lang w:val="en-GB"/>
        </w:rPr>
        <w:t>efficient</w:t>
      </w:r>
      <w:r w:rsidR="00DD7B1E" w:rsidRPr="007048BA">
        <w:rPr>
          <w:rFonts w:cs="Times New Roman"/>
          <w:lang w:val="en-GB"/>
        </w:rPr>
        <w:t xml:space="preserve"> firms. </w:t>
      </w:r>
      <w:r w:rsidR="00CA299A" w:rsidRPr="007048BA">
        <w:rPr>
          <w:rFonts w:cs="Times New Roman"/>
          <w:lang w:val="en-GB"/>
        </w:rPr>
        <w:t xml:space="preserve">Peasnell et al. (2000) suggest that, in the UK context, the Jones (1991) and modified-Jones (Dechow et al., 1995) models are powerful tools for detecting revenue and bad debt manipulations. Hence, we use the Jones (1991) model as modified by </w:t>
      </w:r>
      <w:r w:rsidR="00CA299A" w:rsidRPr="007048BA">
        <w:rPr>
          <w:rFonts w:cs="Times New Roman"/>
          <w:lang w:val="en-GB"/>
        </w:rPr>
        <w:lastRenderedPageBreak/>
        <w:t xml:space="preserve">Dechow et al. (1995) to estimate </w:t>
      </w:r>
      <w:r w:rsidR="00B92219" w:rsidRPr="007048BA">
        <w:rPr>
          <w:rFonts w:cs="Times New Roman"/>
          <w:lang w:val="en-GB"/>
        </w:rPr>
        <w:t>discretionary</w:t>
      </w:r>
      <w:r w:rsidR="00CA299A" w:rsidRPr="007048BA">
        <w:rPr>
          <w:rFonts w:cs="Times New Roman"/>
          <w:lang w:val="en-GB"/>
        </w:rPr>
        <w:t xml:space="preserve"> accruals.</w:t>
      </w:r>
      <w:r w:rsidR="00CA299A" w:rsidRPr="007048BA">
        <w:rPr>
          <w:rStyle w:val="FootnoteReference"/>
          <w:rFonts w:cs="Times New Roman"/>
          <w:lang w:val="en-GB"/>
        </w:rPr>
        <w:footnoteReference w:id="6"/>
      </w:r>
      <w:r w:rsidR="00CA299A" w:rsidRPr="007048BA">
        <w:rPr>
          <w:rFonts w:cs="Times New Roman"/>
          <w:lang w:val="en-GB"/>
        </w:rPr>
        <w:t xml:space="preserve"> The model suggests that Total accruals is a combination of discretionary accruals (</w:t>
      </w:r>
      <w:r w:rsidR="00CA299A" w:rsidRPr="007048BA">
        <w:rPr>
          <w:rFonts w:cs="Times New Roman"/>
          <w:i/>
          <w:lang w:val="en-GB"/>
        </w:rPr>
        <w:t>DA</w:t>
      </w:r>
      <w:r w:rsidR="00CA299A" w:rsidRPr="007048BA">
        <w:rPr>
          <w:rFonts w:cs="Times New Roman"/>
          <w:lang w:val="en-GB"/>
        </w:rPr>
        <w:t>) and non-</w:t>
      </w:r>
      <w:r w:rsidR="00B92219" w:rsidRPr="007048BA">
        <w:rPr>
          <w:rFonts w:cs="Times New Roman"/>
          <w:lang w:val="en-GB"/>
        </w:rPr>
        <w:t>discretionary</w:t>
      </w:r>
      <w:r w:rsidR="00CA299A" w:rsidRPr="007048BA">
        <w:rPr>
          <w:rFonts w:cs="Times New Roman"/>
          <w:lang w:val="en-GB"/>
        </w:rPr>
        <w:t xml:space="preserve"> accruals (</w:t>
      </w:r>
      <w:r w:rsidR="00CA299A" w:rsidRPr="007048BA">
        <w:rPr>
          <w:rFonts w:cs="Times New Roman"/>
          <w:i/>
          <w:lang w:val="en-GB"/>
        </w:rPr>
        <w:t>NDA</w:t>
      </w:r>
      <w:r w:rsidR="00CA299A" w:rsidRPr="007048BA">
        <w:rPr>
          <w:rFonts w:cs="Times New Roman"/>
          <w:lang w:val="en-GB"/>
        </w:rPr>
        <w:t xml:space="preserve">), with </w:t>
      </w:r>
      <w:r w:rsidR="00CA299A" w:rsidRPr="007048BA">
        <w:rPr>
          <w:rFonts w:cs="Times New Roman"/>
          <w:i/>
          <w:lang w:val="en-GB"/>
        </w:rPr>
        <w:t>DA</w:t>
      </w:r>
      <w:r w:rsidR="00CA299A" w:rsidRPr="007048BA">
        <w:rPr>
          <w:rFonts w:cs="Times New Roman"/>
          <w:lang w:val="en-GB"/>
        </w:rPr>
        <w:t xml:space="preserve"> being used by managers to potentially inflate earnings. </w:t>
      </w:r>
      <w:r w:rsidR="00364082" w:rsidRPr="007048BA">
        <w:rPr>
          <w:rFonts w:cs="Times New Roman"/>
          <w:lang w:val="en-GB"/>
        </w:rPr>
        <w:t>Total accruals</w:t>
      </w:r>
      <w:r w:rsidR="00595730" w:rsidRPr="007048BA">
        <w:rPr>
          <w:rFonts w:cs="Times New Roman"/>
          <w:lang w:val="en-GB"/>
        </w:rPr>
        <w:t>, is defined as the change in current assets (</w:t>
      </w:r>
      <w:r w:rsidR="00595730" w:rsidRPr="007048BA">
        <w:rPr>
          <w:rFonts w:cs="Times New Roman"/>
          <w:i/>
          <w:lang w:val="en-GB"/>
        </w:rPr>
        <w:t>CA</w:t>
      </w:r>
      <w:r w:rsidR="00595730" w:rsidRPr="007048BA">
        <w:rPr>
          <w:rFonts w:cs="Times New Roman"/>
          <w:lang w:val="en-GB"/>
        </w:rPr>
        <w:t>, WC02201) minus cash (</w:t>
      </w:r>
      <w:r w:rsidR="00595730" w:rsidRPr="007048BA">
        <w:rPr>
          <w:rFonts w:cs="Times New Roman"/>
          <w:i/>
          <w:lang w:val="en-GB"/>
        </w:rPr>
        <w:t>Cash</w:t>
      </w:r>
      <w:r w:rsidR="00595730" w:rsidRPr="007048BA">
        <w:rPr>
          <w:rFonts w:cs="Times New Roman"/>
          <w:lang w:val="en-GB"/>
        </w:rPr>
        <w:t>, WC02001) minus the change in current liabilities (</w:t>
      </w:r>
      <w:r w:rsidR="00595730" w:rsidRPr="007048BA">
        <w:rPr>
          <w:rFonts w:cs="Times New Roman"/>
          <w:i/>
          <w:lang w:val="en-GB"/>
        </w:rPr>
        <w:t>CL</w:t>
      </w:r>
      <w:r w:rsidR="00595730" w:rsidRPr="007048BA">
        <w:rPr>
          <w:rFonts w:cs="Times New Roman"/>
          <w:lang w:val="en-GB"/>
        </w:rPr>
        <w:t>, WC03101) minus depreciation (</w:t>
      </w:r>
      <w:r w:rsidR="00595730" w:rsidRPr="007048BA">
        <w:rPr>
          <w:rFonts w:cs="Times New Roman"/>
          <w:i/>
          <w:lang w:val="en-GB"/>
        </w:rPr>
        <w:t>DEP</w:t>
      </w:r>
      <w:r w:rsidR="00595730" w:rsidRPr="007048BA">
        <w:rPr>
          <w:rFonts w:cs="Times New Roman"/>
          <w:lang w:val="en-GB"/>
        </w:rPr>
        <w:t>, WC01148). Following Botsari and Meeks (2008), no adjustment is made for the current portion of long term debt due to data unavailability.</w:t>
      </w:r>
    </w:p>
    <w:p w14:paraId="0526D3F9" w14:textId="7D767782" w:rsidR="00595730" w:rsidRPr="007048BA" w:rsidRDefault="007048BA" w:rsidP="00595730">
      <w:pPr>
        <w:ind w:firstLine="0"/>
        <w:jc w:val="center"/>
        <w:rPr>
          <w:rFonts w:cs="Times New Roman"/>
          <w:sz w:val="28"/>
          <w:lang w:val="en-GB"/>
        </w:rPr>
      </w:pPr>
      <m:oMath>
        <m:sSub>
          <m:sSubPr>
            <m:ctrlPr>
              <w:rPr>
                <w:rFonts w:ascii="Cambria Math" w:hAnsi="Cambria Math"/>
                <w:i/>
                <w:sz w:val="28"/>
                <w:lang w:val="en-GB"/>
              </w:rPr>
            </m:ctrlPr>
          </m:sSubPr>
          <m:e>
            <m:r>
              <w:rPr>
                <w:rFonts w:ascii="Cambria Math" w:hAnsi="Cambria Math"/>
                <w:sz w:val="28"/>
                <w:lang w:val="en-GB"/>
              </w:rPr>
              <m:t>Total Accruals</m:t>
            </m:r>
          </m:e>
          <m:sub>
            <m:r>
              <w:rPr>
                <w:rFonts w:ascii="Cambria Math" w:hAnsi="Cambria Math"/>
                <w:sz w:val="28"/>
                <w:lang w:val="en-GB"/>
              </w:rPr>
              <m:t>it</m:t>
            </m:r>
          </m:sub>
        </m:sSub>
        <m:r>
          <w:rPr>
            <w:rFonts w:ascii="Cambria Math" w:hAnsi="Cambria Math"/>
            <w:sz w:val="28"/>
            <w:lang w:val="en-GB"/>
          </w:rPr>
          <m:t xml:space="preserve">= </m:t>
        </m:r>
        <m:sSub>
          <m:sSubPr>
            <m:ctrlPr>
              <w:rPr>
                <w:rFonts w:ascii="Cambria Math" w:hAnsi="Cambria Math"/>
                <w:i/>
                <w:sz w:val="28"/>
                <w:lang w:val="en-GB"/>
              </w:rPr>
            </m:ctrlPr>
          </m:sSubPr>
          <m:e>
            <m:r>
              <w:rPr>
                <w:rFonts w:ascii="Cambria Math" w:hAnsi="Cambria Math"/>
                <w:sz w:val="28"/>
                <w:lang w:val="en-GB"/>
              </w:rPr>
              <m:t>∆CA</m:t>
            </m:r>
          </m:e>
          <m:sub>
            <m:r>
              <w:rPr>
                <w:rFonts w:ascii="Cambria Math" w:hAnsi="Cambria Math"/>
                <w:sz w:val="28"/>
                <w:lang w:val="en-GB"/>
              </w:rPr>
              <m:t>it</m:t>
            </m:r>
          </m:sub>
        </m:sSub>
        <m:r>
          <w:rPr>
            <w:rFonts w:ascii="Cambria Math" w:hAnsi="Cambria Math"/>
            <w:sz w:val="28"/>
            <w:lang w:val="en-GB"/>
          </w:rPr>
          <m:t>-</m:t>
        </m:r>
        <m:sSub>
          <m:sSubPr>
            <m:ctrlPr>
              <w:rPr>
                <w:rFonts w:ascii="Cambria Math" w:hAnsi="Cambria Math"/>
                <w:i/>
                <w:sz w:val="28"/>
                <w:lang w:val="en-GB"/>
              </w:rPr>
            </m:ctrlPr>
          </m:sSubPr>
          <m:e>
            <m:r>
              <w:rPr>
                <w:rFonts w:ascii="Cambria Math" w:hAnsi="Cambria Math"/>
                <w:sz w:val="28"/>
                <w:lang w:val="en-GB"/>
              </w:rPr>
              <m:t>∆Cash</m:t>
            </m:r>
          </m:e>
          <m:sub>
            <m:r>
              <w:rPr>
                <w:rFonts w:ascii="Cambria Math" w:hAnsi="Cambria Math"/>
                <w:sz w:val="28"/>
                <w:lang w:val="en-GB"/>
              </w:rPr>
              <m:t>it</m:t>
            </m:r>
          </m:sub>
        </m:sSub>
        <m:r>
          <w:rPr>
            <w:rFonts w:ascii="Cambria Math" w:hAnsi="Cambria Math"/>
            <w:sz w:val="28"/>
            <w:lang w:val="en-GB"/>
          </w:rPr>
          <m:t>-</m:t>
        </m:r>
        <m:sSub>
          <m:sSubPr>
            <m:ctrlPr>
              <w:rPr>
                <w:rFonts w:ascii="Cambria Math" w:hAnsi="Cambria Math"/>
                <w:i/>
                <w:sz w:val="28"/>
                <w:lang w:val="en-GB"/>
              </w:rPr>
            </m:ctrlPr>
          </m:sSubPr>
          <m:e>
            <m:r>
              <w:rPr>
                <w:rFonts w:ascii="Cambria Math" w:hAnsi="Cambria Math"/>
                <w:sz w:val="28"/>
                <w:lang w:val="en-GB"/>
              </w:rPr>
              <m:t>∆CL</m:t>
            </m:r>
          </m:e>
          <m:sub>
            <m:r>
              <w:rPr>
                <w:rFonts w:ascii="Cambria Math" w:hAnsi="Cambria Math"/>
                <w:sz w:val="28"/>
                <w:lang w:val="en-GB"/>
              </w:rPr>
              <m:t>it</m:t>
            </m:r>
          </m:sub>
        </m:sSub>
        <m:r>
          <w:rPr>
            <w:rFonts w:ascii="Cambria Math" w:hAnsi="Cambria Math"/>
            <w:sz w:val="28"/>
            <w:lang w:val="en-GB"/>
          </w:rPr>
          <m:t>-</m:t>
        </m:r>
        <m:sSub>
          <m:sSubPr>
            <m:ctrlPr>
              <w:rPr>
                <w:rFonts w:ascii="Cambria Math" w:hAnsi="Cambria Math"/>
                <w:i/>
                <w:sz w:val="28"/>
                <w:lang w:val="en-GB"/>
              </w:rPr>
            </m:ctrlPr>
          </m:sSubPr>
          <m:e>
            <m:r>
              <w:rPr>
                <w:rFonts w:ascii="Cambria Math" w:hAnsi="Cambria Math"/>
                <w:sz w:val="28"/>
                <w:lang w:val="en-GB"/>
              </w:rPr>
              <m:t>DEP</m:t>
            </m:r>
          </m:e>
          <m:sub>
            <m:r>
              <w:rPr>
                <w:rFonts w:ascii="Cambria Math" w:hAnsi="Cambria Math"/>
                <w:sz w:val="28"/>
                <w:lang w:val="en-GB"/>
              </w:rPr>
              <m:t>it</m:t>
            </m:r>
          </m:sub>
        </m:sSub>
      </m:oMath>
      <w:r w:rsidR="00595730" w:rsidRPr="007048BA">
        <w:rPr>
          <w:rFonts w:eastAsiaTheme="minorEastAsia" w:cs="Times New Roman"/>
          <w:sz w:val="28"/>
          <w:lang w:val="en-GB"/>
        </w:rPr>
        <w:t xml:space="preserve">                 </w:t>
      </w:r>
      <w:r w:rsidR="006A5365" w:rsidRPr="007048BA">
        <w:rPr>
          <w:rFonts w:eastAsiaTheme="minorEastAsia" w:cs="Times New Roman"/>
          <w:sz w:val="28"/>
          <w:lang w:val="en-GB"/>
        </w:rPr>
        <w:t xml:space="preserve">          </w:t>
      </w:r>
      <w:r w:rsidR="00595730" w:rsidRPr="007048BA">
        <w:rPr>
          <w:rFonts w:eastAsiaTheme="minorEastAsia" w:cs="Times New Roman"/>
          <w:sz w:val="28"/>
          <w:lang w:val="en-GB"/>
        </w:rPr>
        <w:t xml:space="preserve">  (</w:t>
      </w:r>
      <w:r w:rsidR="009120D9" w:rsidRPr="007048BA">
        <w:rPr>
          <w:rFonts w:eastAsiaTheme="minorEastAsia" w:cs="Times New Roman"/>
          <w:sz w:val="28"/>
          <w:lang w:val="en-GB"/>
        </w:rPr>
        <w:t>4</w:t>
      </w:r>
      <w:r w:rsidR="00595730" w:rsidRPr="007048BA">
        <w:rPr>
          <w:rFonts w:eastAsiaTheme="minorEastAsia" w:cs="Times New Roman"/>
          <w:sz w:val="28"/>
          <w:lang w:val="en-GB"/>
        </w:rPr>
        <w:t>)</w:t>
      </w:r>
    </w:p>
    <w:p w14:paraId="11B695AA" w14:textId="6DB1EDA9" w:rsidR="00CA299A" w:rsidRPr="007048BA" w:rsidRDefault="00CA299A" w:rsidP="00CA299A">
      <w:pPr>
        <w:ind w:firstLine="0"/>
        <w:rPr>
          <w:rFonts w:cs="Times New Roman"/>
          <w:lang w:val="en-GB"/>
        </w:rPr>
      </w:pPr>
      <w:r w:rsidRPr="007048BA">
        <w:rPr>
          <w:rFonts w:cs="Times New Roman"/>
          <w:i/>
          <w:lang w:val="en-GB"/>
        </w:rPr>
        <w:t>TA</w:t>
      </w:r>
      <w:r w:rsidRPr="007048BA">
        <w:rPr>
          <w:rFonts w:cs="Times New Roman"/>
          <w:lang w:val="en-GB"/>
        </w:rPr>
        <w:t xml:space="preserve"> </w:t>
      </w:r>
      <w:r w:rsidR="007D573E" w:rsidRPr="007048BA">
        <w:rPr>
          <w:rFonts w:cs="Times New Roman"/>
          <w:lang w:val="en-GB"/>
        </w:rPr>
        <w:t xml:space="preserve">and </w:t>
      </w:r>
      <w:r w:rsidR="007D573E" w:rsidRPr="007048BA">
        <w:rPr>
          <w:rFonts w:cs="Times New Roman"/>
          <w:i/>
          <w:lang w:val="en-GB"/>
        </w:rPr>
        <w:t>NDA</w:t>
      </w:r>
      <w:r w:rsidR="007D573E" w:rsidRPr="007048BA">
        <w:rPr>
          <w:rFonts w:cs="Times New Roman"/>
          <w:lang w:val="en-GB"/>
        </w:rPr>
        <w:t xml:space="preserve"> are</w:t>
      </w:r>
      <w:r w:rsidR="00595730" w:rsidRPr="007048BA">
        <w:rPr>
          <w:rFonts w:cs="Times New Roman"/>
          <w:lang w:val="en-GB"/>
        </w:rPr>
        <w:t xml:space="preserve"> </w:t>
      </w:r>
      <w:r w:rsidRPr="007048BA">
        <w:rPr>
          <w:rFonts w:cs="Times New Roman"/>
          <w:lang w:val="en-GB"/>
        </w:rPr>
        <w:t xml:space="preserve">estimated as </w:t>
      </w:r>
      <w:r w:rsidR="00595730" w:rsidRPr="007048BA">
        <w:rPr>
          <w:rFonts w:cs="Times New Roman"/>
          <w:lang w:val="en-GB"/>
        </w:rPr>
        <w:t>in equation</w:t>
      </w:r>
      <w:r w:rsidR="007D573E" w:rsidRPr="007048BA">
        <w:rPr>
          <w:rFonts w:cs="Times New Roman"/>
          <w:lang w:val="en-GB"/>
        </w:rPr>
        <w:t>s</w:t>
      </w:r>
      <w:r w:rsidR="00595730" w:rsidRPr="007048BA">
        <w:rPr>
          <w:rFonts w:cs="Times New Roman"/>
          <w:lang w:val="en-GB"/>
        </w:rPr>
        <w:t xml:space="preserve"> (4) </w:t>
      </w:r>
      <w:r w:rsidR="007D573E" w:rsidRPr="007048BA">
        <w:rPr>
          <w:rFonts w:cs="Times New Roman"/>
          <w:lang w:val="en-GB"/>
        </w:rPr>
        <w:t>and (5).</w:t>
      </w:r>
    </w:p>
    <w:p w14:paraId="014BED7E" w14:textId="538A45DE" w:rsidR="00CA299A" w:rsidRPr="007048BA" w:rsidRDefault="007048BA" w:rsidP="004B243E">
      <w:pPr>
        <w:jc w:val="center"/>
        <w:rPr>
          <w:rFonts w:cs="Times New Roman"/>
          <w:sz w:val="28"/>
          <w:lang w:val="en-GB"/>
        </w:rPr>
      </w:pPr>
      <m:oMath>
        <m:f>
          <m:fPr>
            <m:ctrlPr>
              <w:rPr>
                <w:rFonts w:ascii="Cambria Math" w:hAnsi="Cambria Math" w:cs="Times New Roman"/>
                <w:i/>
                <w:sz w:val="28"/>
                <w:lang w:val="en-GB"/>
              </w:rPr>
            </m:ctrlPr>
          </m:fPr>
          <m:num>
            <m:sSub>
              <m:sSubPr>
                <m:ctrlPr>
                  <w:rPr>
                    <w:rFonts w:ascii="Cambria Math" w:hAnsi="Cambria Math" w:cs="Times New Roman"/>
                    <w:i/>
                    <w:sz w:val="28"/>
                    <w:lang w:val="en-GB"/>
                  </w:rPr>
                </m:ctrlPr>
              </m:sSubPr>
              <m:e>
                <m:r>
                  <w:rPr>
                    <w:rFonts w:ascii="Cambria Math" w:hAnsi="Cambria Math"/>
                    <w:sz w:val="28"/>
                    <w:lang w:val="en-GB"/>
                  </w:rPr>
                  <m:t>Total Accruals</m:t>
                </m:r>
              </m:e>
              <m:sub>
                <m:r>
                  <w:rPr>
                    <w:rFonts w:ascii="Cambria Math" w:hAnsi="Cambria Math" w:cs="Times New Roman"/>
                    <w:sz w:val="28"/>
                    <w:lang w:val="en-GB"/>
                  </w:rPr>
                  <m:t>it</m:t>
                </m:r>
              </m:sub>
            </m:sSub>
          </m:num>
          <m:den>
            <m:sSub>
              <m:sSubPr>
                <m:ctrlPr>
                  <w:rPr>
                    <w:rFonts w:ascii="Cambria Math" w:hAnsi="Cambria Math" w:cs="Times New Roman"/>
                    <w:i/>
                    <w:sz w:val="28"/>
                    <w:lang w:val="en-GB"/>
                  </w:rPr>
                </m:ctrlPr>
              </m:sSubPr>
              <m:e>
                <m:r>
                  <w:rPr>
                    <w:rFonts w:ascii="Cambria Math" w:hAnsi="Cambria Math" w:cs="Times New Roman"/>
                    <w:sz w:val="28"/>
                    <w:lang w:val="en-GB"/>
                  </w:rPr>
                  <m:t>Assets</m:t>
                </m:r>
              </m:e>
              <m:sub>
                <m:r>
                  <w:rPr>
                    <w:rFonts w:ascii="Cambria Math" w:hAnsi="Cambria Math" w:cs="Times New Roman"/>
                    <w:sz w:val="28"/>
                    <w:lang w:val="en-GB"/>
                  </w:rPr>
                  <m:t>it-1</m:t>
                </m:r>
              </m:sub>
            </m:sSub>
          </m:den>
        </m:f>
        <m:r>
          <w:rPr>
            <w:rFonts w:ascii="Cambria Math" w:hAnsi="Cambria Math" w:cs="Times New Roman"/>
            <w:sz w:val="28"/>
            <w:lang w:val="en-GB"/>
          </w:rPr>
          <m:t xml:space="preserve">= </m:t>
        </m:r>
        <m:sSub>
          <m:sSubPr>
            <m:ctrlPr>
              <w:rPr>
                <w:rFonts w:ascii="Cambria Math" w:hAnsi="Cambria Math" w:cs="Times New Roman"/>
                <w:i/>
                <w:sz w:val="28"/>
                <w:lang w:val="en-GB"/>
              </w:rPr>
            </m:ctrlPr>
          </m:sSubPr>
          <m:e>
            <m:r>
              <w:rPr>
                <w:rFonts w:ascii="Cambria Math" w:hAnsi="Cambria Math" w:cs="Times New Roman"/>
                <w:sz w:val="28"/>
                <w:lang w:val="en-GB"/>
              </w:rPr>
              <m:t>β</m:t>
            </m:r>
          </m:e>
          <m:sub>
            <m:r>
              <w:rPr>
                <w:rFonts w:ascii="Cambria Math" w:hAnsi="Cambria Math" w:cs="Times New Roman"/>
                <w:sz w:val="28"/>
                <w:lang w:val="en-GB"/>
              </w:rPr>
              <m:t>1</m:t>
            </m:r>
          </m:sub>
        </m:sSub>
        <m:f>
          <m:fPr>
            <m:ctrlPr>
              <w:rPr>
                <w:rFonts w:ascii="Cambria Math" w:hAnsi="Cambria Math" w:cs="Times New Roman"/>
                <w:i/>
                <w:sz w:val="28"/>
                <w:lang w:val="en-GB"/>
              </w:rPr>
            </m:ctrlPr>
          </m:fPr>
          <m:num>
            <m:r>
              <w:rPr>
                <w:rFonts w:ascii="Cambria Math" w:hAnsi="Cambria Math" w:cs="Times New Roman"/>
                <w:sz w:val="28"/>
                <w:lang w:val="en-GB"/>
              </w:rPr>
              <m:t>1</m:t>
            </m:r>
          </m:num>
          <m:den>
            <m:sSub>
              <m:sSubPr>
                <m:ctrlPr>
                  <w:rPr>
                    <w:rFonts w:ascii="Cambria Math" w:hAnsi="Cambria Math" w:cs="Times New Roman"/>
                    <w:i/>
                    <w:sz w:val="28"/>
                    <w:lang w:val="en-GB"/>
                  </w:rPr>
                </m:ctrlPr>
              </m:sSubPr>
              <m:e>
                <m:r>
                  <w:rPr>
                    <w:rFonts w:ascii="Cambria Math" w:hAnsi="Cambria Math" w:cs="Times New Roman"/>
                    <w:sz w:val="28"/>
                    <w:lang w:val="en-GB"/>
                  </w:rPr>
                  <m:t>Assets</m:t>
                </m:r>
              </m:e>
              <m:sub>
                <m:r>
                  <w:rPr>
                    <w:rFonts w:ascii="Cambria Math" w:hAnsi="Cambria Math" w:cs="Times New Roman"/>
                    <w:sz w:val="28"/>
                    <w:lang w:val="en-GB"/>
                  </w:rPr>
                  <m:t>it-1</m:t>
                </m:r>
              </m:sub>
            </m:sSub>
          </m:den>
        </m:f>
        <m:r>
          <w:rPr>
            <w:rFonts w:ascii="Cambria Math" w:hAnsi="Cambria Math" w:cs="Times New Roman"/>
            <w:sz w:val="28"/>
            <w:lang w:val="en-GB"/>
          </w:rPr>
          <m:t>+</m:t>
        </m:r>
        <m:sSub>
          <m:sSubPr>
            <m:ctrlPr>
              <w:rPr>
                <w:rFonts w:ascii="Cambria Math" w:hAnsi="Cambria Math" w:cs="Times New Roman"/>
                <w:i/>
                <w:sz w:val="28"/>
                <w:lang w:val="en-GB"/>
              </w:rPr>
            </m:ctrlPr>
          </m:sSubPr>
          <m:e>
            <m:r>
              <w:rPr>
                <w:rFonts w:ascii="Cambria Math" w:hAnsi="Cambria Math" w:cs="Times New Roman"/>
                <w:sz w:val="28"/>
                <w:lang w:val="en-GB"/>
              </w:rPr>
              <m:t>β</m:t>
            </m:r>
          </m:e>
          <m:sub>
            <m:r>
              <w:rPr>
                <w:rFonts w:ascii="Cambria Math" w:hAnsi="Cambria Math" w:cs="Times New Roman"/>
                <w:sz w:val="28"/>
                <w:lang w:val="en-GB"/>
              </w:rPr>
              <m:t>2</m:t>
            </m:r>
          </m:sub>
        </m:sSub>
        <m:f>
          <m:fPr>
            <m:ctrlPr>
              <w:rPr>
                <w:rFonts w:ascii="Cambria Math" w:hAnsi="Cambria Math" w:cs="Times New Roman"/>
                <w:i/>
                <w:sz w:val="28"/>
                <w:lang w:val="en-GB"/>
              </w:rPr>
            </m:ctrlPr>
          </m:fPr>
          <m:num>
            <m:d>
              <m:dPr>
                <m:ctrlPr>
                  <w:rPr>
                    <w:rFonts w:ascii="Cambria Math" w:hAnsi="Cambria Math" w:cs="Times New Roman"/>
                    <w:i/>
                    <w:sz w:val="28"/>
                    <w:lang w:val="en-GB"/>
                  </w:rPr>
                </m:ctrlPr>
              </m:dPr>
              <m:e>
                <m:sSub>
                  <m:sSubPr>
                    <m:ctrlPr>
                      <w:rPr>
                        <w:rFonts w:ascii="Cambria Math" w:hAnsi="Cambria Math" w:cs="Times New Roman"/>
                        <w:i/>
                        <w:sz w:val="28"/>
                        <w:lang w:val="en-GB"/>
                      </w:rPr>
                    </m:ctrlPr>
                  </m:sSubPr>
                  <m:e>
                    <m:r>
                      <w:rPr>
                        <w:rFonts w:ascii="Cambria Math" w:hAnsi="Cambria Math" w:cs="Times New Roman"/>
                        <w:sz w:val="28"/>
                        <w:lang w:val="en-GB"/>
                      </w:rPr>
                      <m:t>∆REV</m:t>
                    </m:r>
                  </m:e>
                  <m:sub>
                    <m:r>
                      <w:rPr>
                        <w:rFonts w:ascii="Cambria Math" w:hAnsi="Cambria Math" w:cs="Times New Roman"/>
                        <w:sz w:val="28"/>
                        <w:lang w:val="en-GB"/>
                      </w:rPr>
                      <m:t>it</m:t>
                    </m:r>
                  </m:sub>
                </m:sSub>
                <m:r>
                  <w:rPr>
                    <w:rFonts w:ascii="Cambria Math" w:hAnsi="Cambria Math" w:cs="Times New Roman"/>
                    <w:sz w:val="28"/>
                    <w:lang w:val="en-GB"/>
                  </w:rPr>
                  <m:t>-</m:t>
                </m:r>
                <m:sSub>
                  <m:sSubPr>
                    <m:ctrlPr>
                      <w:rPr>
                        <w:rFonts w:ascii="Cambria Math" w:hAnsi="Cambria Math" w:cs="Times New Roman"/>
                        <w:i/>
                        <w:sz w:val="28"/>
                        <w:lang w:val="en-GB"/>
                      </w:rPr>
                    </m:ctrlPr>
                  </m:sSubPr>
                  <m:e>
                    <m:r>
                      <w:rPr>
                        <w:rFonts w:ascii="Cambria Math" w:hAnsi="Cambria Math" w:cs="Times New Roman"/>
                        <w:sz w:val="28"/>
                        <w:lang w:val="en-GB"/>
                      </w:rPr>
                      <m:t>∆REC</m:t>
                    </m:r>
                  </m:e>
                  <m:sub>
                    <m:r>
                      <w:rPr>
                        <w:rFonts w:ascii="Cambria Math" w:hAnsi="Cambria Math" w:cs="Times New Roman"/>
                        <w:sz w:val="28"/>
                        <w:lang w:val="en-GB"/>
                      </w:rPr>
                      <m:t>it</m:t>
                    </m:r>
                  </m:sub>
                </m:sSub>
              </m:e>
            </m:d>
          </m:num>
          <m:den>
            <m:sSub>
              <m:sSubPr>
                <m:ctrlPr>
                  <w:rPr>
                    <w:rFonts w:ascii="Cambria Math" w:hAnsi="Cambria Math" w:cs="Times New Roman"/>
                    <w:i/>
                    <w:sz w:val="28"/>
                    <w:lang w:val="en-GB"/>
                  </w:rPr>
                </m:ctrlPr>
              </m:sSubPr>
              <m:e>
                <m:r>
                  <w:rPr>
                    <w:rFonts w:ascii="Cambria Math" w:hAnsi="Cambria Math" w:cs="Times New Roman"/>
                    <w:sz w:val="28"/>
                    <w:lang w:val="en-GB"/>
                  </w:rPr>
                  <m:t>Assets</m:t>
                </m:r>
              </m:e>
              <m:sub>
                <m:r>
                  <w:rPr>
                    <w:rFonts w:ascii="Cambria Math" w:hAnsi="Cambria Math" w:cs="Times New Roman"/>
                    <w:sz w:val="28"/>
                    <w:lang w:val="en-GB"/>
                  </w:rPr>
                  <m:t>it-1</m:t>
                </m:r>
              </m:sub>
            </m:sSub>
          </m:den>
        </m:f>
        <m:r>
          <w:rPr>
            <w:rFonts w:ascii="Cambria Math" w:hAnsi="Cambria Math" w:cs="Times New Roman"/>
            <w:sz w:val="28"/>
            <w:lang w:val="en-GB"/>
          </w:rPr>
          <m:t>+</m:t>
        </m:r>
        <m:sSub>
          <m:sSubPr>
            <m:ctrlPr>
              <w:rPr>
                <w:rFonts w:ascii="Cambria Math" w:hAnsi="Cambria Math" w:cs="Times New Roman"/>
                <w:i/>
                <w:sz w:val="28"/>
                <w:lang w:val="en-GB"/>
              </w:rPr>
            </m:ctrlPr>
          </m:sSubPr>
          <m:e>
            <m:r>
              <w:rPr>
                <w:rFonts w:ascii="Cambria Math" w:hAnsi="Cambria Math" w:cs="Times New Roman"/>
                <w:sz w:val="28"/>
                <w:lang w:val="en-GB"/>
              </w:rPr>
              <m:t>β</m:t>
            </m:r>
          </m:e>
          <m:sub>
            <m:r>
              <w:rPr>
                <w:rFonts w:ascii="Cambria Math" w:hAnsi="Cambria Math" w:cs="Times New Roman"/>
                <w:sz w:val="28"/>
                <w:lang w:val="en-GB"/>
              </w:rPr>
              <m:t>3</m:t>
            </m:r>
          </m:sub>
        </m:sSub>
        <m:f>
          <m:fPr>
            <m:ctrlPr>
              <w:rPr>
                <w:rFonts w:ascii="Cambria Math" w:hAnsi="Cambria Math" w:cs="Times New Roman"/>
                <w:i/>
                <w:sz w:val="28"/>
                <w:lang w:val="en-GB"/>
              </w:rPr>
            </m:ctrlPr>
          </m:fPr>
          <m:num>
            <m:sSub>
              <m:sSubPr>
                <m:ctrlPr>
                  <w:rPr>
                    <w:rFonts w:ascii="Cambria Math" w:hAnsi="Cambria Math" w:cs="Times New Roman"/>
                    <w:i/>
                    <w:sz w:val="28"/>
                    <w:lang w:val="en-GB"/>
                  </w:rPr>
                </m:ctrlPr>
              </m:sSubPr>
              <m:e>
                <m:r>
                  <w:rPr>
                    <w:rFonts w:ascii="Cambria Math" w:hAnsi="Cambria Math" w:cs="Times New Roman"/>
                    <w:sz w:val="28"/>
                    <w:lang w:val="en-GB"/>
                  </w:rPr>
                  <m:t>PPE</m:t>
                </m:r>
              </m:e>
              <m:sub>
                <m:r>
                  <w:rPr>
                    <w:rFonts w:ascii="Cambria Math" w:hAnsi="Cambria Math" w:cs="Times New Roman"/>
                    <w:sz w:val="28"/>
                    <w:lang w:val="en-GB"/>
                  </w:rPr>
                  <m:t>it</m:t>
                </m:r>
              </m:sub>
            </m:sSub>
          </m:num>
          <m:den>
            <m:sSub>
              <m:sSubPr>
                <m:ctrlPr>
                  <w:rPr>
                    <w:rFonts w:ascii="Cambria Math" w:hAnsi="Cambria Math" w:cs="Times New Roman"/>
                    <w:i/>
                    <w:sz w:val="28"/>
                    <w:lang w:val="en-GB"/>
                  </w:rPr>
                </m:ctrlPr>
              </m:sSubPr>
              <m:e>
                <m:r>
                  <w:rPr>
                    <w:rFonts w:ascii="Cambria Math" w:hAnsi="Cambria Math" w:cs="Times New Roman"/>
                    <w:sz w:val="28"/>
                    <w:lang w:val="en-GB"/>
                  </w:rPr>
                  <m:t>Assets</m:t>
                </m:r>
              </m:e>
              <m:sub>
                <m:r>
                  <w:rPr>
                    <w:rFonts w:ascii="Cambria Math" w:hAnsi="Cambria Math" w:cs="Times New Roman"/>
                    <w:sz w:val="28"/>
                    <w:lang w:val="en-GB"/>
                  </w:rPr>
                  <m:t>it-1</m:t>
                </m:r>
              </m:sub>
            </m:sSub>
          </m:den>
        </m:f>
        <m:r>
          <w:rPr>
            <w:rFonts w:ascii="Cambria Math" w:hAnsi="Cambria Math" w:cs="Times New Roman"/>
            <w:sz w:val="28"/>
            <w:lang w:val="en-GB"/>
          </w:rPr>
          <m:t>+</m:t>
        </m:r>
        <m:sSub>
          <m:sSubPr>
            <m:ctrlPr>
              <w:rPr>
                <w:rFonts w:ascii="Cambria Math" w:hAnsi="Cambria Math" w:cs="Times New Roman"/>
                <w:i/>
                <w:sz w:val="28"/>
                <w:lang w:val="en-GB"/>
              </w:rPr>
            </m:ctrlPr>
          </m:sSubPr>
          <m:e>
            <m:r>
              <w:rPr>
                <w:rFonts w:ascii="Cambria Math" w:hAnsi="Cambria Math" w:cs="Times New Roman"/>
                <w:sz w:val="28"/>
                <w:lang w:val="en-GB"/>
              </w:rPr>
              <m:t>ε</m:t>
            </m:r>
          </m:e>
          <m:sub>
            <m:r>
              <w:rPr>
                <w:rFonts w:ascii="Cambria Math" w:hAnsi="Cambria Math" w:cs="Times New Roman"/>
                <w:sz w:val="28"/>
                <w:lang w:val="en-GB"/>
              </w:rPr>
              <m:t>it</m:t>
            </m:r>
          </m:sub>
        </m:sSub>
      </m:oMath>
      <w:r w:rsidR="00CA299A" w:rsidRPr="007048BA">
        <w:rPr>
          <w:rFonts w:cs="Times New Roman"/>
          <w:sz w:val="28"/>
          <w:lang w:val="en-GB"/>
        </w:rPr>
        <w:t xml:space="preserve">      (</w:t>
      </w:r>
      <w:r w:rsidR="009120D9" w:rsidRPr="007048BA">
        <w:rPr>
          <w:rFonts w:cs="Times New Roman"/>
          <w:sz w:val="28"/>
          <w:lang w:val="en-GB"/>
        </w:rPr>
        <w:t>5</w:t>
      </w:r>
      <w:r w:rsidR="00CA299A" w:rsidRPr="007048BA">
        <w:rPr>
          <w:rFonts w:cs="Times New Roman"/>
          <w:sz w:val="28"/>
          <w:lang w:val="en-GB"/>
        </w:rPr>
        <w:t>)</w:t>
      </w:r>
    </w:p>
    <w:p w14:paraId="233DC72E" w14:textId="556C01AD" w:rsidR="007D573E" w:rsidRPr="007048BA" w:rsidRDefault="007048BA" w:rsidP="007D573E">
      <w:pPr>
        <w:jc w:val="center"/>
        <w:rPr>
          <w:rFonts w:cs="Times New Roman"/>
          <w:lang w:val="en-GB"/>
        </w:rPr>
      </w:pPr>
      <m:oMath>
        <m:f>
          <m:fPr>
            <m:ctrlPr>
              <w:rPr>
                <w:rFonts w:ascii="Cambria Math" w:hAnsi="Cambria Math" w:cs="Times New Roman"/>
                <w:i/>
                <w:sz w:val="28"/>
                <w:lang w:val="en-GB"/>
              </w:rPr>
            </m:ctrlPr>
          </m:fPr>
          <m:num>
            <m:sSub>
              <m:sSubPr>
                <m:ctrlPr>
                  <w:rPr>
                    <w:rFonts w:ascii="Cambria Math" w:hAnsi="Cambria Math" w:cs="Times New Roman"/>
                    <w:i/>
                    <w:sz w:val="28"/>
                    <w:lang w:val="en-GB"/>
                  </w:rPr>
                </m:ctrlPr>
              </m:sSubPr>
              <m:e>
                <m:r>
                  <w:rPr>
                    <w:rFonts w:ascii="Cambria Math" w:hAnsi="Cambria Math" w:cs="Times New Roman"/>
                    <w:sz w:val="28"/>
                    <w:lang w:val="en-GB"/>
                  </w:rPr>
                  <m:t>NDA</m:t>
                </m:r>
              </m:e>
              <m:sub>
                <m:r>
                  <w:rPr>
                    <w:rFonts w:ascii="Cambria Math" w:hAnsi="Cambria Math" w:cs="Times New Roman"/>
                    <w:sz w:val="28"/>
                    <w:lang w:val="en-GB"/>
                  </w:rPr>
                  <m:t>it</m:t>
                </m:r>
              </m:sub>
            </m:sSub>
          </m:num>
          <m:den>
            <m:sSub>
              <m:sSubPr>
                <m:ctrlPr>
                  <w:rPr>
                    <w:rFonts w:ascii="Cambria Math" w:hAnsi="Cambria Math" w:cs="Times New Roman"/>
                    <w:i/>
                    <w:sz w:val="28"/>
                    <w:lang w:val="en-GB"/>
                  </w:rPr>
                </m:ctrlPr>
              </m:sSubPr>
              <m:e>
                <m:r>
                  <w:rPr>
                    <w:rFonts w:ascii="Cambria Math" w:hAnsi="Cambria Math" w:cs="Times New Roman"/>
                    <w:sz w:val="28"/>
                    <w:lang w:val="en-GB"/>
                  </w:rPr>
                  <m:t>Assets</m:t>
                </m:r>
              </m:e>
              <m:sub>
                <m:r>
                  <w:rPr>
                    <w:rFonts w:ascii="Cambria Math" w:hAnsi="Cambria Math" w:cs="Times New Roman"/>
                    <w:sz w:val="28"/>
                    <w:lang w:val="en-GB"/>
                  </w:rPr>
                  <m:t>it-1</m:t>
                </m:r>
              </m:sub>
            </m:sSub>
          </m:den>
        </m:f>
        <m:r>
          <w:rPr>
            <w:rFonts w:ascii="Cambria Math" w:hAnsi="Cambria Math" w:cs="Times New Roman"/>
            <w:sz w:val="28"/>
            <w:lang w:val="en-GB"/>
          </w:rPr>
          <m:t xml:space="preserve">= </m:t>
        </m:r>
        <m:sSub>
          <m:sSubPr>
            <m:ctrlPr>
              <w:rPr>
                <w:rFonts w:ascii="Cambria Math" w:hAnsi="Cambria Math" w:cs="Times New Roman"/>
                <w:i/>
                <w:sz w:val="28"/>
                <w:lang w:val="en-GB"/>
              </w:rPr>
            </m:ctrlPr>
          </m:sSubPr>
          <m:e>
            <m:acc>
              <m:accPr>
                <m:ctrlPr>
                  <w:rPr>
                    <w:rFonts w:ascii="Cambria Math" w:hAnsi="Cambria Math" w:cs="Times New Roman"/>
                    <w:i/>
                    <w:sz w:val="28"/>
                    <w:lang w:val="en-GB"/>
                  </w:rPr>
                </m:ctrlPr>
              </m:accPr>
              <m:e>
                <m:r>
                  <w:rPr>
                    <w:rFonts w:ascii="Cambria Math" w:hAnsi="Cambria Math" w:cs="Times New Roman"/>
                    <w:sz w:val="28"/>
                    <w:lang w:val="en-GB"/>
                  </w:rPr>
                  <m:t>β</m:t>
                </m:r>
              </m:e>
            </m:acc>
          </m:e>
          <m:sub>
            <m:r>
              <w:rPr>
                <w:rFonts w:ascii="Cambria Math" w:hAnsi="Cambria Math" w:cs="Times New Roman"/>
                <w:sz w:val="28"/>
                <w:lang w:val="en-GB"/>
              </w:rPr>
              <m:t>1</m:t>
            </m:r>
          </m:sub>
        </m:sSub>
        <m:f>
          <m:fPr>
            <m:ctrlPr>
              <w:rPr>
                <w:rFonts w:ascii="Cambria Math" w:hAnsi="Cambria Math" w:cs="Times New Roman"/>
                <w:i/>
                <w:sz w:val="28"/>
                <w:lang w:val="en-GB"/>
              </w:rPr>
            </m:ctrlPr>
          </m:fPr>
          <m:num>
            <m:r>
              <w:rPr>
                <w:rFonts w:ascii="Cambria Math" w:hAnsi="Cambria Math" w:cs="Times New Roman"/>
                <w:sz w:val="28"/>
                <w:lang w:val="en-GB"/>
              </w:rPr>
              <m:t>1</m:t>
            </m:r>
          </m:num>
          <m:den>
            <m:sSub>
              <m:sSubPr>
                <m:ctrlPr>
                  <w:rPr>
                    <w:rFonts w:ascii="Cambria Math" w:hAnsi="Cambria Math" w:cs="Times New Roman"/>
                    <w:i/>
                    <w:sz w:val="28"/>
                    <w:lang w:val="en-GB"/>
                  </w:rPr>
                </m:ctrlPr>
              </m:sSubPr>
              <m:e>
                <m:r>
                  <w:rPr>
                    <w:rFonts w:ascii="Cambria Math" w:hAnsi="Cambria Math" w:cs="Times New Roman"/>
                    <w:sz w:val="28"/>
                    <w:lang w:val="en-GB"/>
                  </w:rPr>
                  <m:t>Assets</m:t>
                </m:r>
              </m:e>
              <m:sub>
                <m:r>
                  <w:rPr>
                    <w:rFonts w:ascii="Cambria Math" w:hAnsi="Cambria Math" w:cs="Times New Roman"/>
                    <w:sz w:val="28"/>
                    <w:lang w:val="en-GB"/>
                  </w:rPr>
                  <m:t>it-1</m:t>
                </m:r>
              </m:sub>
            </m:sSub>
          </m:den>
        </m:f>
        <m:r>
          <w:rPr>
            <w:rFonts w:ascii="Cambria Math" w:hAnsi="Cambria Math" w:cs="Times New Roman"/>
            <w:sz w:val="28"/>
            <w:lang w:val="en-GB"/>
          </w:rPr>
          <m:t>+</m:t>
        </m:r>
        <m:sSub>
          <m:sSubPr>
            <m:ctrlPr>
              <w:rPr>
                <w:rFonts w:ascii="Cambria Math" w:hAnsi="Cambria Math" w:cs="Times New Roman"/>
                <w:i/>
                <w:sz w:val="28"/>
                <w:lang w:val="en-GB"/>
              </w:rPr>
            </m:ctrlPr>
          </m:sSubPr>
          <m:e>
            <m:acc>
              <m:accPr>
                <m:ctrlPr>
                  <w:rPr>
                    <w:rFonts w:ascii="Cambria Math" w:hAnsi="Cambria Math" w:cs="Times New Roman"/>
                    <w:i/>
                    <w:sz w:val="28"/>
                    <w:lang w:val="en-GB"/>
                  </w:rPr>
                </m:ctrlPr>
              </m:accPr>
              <m:e>
                <m:r>
                  <w:rPr>
                    <w:rFonts w:ascii="Cambria Math" w:hAnsi="Cambria Math" w:cs="Times New Roman"/>
                    <w:sz w:val="28"/>
                    <w:lang w:val="en-GB"/>
                  </w:rPr>
                  <m:t>β</m:t>
                </m:r>
              </m:e>
            </m:acc>
          </m:e>
          <m:sub>
            <m:r>
              <w:rPr>
                <w:rFonts w:ascii="Cambria Math" w:hAnsi="Cambria Math" w:cs="Times New Roman"/>
                <w:sz w:val="28"/>
                <w:lang w:val="en-GB"/>
              </w:rPr>
              <m:t>2</m:t>
            </m:r>
          </m:sub>
        </m:sSub>
        <m:f>
          <m:fPr>
            <m:ctrlPr>
              <w:rPr>
                <w:rFonts w:ascii="Cambria Math" w:hAnsi="Cambria Math" w:cs="Times New Roman"/>
                <w:i/>
                <w:sz w:val="28"/>
                <w:lang w:val="en-GB"/>
              </w:rPr>
            </m:ctrlPr>
          </m:fPr>
          <m:num>
            <m:d>
              <m:dPr>
                <m:ctrlPr>
                  <w:rPr>
                    <w:rFonts w:ascii="Cambria Math" w:hAnsi="Cambria Math" w:cs="Times New Roman"/>
                    <w:i/>
                    <w:sz w:val="28"/>
                    <w:lang w:val="en-GB"/>
                  </w:rPr>
                </m:ctrlPr>
              </m:dPr>
              <m:e>
                <m:sSub>
                  <m:sSubPr>
                    <m:ctrlPr>
                      <w:rPr>
                        <w:rFonts w:ascii="Cambria Math" w:hAnsi="Cambria Math" w:cs="Times New Roman"/>
                        <w:i/>
                        <w:sz w:val="28"/>
                        <w:lang w:val="en-GB"/>
                      </w:rPr>
                    </m:ctrlPr>
                  </m:sSubPr>
                  <m:e>
                    <m:r>
                      <w:rPr>
                        <w:rFonts w:ascii="Cambria Math" w:hAnsi="Cambria Math" w:cs="Times New Roman"/>
                        <w:sz w:val="28"/>
                        <w:lang w:val="en-GB"/>
                      </w:rPr>
                      <m:t>∆REV</m:t>
                    </m:r>
                  </m:e>
                  <m:sub>
                    <m:r>
                      <w:rPr>
                        <w:rFonts w:ascii="Cambria Math" w:hAnsi="Cambria Math" w:cs="Times New Roman"/>
                        <w:sz w:val="28"/>
                        <w:lang w:val="en-GB"/>
                      </w:rPr>
                      <m:t>it</m:t>
                    </m:r>
                  </m:sub>
                </m:sSub>
                <m:r>
                  <w:rPr>
                    <w:rFonts w:ascii="Cambria Math" w:hAnsi="Cambria Math" w:cs="Times New Roman"/>
                    <w:sz w:val="28"/>
                    <w:lang w:val="en-GB"/>
                  </w:rPr>
                  <m:t>-</m:t>
                </m:r>
                <m:sSub>
                  <m:sSubPr>
                    <m:ctrlPr>
                      <w:rPr>
                        <w:rFonts w:ascii="Cambria Math" w:hAnsi="Cambria Math" w:cs="Times New Roman"/>
                        <w:i/>
                        <w:sz w:val="28"/>
                        <w:lang w:val="en-GB"/>
                      </w:rPr>
                    </m:ctrlPr>
                  </m:sSubPr>
                  <m:e>
                    <m:r>
                      <w:rPr>
                        <w:rFonts w:ascii="Cambria Math" w:hAnsi="Cambria Math" w:cs="Times New Roman"/>
                        <w:sz w:val="28"/>
                        <w:lang w:val="en-GB"/>
                      </w:rPr>
                      <m:t>∆REC</m:t>
                    </m:r>
                  </m:e>
                  <m:sub>
                    <m:r>
                      <w:rPr>
                        <w:rFonts w:ascii="Cambria Math" w:hAnsi="Cambria Math" w:cs="Times New Roman"/>
                        <w:sz w:val="28"/>
                        <w:lang w:val="en-GB"/>
                      </w:rPr>
                      <m:t>it</m:t>
                    </m:r>
                  </m:sub>
                </m:sSub>
              </m:e>
            </m:d>
          </m:num>
          <m:den>
            <m:sSub>
              <m:sSubPr>
                <m:ctrlPr>
                  <w:rPr>
                    <w:rFonts w:ascii="Cambria Math" w:hAnsi="Cambria Math" w:cs="Times New Roman"/>
                    <w:i/>
                    <w:sz w:val="28"/>
                    <w:lang w:val="en-GB"/>
                  </w:rPr>
                </m:ctrlPr>
              </m:sSubPr>
              <m:e>
                <m:r>
                  <w:rPr>
                    <w:rFonts w:ascii="Cambria Math" w:hAnsi="Cambria Math" w:cs="Times New Roman"/>
                    <w:sz w:val="28"/>
                    <w:lang w:val="en-GB"/>
                  </w:rPr>
                  <m:t>Assets</m:t>
                </m:r>
              </m:e>
              <m:sub>
                <m:r>
                  <w:rPr>
                    <w:rFonts w:ascii="Cambria Math" w:hAnsi="Cambria Math" w:cs="Times New Roman"/>
                    <w:sz w:val="28"/>
                    <w:lang w:val="en-GB"/>
                  </w:rPr>
                  <m:t>it-1</m:t>
                </m:r>
              </m:sub>
            </m:sSub>
          </m:den>
        </m:f>
        <m:r>
          <w:rPr>
            <w:rFonts w:ascii="Cambria Math" w:hAnsi="Cambria Math" w:cs="Times New Roman"/>
            <w:sz w:val="28"/>
            <w:lang w:val="en-GB"/>
          </w:rPr>
          <m:t>+</m:t>
        </m:r>
        <m:sSub>
          <m:sSubPr>
            <m:ctrlPr>
              <w:rPr>
                <w:rFonts w:ascii="Cambria Math" w:hAnsi="Cambria Math" w:cs="Times New Roman"/>
                <w:i/>
                <w:sz w:val="28"/>
                <w:lang w:val="en-GB"/>
              </w:rPr>
            </m:ctrlPr>
          </m:sSubPr>
          <m:e>
            <m:acc>
              <m:accPr>
                <m:ctrlPr>
                  <w:rPr>
                    <w:rFonts w:ascii="Cambria Math" w:hAnsi="Cambria Math" w:cs="Times New Roman"/>
                    <w:i/>
                    <w:sz w:val="28"/>
                    <w:lang w:val="en-GB"/>
                  </w:rPr>
                </m:ctrlPr>
              </m:accPr>
              <m:e>
                <m:r>
                  <w:rPr>
                    <w:rFonts w:ascii="Cambria Math" w:hAnsi="Cambria Math" w:cs="Times New Roman"/>
                    <w:sz w:val="28"/>
                    <w:lang w:val="en-GB"/>
                  </w:rPr>
                  <m:t>β</m:t>
                </m:r>
              </m:e>
            </m:acc>
          </m:e>
          <m:sub>
            <m:r>
              <w:rPr>
                <w:rFonts w:ascii="Cambria Math" w:hAnsi="Cambria Math" w:cs="Times New Roman"/>
                <w:sz w:val="28"/>
                <w:lang w:val="en-GB"/>
              </w:rPr>
              <m:t>3</m:t>
            </m:r>
          </m:sub>
        </m:sSub>
        <m:f>
          <m:fPr>
            <m:ctrlPr>
              <w:rPr>
                <w:rFonts w:ascii="Cambria Math" w:hAnsi="Cambria Math" w:cs="Times New Roman"/>
                <w:i/>
                <w:sz w:val="28"/>
                <w:lang w:val="en-GB"/>
              </w:rPr>
            </m:ctrlPr>
          </m:fPr>
          <m:num>
            <m:sSub>
              <m:sSubPr>
                <m:ctrlPr>
                  <w:rPr>
                    <w:rFonts w:ascii="Cambria Math" w:hAnsi="Cambria Math" w:cs="Times New Roman"/>
                    <w:i/>
                    <w:sz w:val="28"/>
                    <w:lang w:val="en-GB"/>
                  </w:rPr>
                </m:ctrlPr>
              </m:sSubPr>
              <m:e>
                <m:r>
                  <w:rPr>
                    <w:rFonts w:ascii="Cambria Math" w:hAnsi="Cambria Math" w:cs="Times New Roman"/>
                    <w:sz w:val="28"/>
                    <w:lang w:val="en-GB"/>
                  </w:rPr>
                  <m:t>PPE</m:t>
                </m:r>
              </m:e>
              <m:sub>
                <m:r>
                  <w:rPr>
                    <w:rFonts w:ascii="Cambria Math" w:hAnsi="Cambria Math" w:cs="Times New Roman"/>
                    <w:sz w:val="28"/>
                    <w:lang w:val="en-GB"/>
                  </w:rPr>
                  <m:t>it</m:t>
                </m:r>
              </m:sub>
            </m:sSub>
          </m:num>
          <m:den>
            <m:sSub>
              <m:sSubPr>
                <m:ctrlPr>
                  <w:rPr>
                    <w:rFonts w:ascii="Cambria Math" w:hAnsi="Cambria Math" w:cs="Times New Roman"/>
                    <w:i/>
                    <w:sz w:val="28"/>
                    <w:lang w:val="en-GB"/>
                  </w:rPr>
                </m:ctrlPr>
              </m:sSubPr>
              <m:e>
                <m:r>
                  <w:rPr>
                    <w:rFonts w:ascii="Cambria Math" w:hAnsi="Cambria Math" w:cs="Times New Roman"/>
                    <w:sz w:val="28"/>
                    <w:lang w:val="en-GB"/>
                  </w:rPr>
                  <m:t>Assets</m:t>
                </m:r>
              </m:e>
              <m:sub>
                <m:r>
                  <w:rPr>
                    <w:rFonts w:ascii="Cambria Math" w:hAnsi="Cambria Math" w:cs="Times New Roman"/>
                    <w:sz w:val="28"/>
                    <w:lang w:val="en-GB"/>
                  </w:rPr>
                  <m:t>it-1</m:t>
                </m:r>
              </m:sub>
            </m:sSub>
          </m:den>
        </m:f>
      </m:oMath>
      <w:r w:rsidR="007D573E" w:rsidRPr="007048BA">
        <w:rPr>
          <w:rFonts w:cs="Times New Roman"/>
          <w:sz w:val="28"/>
          <w:lang w:val="en-GB"/>
        </w:rPr>
        <w:t xml:space="preserve">             </w:t>
      </w:r>
      <w:r w:rsidR="006564F2" w:rsidRPr="007048BA">
        <w:rPr>
          <w:rFonts w:cs="Times New Roman"/>
          <w:sz w:val="28"/>
          <w:lang w:val="en-GB"/>
        </w:rPr>
        <w:t xml:space="preserve">     </w:t>
      </w:r>
      <w:r w:rsidR="007D573E" w:rsidRPr="007048BA">
        <w:rPr>
          <w:rFonts w:cs="Times New Roman"/>
          <w:sz w:val="28"/>
          <w:lang w:val="en-GB"/>
        </w:rPr>
        <w:t xml:space="preserve">   (</w:t>
      </w:r>
      <w:r w:rsidR="009120D9" w:rsidRPr="007048BA">
        <w:rPr>
          <w:rFonts w:cs="Times New Roman"/>
          <w:sz w:val="28"/>
          <w:lang w:val="en-GB"/>
        </w:rPr>
        <w:t>6</w:t>
      </w:r>
      <w:r w:rsidR="007D573E" w:rsidRPr="007048BA">
        <w:rPr>
          <w:rFonts w:cs="Times New Roman"/>
          <w:sz w:val="28"/>
          <w:lang w:val="en-GB"/>
        </w:rPr>
        <w:t>)</w:t>
      </w:r>
    </w:p>
    <w:p w14:paraId="3B86600C" w14:textId="2D9C8B35" w:rsidR="00F05055" w:rsidRPr="007048BA" w:rsidRDefault="00CA299A" w:rsidP="00CA299A">
      <w:pPr>
        <w:ind w:firstLine="0"/>
        <w:rPr>
          <w:rFonts w:cs="Times New Roman"/>
          <w:lang w:val="en-GB"/>
        </w:rPr>
      </w:pPr>
      <w:r w:rsidRPr="007048BA">
        <w:rPr>
          <w:rFonts w:cs="Times New Roman"/>
          <w:lang w:val="en-GB"/>
        </w:rPr>
        <w:t xml:space="preserve">All terms in </w:t>
      </w:r>
      <w:r w:rsidR="00063801" w:rsidRPr="007048BA">
        <w:rPr>
          <w:rFonts w:cs="Times New Roman"/>
          <w:lang w:val="en-GB"/>
        </w:rPr>
        <w:t>equations</w:t>
      </w:r>
      <w:r w:rsidRPr="007048BA">
        <w:rPr>
          <w:rFonts w:cs="Times New Roman"/>
          <w:lang w:val="en-GB"/>
        </w:rPr>
        <w:t xml:space="preserve"> (</w:t>
      </w:r>
      <w:r w:rsidR="00595730" w:rsidRPr="007048BA">
        <w:rPr>
          <w:rFonts w:cs="Times New Roman"/>
          <w:lang w:val="en-GB"/>
        </w:rPr>
        <w:t xml:space="preserve">3) </w:t>
      </w:r>
      <w:r w:rsidR="00C63CD8" w:rsidRPr="007048BA">
        <w:rPr>
          <w:rFonts w:cs="Times New Roman"/>
          <w:lang w:val="en-GB"/>
        </w:rPr>
        <w:t>and</w:t>
      </w:r>
      <w:r w:rsidR="00595730" w:rsidRPr="007048BA">
        <w:rPr>
          <w:rFonts w:cs="Times New Roman"/>
          <w:lang w:val="en-GB"/>
        </w:rPr>
        <w:t xml:space="preserve"> (</w:t>
      </w:r>
      <w:r w:rsidR="00C63CD8" w:rsidRPr="007048BA">
        <w:rPr>
          <w:rFonts w:cs="Times New Roman"/>
          <w:lang w:val="en-GB"/>
        </w:rPr>
        <w:t>4</w:t>
      </w:r>
      <w:r w:rsidRPr="007048BA">
        <w:rPr>
          <w:rFonts w:cs="Times New Roman"/>
          <w:lang w:val="en-GB"/>
        </w:rPr>
        <w:t>) are scaled by lagged total assets (</w:t>
      </w:r>
      <w:r w:rsidR="00595730" w:rsidRPr="007048BA">
        <w:rPr>
          <w:rFonts w:cs="Times New Roman"/>
          <w:i/>
          <w:lang w:val="en-GB"/>
        </w:rPr>
        <w:t>Assets</w:t>
      </w:r>
      <w:r w:rsidR="00595730" w:rsidRPr="007048BA">
        <w:rPr>
          <w:rFonts w:cs="Times New Roman"/>
          <w:lang w:val="en-GB"/>
        </w:rPr>
        <w:t xml:space="preserve">, </w:t>
      </w:r>
      <w:r w:rsidR="00727EF2" w:rsidRPr="007048BA">
        <w:rPr>
          <w:rFonts w:cs="Times New Roman"/>
          <w:lang w:val="en-GB"/>
        </w:rPr>
        <w:t>WC02999</w:t>
      </w:r>
      <w:r w:rsidRPr="007048BA">
        <w:rPr>
          <w:rFonts w:cs="Times New Roman"/>
          <w:lang w:val="en-GB"/>
        </w:rPr>
        <w:t>). REV, REC and PPE are firm-specific measures of total revenues</w:t>
      </w:r>
      <w:r w:rsidR="00B20470" w:rsidRPr="007048BA">
        <w:rPr>
          <w:rFonts w:cs="Times New Roman"/>
          <w:lang w:val="en-GB"/>
        </w:rPr>
        <w:t xml:space="preserve"> (</w:t>
      </w:r>
      <w:r w:rsidR="00727EF2" w:rsidRPr="007048BA">
        <w:rPr>
          <w:rFonts w:cs="Times New Roman"/>
          <w:lang w:val="en-GB"/>
        </w:rPr>
        <w:t>WC01001)</w:t>
      </w:r>
      <w:r w:rsidRPr="007048BA">
        <w:rPr>
          <w:rFonts w:cs="Times New Roman"/>
          <w:lang w:val="en-GB"/>
        </w:rPr>
        <w:t>, total receivables</w:t>
      </w:r>
      <w:r w:rsidR="00B20470" w:rsidRPr="007048BA">
        <w:rPr>
          <w:rFonts w:cs="Times New Roman"/>
          <w:lang w:val="en-GB"/>
        </w:rPr>
        <w:t xml:space="preserve"> (</w:t>
      </w:r>
      <w:r w:rsidR="00727EF2" w:rsidRPr="007048BA">
        <w:rPr>
          <w:rFonts w:cs="Times New Roman"/>
          <w:lang w:val="en-GB"/>
        </w:rPr>
        <w:t>WC02051</w:t>
      </w:r>
      <w:r w:rsidR="00B20470" w:rsidRPr="007048BA">
        <w:rPr>
          <w:rFonts w:cs="Times New Roman"/>
          <w:lang w:val="en-GB"/>
        </w:rPr>
        <w:t>)</w:t>
      </w:r>
      <w:r w:rsidRPr="007048BA">
        <w:rPr>
          <w:rFonts w:cs="Times New Roman"/>
          <w:lang w:val="en-GB"/>
        </w:rPr>
        <w:t xml:space="preserve"> and property, plant and </w:t>
      </w:r>
      <w:r w:rsidR="00B92219" w:rsidRPr="007048BA">
        <w:rPr>
          <w:rFonts w:cs="Times New Roman"/>
          <w:lang w:val="en-GB"/>
        </w:rPr>
        <w:t>equipment</w:t>
      </w:r>
      <w:r w:rsidR="00B20470" w:rsidRPr="007048BA">
        <w:rPr>
          <w:rFonts w:cs="Times New Roman"/>
          <w:lang w:val="en-GB"/>
        </w:rPr>
        <w:t xml:space="preserve"> (</w:t>
      </w:r>
      <w:r w:rsidR="00727EF2" w:rsidRPr="007048BA">
        <w:rPr>
          <w:rFonts w:cs="Times New Roman"/>
          <w:lang w:val="en-GB"/>
        </w:rPr>
        <w:t>WC02051</w:t>
      </w:r>
      <w:r w:rsidR="00B20470" w:rsidRPr="007048BA">
        <w:rPr>
          <w:rFonts w:cs="Times New Roman"/>
          <w:lang w:val="en-GB"/>
        </w:rPr>
        <w:t>)</w:t>
      </w:r>
      <w:r w:rsidRPr="007048BA">
        <w:rPr>
          <w:rFonts w:cs="Times New Roman"/>
          <w:lang w:val="en-GB"/>
        </w:rPr>
        <w:t xml:space="preserve">, respectively. </w:t>
      </w:r>
      <m:oMath>
        <m:sSub>
          <m:sSubPr>
            <m:ctrlPr>
              <w:rPr>
                <w:rFonts w:ascii="Cambria Math" w:hAnsi="Cambria Math" w:cs="Times New Roman"/>
                <w:i/>
                <w:lang w:val="en-GB"/>
              </w:rPr>
            </m:ctrlPr>
          </m:sSubPr>
          <m:e>
            <m:r>
              <w:rPr>
                <w:rFonts w:ascii="Cambria Math" w:hAnsi="Cambria Math" w:cs="Times New Roman"/>
                <w:lang w:val="en-GB"/>
              </w:rPr>
              <m:t>∆REV</m:t>
            </m:r>
          </m:e>
          <m:sub>
            <m:r>
              <w:rPr>
                <w:rFonts w:ascii="Cambria Math" w:hAnsi="Cambria Math" w:cs="Times New Roman"/>
                <w:lang w:val="en-GB"/>
              </w:rPr>
              <m:t>it</m:t>
            </m:r>
          </m:sub>
        </m:sSub>
      </m:oMath>
      <w:r w:rsidRPr="007048BA">
        <w:rPr>
          <w:rFonts w:cs="Times New Roman"/>
          <w:lang w:val="en-GB"/>
        </w:rPr>
        <w:t xml:space="preserve"> and </w:t>
      </w:r>
      <m:oMath>
        <m:sSub>
          <m:sSubPr>
            <m:ctrlPr>
              <w:rPr>
                <w:rFonts w:ascii="Cambria Math" w:hAnsi="Cambria Math" w:cs="Times New Roman"/>
                <w:i/>
                <w:lang w:val="en-GB"/>
              </w:rPr>
            </m:ctrlPr>
          </m:sSubPr>
          <m:e>
            <m:r>
              <w:rPr>
                <w:rFonts w:ascii="Cambria Math" w:hAnsi="Cambria Math" w:cs="Times New Roman"/>
                <w:lang w:val="en-GB"/>
              </w:rPr>
              <m:t>∆REC</m:t>
            </m:r>
          </m:e>
          <m:sub>
            <m:r>
              <w:rPr>
                <w:rFonts w:ascii="Cambria Math" w:hAnsi="Cambria Math" w:cs="Times New Roman"/>
                <w:lang w:val="en-GB"/>
              </w:rPr>
              <m:t>it</m:t>
            </m:r>
          </m:sub>
        </m:sSub>
      </m:oMath>
      <w:r w:rsidRPr="007048BA">
        <w:rPr>
          <w:rFonts w:cs="Times New Roman"/>
          <w:lang w:val="en-GB"/>
        </w:rPr>
        <w:t xml:space="preserve"> measure the firm-specific 1-year change in total revenues and total receivables, respectively. </w:t>
      </w:r>
      <w:r w:rsidR="006564F2" w:rsidRPr="007048BA">
        <w:rPr>
          <w:rFonts w:cs="Times New Roman"/>
          <w:lang w:val="en-GB"/>
        </w:rPr>
        <w:t>The difference between reported total accruals</w:t>
      </w:r>
      <w:r w:rsidRPr="007048BA">
        <w:rPr>
          <w:rFonts w:cs="Times New Roman"/>
          <w:i/>
          <w:lang w:val="en-GB"/>
        </w:rPr>
        <w:t xml:space="preserve"> </w:t>
      </w:r>
      <w:r w:rsidRPr="007048BA">
        <w:rPr>
          <w:rFonts w:cs="Times New Roman"/>
          <w:lang w:val="en-GB"/>
        </w:rPr>
        <w:t xml:space="preserve">and estimated </w:t>
      </w:r>
      <w:r w:rsidRPr="007048BA">
        <w:rPr>
          <w:rFonts w:cs="Times New Roman"/>
          <w:i/>
          <w:lang w:val="en-GB"/>
        </w:rPr>
        <w:t>NDA</w:t>
      </w:r>
      <w:r w:rsidRPr="007048BA">
        <w:rPr>
          <w:rFonts w:cs="Times New Roman"/>
          <w:lang w:val="en-GB"/>
        </w:rPr>
        <w:t xml:space="preserve"> is </w:t>
      </w:r>
      <w:r w:rsidRPr="007048BA">
        <w:rPr>
          <w:rFonts w:cs="Times New Roman"/>
          <w:i/>
          <w:lang w:val="en-GB"/>
        </w:rPr>
        <w:t>DA</w:t>
      </w:r>
      <w:r w:rsidRPr="007048BA">
        <w:rPr>
          <w:rFonts w:cs="Times New Roman"/>
          <w:lang w:val="en-GB"/>
        </w:rPr>
        <w:t>—which is computed as the residual in model (</w:t>
      </w:r>
      <w:r w:rsidR="008C5DC0" w:rsidRPr="007048BA">
        <w:rPr>
          <w:rFonts w:cs="Times New Roman"/>
          <w:lang w:val="en-GB"/>
        </w:rPr>
        <w:t>5</w:t>
      </w:r>
      <w:r w:rsidRPr="007048BA">
        <w:rPr>
          <w:rFonts w:cs="Times New Roman"/>
          <w:lang w:val="en-GB"/>
        </w:rPr>
        <w:t xml:space="preserve">). </w:t>
      </w:r>
    </w:p>
    <w:p w14:paraId="351CE309" w14:textId="3E295C94" w:rsidR="00F05055" w:rsidRPr="007048BA" w:rsidRDefault="00F05055" w:rsidP="006F75CC">
      <w:pPr>
        <w:rPr>
          <w:rFonts w:cs="Times New Roman"/>
          <w:lang w:val="en-GB"/>
        </w:rPr>
      </w:pPr>
      <w:r w:rsidRPr="007048BA">
        <w:rPr>
          <w:rFonts w:cs="Times New Roman"/>
          <w:lang w:val="en-GB"/>
        </w:rPr>
        <w:tab/>
      </w:r>
      <w:r w:rsidR="00FD301F" w:rsidRPr="007048BA">
        <w:rPr>
          <w:rFonts w:cs="Times New Roman"/>
          <w:lang w:val="en-GB"/>
        </w:rPr>
        <w:t>Following evidence (Hunt et al., 1996) that managers do not use depreciation accruals to smooth earnings, Botsari and Meeks (2008) suggest that depreciation and amortisation are not credible long-term tools for earnings management due to visibility, rigidity and predictability. Hence, consistent with Botsari and Meeks (2008), we also compute current accruals by excluding deprecation from the computation of total accruals in equation (3).</w:t>
      </w:r>
      <w:r w:rsidR="006F75CC" w:rsidRPr="007048BA">
        <w:rPr>
          <w:rFonts w:cs="Times New Roman"/>
          <w:lang w:val="en-GB"/>
        </w:rPr>
        <w:t xml:space="preserve"> As in equation (7), current accruals</w:t>
      </w:r>
      <w:r w:rsidR="00FD301F" w:rsidRPr="007048BA">
        <w:rPr>
          <w:rFonts w:cs="Times New Roman"/>
          <w:lang w:val="en-GB"/>
        </w:rPr>
        <w:t xml:space="preserve"> is defined as the change in current assets (</w:t>
      </w:r>
      <w:r w:rsidR="00FD301F" w:rsidRPr="007048BA">
        <w:rPr>
          <w:rFonts w:cs="Times New Roman"/>
          <w:i/>
          <w:lang w:val="en-GB"/>
        </w:rPr>
        <w:t>CA</w:t>
      </w:r>
      <w:r w:rsidR="00FD301F" w:rsidRPr="007048BA">
        <w:rPr>
          <w:rFonts w:cs="Times New Roman"/>
          <w:lang w:val="en-GB"/>
        </w:rPr>
        <w:t>, WC02201) minus cash (</w:t>
      </w:r>
      <w:r w:rsidR="00FD301F" w:rsidRPr="007048BA">
        <w:rPr>
          <w:rFonts w:cs="Times New Roman"/>
          <w:i/>
          <w:lang w:val="en-GB"/>
        </w:rPr>
        <w:t>Cash</w:t>
      </w:r>
      <w:r w:rsidR="00FD301F" w:rsidRPr="007048BA">
        <w:rPr>
          <w:rFonts w:cs="Times New Roman"/>
          <w:lang w:val="en-GB"/>
        </w:rPr>
        <w:t>, WC02001) minus the change in current liabilities (</w:t>
      </w:r>
      <w:r w:rsidR="00FD301F" w:rsidRPr="007048BA">
        <w:rPr>
          <w:rFonts w:cs="Times New Roman"/>
          <w:i/>
          <w:lang w:val="en-GB"/>
        </w:rPr>
        <w:t>CL</w:t>
      </w:r>
      <w:r w:rsidR="00FD301F" w:rsidRPr="007048BA">
        <w:rPr>
          <w:rFonts w:cs="Times New Roman"/>
          <w:lang w:val="en-GB"/>
        </w:rPr>
        <w:t>, WC03101).</w:t>
      </w:r>
      <w:r w:rsidR="006F75CC" w:rsidRPr="007048BA">
        <w:rPr>
          <w:rFonts w:cs="Times New Roman"/>
          <w:lang w:val="en-GB"/>
        </w:rPr>
        <w:t xml:space="preserve"> Similarly, as shown in equation (8), given that we have excluded depreciation from our computation of total accruals in equation (4), we also exclude property, plant and equipment (PPE) from our estimation of total accruals in equation (5). Additionally, we estimate the relation between our estimates of discretionary accruals (</w:t>
      </w:r>
      <w:r w:rsidR="006F75CC" w:rsidRPr="007048BA">
        <w:rPr>
          <w:rFonts w:cs="Times New Roman"/>
          <w:i/>
          <w:lang w:val="en-GB"/>
        </w:rPr>
        <w:t>DA</w:t>
      </w:r>
      <w:r w:rsidR="006F75CC" w:rsidRPr="007048BA">
        <w:rPr>
          <w:rFonts w:cs="Times New Roman"/>
          <w:lang w:val="en-GB"/>
        </w:rPr>
        <w:t>), i.e., current and total discretionary accruals, and our attributes of management performance using equation (9).</w:t>
      </w:r>
    </w:p>
    <w:p w14:paraId="13B969A8" w14:textId="23EC1A8A" w:rsidR="00AC0E75" w:rsidRPr="007048BA" w:rsidRDefault="007048BA" w:rsidP="00AC0E75">
      <w:pPr>
        <w:ind w:firstLine="0"/>
        <w:jc w:val="center"/>
        <w:rPr>
          <w:rFonts w:cs="Times New Roman"/>
          <w:sz w:val="28"/>
          <w:lang w:val="en-GB"/>
        </w:rPr>
      </w:pPr>
      <m:oMath>
        <m:sSub>
          <m:sSubPr>
            <m:ctrlPr>
              <w:rPr>
                <w:rFonts w:ascii="Cambria Math" w:hAnsi="Cambria Math"/>
                <w:i/>
                <w:sz w:val="28"/>
                <w:lang w:val="en-GB"/>
              </w:rPr>
            </m:ctrlPr>
          </m:sSubPr>
          <m:e>
            <m:r>
              <w:rPr>
                <w:rFonts w:ascii="Cambria Math" w:hAnsi="Cambria Math"/>
                <w:sz w:val="28"/>
                <w:lang w:val="en-GB"/>
              </w:rPr>
              <m:t>Current Accruals</m:t>
            </m:r>
          </m:e>
          <m:sub>
            <m:r>
              <w:rPr>
                <w:rFonts w:ascii="Cambria Math" w:hAnsi="Cambria Math"/>
                <w:sz w:val="28"/>
                <w:lang w:val="en-GB"/>
              </w:rPr>
              <m:t>it</m:t>
            </m:r>
          </m:sub>
        </m:sSub>
        <m:r>
          <w:rPr>
            <w:rFonts w:ascii="Cambria Math" w:hAnsi="Cambria Math"/>
            <w:sz w:val="28"/>
            <w:lang w:val="en-GB"/>
          </w:rPr>
          <m:t xml:space="preserve">= </m:t>
        </m:r>
        <m:sSub>
          <m:sSubPr>
            <m:ctrlPr>
              <w:rPr>
                <w:rFonts w:ascii="Cambria Math" w:hAnsi="Cambria Math"/>
                <w:i/>
                <w:sz w:val="28"/>
                <w:lang w:val="en-GB"/>
              </w:rPr>
            </m:ctrlPr>
          </m:sSubPr>
          <m:e>
            <m:r>
              <w:rPr>
                <w:rFonts w:ascii="Cambria Math" w:hAnsi="Cambria Math"/>
                <w:sz w:val="28"/>
                <w:lang w:val="en-GB"/>
              </w:rPr>
              <m:t>∆CA</m:t>
            </m:r>
          </m:e>
          <m:sub>
            <m:r>
              <w:rPr>
                <w:rFonts w:ascii="Cambria Math" w:hAnsi="Cambria Math"/>
                <w:sz w:val="28"/>
                <w:lang w:val="en-GB"/>
              </w:rPr>
              <m:t>it</m:t>
            </m:r>
          </m:sub>
        </m:sSub>
        <m:r>
          <w:rPr>
            <w:rFonts w:ascii="Cambria Math" w:hAnsi="Cambria Math"/>
            <w:sz w:val="28"/>
            <w:lang w:val="en-GB"/>
          </w:rPr>
          <m:t>-</m:t>
        </m:r>
        <m:sSub>
          <m:sSubPr>
            <m:ctrlPr>
              <w:rPr>
                <w:rFonts w:ascii="Cambria Math" w:hAnsi="Cambria Math"/>
                <w:i/>
                <w:sz w:val="28"/>
                <w:lang w:val="en-GB"/>
              </w:rPr>
            </m:ctrlPr>
          </m:sSubPr>
          <m:e>
            <m:r>
              <w:rPr>
                <w:rFonts w:ascii="Cambria Math" w:hAnsi="Cambria Math"/>
                <w:sz w:val="28"/>
                <w:lang w:val="en-GB"/>
              </w:rPr>
              <m:t>∆Cash</m:t>
            </m:r>
          </m:e>
          <m:sub>
            <m:r>
              <w:rPr>
                <w:rFonts w:ascii="Cambria Math" w:hAnsi="Cambria Math"/>
                <w:sz w:val="28"/>
                <w:lang w:val="en-GB"/>
              </w:rPr>
              <m:t>it</m:t>
            </m:r>
          </m:sub>
        </m:sSub>
        <m:r>
          <w:rPr>
            <w:rFonts w:ascii="Cambria Math" w:hAnsi="Cambria Math"/>
            <w:sz w:val="28"/>
            <w:lang w:val="en-GB"/>
          </w:rPr>
          <m:t>-</m:t>
        </m:r>
        <m:sSub>
          <m:sSubPr>
            <m:ctrlPr>
              <w:rPr>
                <w:rFonts w:ascii="Cambria Math" w:hAnsi="Cambria Math"/>
                <w:i/>
                <w:sz w:val="28"/>
                <w:lang w:val="en-GB"/>
              </w:rPr>
            </m:ctrlPr>
          </m:sSubPr>
          <m:e>
            <m:r>
              <w:rPr>
                <w:rFonts w:ascii="Cambria Math" w:hAnsi="Cambria Math"/>
                <w:sz w:val="28"/>
                <w:lang w:val="en-GB"/>
              </w:rPr>
              <m:t>∆CL</m:t>
            </m:r>
          </m:e>
          <m:sub>
            <m:r>
              <w:rPr>
                <w:rFonts w:ascii="Cambria Math" w:hAnsi="Cambria Math"/>
                <w:sz w:val="28"/>
                <w:lang w:val="en-GB"/>
              </w:rPr>
              <m:t>it</m:t>
            </m:r>
          </m:sub>
        </m:sSub>
      </m:oMath>
      <w:r w:rsidR="00AC0E75" w:rsidRPr="007048BA">
        <w:rPr>
          <w:rFonts w:eastAsiaTheme="minorEastAsia" w:cs="Times New Roman"/>
          <w:sz w:val="28"/>
          <w:lang w:val="en-GB"/>
        </w:rPr>
        <w:t xml:space="preserve">            </w:t>
      </w:r>
      <w:r w:rsidR="006564F2" w:rsidRPr="007048BA">
        <w:rPr>
          <w:rFonts w:eastAsiaTheme="minorEastAsia" w:cs="Times New Roman"/>
          <w:sz w:val="28"/>
          <w:lang w:val="en-GB"/>
        </w:rPr>
        <w:t xml:space="preserve">  </w:t>
      </w:r>
      <w:r w:rsidR="00AC0E75" w:rsidRPr="007048BA">
        <w:rPr>
          <w:rFonts w:eastAsiaTheme="minorEastAsia" w:cs="Times New Roman"/>
          <w:sz w:val="28"/>
          <w:lang w:val="en-GB"/>
        </w:rPr>
        <w:t xml:space="preserve">     (</w:t>
      </w:r>
      <w:r w:rsidR="008C5DC0" w:rsidRPr="007048BA">
        <w:rPr>
          <w:rFonts w:eastAsiaTheme="minorEastAsia" w:cs="Times New Roman"/>
          <w:sz w:val="28"/>
          <w:lang w:val="en-GB"/>
        </w:rPr>
        <w:t>7</w:t>
      </w:r>
      <w:r w:rsidR="00AC0E75" w:rsidRPr="007048BA">
        <w:rPr>
          <w:rFonts w:eastAsiaTheme="minorEastAsia" w:cs="Times New Roman"/>
          <w:sz w:val="28"/>
          <w:lang w:val="en-GB"/>
        </w:rPr>
        <w:t>)</w:t>
      </w:r>
    </w:p>
    <w:p w14:paraId="238AB4A9" w14:textId="61FBE267" w:rsidR="00AC0E75" w:rsidRPr="007048BA" w:rsidRDefault="007048BA" w:rsidP="00AC0E75">
      <w:pPr>
        <w:jc w:val="center"/>
        <w:rPr>
          <w:rFonts w:cs="Times New Roman"/>
          <w:sz w:val="28"/>
          <w:lang w:val="en-GB"/>
        </w:rPr>
      </w:pPr>
      <m:oMath>
        <m:f>
          <m:fPr>
            <m:ctrlPr>
              <w:rPr>
                <w:rFonts w:ascii="Cambria Math" w:hAnsi="Cambria Math" w:cs="Times New Roman"/>
                <w:i/>
                <w:sz w:val="28"/>
                <w:lang w:val="en-GB"/>
              </w:rPr>
            </m:ctrlPr>
          </m:fPr>
          <m:num>
            <m:sSub>
              <m:sSubPr>
                <m:ctrlPr>
                  <w:rPr>
                    <w:rFonts w:ascii="Cambria Math" w:hAnsi="Cambria Math" w:cs="Times New Roman"/>
                    <w:i/>
                    <w:sz w:val="28"/>
                    <w:lang w:val="en-GB"/>
                  </w:rPr>
                </m:ctrlPr>
              </m:sSubPr>
              <m:e>
                <m:r>
                  <w:rPr>
                    <w:rFonts w:ascii="Cambria Math" w:hAnsi="Cambria Math" w:cs="Times New Roman"/>
                    <w:sz w:val="28"/>
                    <w:lang w:val="en-GB"/>
                  </w:rPr>
                  <m:t>Current Accruals</m:t>
                </m:r>
              </m:e>
              <m:sub>
                <m:r>
                  <w:rPr>
                    <w:rFonts w:ascii="Cambria Math" w:hAnsi="Cambria Math" w:cs="Times New Roman"/>
                    <w:sz w:val="28"/>
                    <w:lang w:val="en-GB"/>
                  </w:rPr>
                  <m:t>it</m:t>
                </m:r>
              </m:sub>
            </m:sSub>
          </m:num>
          <m:den>
            <m:sSub>
              <m:sSubPr>
                <m:ctrlPr>
                  <w:rPr>
                    <w:rFonts w:ascii="Cambria Math" w:hAnsi="Cambria Math" w:cs="Times New Roman"/>
                    <w:i/>
                    <w:sz w:val="28"/>
                    <w:lang w:val="en-GB"/>
                  </w:rPr>
                </m:ctrlPr>
              </m:sSubPr>
              <m:e>
                <m:r>
                  <w:rPr>
                    <w:rFonts w:ascii="Cambria Math" w:hAnsi="Cambria Math" w:cs="Times New Roman"/>
                    <w:sz w:val="28"/>
                    <w:lang w:val="en-GB"/>
                  </w:rPr>
                  <m:t>Assets</m:t>
                </m:r>
              </m:e>
              <m:sub>
                <m:r>
                  <w:rPr>
                    <w:rFonts w:ascii="Cambria Math" w:hAnsi="Cambria Math" w:cs="Times New Roman"/>
                    <w:sz w:val="28"/>
                    <w:lang w:val="en-GB"/>
                  </w:rPr>
                  <m:t>it-1</m:t>
                </m:r>
              </m:sub>
            </m:sSub>
          </m:den>
        </m:f>
        <m:r>
          <w:rPr>
            <w:rFonts w:ascii="Cambria Math" w:hAnsi="Cambria Math" w:cs="Times New Roman"/>
            <w:sz w:val="28"/>
            <w:lang w:val="en-GB"/>
          </w:rPr>
          <m:t xml:space="preserve">= </m:t>
        </m:r>
        <m:sSub>
          <m:sSubPr>
            <m:ctrlPr>
              <w:rPr>
                <w:rFonts w:ascii="Cambria Math" w:hAnsi="Cambria Math" w:cs="Times New Roman"/>
                <w:i/>
                <w:sz w:val="28"/>
                <w:lang w:val="en-GB"/>
              </w:rPr>
            </m:ctrlPr>
          </m:sSubPr>
          <m:e>
            <m:r>
              <w:rPr>
                <w:rFonts w:ascii="Cambria Math" w:hAnsi="Cambria Math" w:cs="Times New Roman"/>
                <w:sz w:val="28"/>
                <w:lang w:val="en-GB"/>
              </w:rPr>
              <m:t>β</m:t>
            </m:r>
          </m:e>
          <m:sub>
            <m:r>
              <w:rPr>
                <w:rFonts w:ascii="Cambria Math" w:hAnsi="Cambria Math" w:cs="Times New Roman"/>
                <w:sz w:val="28"/>
                <w:lang w:val="en-GB"/>
              </w:rPr>
              <m:t>1</m:t>
            </m:r>
          </m:sub>
        </m:sSub>
        <m:f>
          <m:fPr>
            <m:ctrlPr>
              <w:rPr>
                <w:rFonts w:ascii="Cambria Math" w:hAnsi="Cambria Math" w:cs="Times New Roman"/>
                <w:i/>
                <w:sz w:val="28"/>
                <w:lang w:val="en-GB"/>
              </w:rPr>
            </m:ctrlPr>
          </m:fPr>
          <m:num>
            <m:r>
              <w:rPr>
                <w:rFonts w:ascii="Cambria Math" w:hAnsi="Cambria Math" w:cs="Times New Roman"/>
                <w:sz w:val="28"/>
                <w:lang w:val="en-GB"/>
              </w:rPr>
              <m:t>1</m:t>
            </m:r>
          </m:num>
          <m:den>
            <m:sSub>
              <m:sSubPr>
                <m:ctrlPr>
                  <w:rPr>
                    <w:rFonts w:ascii="Cambria Math" w:hAnsi="Cambria Math" w:cs="Times New Roman"/>
                    <w:i/>
                    <w:sz w:val="28"/>
                    <w:lang w:val="en-GB"/>
                  </w:rPr>
                </m:ctrlPr>
              </m:sSubPr>
              <m:e>
                <m:r>
                  <w:rPr>
                    <w:rFonts w:ascii="Cambria Math" w:hAnsi="Cambria Math" w:cs="Times New Roman"/>
                    <w:sz w:val="28"/>
                    <w:lang w:val="en-GB"/>
                  </w:rPr>
                  <m:t>Assets</m:t>
                </m:r>
              </m:e>
              <m:sub>
                <m:r>
                  <w:rPr>
                    <w:rFonts w:ascii="Cambria Math" w:hAnsi="Cambria Math" w:cs="Times New Roman"/>
                    <w:sz w:val="28"/>
                    <w:lang w:val="en-GB"/>
                  </w:rPr>
                  <m:t>it-1</m:t>
                </m:r>
              </m:sub>
            </m:sSub>
          </m:den>
        </m:f>
        <m:r>
          <w:rPr>
            <w:rFonts w:ascii="Cambria Math" w:hAnsi="Cambria Math" w:cs="Times New Roman"/>
            <w:sz w:val="28"/>
            <w:lang w:val="en-GB"/>
          </w:rPr>
          <m:t>+</m:t>
        </m:r>
        <m:sSub>
          <m:sSubPr>
            <m:ctrlPr>
              <w:rPr>
                <w:rFonts w:ascii="Cambria Math" w:hAnsi="Cambria Math" w:cs="Times New Roman"/>
                <w:i/>
                <w:sz w:val="28"/>
                <w:lang w:val="en-GB"/>
              </w:rPr>
            </m:ctrlPr>
          </m:sSubPr>
          <m:e>
            <m:r>
              <w:rPr>
                <w:rFonts w:ascii="Cambria Math" w:hAnsi="Cambria Math" w:cs="Times New Roman"/>
                <w:sz w:val="28"/>
                <w:lang w:val="en-GB"/>
              </w:rPr>
              <m:t>β</m:t>
            </m:r>
          </m:e>
          <m:sub>
            <m:r>
              <w:rPr>
                <w:rFonts w:ascii="Cambria Math" w:hAnsi="Cambria Math" w:cs="Times New Roman"/>
                <w:sz w:val="28"/>
                <w:lang w:val="en-GB"/>
              </w:rPr>
              <m:t>2</m:t>
            </m:r>
          </m:sub>
        </m:sSub>
        <m:f>
          <m:fPr>
            <m:ctrlPr>
              <w:rPr>
                <w:rFonts w:ascii="Cambria Math" w:hAnsi="Cambria Math" w:cs="Times New Roman"/>
                <w:i/>
                <w:sz w:val="28"/>
                <w:lang w:val="en-GB"/>
              </w:rPr>
            </m:ctrlPr>
          </m:fPr>
          <m:num>
            <m:d>
              <m:dPr>
                <m:ctrlPr>
                  <w:rPr>
                    <w:rFonts w:ascii="Cambria Math" w:hAnsi="Cambria Math" w:cs="Times New Roman"/>
                    <w:i/>
                    <w:sz w:val="28"/>
                    <w:lang w:val="en-GB"/>
                  </w:rPr>
                </m:ctrlPr>
              </m:dPr>
              <m:e>
                <m:sSub>
                  <m:sSubPr>
                    <m:ctrlPr>
                      <w:rPr>
                        <w:rFonts w:ascii="Cambria Math" w:hAnsi="Cambria Math" w:cs="Times New Roman"/>
                        <w:i/>
                        <w:sz w:val="28"/>
                        <w:lang w:val="en-GB"/>
                      </w:rPr>
                    </m:ctrlPr>
                  </m:sSubPr>
                  <m:e>
                    <m:r>
                      <w:rPr>
                        <w:rFonts w:ascii="Cambria Math" w:hAnsi="Cambria Math" w:cs="Times New Roman"/>
                        <w:sz w:val="28"/>
                        <w:lang w:val="en-GB"/>
                      </w:rPr>
                      <m:t>∆REV</m:t>
                    </m:r>
                  </m:e>
                  <m:sub>
                    <m:r>
                      <w:rPr>
                        <w:rFonts w:ascii="Cambria Math" w:hAnsi="Cambria Math" w:cs="Times New Roman"/>
                        <w:sz w:val="28"/>
                        <w:lang w:val="en-GB"/>
                      </w:rPr>
                      <m:t>it</m:t>
                    </m:r>
                  </m:sub>
                </m:sSub>
                <m:r>
                  <w:rPr>
                    <w:rFonts w:ascii="Cambria Math" w:hAnsi="Cambria Math" w:cs="Times New Roman"/>
                    <w:sz w:val="28"/>
                    <w:lang w:val="en-GB"/>
                  </w:rPr>
                  <m:t>-</m:t>
                </m:r>
                <m:sSub>
                  <m:sSubPr>
                    <m:ctrlPr>
                      <w:rPr>
                        <w:rFonts w:ascii="Cambria Math" w:hAnsi="Cambria Math" w:cs="Times New Roman"/>
                        <w:i/>
                        <w:sz w:val="28"/>
                        <w:lang w:val="en-GB"/>
                      </w:rPr>
                    </m:ctrlPr>
                  </m:sSubPr>
                  <m:e>
                    <m:r>
                      <w:rPr>
                        <w:rFonts w:ascii="Cambria Math" w:hAnsi="Cambria Math" w:cs="Times New Roman"/>
                        <w:sz w:val="28"/>
                        <w:lang w:val="en-GB"/>
                      </w:rPr>
                      <m:t>∆REC</m:t>
                    </m:r>
                  </m:e>
                  <m:sub>
                    <m:r>
                      <w:rPr>
                        <w:rFonts w:ascii="Cambria Math" w:hAnsi="Cambria Math" w:cs="Times New Roman"/>
                        <w:sz w:val="28"/>
                        <w:lang w:val="en-GB"/>
                      </w:rPr>
                      <m:t>it</m:t>
                    </m:r>
                  </m:sub>
                </m:sSub>
              </m:e>
            </m:d>
          </m:num>
          <m:den>
            <m:sSub>
              <m:sSubPr>
                <m:ctrlPr>
                  <w:rPr>
                    <w:rFonts w:ascii="Cambria Math" w:hAnsi="Cambria Math" w:cs="Times New Roman"/>
                    <w:i/>
                    <w:sz w:val="28"/>
                    <w:lang w:val="en-GB"/>
                  </w:rPr>
                </m:ctrlPr>
              </m:sSubPr>
              <m:e>
                <m:r>
                  <w:rPr>
                    <w:rFonts w:ascii="Cambria Math" w:hAnsi="Cambria Math" w:cs="Times New Roman"/>
                    <w:sz w:val="28"/>
                    <w:lang w:val="en-GB"/>
                  </w:rPr>
                  <m:t>Assets</m:t>
                </m:r>
              </m:e>
              <m:sub>
                <m:r>
                  <w:rPr>
                    <w:rFonts w:ascii="Cambria Math" w:hAnsi="Cambria Math" w:cs="Times New Roman"/>
                    <w:sz w:val="28"/>
                    <w:lang w:val="en-GB"/>
                  </w:rPr>
                  <m:t>it-1</m:t>
                </m:r>
              </m:sub>
            </m:sSub>
          </m:den>
        </m:f>
        <m:r>
          <w:rPr>
            <w:rFonts w:ascii="Cambria Math" w:hAnsi="Cambria Math" w:cs="Times New Roman"/>
            <w:sz w:val="28"/>
            <w:lang w:val="en-GB"/>
          </w:rPr>
          <m:t>+</m:t>
        </m:r>
        <m:sSub>
          <m:sSubPr>
            <m:ctrlPr>
              <w:rPr>
                <w:rFonts w:ascii="Cambria Math" w:hAnsi="Cambria Math" w:cs="Times New Roman"/>
                <w:i/>
                <w:sz w:val="28"/>
                <w:lang w:val="en-GB"/>
              </w:rPr>
            </m:ctrlPr>
          </m:sSubPr>
          <m:e>
            <m:r>
              <w:rPr>
                <w:rFonts w:ascii="Cambria Math" w:hAnsi="Cambria Math" w:cs="Times New Roman"/>
                <w:sz w:val="28"/>
                <w:lang w:val="en-GB"/>
              </w:rPr>
              <m:t>ε</m:t>
            </m:r>
          </m:e>
          <m:sub>
            <m:r>
              <w:rPr>
                <w:rFonts w:ascii="Cambria Math" w:hAnsi="Cambria Math" w:cs="Times New Roman"/>
                <w:sz w:val="28"/>
                <w:lang w:val="en-GB"/>
              </w:rPr>
              <m:t>it</m:t>
            </m:r>
          </m:sub>
        </m:sSub>
      </m:oMath>
      <w:r w:rsidR="00AC0E75" w:rsidRPr="007048BA">
        <w:rPr>
          <w:rFonts w:cs="Times New Roman"/>
          <w:sz w:val="28"/>
          <w:lang w:val="en-GB"/>
        </w:rPr>
        <w:t xml:space="preserve">    </w:t>
      </w:r>
      <w:r w:rsidR="008C5DC0" w:rsidRPr="007048BA">
        <w:rPr>
          <w:rFonts w:cs="Times New Roman"/>
          <w:sz w:val="28"/>
          <w:lang w:val="en-GB"/>
        </w:rPr>
        <w:t xml:space="preserve">      </w:t>
      </w:r>
      <w:r w:rsidR="00AC0E75" w:rsidRPr="007048BA">
        <w:rPr>
          <w:rFonts w:cs="Times New Roman"/>
          <w:sz w:val="28"/>
          <w:lang w:val="en-GB"/>
        </w:rPr>
        <w:t xml:space="preserve">  (</w:t>
      </w:r>
      <w:r w:rsidR="008C5DC0" w:rsidRPr="007048BA">
        <w:rPr>
          <w:rFonts w:cs="Times New Roman"/>
          <w:sz w:val="28"/>
          <w:lang w:val="en-GB"/>
        </w:rPr>
        <w:t>8</w:t>
      </w:r>
      <w:r w:rsidR="00AC0E75" w:rsidRPr="007048BA">
        <w:rPr>
          <w:rFonts w:cs="Times New Roman"/>
          <w:sz w:val="28"/>
          <w:lang w:val="en-GB"/>
        </w:rPr>
        <w:t>)</w:t>
      </w:r>
    </w:p>
    <w:p w14:paraId="37B5E774" w14:textId="7DEE9A97" w:rsidR="00224A82" w:rsidRPr="007048BA" w:rsidRDefault="007048BA" w:rsidP="004B243E">
      <w:pPr>
        <w:jc w:val="center"/>
        <w:rPr>
          <w:lang w:val="en-GB"/>
        </w:rPr>
      </w:pPr>
      <m:oMath>
        <m:sSub>
          <m:sSubPr>
            <m:ctrlPr>
              <w:rPr>
                <w:rFonts w:ascii="Cambria Math" w:hAnsi="Cambria Math"/>
                <w:i/>
                <w:lang w:val="en-GB"/>
              </w:rPr>
            </m:ctrlPr>
          </m:sSubPr>
          <m:e>
            <m:r>
              <w:rPr>
                <w:rFonts w:ascii="Cambria Math" w:hAnsi="Cambria Math"/>
                <w:lang w:val="en-GB"/>
              </w:rPr>
              <m:t>DA</m:t>
            </m:r>
          </m:e>
          <m:sub>
            <m:r>
              <w:rPr>
                <w:rFonts w:ascii="Cambria Math" w:hAnsi="Cambria Math"/>
                <w:lang w:val="en-GB"/>
              </w:rPr>
              <m:t>it</m:t>
            </m:r>
          </m:sub>
        </m:sSub>
        <m:r>
          <w:rPr>
            <w:rFonts w:ascii="Cambria Math" w:hAnsi="Cambria Math"/>
            <w:lang w:val="en-GB"/>
          </w:rPr>
          <m:t>=α+β*</m:t>
        </m:r>
        <m:sSub>
          <m:sSubPr>
            <m:ctrlPr>
              <w:rPr>
                <w:rFonts w:ascii="Cambria Math" w:hAnsi="Cambria Math"/>
                <w:i/>
                <w:lang w:val="en-GB"/>
              </w:rPr>
            </m:ctrlPr>
          </m:sSubPr>
          <m:e>
            <m:r>
              <w:rPr>
                <w:rFonts w:ascii="Cambria Math" w:hAnsi="Cambria Math"/>
                <w:lang w:val="en-GB"/>
              </w:rPr>
              <m:t>Performance</m:t>
            </m:r>
          </m:e>
          <m:sub>
            <m:r>
              <w:rPr>
                <w:rFonts w:ascii="Cambria Math" w:hAnsi="Cambria Math"/>
                <w:lang w:val="en-GB"/>
              </w:rPr>
              <m:t>it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γ*Controls</m:t>
            </m:r>
          </m:e>
          <m:sub>
            <m:r>
              <w:rPr>
                <w:rFonts w:ascii="Cambria Math" w:hAnsi="Cambria Math"/>
                <w:lang w:val="en-GB"/>
              </w:rPr>
              <m:t>it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ε</m:t>
            </m:r>
          </m:e>
          <m:sub>
            <m:r>
              <w:rPr>
                <w:rFonts w:ascii="Cambria Math" w:hAnsi="Cambria Math"/>
                <w:lang w:val="en-GB"/>
              </w:rPr>
              <m:t>it</m:t>
            </m:r>
          </m:sub>
        </m:sSub>
      </m:oMath>
      <w:r w:rsidR="008C5DC0" w:rsidRPr="007048BA">
        <w:rPr>
          <w:lang w:val="en-GB"/>
        </w:rPr>
        <w:t xml:space="preserve">        </w:t>
      </w:r>
      <w:r w:rsidR="006564F2" w:rsidRPr="007048BA">
        <w:rPr>
          <w:lang w:val="en-GB"/>
        </w:rPr>
        <w:t xml:space="preserve">                 </w:t>
      </w:r>
      <w:r w:rsidR="008C5DC0" w:rsidRPr="007048BA">
        <w:rPr>
          <w:lang w:val="en-GB"/>
        </w:rPr>
        <w:t xml:space="preserve">  </w:t>
      </w:r>
      <w:r w:rsidR="00224A82" w:rsidRPr="007048BA">
        <w:rPr>
          <w:lang w:val="en-GB"/>
        </w:rPr>
        <w:t xml:space="preserve">   (</w:t>
      </w:r>
      <w:r w:rsidR="008C5DC0" w:rsidRPr="007048BA">
        <w:rPr>
          <w:lang w:val="en-GB"/>
        </w:rPr>
        <w:t>9</w:t>
      </w:r>
      <w:r w:rsidR="00224A82" w:rsidRPr="007048BA">
        <w:rPr>
          <w:lang w:val="en-GB"/>
        </w:rPr>
        <w:t>)</w:t>
      </w:r>
    </w:p>
    <w:p w14:paraId="1634C35C" w14:textId="0CCA9AC1" w:rsidR="00224A82" w:rsidRPr="007048BA" w:rsidRDefault="00C94D7F" w:rsidP="00C72C14">
      <w:pPr>
        <w:ind w:firstLine="0"/>
        <w:rPr>
          <w:rFonts w:cs="Times New Roman"/>
          <w:lang w:val="en-GB" w:eastAsia="zh-CN"/>
        </w:rPr>
      </w:pPr>
      <w:r w:rsidRPr="007048BA">
        <w:rPr>
          <w:rFonts w:cs="Times New Roman"/>
          <w:lang w:val="en-GB" w:eastAsia="zh-CN"/>
        </w:rPr>
        <w:t>Similarly, t</w:t>
      </w:r>
      <w:r w:rsidR="00224A82" w:rsidRPr="007048BA">
        <w:rPr>
          <w:rFonts w:cs="Times New Roman"/>
          <w:lang w:val="en-GB" w:eastAsia="zh-CN"/>
        </w:rPr>
        <w:t xml:space="preserve">he independent variable of interest is </w:t>
      </w:r>
      <w:r w:rsidR="00EF63A8" w:rsidRPr="007048BA">
        <w:rPr>
          <w:rFonts w:cs="Times New Roman"/>
          <w:i/>
          <w:lang w:val="en-GB" w:eastAsia="zh-CN"/>
        </w:rPr>
        <w:t>performance</w:t>
      </w:r>
      <w:r w:rsidR="00224A82" w:rsidRPr="007048BA">
        <w:rPr>
          <w:rFonts w:cs="Times New Roman"/>
          <w:lang w:val="en-GB" w:eastAsia="zh-CN"/>
        </w:rPr>
        <w:t xml:space="preserve">, measured using our four dummy variables; </w:t>
      </w:r>
      <w:r w:rsidR="00ED262D" w:rsidRPr="007048BA">
        <w:rPr>
          <w:rFonts w:cs="Times New Roman"/>
          <w:i/>
          <w:lang w:val="en-GB" w:eastAsia="zh-CN"/>
        </w:rPr>
        <w:t>poor</w:t>
      </w:r>
      <w:r w:rsidR="00224A82" w:rsidRPr="007048BA">
        <w:rPr>
          <w:rFonts w:cs="Times New Roman"/>
          <w:i/>
          <w:lang w:val="en-GB" w:eastAsia="zh-CN"/>
        </w:rPr>
        <w:t xml:space="preserve">, </w:t>
      </w:r>
      <w:r w:rsidR="00ED262D" w:rsidRPr="007048BA">
        <w:rPr>
          <w:rFonts w:cs="Times New Roman"/>
          <w:i/>
          <w:lang w:val="en-GB" w:eastAsia="zh-CN"/>
        </w:rPr>
        <w:t>myopia</w:t>
      </w:r>
      <w:r w:rsidR="00224A82" w:rsidRPr="007048BA">
        <w:rPr>
          <w:rFonts w:cs="Times New Roman"/>
          <w:i/>
          <w:lang w:val="en-GB" w:eastAsia="zh-CN"/>
        </w:rPr>
        <w:t xml:space="preserve">, </w:t>
      </w:r>
      <w:r w:rsidR="00ED262D" w:rsidRPr="007048BA">
        <w:rPr>
          <w:rFonts w:cs="Times New Roman"/>
          <w:i/>
          <w:lang w:val="en-GB" w:eastAsia="zh-CN"/>
        </w:rPr>
        <w:t>hyperopia</w:t>
      </w:r>
      <w:r w:rsidR="00224A82" w:rsidRPr="007048BA">
        <w:rPr>
          <w:rFonts w:cs="Times New Roman"/>
          <w:lang w:val="en-GB" w:eastAsia="zh-CN"/>
        </w:rPr>
        <w:t xml:space="preserve"> and </w:t>
      </w:r>
      <w:r w:rsidR="00ED262D" w:rsidRPr="007048BA">
        <w:rPr>
          <w:rFonts w:cs="Times New Roman"/>
          <w:i/>
          <w:lang w:val="en-GB" w:eastAsia="zh-CN"/>
        </w:rPr>
        <w:t>efficient</w:t>
      </w:r>
      <w:r w:rsidR="00224A82" w:rsidRPr="007048BA">
        <w:rPr>
          <w:rFonts w:cs="Times New Roman"/>
          <w:lang w:val="en-GB" w:eastAsia="zh-CN"/>
        </w:rPr>
        <w:t>.</w:t>
      </w:r>
      <w:r w:rsidR="00145764" w:rsidRPr="007048BA">
        <w:rPr>
          <w:rFonts w:cs="Times New Roman"/>
          <w:lang w:val="en-GB" w:eastAsia="zh-CN"/>
        </w:rPr>
        <w:t xml:space="preserve"> We expect to find a positive relation between DA and </w:t>
      </w:r>
      <w:r w:rsidR="00ED262D" w:rsidRPr="007048BA">
        <w:rPr>
          <w:rFonts w:cs="Times New Roman"/>
          <w:i/>
          <w:lang w:val="en-GB" w:eastAsia="zh-CN"/>
        </w:rPr>
        <w:t>myopia</w:t>
      </w:r>
      <w:r w:rsidR="00145764" w:rsidRPr="007048BA">
        <w:rPr>
          <w:rFonts w:cs="Times New Roman"/>
          <w:lang w:val="en-GB" w:eastAsia="zh-CN"/>
        </w:rPr>
        <w:t xml:space="preserve"> </w:t>
      </w:r>
      <w:r w:rsidRPr="007048BA">
        <w:rPr>
          <w:rFonts w:cs="Times New Roman"/>
          <w:lang w:val="en-GB" w:eastAsia="zh-CN"/>
        </w:rPr>
        <w:t xml:space="preserve">but not for </w:t>
      </w:r>
      <w:r w:rsidR="00ED262D" w:rsidRPr="007048BA">
        <w:rPr>
          <w:rFonts w:cs="Times New Roman"/>
          <w:i/>
          <w:lang w:val="en-GB" w:eastAsia="zh-CN"/>
        </w:rPr>
        <w:t>hyperopia</w:t>
      </w:r>
      <w:r w:rsidRPr="007048BA">
        <w:rPr>
          <w:rFonts w:cs="Times New Roman"/>
          <w:i/>
          <w:lang w:val="en-GB" w:eastAsia="zh-CN"/>
        </w:rPr>
        <w:t>,</w:t>
      </w:r>
      <w:r w:rsidRPr="007048BA">
        <w:rPr>
          <w:rFonts w:cs="Times New Roman"/>
          <w:lang w:val="en-GB" w:eastAsia="zh-CN"/>
        </w:rPr>
        <w:t xml:space="preserve"> </w:t>
      </w:r>
      <w:r w:rsidR="00145764" w:rsidRPr="007048BA">
        <w:rPr>
          <w:rFonts w:cs="Times New Roman"/>
          <w:lang w:val="en-GB" w:eastAsia="zh-CN"/>
        </w:rPr>
        <w:t xml:space="preserve">consistent with </w:t>
      </w:r>
      <w:r w:rsidR="00A144BC" w:rsidRPr="007048BA">
        <w:rPr>
          <w:rFonts w:cs="Times New Roman"/>
          <w:lang w:val="en-GB" w:eastAsia="zh-CN"/>
        </w:rPr>
        <w:t>myopic</w:t>
      </w:r>
      <w:r w:rsidR="00145764" w:rsidRPr="007048BA">
        <w:rPr>
          <w:rFonts w:cs="Times New Roman"/>
          <w:lang w:val="en-GB" w:eastAsia="zh-CN"/>
        </w:rPr>
        <w:t xml:space="preserve"> managers managing earnings upwards.</w:t>
      </w:r>
    </w:p>
    <w:p w14:paraId="798C0A90" w14:textId="77777777" w:rsidR="00CA299A" w:rsidRPr="007048BA" w:rsidRDefault="00CA299A" w:rsidP="00CA299A">
      <w:pPr>
        <w:pStyle w:val="Heading2"/>
        <w:ind w:left="805" w:hanging="805"/>
        <w:rPr>
          <w:lang w:val="en-GB"/>
        </w:rPr>
      </w:pPr>
      <w:r w:rsidRPr="007048BA">
        <w:rPr>
          <w:lang w:val="en-GB"/>
        </w:rPr>
        <w:t>3.3</w:t>
      </w:r>
      <w:r w:rsidRPr="007048BA">
        <w:rPr>
          <w:lang w:val="en-GB"/>
        </w:rPr>
        <w:tab/>
        <w:t>Modelling takeover likelihood</w:t>
      </w:r>
    </w:p>
    <w:p w14:paraId="0C7E2BCE" w14:textId="5F91334D" w:rsidR="00CA299A" w:rsidRPr="007048BA" w:rsidRDefault="00CA299A" w:rsidP="00CA299A">
      <w:pPr>
        <w:ind w:firstLine="720"/>
        <w:rPr>
          <w:rFonts w:cs="Times New Roman"/>
          <w:lang w:val="en-GB"/>
        </w:rPr>
      </w:pPr>
      <w:r w:rsidRPr="007048BA">
        <w:rPr>
          <w:rFonts w:cs="Times New Roman"/>
          <w:lang w:val="en-GB"/>
        </w:rPr>
        <w:t xml:space="preserve">In our final set of analyses, we use the framework to retest the management inefficiency hypothesis as qualified in hypotheses 1 and 2. Consistent with prior literature (Palepu, 1986; Powell, 2001; Brar et al., 2009; Cremers et al., 2009; Danbolt et al., 2016), we test the relation between a firm’s takeover likelihood and our </w:t>
      </w:r>
      <w:r w:rsidR="006B3320" w:rsidRPr="007048BA">
        <w:rPr>
          <w:rFonts w:cs="Times New Roman"/>
          <w:lang w:val="en-GB"/>
        </w:rPr>
        <w:t>attributes</w:t>
      </w:r>
      <w:r w:rsidRPr="007048BA">
        <w:rPr>
          <w:rFonts w:cs="Times New Roman"/>
          <w:lang w:val="en-GB"/>
        </w:rPr>
        <w:t xml:space="preserve"> of management performance, controlling for established determinants of takeover likelihood. The base logit regression model is given as follows</w:t>
      </w:r>
      <w:r w:rsidR="006C0CD4" w:rsidRPr="007048BA">
        <w:rPr>
          <w:rFonts w:cs="Times New Roman"/>
          <w:lang w:val="en-GB"/>
        </w:rPr>
        <w:t xml:space="preserve"> (</w:t>
      </w:r>
      <w:r w:rsidR="0022579D" w:rsidRPr="007048BA">
        <w:rPr>
          <w:rFonts w:cs="Times New Roman"/>
          <w:lang w:val="en-GB"/>
        </w:rPr>
        <w:t>e</w:t>
      </w:r>
      <w:r w:rsidR="006C0CD4" w:rsidRPr="007048BA">
        <w:rPr>
          <w:rFonts w:cs="Times New Roman"/>
          <w:lang w:val="en-GB"/>
        </w:rPr>
        <w:t xml:space="preserve">quation </w:t>
      </w:r>
      <w:r w:rsidR="00873F37" w:rsidRPr="007048BA">
        <w:rPr>
          <w:rFonts w:cs="Times New Roman"/>
          <w:lang w:val="en-GB"/>
        </w:rPr>
        <w:t>10</w:t>
      </w:r>
      <w:r w:rsidR="006C0CD4" w:rsidRPr="007048BA">
        <w:rPr>
          <w:rFonts w:cs="Times New Roman"/>
          <w:lang w:val="en-GB"/>
        </w:rPr>
        <w:t>)</w:t>
      </w:r>
      <w:r w:rsidRPr="007048BA">
        <w:rPr>
          <w:rFonts w:cs="Times New Roman"/>
          <w:lang w:val="en-GB"/>
        </w:rPr>
        <w:t>:</w:t>
      </w:r>
    </w:p>
    <w:p w14:paraId="76669F2E" w14:textId="6E723F8A" w:rsidR="00CA299A" w:rsidRPr="007048BA" w:rsidRDefault="00CA299A" w:rsidP="004B243E">
      <w:pPr>
        <w:ind w:firstLine="0"/>
        <w:jc w:val="center"/>
        <w:rPr>
          <w:rFonts w:cs="Times New Roman"/>
          <w:lang w:val="en-GB"/>
        </w:rPr>
      </w:pPr>
      <m:oMath>
        <m:r>
          <m:rPr>
            <m:sty m:val="p"/>
          </m:rPr>
          <w:rPr>
            <w:rFonts w:ascii="Cambria Math" w:hAnsi="Cambria Math"/>
            <w:lang w:val="en-GB"/>
          </w:rPr>
          <m:t>Pr⁡</m:t>
        </m:r>
        <m:r>
          <w:rPr>
            <w:rFonts w:ascii="Cambria Math" w:hAnsi="Cambria Math"/>
            <w:lang w:val="en-GB"/>
          </w:rPr>
          <m:t>[</m:t>
        </m:r>
        <m:sSub>
          <m:sSubPr>
            <m:ctrlPr>
              <w:rPr>
                <w:rFonts w:ascii="Cambria Math" w:hAnsi="Cambria Math"/>
                <w:i/>
                <w:lang w:val="en-GB"/>
              </w:rPr>
            </m:ctrlPr>
          </m:sSubPr>
          <m:e>
            <m:r>
              <w:rPr>
                <w:rFonts w:ascii="Cambria Math" w:hAnsi="Cambria Math"/>
                <w:lang w:val="en-GB"/>
              </w:rPr>
              <m:t>Target</m:t>
            </m:r>
          </m:e>
          <m:sub>
            <m:r>
              <w:rPr>
                <w:rFonts w:ascii="Cambria Math" w:hAnsi="Cambria Math"/>
                <w:lang w:val="en-GB"/>
              </w:rPr>
              <m:t>it</m:t>
            </m:r>
          </m:sub>
        </m:sSub>
        <m:r>
          <w:rPr>
            <w:rFonts w:ascii="Cambria Math" w:hAnsi="Cambria Math"/>
            <w:lang w:val="en-GB"/>
          </w:rPr>
          <m:t>=1]=F</m:t>
        </m:r>
        <m:d>
          <m:dPr>
            <m:ctrlPr>
              <w:rPr>
                <w:rFonts w:ascii="Cambria Math" w:hAnsi="Cambria Math"/>
                <w:i/>
                <w:lang w:val="en-GB"/>
              </w:rPr>
            </m:ctrlPr>
          </m:dPr>
          <m:e>
            <m:r>
              <w:rPr>
                <w:rFonts w:ascii="Cambria Math" w:hAnsi="Cambria Math"/>
                <w:lang w:val="en-GB"/>
              </w:rPr>
              <m:t>α+β*</m:t>
            </m:r>
            <m:sSub>
              <m:sSubPr>
                <m:ctrlPr>
                  <w:rPr>
                    <w:rFonts w:ascii="Cambria Math" w:hAnsi="Cambria Math"/>
                    <w:i/>
                    <w:lang w:val="en-GB"/>
                  </w:rPr>
                </m:ctrlPr>
              </m:sSubPr>
              <m:e>
                <m:r>
                  <w:rPr>
                    <w:rFonts w:ascii="Cambria Math" w:hAnsi="Cambria Math"/>
                    <w:lang w:val="en-GB"/>
                  </w:rPr>
                  <m:t>Performance</m:t>
                </m:r>
              </m:e>
              <m:sub>
                <m:r>
                  <w:rPr>
                    <w:rFonts w:ascii="Cambria Math" w:hAnsi="Cambria Math"/>
                    <w:lang w:val="en-GB"/>
                  </w:rPr>
                  <m:t>it-1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γ*Controls</m:t>
                </m:r>
              </m:e>
              <m:sub>
                <m:r>
                  <w:rPr>
                    <w:rFonts w:ascii="Cambria Math" w:hAnsi="Cambria Math"/>
                    <w:lang w:val="en-GB"/>
                  </w:rPr>
                  <m:t>it-1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ε</m:t>
                </m:r>
              </m:e>
              <m:sub>
                <m:r>
                  <w:rPr>
                    <w:rFonts w:ascii="Cambria Math" w:hAnsi="Cambria Math"/>
                    <w:lang w:val="en-GB"/>
                  </w:rPr>
                  <m:t>it</m:t>
                </m:r>
              </m:sub>
            </m:sSub>
          </m:e>
        </m:d>
      </m:oMath>
      <w:r w:rsidR="00005B9F" w:rsidRPr="007048BA">
        <w:rPr>
          <w:rFonts w:cs="Times New Roman"/>
          <w:lang w:val="en-GB"/>
        </w:rPr>
        <w:t xml:space="preserve">     </w:t>
      </w:r>
      <w:r w:rsidR="004B243E" w:rsidRPr="007048BA">
        <w:rPr>
          <w:rFonts w:cs="Times New Roman"/>
          <w:lang w:val="en-GB"/>
        </w:rPr>
        <w:t xml:space="preserve">        </w:t>
      </w:r>
      <w:r w:rsidR="00005B9F" w:rsidRPr="007048BA">
        <w:rPr>
          <w:rFonts w:cs="Times New Roman"/>
          <w:lang w:val="en-GB"/>
        </w:rPr>
        <w:t>(</w:t>
      </w:r>
      <w:r w:rsidR="00613934" w:rsidRPr="007048BA">
        <w:rPr>
          <w:rFonts w:cs="Times New Roman"/>
          <w:lang w:val="en-GB"/>
        </w:rPr>
        <w:t>10</w:t>
      </w:r>
      <w:r w:rsidR="00005B9F" w:rsidRPr="007048BA">
        <w:rPr>
          <w:rFonts w:cs="Times New Roman"/>
          <w:lang w:val="en-GB"/>
        </w:rPr>
        <w:t>)</w:t>
      </w:r>
    </w:p>
    <w:p w14:paraId="59F59EC5" w14:textId="7A2F61BC" w:rsidR="00CA299A" w:rsidRPr="007048BA" w:rsidRDefault="00642A1F" w:rsidP="00CA299A">
      <w:pPr>
        <w:ind w:firstLine="0"/>
        <w:rPr>
          <w:rFonts w:cs="Times New Roman"/>
          <w:lang w:val="en-GB"/>
        </w:rPr>
      </w:pPr>
      <w:r w:rsidRPr="007048BA">
        <w:rPr>
          <w:rFonts w:cs="Times New Roman"/>
          <w:i/>
          <w:lang w:val="en-GB"/>
        </w:rPr>
        <w:t>Target</w:t>
      </w:r>
      <w:r w:rsidR="00CA299A" w:rsidRPr="007048BA">
        <w:rPr>
          <w:rFonts w:cs="Times New Roman"/>
          <w:lang w:val="en-GB"/>
        </w:rPr>
        <w:t xml:space="preserve"> takes a value of one if a firm (</w:t>
      </w:r>
      <w:r w:rsidR="00CA299A" w:rsidRPr="007048BA">
        <w:rPr>
          <w:rFonts w:cs="Times New Roman"/>
          <w:i/>
          <w:lang w:val="en-GB"/>
        </w:rPr>
        <w:t>i</w:t>
      </w:r>
      <w:r w:rsidR="00CA299A" w:rsidRPr="007048BA">
        <w:rPr>
          <w:rFonts w:cs="Times New Roman"/>
          <w:lang w:val="en-GB"/>
        </w:rPr>
        <w:t>) is the subject of a takeover bid for control in a period (</w:t>
      </w:r>
      <w:r w:rsidR="00CA299A" w:rsidRPr="007048BA">
        <w:rPr>
          <w:rFonts w:cs="Times New Roman"/>
          <w:i/>
          <w:lang w:val="en-GB"/>
        </w:rPr>
        <w:t>t</w:t>
      </w:r>
      <w:r w:rsidR="00CA299A" w:rsidRPr="007048BA">
        <w:rPr>
          <w:rFonts w:cs="Times New Roman"/>
          <w:lang w:val="en-GB"/>
        </w:rPr>
        <w:t xml:space="preserve">) and a value of zero otherwise. The model classifies each firm as a takeover target or non-target by computing its odds of being a target in period </w:t>
      </w:r>
      <w:r w:rsidR="00CA299A" w:rsidRPr="007048BA">
        <w:rPr>
          <w:rFonts w:cs="Times New Roman"/>
          <w:i/>
          <w:lang w:val="en-GB"/>
        </w:rPr>
        <w:t>t</w:t>
      </w:r>
      <w:r w:rsidR="00CA299A" w:rsidRPr="007048BA">
        <w:rPr>
          <w:rFonts w:cs="Times New Roman"/>
          <w:lang w:val="en-GB"/>
        </w:rPr>
        <w:t xml:space="preserve"> conditional upon its observed characteristics in period </w:t>
      </w:r>
      <w:r w:rsidR="00CA299A" w:rsidRPr="007048BA">
        <w:rPr>
          <w:rFonts w:cs="Times New Roman"/>
          <w:i/>
          <w:lang w:val="en-GB"/>
        </w:rPr>
        <w:t>t-1</w:t>
      </w:r>
      <w:r w:rsidR="00CA299A" w:rsidRPr="007048BA">
        <w:rPr>
          <w:rFonts w:cs="Times New Roman"/>
          <w:lang w:val="en-GB"/>
        </w:rPr>
        <w:t>.</w:t>
      </w:r>
      <w:r w:rsidR="00CA299A" w:rsidRPr="007048BA">
        <w:rPr>
          <w:rFonts w:cs="Times New Roman"/>
          <w:lang w:val="en-GB" w:eastAsia="zh-CN"/>
        </w:rPr>
        <w:t xml:space="preserve"> The independent variable of interest is </w:t>
      </w:r>
      <w:r w:rsidR="00EF63A8" w:rsidRPr="007048BA">
        <w:rPr>
          <w:rFonts w:cs="Times New Roman"/>
          <w:i/>
          <w:lang w:val="en-GB" w:eastAsia="zh-CN"/>
        </w:rPr>
        <w:t>performance</w:t>
      </w:r>
      <w:r w:rsidR="00CA299A" w:rsidRPr="007048BA">
        <w:rPr>
          <w:rFonts w:cs="Times New Roman"/>
          <w:lang w:val="en-GB" w:eastAsia="zh-CN"/>
        </w:rPr>
        <w:t xml:space="preserve">, measured using our four dummy variables; </w:t>
      </w:r>
      <w:r w:rsidR="00ED262D" w:rsidRPr="007048BA">
        <w:rPr>
          <w:rFonts w:cs="Times New Roman"/>
          <w:i/>
          <w:lang w:val="en-GB" w:eastAsia="zh-CN"/>
        </w:rPr>
        <w:t>poor</w:t>
      </w:r>
      <w:r w:rsidR="00CA299A" w:rsidRPr="007048BA">
        <w:rPr>
          <w:rFonts w:cs="Times New Roman"/>
          <w:i/>
          <w:lang w:val="en-GB" w:eastAsia="zh-CN"/>
        </w:rPr>
        <w:t xml:space="preserve">, </w:t>
      </w:r>
      <w:r w:rsidR="00ED262D" w:rsidRPr="007048BA">
        <w:rPr>
          <w:rFonts w:cs="Times New Roman"/>
          <w:i/>
          <w:lang w:val="en-GB" w:eastAsia="zh-CN"/>
        </w:rPr>
        <w:t>myopia</w:t>
      </w:r>
      <w:r w:rsidR="00CA299A" w:rsidRPr="007048BA">
        <w:rPr>
          <w:rFonts w:cs="Times New Roman"/>
          <w:i/>
          <w:lang w:val="en-GB" w:eastAsia="zh-CN"/>
        </w:rPr>
        <w:t xml:space="preserve">, </w:t>
      </w:r>
      <w:r w:rsidR="00ED262D" w:rsidRPr="007048BA">
        <w:rPr>
          <w:rFonts w:cs="Times New Roman"/>
          <w:i/>
          <w:lang w:val="en-GB" w:eastAsia="zh-CN"/>
        </w:rPr>
        <w:t>hyperopia</w:t>
      </w:r>
      <w:r w:rsidR="00CA299A" w:rsidRPr="007048BA">
        <w:rPr>
          <w:rFonts w:cs="Times New Roman"/>
          <w:lang w:val="en-GB" w:eastAsia="zh-CN"/>
        </w:rPr>
        <w:t xml:space="preserve"> and </w:t>
      </w:r>
      <w:r w:rsidR="00ED262D" w:rsidRPr="007048BA">
        <w:rPr>
          <w:rFonts w:cs="Times New Roman"/>
          <w:i/>
          <w:lang w:val="en-GB" w:eastAsia="zh-CN"/>
        </w:rPr>
        <w:t>efficient</w:t>
      </w:r>
      <w:r w:rsidR="00CA299A" w:rsidRPr="007048BA">
        <w:rPr>
          <w:rFonts w:cs="Times New Roman"/>
          <w:lang w:val="en-GB" w:eastAsia="zh-CN"/>
        </w:rPr>
        <w:t xml:space="preserve">. </w:t>
      </w:r>
      <w:r w:rsidR="00CA299A" w:rsidRPr="007048BA">
        <w:rPr>
          <w:rFonts w:cs="Times New Roman"/>
          <w:lang w:val="en-GB"/>
        </w:rPr>
        <w:t xml:space="preserve">The </w:t>
      </w:r>
      <w:r w:rsidR="00EF63A8" w:rsidRPr="007048BA">
        <w:rPr>
          <w:rFonts w:cs="Times New Roman"/>
          <w:i/>
          <w:lang w:val="en-GB"/>
        </w:rPr>
        <w:t>controls</w:t>
      </w:r>
      <w:r w:rsidR="00CA299A" w:rsidRPr="007048BA">
        <w:rPr>
          <w:rFonts w:cs="Times New Roman"/>
          <w:lang w:val="en-GB"/>
        </w:rPr>
        <w:t xml:space="preserve"> are </w:t>
      </w:r>
      <w:r w:rsidR="00B93296" w:rsidRPr="007048BA">
        <w:rPr>
          <w:rFonts w:cs="Times New Roman"/>
          <w:lang w:val="en-GB"/>
        </w:rPr>
        <w:t>variables</w:t>
      </w:r>
      <w:r w:rsidR="00CA299A" w:rsidRPr="007048BA">
        <w:rPr>
          <w:rFonts w:cs="Times New Roman"/>
          <w:lang w:val="en-GB"/>
        </w:rPr>
        <w:t xml:space="preserve"> shown in prior studies to influence a firm’s takeover likelihood. Prior research (Palepu, 1986; Ambrose and Megginson, 1992; Powell, 2001; Brar et al., 2009; Cremers et al., 2009; Danbolt et al., 2016) suggests that takeover likelihood is a function of a firm’s size (</w:t>
      </w:r>
      <w:r w:rsidR="00CA299A" w:rsidRPr="007048BA">
        <w:rPr>
          <w:rFonts w:cs="Times New Roman"/>
          <w:iCs/>
          <w:lang w:val="en-GB"/>
        </w:rPr>
        <w:t>SIZE</w:t>
      </w:r>
      <w:r w:rsidR="00CA299A" w:rsidRPr="007048BA">
        <w:rPr>
          <w:rFonts w:cs="Times New Roman"/>
          <w:lang w:val="en-GB"/>
        </w:rPr>
        <w:t>), level of free cash flow (</w:t>
      </w:r>
      <w:r w:rsidR="00CA299A" w:rsidRPr="007048BA">
        <w:rPr>
          <w:rFonts w:cs="Times New Roman"/>
          <w:iCs/>
          <w:lang w:val="en-GB"/>
        </w:rPr>
        <w:t>FCF</w:t>
      </w:r>
      <w:r w:rsidR="00CA299A" w:rsidRPr="007048BA">
        <w:rPr>
          <w:rFonts w:cs="Times New Roman"/>
          <w:lang w:val="en-GB"/>
        </w:rPr>
        <w:t>), available tangible assets (</w:t>
      </w:r>
      <w:r w:rsidR="00CA299A" w:rsidRPr="007048BA">
        <w:rPr>
          <w:rFonts w:cs="Times New Roman"/>
          <w:iCs/>
          <w:lang w:val="en-GB"/>
        </w:rPr>
        <w:t>TANG</w:t>
      </w:r>
      <w:r w:rsidR="00CA299A" w:rsidRPr="007048BA">
        <w:rPr>
          <w:rFonts w:cs="Times New Roman"/>
          <w:lang w:val="en-GB"/>
        </w:rPr>
        <w:t>), age (</w:t>
      </w:r>
      <w:r w:rsidR="00CA299A" w:rsidRPr="007048BA">
        <w:rPr>
          <w:rFonts w:cs="Times New Roman"/>
          <w:iCs/>
          <w:lang w:val="en-GB"/>
        </w:rPr>
        <w:t>AGE</w:t>
      </w:r>
      <w:r w:rsidR="00CA299A" w:rsidRPr="007048BA">
        <w:rPr>
          <w:rFonts w:cs="Times New Roman"/>
          <w:lang w:val="en-GB"/>
        </w:rPr>
        <w:t>), degree of undervaluation (</w:t>
      </w:r>
      <w:r w:rsidR="00CA299A" w:rsidRPr="007048BA">
        <w:rPr>
          <w:rFonts w:cs="Times New Roman"/>
          <w:iCs/>
          <w:lang w:val="en-GB"/>
        </w:rPr>
        <w:t>TBQ</w:t>
      </w:r>
      <w:r w:rsidR="00CA299A" w:rsidRPr="007048BA">
        <w:rPr>
          <w:rFonts w:cs="Times New Roman"/>
          <w:lang w:val="en-GB"/>
        </w:rPr>
        <w:t>), the presence of a mismatch between its level of growth and available resources (</w:t>
      </w:r>
      <w:r w:rsidR="00CA299A" w:rsidRPr="007048BA">
        <w:rPr>
          <w:rFonts w:cs="Times New Roman"/>
          <w:iCs/>
          <w:lang w:val="en-GB"/>
        </w:rPr>
        <w:t>SGW, LIQ, LEV, GRD</w:t>
      </w:r>
      <w:r w:rsidR="00CA299A" w:rsidRPr="007048BA">
        <w:rPr>
          <w:rFonts w:cs="Times New Roman"/>
          <w:lang w:val="en-GB"/>
        </w:rPr>
        <w:t>), industry concentration (</w:t>
      </w:r>
      <w:r w:rsidR="00CA299A" w:rsidRPr="007048BA">
        <w:rPr>
          <w:rFonts w:cs="Times New Roman"/>
          <w:iCs/>
          <w:lang w:val="en-GB"/>
        </w:rPr>
        <w:t>HHI</w:t>
      </w:r>
      <w:r w:rsidR="00CA299A" w:rsidRPr="007048BA">
        <w:rPr>
          <w:rFonts w:cs="Times New Roman"/>
          <w:lang w:val="en-GB"/>
        </w:rPr>
        <w:t xml:space="preserve">), </w:t>
      </w:r>
      <w:r w:rsidR="00484EF6" w:rsidRPr="007048BA">
        <w:rPr>
          <w:rFonts w:cs="Times New Roman"/>
          <w:lang w:val="en-GB"/>
        </w:rPr>
        <w:t>the occurrence of other takeovers in the firm’s industry (</w:t>
      </w:r>
      <w:r w:rsidR="00484EF6" w:rsidRPr="007048BA">
        <w:rPr>
          <w:rFonts w:cs="Times New Roman"/>
          <w:iCs/>
          <w:lang w:val="en-GB"/>
        </w:rPr>
        <w:t>IDD</w:t>
      </w:r>
      <w:r w:rsidR="00484EF6" w:rsidRPr="007048BA">
        <w:rPr>
          <w:rFonts w:cs="Times New Roman"/>
          <w:lang w:val="en-GB"/>
        </w:rPr>
        <w:t xml:space="preserve">), </w:t>
      </w:r>
      <w:r w:rsidR="00CA299A" w:rsidRPr="007048BA">
        <w:rPr>
          <w:rFonts w:cs="Times New Roman"/>
          <w:lang w:val="en-GB"/>
        </w:rPr>
        <w:t>the presence of block holders (</w:t>
      </w:r>
      <w:r w:rsidR="00EF63A8" w:rsidRPr="007048BA">
        <w:rPr>
          <w:rFonts w:cs="Times New Roman"/>
          <w:iCs/>
          <w:lang w:val="en-GB"/>
        </w:rPr>
        <w:t>BLOC</w:t>
      </w:r>
      <w:r w:rsidR="005D71F1" w:rsidRPr="007048BA">
        <w:rPr>
          <w:rFonts w:cs="Times New Roman"/>
          <w:lang w:val="en-GB"/>
        </w:rPr>
        <w:t xml:space="preserve">), </w:t>
      </w:r>
      <w:r w:rsidR="00484EF6" w:rsidRPr="007048BA">
        <w:rPr>
          <w:rFonts w:cs="Times New Roman"/>
          <w:lang w:val="en-GB"/>
        </w:rPr>
        <w:t>the circulation of merger rumours (RUM)</w:t>
      </w:r>
      <w:r w:rsidR="005D71F1" w:rsidRPr="007048BA">
        <w:rPr>
          <w:rFonts w:cs="Times New Roman"/>
          <w:lang w:val="en-GB"/>
        </w:rPr>
        <w:t xml:space="preserve">, </w:t>
      </w:r>
      <w:r w:rsidR="00484EF6" w:rsidRPr="007048BA">
        <w:rPr>
          <w:rFonts w:cs="Times New Roman"/>
          <w:lang w:val="en-GB"/>
        </w:rPr>
        <w:t>trading volume (TVOL) and market sentiment (SENT</w:t>
      </w:r>
      <w:r w:rsidR="005D71F1" w:rsidRPr="007048BA">
        <w:rPr>
          <w:rFonts w:cs="Times New Roman"/>
          <w:lang w:val="en-GB"/>
        </w:rPr>
        <w:t>)</w:t>
      </w:r>
      <w:r w:rsidR="00484EF6" w:rsidRPr="007048BA">
        <w:rPr>
          <w:rFonts w:cs="Times New Roman"/>
          <w:lang w:val="en-GB"/>
        </w:rPr>
        <w:t xml:space="preserve">. </w:t>
      </w:r>
      <w:r w:rsidR="00CA299A" w:rsidRPr="007048BA">
        <w:rPr>
          <w:rFonts w:cs="Times New Roman"/>
          <w:lang w:val="en-GB"/>
        </w:rPr>
        <w:t>These control variables</w:t>
      </w:r>
      <w:r w:rsidR="003D6497" w:rsidRPr="007048BA">
        <w:rPr>
          <w:rFonts w:cs="Times New Roman"/>
          <w:lang w:val="en-GB"/>
        </w:rPr>
        <w:t>, their underlying rationale</w:t>
      </w:r>
      <w:r w:rsidR="00CA299A" w:rsidRPr="007048BA">
        <w:rPr>
          <w:rFonts w:cs="Times New Roman"/>
          <w:lang w:val="en-GB"/>
        </w:rPr>
        <w:t xml:space="preserve"> and </w:t>
      </w:r>
      <w:r w:rsidR="003D6497" w:rsidRPr="007048BA">
        <w:rPr>
          <w:rFonts w:cs="Times New Roman"/>
          <w:lang w:val="en-GB"/>
        </w:rPr>
        <w:t>selected</w:t>
      </w:r>
      <w:r w:rsidR="00CA299A" w:rsidRPr="007048BA">
        <w:rPr>
          <w:rFonts w:cs="Times New Roman"/>
          <w:lang w:val="en-GB"/>
        </w:rPr>
        <w:t xml:space="preserve"> proxies</w:t>
      </w:r>
      <w:r w:rsidR="006C0CD4" w:rsidRPr="007048BA">
        <w:rPr>
          <w:rFonts w:cs="Times New Roman"/>
          <w:lang w:val="en-GB"/>
        </w:rPr>
        <w:t>,</w:t>
      </w:r>
      <w:r w:rsidR="00CA299A" w:rsidRPr="007048BA">
        <w:rPr>
          <w:rFonts w:cs="Times New Roman"/>
          <w:lang w:val="en-GB"/>
        </w:rPr>
        <w:t xml:space="preserve"> are summarised in Appendix 1.</w:t>
      </w:r>
      <w:r w:rsidR="00CA299A" w:rsidRPr="007048BA">
        <w:rPr>
          <w:rFonts w:cs="Times New Roman"/>
          <w:lang w:val="en-GB" w:eastAsia="zh-CN"/>
        </w:rPr>
        <w:t xml:space="preserve"> </w:t>
      </w:r>
    </w:p>
    <w:p w14:paraId="3ED8DD88" w14:textId="5E6B6A06" w:rsidR="00CA299A" w:rsidRPr="007048BA" w:rsidRDefault="00CA299A" w:rsidP="00CA299A">
      <w:pPr>
        <w:ind w:firstLine="0"/>
        <w:rPr>
          <w:rFonts w:cs="Times New Roman"/>
          <w:i/>
          <w:lang w:val="en-GB"/>
        </w:rPr>
      </w:pPr>
      <w:r w:rsidRPr="007048BA">
        <w:rPr>
          <w:rFonts w:cs="Times New Roman"/>
          <w:lang w:val="en-GB"/>
        </w:rPr>
        <w:tab/>
        <w:t xml:space="preserve">Our analysis </w:t>
      </w:r>
      <w:r w:rsidR="00616AC4" w:rsidRPr="007048BA">
        <w:rPr>
          <w:rFonts w:cs="Times New Roman"/>
          <w:lang w:val="en-GB"/>
        </w:rPr>
        <w:t xml:space="preserve">here </w:t>
      </w:r>
      <w:r w:rsidRPr="007048BA">
        <w:rPr>
          <w:rFonts w:cs="Times New Roman"/>
          <w:lang w:val="en-GB"/>
        </w:rPr>
        <w:t xml:space="preserve">is </w:t>
      </w:r>
      <w:r w:rsidR="00616AC4" w:rsidRPr="007048BA">
        <w:rPr>
          <w:rFonts w:cs="Times New Roman"/>
          <w:lang w:val="en-GB"/>
        </w:rPr>
        <w:t xml:space="preserve">also </w:t>
      </w:r>
      <w:r w:rsidRPr="007048BA">
        <w:rPr>
          <w:rFonts w:cs="Times New Roman"/>
          <w:lang w:val="en-GB"/>
        </w:rPr>
        <w:t xml:space="preserve">prone to endogeneity concerns (omitted variable bias and reverse causality). We partly mitigate </w:t>
      </w:r>
      <w:r w:rsidR="00B92219" w:rsidRPr="007048BA">
        <w:rPr>
          <w:rFonts w:cs="Times New Roman"/>
          <w:lang w:val="en-GB"/>
        </w:rPr>
        <w:t>omitted</w:t>
      </w:r>
      <w:r w:rsidRPr="007048BA">
        <w:rPr>
          <w:rFonts w:cs="Times New Roman"/>
          <w:lang w:val="en-GB"/>
        </w:rPr>
        <w:t xml:space="preserve"> variable bias by including several control variables and controlling for firm and year fixed effects (panel r</w:t>
      </w:r>
      <w:r w:rsidR="00063801" w:rsidRPr="007048BA">
        <w:rPr>
          <w:rFonts w:cs="Times New Roman"/>
          <w:lang w:val="en-GB"/>
        </w:rPr>
        <w:t>egression). Also, in equation (</w:t>
      </w:r>
      <w:r w:rsidR="00613934" w:rsidRPr="007048BA">
        <w:rPr>
          <w:rFonts w:cs="Times New Roman"/>
          <w:lang w:val="en-GB"/>
        </w:rPr>
        <w:t>10</w:t>
      </w:r>
      <w:r w:rsidRPr="007048BA">
        <w:rPr>
          <w:rFonts w:cs="Times New Roman"/>
          <w:lang w:val="en-GB"/>
        </w:rPr>
        <w:t xml:space="preserve">), we lag our independent variables </w:t>
      </w:r>
      <w:r w:rsidRPr="007048BA">
        <w:rPr>
          <w:rFonts w:cs="Times New Roman"/>
          <w:lang w:val="en-GB"/>
        </w:rPr>
        <w:lastRenderedPageBreak/>
        <w:t>by one period to partly control for possible reverse causality. To further mitigate reverse causality, we use a two stage estimation approach (Newey, 1987) with the industry average of R&amp;D investment (</w:t>
      </w:r>
      <w:r w:rsidRPr="007048BA">
        <w:rPr>
          <w:rFonts w:cs="Times New Roman"/>
          <w:i/>
          <w:lang w:val="en-GB"/>
        </w:rPr>
        <w:t>m</w:t>
      </w:r>
      <w:r w:rsidR="006A22DC" w:rsidRPr="007048BA">
        <w:rPr>
          <w:rFonts w:cs="Times New Roman"/>
          <w:i/>
          <w:lang w:val="en-GB"/>
        </w:rPr>
        <w:t>RDI</w:t>
      </w:r>
      <w:r w:rsidRPr="007048BA">
        <w:rPr>
          <w:rFonts w:cs="Times New Roman"/>
          <w:lang w:val="en-GB"/>
        </w:rPr>
        <w:t xml:space="preserve">) as an instrumental variable for both </w:t>
      </w:r>
      <w:r w:rsidR="00ED262D" w:rsidRPr="007048BA">
        <w:rPr>
          <w:rFonts w:cs="Times New Roman"/>
          <w:i/>
          <w:lang w:val="en-GB"/>
        </w:rPr>
        <w:t>myopia</w:t>
      </w:r>
      <w:r w:rsidRPr="007048BA">
        <w:rPr>
          <w:rFonts w:cs="Times New Roman"/>
          <w:lang w:val="en-GB"/>
        </w:rPr>
        <w:t xml:space="preserve"> and </w:t>
      </w:r>
      <w:r w:rsidR="00ED262D" w:rsidRPr="007048BA">
        <w:rPr>
          <w:rFonts w:cs="Times New Roman"/>
          <w:i/>
          <w:lang w:val="en-GB"/>
        </w:rPr>
        <w:t>hyperopia</w:t>
      </w:r>
      <w:r w:rsidRPr="007048BA">
        <w:rPr>
          <w:rFonts w:cs="Times New Roman"/>
          <w:lang w:val="en-GB"/>
        </w:rPr>
        <w:t xml:space="preserve">. </w:t>
      </w:r>
      <w:r w:rsidR="00C72C14" w:rsidRPr="007048BA">
        <w:rPr>
          <w:rFonts w:cs="Times New Roman"/>
          <w:lang w:val="en-GB"/>
        </w:rPr>
        <w:t>O</w:t>
      </w:r>
      <w:r w:rsidR="009463F1" w:rsidRPr="007048BA">
        <w:rPr>
          <w:rFonts w:cs="Times New Roman"/>
          <w:lang w:val="en-GB"/>
        </w:rPr>
        <w:t xml:space="preserve">ur instrumental variable meets the relevance condition (i.e., </w:t>
      </w:r>
      <w:r w:rsidR="007D043C" w:rsidRPr="007048BA">
        <w:rPr>
          <w:rFonts w:cs="Times New Roman"/>
          <w:lang w:val="en-GB"/>
        </w:rPr>
        <w:t xml:space="preserve">it is strongly correlated with performance per our </w:t>
      </w:r>
      <w:r w:rsidR="006B3320" w:rsidRPr="007048BA">
        <w:rPr>
          <w:rFonts w:cs="Times New Roman"/>
          <w:lang w:val="en-GB"/>
        </w:rPr>
        <w:t>attributes</w:t>
      </w:r>
      <w:r w:rsidR="009463F1" w:rsidRPr="007048BA">
        <w:rPr>
          <w:rFonts w:cs="Times New Roman"/>
          <w:lang w:val="en-GB"/>
        </w:rPr>
        <w:t>)</w:t>
      </w:r>
      <w:r w:rsidR="007D043C" w:rsidRPr="007048BA">
        <w:rPr>
          <w:rStyle w:val="FootnoteReference"/>
          <w:rFonts w:cs="Times New Roman"/>
          <w:lang w:val="en-GB"/>
        </w:rPr>
        <w:footnoteReference w:id="7"/>
      </w:r>
      <w:r w:rsidR="009463F1" w:rsidRPr="007048BA">
        <w:rPr>
          <w:rFonts w:cs="Times New Roman"/>
          <w:lang w:val="en-GB"/>
        </w:rPr>
        <w:t xml:space="preserve"> and the exclusion restriction (i.e., industry-level </w:t>
      </w:r>
      <w:r w:rsidR="007D043C" w:rsidRPr="007048BA">
        <w:rPr>
          <w:rFonts w:cs="Times New Roman"/>
          <w:lang w:val="en-GB"/>
        </w:rPr>
        <w:t xml:space="preserve">R&amp;D investment </w:t>
      </w:r>
      <w:r w:rsidR="009463F1" w:rsidRPr="007048BA">
        <w:rPr>
          <w:rFonts w:cs="Times New Roman"/>
          <w:lang w:val="en-GB"/>
        </w:rPr>
        <w:t xml:space="preserve">has </w:t>
      </w:r>
      <w:r w:rsidR="003E0FE6" w:rsidRPr="007048BA">
        <w:rPr>
          <w:rFonts w:cs="Times New Roman"/>
          <w:lang w:val="en-GB"/>
        </w:rPr>
        <w:t>no bearing on</w:t>
      </w:r>
      <w:r w:rsidR="009463F1" w:rsidRPr="007048BA">
        <w:rPr>
          <w:rFonts w:cs="Times New Roman"/>
          <w:lang w:val="en-GB"/>
        </w:rPr>
        <w:t xml:space="preserve"> </w:t>
      </w:r>
      <w:r w:rsidR="003E0FE6" w:rsidRPr="007048BA">
        <w:rPr>
          <w:rFonts w:cs="Times New Roman"/>
          <w:lang w:val="en-GB"/>
        </w:rPr>
        <w:t xml:space="preserve">firm-level </w:t>
      </w:r>
      <w:r w:rsidR="00997629" w:rsidRPr="007048BA">
        <w:rPr>
          <w:rFonts w:cs="Times New Roman"/>
          <w:lang w:val="en-GB"/>
        </w:rPr>
        <w:t>takeover likelihood</w:t>
      </w:r>
      <w:r w:rsidR="009463F1" w:rsidRPr="007048BA">
        <w:rPr>
          <w:rFonts w:cs="Times New Roman"/>
          <w:lang w:val="en-GB"/>
        </w:rPr>
        <w:t xml:space="preserve">). </w:t>
      </w:r>
      <w:r w:rsidRPr="007048BA">
        <w:rPr>
          <w:rFonts w:cs="Times New Roman"/>
          <w:lang w:val="en-GB"/>
        </w:rPr>
        <w:t xml:space="preserve">In the first stage we run the following probit regression models </w:t>
      </w:r>
      <w:r w:rsidR="006C0CD4" w:rsidRPr="007048BA">
        <w:rPr>
          <w:rFonts w:cs="Times New Roman"/>
          <w:lang w:val="en-GB"/>
        </w:rPr>
        <w:t>(</w:t>
      </w:r>
      <w:r w:rsidR="0022579D" w:rsidRPr="007048BA">
        <w:rPr>
          <w:rFonts w:cs="Times New Roman"/>
          <w:lang w:val="en-GB"/>
        </w:rPr>
        <w:t>e</w:t>
      </w:r>
      <w:r w:rsidR="006C0CD4" w:rsidRPr="007048BA">
        <w:rPr>
          <w:rFonts w:cs="Times New Roman"/>
          <w:lang w:val="en-GB"/>
        </w:rPr>
        <w:t xml:space="preserve">quations </w:t>
      </w:r>
      <w:r w:rsidR="00613934" w:rsidRPr="007048BA">
        <w:rPr>
          <w:rFonts w:cs="Times New Roman"/>
          <w:lang w:val="en-GB"/>
        </w:rPr>
        <w:t>11</w:t>
      </w:r>
      <w:r w:rsidR="006C0CD4" w:rsidRPr="007048BA">
        <w:rPr>
          <w:rFonts w:cs="Times New Roman"/>
          <w:lang w:val="en-GB"/>
        </w:rPr>
        <w:t xml:space="preserve"> and </w:t>
      </w:r>
      <w:r w:rsidR="00613934" w:rsidRPr="007048BA">
        <w:rPr>
          <w:rFonts w:cs="Times New Roman"/>
          <w:lang w:val="en-GB"/>
        </w:rPr>
        <w:t>12</w:t>
      </w:r>
      <w:r w:rsidR="006C0CD4" w:rsidRPr="007048BA">
        <w:rPr>
          <w:rFonts w:cs="Times New Roman"/>
          <w:lang w:val="en-GB"/>
        </w:rPr>
        <w:t xml:space="preserve">) </w:t>
      </w:r>
      <w:r w:rsidRPr="007048BA">
        <w:rPr>
          <w:rFonts w:cs="Times New Roman"/>
          <w:lang w:val="en-GB"/>
        </w:rPr>
        <w:t xml:space="preserve">to generate predicted values for </w:t>
      </w:r>
      <w:r w:rsidR="00ED262D" w:rsidRPr="007048BA">
        <w:rPr>
          <w:rFonts w:cs="Times New Roman"/>
          <w:i/>
          <w:lang w:val="en-GB"/>
        </w:rPr>
        <w:t>myopia</w:t>
      </w:r>
      <w:r w:rsidRPr="007048BA">
        <w:rPr>
          <w:rFonts w:cs="Times New Roman"/>
          <w:lang w:val="en-GB"/>
        </w:rPr>
        <w:t xml:space="preserve"> and </w:t>
      </w:r>
      <w:r w:rsidR="00ED262D" w:rsidRPr="007048BA">
        <w:rPr>
          <w:rFonts w:cs="Times New Roman"/>
          <w:i/>
          <w:lang w:val="en-GB"/>
        </w:rPr>
        <w:t>hyperopia</w:t>
      </w:r>
      <w:r w:rsidRPr="007048BA">
        <w:rPr>
          <w:rFonts w:cs="Times New Roman"/>
          <w:i/>
          <w:lang w:val="en-GB"/>
        </w:rPr>
        <w:t>.</w:t>
      </w:r>
    </w:p>
    <w:p w14:paraId="3CEE8453" w14:textId="5035D2E6" w:rsidR="00CA299A" w:rsidRPr="007048BA" w:rsidRDefault="00CA299A" w:rsidP="00CA299A">
      <w:pPr>
        <w:ind w:firstLine="720"/>
        <w:rPr>
          <w:rFonts w:cs="Times New Roman"/>
          <w:lang w:val="en-GB"/>
        </w:rPr>
      </w:pPr>
      <m:oMath>
        <m:r>
          <m:rPr>
            <m:sty m:val="p"/>
          </m:rPr>
          <w:rPr>
            <w:rFonts w:ascii="Cambria Math" w:hAnsi="Cambria Math"/>
            <w:lang w:val="en-GB"/>
          </w:rPr>
          <m:t>Pr⁡</m:t>
        </m:r>
        <m:r>
          <w:rPr>
            <w:rFonts w:ascii="Cambria Math" w:hAnsi="Cambria Math"/>
            <w:lang w:val="en-GB"/>
          </w:rPr>
          <m:t>[</m:t>
        </m:r>
        <m:sSub>
          <m:sSubPr>
            <m:ctrlPr>
              <w:rPr>
                <w:rFonts w:ascii="Cambria Math" w:hAnsi="Cambria Math"/>
                <w:i/>
                <w:lang w:val="en-GB"/>
              </w:rPr>
            </m:ctrlPr>
          </m:sSubPr>
          <m:e>
            <m:r>
              <w:rPr>
                <w:rFonts w:ascii="Cambria Math" w:hAnsi="Cambria Math"/>
                <w:lang w:val="en-GB"/>
              </w:rPr>
              <m:t>Myopia</m:t>
            </m:r>
          </m:e>
          <m:sub>
            <m:r>
              <w:rPr>
                <w:rFonts w:ascii="Cambria Math" w:hAnsi="Cambria Math"/>
                <w:lang w:val="en-GB"/>
              </w:rPr>
              <m:t>it</m:t>
            </m:r>
          </m:sub>
        </m:sSub>
        <m:r>
          <w:rPr>
            <w:rFonts w:ascii="Cambria Math" w:hAnsi="Cambria Math"/>
            <w:lang w:val="en-GB"/>
          </w:rPr>
          <m:t>=1]=F(α+β*</m:t>
        </m:r>
        <m:sSub>
          <m:sSubPr>
            <m:ctrlPr>
              <w:rPr>
                <w:rFonts w:ascii="Cambria Math" w:hAnsi="Cambria Math"/>
                <w:i/>
                <w:lang w:val="en-GB"/>
              </w:rPr>
            </m:ctrlPr>
          </m:sSubPr>
          <m:e>
            <m:r>
              <w:rPr>
                <w:rFonts w:ascii="Cambria Math" w:hAnsi="Cambria Math"/>
                <w:lang w:val="en-GB"/>
              </w:rPr>
              <m:t>mRDI</m:t>
            </m:r>
          </m:e>
          <m:sub>
            <m:r>
              <w:rPr>
                <w:rFonts w:ascii="Cambria Math" w:hAnsi="Cambria Math"/>
                <w:lang w:val="en-GB"/>
              </w:rPr>
              <m:t>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γ*Controls</m:t>
            </m:r>
          </m:e>
          <m:sub>
            <m:r>
              <w:rPr>
                <w:rFonts w:ascii="Cambria Math" w:hAnsi="Cambria Math"/>
                <w:lang w:val="en-GB"/>
              </w:rPr>
              <m:t>it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ε</m:t>
            </m:r>
          </m:e>
          <m:sub>
            <m:r>
              <w:rPr>
                <w:rFonts w:ascii="Cambria Math" w:hAnsi="Cambria Math"/>
                <w:lang w:val="en-GB"/>
              </w:rPr>
              <m:t>it</m:t>
            </m:r>
          </m:sub>
        </m:sSub>
        <m:r>
          <w:rPr>
            <w:rFonts w:ascii="Cambria Math" w:hAnsi="Cambria Math"/>
            <w:lang w:val="en-GB"/>
          </w:rPr>
          <m:t>)</m:t>
        </m:r>
      </m:oMath>
      <w:r w:rsidRPr="007048BA">
        <w:rPr>
          <w:rFonts w:cs="Times New Roman"/>
          <w:lang w:val="en-GB"/>
        </w:rPr>
        <w:t xml:space="preserve">                   (</w:t>
      </w:r>
      <w:r w:rsidR="00613934" w:rsidRPr="007048BA">
        <w:rPr>
          <w:rFonts w:cs="Times New Roman"/>
          <w:lang w:val="en-GB"/>
        </w:rPr>
        <w:t>11</w:t>
      </w:r>
      <w:r w:rsidRPr="007048BA">
        <w:rPr>
          <w:rFonts w:cs="Times New Roman"/>
          <w:lang w:val="en-GB"/>
        </w:rPr>
        <w:t>)</w:t>
      </w:r>
    </w:p>
    <w:p w14:paraId="255737ED" w14:textId="7B2425D8" w:rsidR="00CA299A" w:rsidRPr="007048BA" w:rsidRDefault="00CA299A" w:rsidP="00CA299A">
      <w:pPr>
        <w:ind w:firstLine="720"/>
        <w:rPr>
          <w:rFonts w:cs="Times New Roman"/>
          <w:lang w:val="en-GB"/>
        </w:rPr>
      </w:pPr>
      <m:oMath>
        <m:r>
          <m:rPr>
            <m:sty m:val="p"/>
          </m:rPr>
          <w:rPr>
            <w:rFonts w:ascii="Cambria Math" w:hAnsi="Cambria Math"/>
            <w:lang w:val="en-GB"/>
          </w:rPr>
          <m:t>Pr⁡</m:t>
        </m:r>
        <m:r>
          <w:rPr>
            <w:rFonts w:ascii="Cambria Math" w:hAnsi="Cambria Math"/>
            <w:lang w:val="en-GB"/>
          </w:rPr>
          <m:t>[</m:t>
        </m:r>
        <m:sSub>
          <m:sSubPr>
            <m:ctrlPr>
              <w:rPr>
                <w:rFonts w:ascii="Cambria Math" w:hAnsi="Cambria Math"/>
                <w:i/>
                <w:lang w:val="en-GB"/>
              </w:rPr>
            </m:ctrlPr>
          </m:sSubPr>
          <m:e>
            <m:r>
              <w:rPr>
                <w:rFonts w:ascii="Cambria Math" w:hAnsi="Cambria Math"/>
                <w:lang w:val="en-GB"/>
              </w:rPr>
              <m:t>Hyperopia</m:t>
            </m:r>
          </m:e>
          <m:sub>
            <m:r>
              <w:rPr>
                <w:rFonts w:ascii="Cambria Math" w:hAnsi="Cambria Math"/>
                <w:lang w:val="en-GB"/>
              </w:rPr>
              <m:t>it</m:t>
            </m:r>
          </m:sub>
        </m:sSub>
        <m:r>
          <w:rPr>
            <w:rFonts w:ascii="Cambria Math" w:hAnsi="Cambria Math"/>
            <w:lang w:val="en-GB"/>
          </w:rPr>
          <m:t>=1]=F(α+β*</m:t>
        </m:r>
        <m:sSub>
          <m:sSubPr>
            <m:ctrlPr>
              <w:rPr>
                <w:rFonts w:ascii="Cambria Math" w:hAnsi="Cambria Math"/>
                <w:i/>
                <w:lang w:val="en-GB"/>
              </w:rPr>
            </m:ctrlPr>
          </m:sSubPr>
          <m:e>
            <m:r>
              <w:rPr>
                <w:rFonts w:ascii="Cambria Math" w:hAnsi="Cambria Math"/>
                <w:lang w:val="en-GB"/>
              </w:rPr>
              <m:t>mRDI</m:t>
            </m:r>
          </m:e>
          <m:sub>
            <m:r>
              <w:rPr>
                <w:rFonts w:ascii="Cambria Math" w:hAnsi="Cambria Math"/>
                <w:lang w:val="en-GB"/>
              </w:rPr>
              <m:t>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γ*Controls</m:t>
            </m:r>
          </m:e>
          <m:sub>
            <m:r>
              <w:rPr>
                <w:rFonts w:ascii="Cambria Math" w:hAnsi="Cambria Math"/>
                <w:lang w:val="en-GB"/>
              </w:rPr>
              <m:t>it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ε</m:t>
            </m:r>
          </m:e>
          <m:sub>
            <m:r>
              <w:rPr>
                <w:rFonts w:ascii="Cambria Math" w:hAnsi="Cambria Math"/>
                <w:lang w:val="en-GB"/>
              </w:rPr>
              <m:t>it</m:t>
            </m:r>
          </m:sub>
        </m:sSub>
        <m:r>
          <w:rPr>
            <w:rFonts w:ascii="Cambria Math" w:hAnsi="Cambria Math"/>
            <w:lang w:val="en-GB"/>
          </w:rPr>
          <m:t>)</m:t>
        </m:r>
      </m:oMath>
      <w:r w:rsidRPr="007048BA">
        <w:rPr>
          <w:rFonts w:cs="Times New Roman"/>
          <w:lang w:val="en-GB"/>
        </w:rPr>
        <w:t xml:space="preserve">               (</w:t>
      </w:r>
      <w:r w:rsidR="00613934" w:rsidRPr="007048BA">
        <w:rPr>
          <w:rFonts w:cs="Times New Roman"/>
          <w:lang w:val="en-GB"/>
        </w:rPr>
        <w:t>12</w:t>
      </w:r>
      <w:r w:rsidRPr="007048BA">
        <w:rPr>
          <w:rFonts w:cs="Times New Roman"/>
          <w:lang w:val="en-GB"/>
        </w:rPr>
        <w:t>)</w:t>
      </w:r>
    </w:p>
    <w:p w14:paraId="62533E28" w14:textId="60FDA6C1" w:rsidR="00CA299A" w:rsidRPr="007048BA" w:rsidRDefault="00CA299A" w:rsidP="00CA299A">
      <w:pPr>
        <w:ind w:firstLine="0"/>
        <w:rPr>
          <w:rFonts w:cs="Times New Roman"/>
          <w:lang w:val="en-GB"/>
        </w:rPr>
      </w:pPr>
      <w:r w:rsidRPr="007048BA">
        <w:rPr>
          <w:rFonts w:cs="Times New Roman"/>
          <w:lang w:val="en-GB"/>
        </w:rPr>
        <w:t xml:space="preserve">In the second stage we use predicted values for our key performance </w:t>
      </w:r>
      <w:r w:rsidR="006B3320" w:rsidRPr="007048BA">
        <w:rPr>
          <w:rFonts w:cs="Times New Roman"/>
          <w:lang w:val="en-GB"/>
        </w:rPr>
        <w:t>attributes</w:t>
      </w:r>
      <w:r w:rsidRPr="007048BA">
        <w:rPr>
          <w:rFonts w:cs="Times New Roman"/>
          <w:lang w:val="en-GB"/>
        </w:rPr>
        <w:t xml:space="preserve"> (i.e., </w:t>
      </w:r>
      <m:oMath>
        <m:acc>
          <m:accPr>
            <m:ctrlPr>
              <w:rPr>
                <w:rFonts w:ascii="Cambria Math" w:hAnsi="Cambria Math" w:cs="Times New Roman"/>
                <w:i/>
                <w:lang w:val="en-GB"/>
              </w:rPr>
            </m:ctrlPr>
          </m:accPr>
          <m:e>
            <m:r>
              <w:rPr>
                <w:rFonts w:ascii="Cambria Math" w:hAnsi="Cambria Math" w:cs="Times New Roman"/>
                <w:lang w:val="en-GB"/>
              </w:rPr>
              <m:t>myopia</m:t>
            </m:r>
          </m:e>
        </m:acc>
        <m:r>
          <w:rPr>
            <w:rFonts w:ascii="Cambria Math" w:hAnsi="Cambria Math" w:cs="Times New Roman"/>
            <w:lang w:val="en-GB"/>
          </w:rPr>
          <m:t xml:space="preserve"> </m:t>
        </m:r>
      </m:oMath>
      <w:r w:rsidRPr="007048BA">
        <w:rPr>
          <w:rFonts w:cs="Times New Roman"/>
          <w:lang w:val="en-GB"/>
        </w:rPr>
        <w:t xml:space="preserve">and </w:t>
      </w:r>
      <m:oMath>
        <m:acc>
          <m:accPr>
            <m:ctrlPr>
              <w:rPr>
                <w:rFonts w:ascii="Cambria Math" w:hAnsi="Cambria Math" w:cs="Times New Roman"/>
                <w:i/>
                <w:lang w:val="en-GB"/>
              </w:rPr>
            </m:ctrlPr>
          </m:accPr>
          <m:e>
            <m:r>
              <w:rPr>
                <w:rFonts w:ascii="Cambria Math" w:hAnsi="Cambria Math" w:cs="Times New Roman"/>
                <w:lang w:val="en-GB"/>
              </w:rPr>
              <m:t>hyperopia</m:t>
            </m:r>
          </m:e>
        </m:acc>
      </m:oMath>
      <w:r w:rsidRPr="007048BA">
        <w:rPr>
          <w:rFonts w:cs="Times New Roman"/>
          <w:lang w:val="en-GB"/>
        </w:rPr>
        <w:t>) to rerun equation (</w:t>
      </w:r>
      <w:r w:rsidR="00873F37" w:rsidRPr="007048BA">
        <w:rPr>
          <w:rFonts w:cs="Times New Roman"/>
          <w:lang w:val="en-GB"/>
        </w:rPr>
        <w:t>10</w:t>
      </w:r>
      <w:r w:rsidRPr="007048BA">
        <w:rPr>
          <w:rFonts w:cs="Times New Roman"/>
          <w:lang w:val="en-GB"/>
        </w:rPr>
        <w:t>).</w:t>
      </w:r>
    </w:p>
    <w:p w14:paraId="2E848123" w14:textId="77777777" w:rsidR="00CA299A" w:rsidRPr="007048BA" w:rsidRDefault="00CA299A" w:rsidP="00CA299A">
      <w:pPr>
        <w:pStyle w:val="Heading2"/>
        <w:ind w:left="805" w:hanging="805"/>
        <w:rPr>
          <w:lang w:val="en-GB"/>
        </w:rPr>
      </w:pPr>
      <w:r w:rsidRPr="007048BA">
        <w:rPr>
          <w:lang w:val="en-GB"/>
        </w:rPr>
        <w:t>3.4</w:t>
      </w:r>
      <w:r w:rsidRPr="007048BA">
        <w:rPr>
          <w:lang w:val="en-GB"/>
        </w:rPr>
        <w:tab/>
        <w:t>Data and sample</w:t>
      </w:r>
    </w:p>
    <w:p w14:paraId="2C5AF82E" w14:textId="33117889" w:rsidR="00CA299A" w:rsidRPr="007048BA" w:rsidRDefault="00CA299A" w:rsidP="00CA299A">
      <w:pPr>
        <w:ind w:firstLine="720"/>
        <w:rPr>
          <w:rFonts w:cs="Times New Roman"/>
          <w:lang w:val="en-GB"/>
        </w:rPr>
      </w:pPr>
      <w:r w:rsidRPr="007048BA">
        <w:rPr>
          <w:rFonts w:cs="Times New Roman"/>
          <w:lang w:val="en-GB"/>
        </w:rPr>
        <w:t xml:space="preserve">Our sample consists of </w:t>
      </w:r>
      <w:r w:rsidR="00C828E4" w:rsidRPr="007048BA">
        <w:rPr>
          <w:rFonts w:cs="Times New Roman"/>
          <w:lang w:val="en-GB"/>
        </w:rPr>
        <w:t>3,522</w:t>
      </w:r>
      <w:r w:rsidRPr="007048BA">
        <w:rPr>
          <w:rFonts w:cs="Times New Roman"/>
          <w:lang w:val="en-GB"/>
        </w:rPr>
        <w:t xml:space="preserve"> firms listed on the London Stock Exchange between 1988 and 201</w:t>
      </w:r>
      <w:r w:rsidR="00C828E4" w:rsidRPr="007048BA">
        <w:rPr>
          <w:rFonts w:cs="Times New Roman"/>
          <w:lang w:val="en-GB"/>
        </w:rPr>
        <w:t>7</w:t>
      </w:r>
      <w:r w:rsidRPr="007048BA">
        <w:rPr>
          <w:rFonts w:cs="Times New Roman"/>
          <w:lang w:val="en-GB"/>
        </w:rPr>
        <w:t>. To mitigate survivorship bias, all live and dead firms are included. However, financial firms (i.e., firms with SIC code 60-69) are excluded as they follow unique reporting practices</w:t>
      </w:r>
      <w:r w:rsidR="00081C67" w:rsidRPr="007048BA">
        <w:rPr>
          <w:rFonts w:cs="Times New Roman"/>
          <w:lang w:val="en-GB"/>
        </w:rPr>
        <w:t xml:space="preserve"> (Botsari and Meeks, 2008)</w:t>
      </w:r>
      <w:r w:rsidRPr="007048BA">
        <w:rPr>
          <w:rFonts w:cs="Times New Roman"/>
          <w:lang w:val="en-GB"/>
        </w:rPr>
        <w:t xml:space="preserve">. Firm financial information is obtained from </w:t>
      </w:r>
      <w:r w:rsidR="00081C67" w:rsidRPr="007048BA">
        <w:rPr>
          <w:rFonts w:cs="Times New Roman"/>
          <w:lang w:val="en-GB"/>
        </w:rPr>
        <w:t xml:space="preserve">Thomson </w:t>
      </w:r>
      <w:r w:rsidRPr="007048BA">
        <w:rPr>
          <w:rFonts w:cs="Times New Roman"/>
          <w:lang w:val="en-GB"/>
        </w:rPr>
        <w:t>DataStream. Firm-year observations with insufficient financial information (i.e., no total assets reported) are excluded from further analysis. This generates an unbalanced panel of 3</w:t>
      </w:r>
      <w:r w:rsidR="00C828E4" w:rsidRPr="007048BA">
        <w:rPr>
          <w:rFonts w:cs="Times New Roman"/>
          <w:lang w:val="en-GB"/>
        </w:rPr>
        <w:t>9</w:t>
      </w:r>
      <w:r w:rsidRPr="007048BA">
        <w:rPr>
          <w:rFonts w:cs="Times New Roman"/>
          <w:lang w:val="en-GB"/>
        </w:rPr>
        <w:t>,</w:t>
      </w:r>
      <w:r w:rsidR="00C828E4" w:rsidRPr="007048BA">
        <w:rPr>
          <w:rFonts w:cs="Times New Roman"/>
          <w:lang w:val="en-GB"/>
        </w:rPr>
        <w:t>723</w:t>
      </w:r>
      <w:r w:rsidRPr="007048BA">
        <w:rPr>
          <w:rFonts w:cs="Times New Roman"/>
          <w:lang w:val="en-GB"/>
        </w:rPr>
        <w:t xml:space="preserve"> firm-year observations. Notice that only 2</w:t>
      </w:r>
      <w:r w:rsidR="00C828E4" w:rsidRPr="007048BA">
        <w:rPr>
          <w:rFonts w:cs="Times New Roman"/>
          <w:lang w:val="en-GB"/>
        </w:rPr>
        <w:t>9</w:t>
      </w:r>
      <w:r w:rsidRPr="007048BA">
        <w:rPr>
          <w:rFonts w:cs="Times New Roman"/>
          <w:lang w:val="en-GB"/>
        </w:rPr>
        <w:t>.</w:t>
      </w:r>
      <w:r w:rsidR="00C828E4" w:rsidRPr="007048BA">
        <w:rPr>
          <w:rFonts w:cs="Times New Roman"/>
          <w:lang w:val="en-GB"/>
        </w:rPr>
        <w:t>9</w:t>
      </w:r>
      <w:r w:rsidRPr="007048BA">
        <w:rPr>
          <w:rFonts w:cs="Times New Roman"/>
          <w:lang w:val="en-GB"/>
        </w:rPr>
        <w:t xml:space="preserve">5 percent of firm-year observations report R&amp;D expenditures. This suggests that the use of R&amp;D in empirical analysis (e.g., as a proxy for </w:t>
      </w:r>
      <w:r w:rsidR="00ED262D" w:rsidRPr="007048BA">
        <w:rPr>
          <w:rFonts w:cs="Times New Roman"/>
          <w:i/>
          <w:lang w:val="en-GB"/>
        </w:rPr>
        <w:t>myopia</w:t>
      </w:r>
      <w:r w:rsidRPr="007048BA">
        <w:rPr>
          <w:rFonts w:cs="Times New Roman"/>
          <w:lang w:val="en-GB"/>
        </w:rPr>
        <w:t>) results in a significant reduction in the usable sample.</w:t>
      </w:r>
    </w:p>
    <w:p w14:paraId="5F1BA98A" w14:textId="77777777" w:rsidR="00CA299A" w:rsidRPr="007048BA" w:rsidRDefault="00CA299A" w:rsidP="00CA299A">
      <w:pPr>
        <w:ind w:firstLine="720"/>
        <w:jc w:val="center"/>
        <w:rPr>
          <w:rFonts w:cs="Times New Roman"/>
          <w:b/>
          <w:lang w:val="en-GB"/>
        </w:rPr>
      </w:pPr>
      <w:r w:rsidRPr="007048BA">
        <w:rPr>
          <w:rFonts w:cs="Times New Roman"/>
          <w:b/>
          <w:lang w:val="en-GB"/>
        </w:rPr>
        <w:t xml:space="preserve">[Insert Table 1 about here] </w:t>
      </w:r>
    </w:p>
    <w:p w14:paraId="20205B8B" w14:textId="1B2BC507" w:rsidR="00CA299A" w:rsidRPr="007048BA" w:rsidRDefault="00CA299A" w:rsidP="00CA299A">
      <w:pPr>
        <w:ind w:firstLine="720"/>
        <w:rPr>
          <w:rFonts w:cs="Times New Roman"/>
          <w:lang w:val="en-GB"/>
        </w:rPr>
      </w:pPr>
      <w:r w:rsidRPr="007048BA">
        <w:rPr>
          <w:rFonts w:cs="Times New Roman"/>
          <w:lang w:val="en-GB"/>
        </w:rPr>
        <w:t>Data for 3,</w:t>
      </w:r>
      <w:r w:rsidR="00BC171A" w:rsidRPr="007048BA">
        <w:rPr>
          <w:rFonts w:cs="Times New Roman"/>
          <w:lang w:val="en-GB"/>
        </w:rPr>
        <w:t>342</w:t>
      </w:r>
      <w:r w:rsidRPr="007048BA">
        <w:rPr>
          <w:rFonts w:cs="Times New Roman"/>
          <w:lang w:val="en-GB"/>
        </w:rPr>
        <w:t xml:space="preserve"> M&amp;A announcements (and their deal characteristics) for UK listed takeover targets for the sample period is obtained from Thomson One. We also obtain data on deal characteristics, including the method of payment (cash versus stock), origin of the bidder (domestic versus cross-border), acquisition motive (control versus stake), bid outcome (successful versus failed) and bid attitude (hostile versus friendly). DataStream codes are used to link the two databases, whilst using the June approach (Soares and Stark, 2009) to maintain appropriate lags in the model (i.e., takeover probability in the current period is a function of firm characteristics in the previous period). The June approach recognises that although most </w:t>
      </w:r>
      <w:r w:rsidRPr="007048BA">
        <w:rPr>
          <w:rFonts w:cs="Times New Roman"/>
          <w:lang w:val="en-GB"/>
        </w:rPr>
        <w:lastRenderedPageBreak/>
        <w:t xml:space="preserve">UK firms have a December year end, their financial data (which bidders are assumed to use in their acquisition decisions) is only published several (up to six) months later. In our main analyses, we focus on bids that, if </w:t>
      </w:r>
      <w:r w:rsidR="00B92219" w:rsidRPr="007048BA">
        <w:rPr>
          <w:rFonts w:cs="Times New Roman"/>
          <w:lang w:val="en-GB"/>
        </w:rPr>
        <w:t>successful</w:t>
      </w:r>
      <w:r w:rsidRPr="007048BA">
        <w:rPr>
          <w:rFonts w:cs="Times New Roman"/>
          <w:lang w:val="en-GB"/>
        </w:rPr>
        <w:t>, will give the bidder control (i.e., more than 50 percent shareholding) of the target.</w:t>
      </w:r>
    </w:p>
    <w:p w14:paraId="1464B732" w14:textId="77777777" w:rsidR="00CA299A" w:rsidRPr="007048BA" w:rsidRDefault="00CA299A" w:rsidP="00CA299A">
      <w:pPr>
        <w:pStyle w:val="Heading1"/>
        <w:keepNext w:val="0"/>
        <w:keepLines w:val="0"/>
        <w:numPr>
          <w:ilvl w:val="0"/>
          <w:numId w:val="7"/>
        </w:numPr>
        <w:autoSpaceDE w:val="0"/>
        <w:autoSpaceDN w:val="0"/>
        <w:adjustRightInd w:val="0"/>
        <w:spacing w:after="200" w:line="240" w:lineRule="auto"/>
        <w:ind w:left="544" w:hanging="544"/>
        <w:contextualSpacing/>
        <w:rPr>
          <w:lang w:val="en-GB"/>
        </w:rPr>
      </w:pPr>
      <w:r w:rsidRPr="007048BA">
        <w:rPr>
          <w:lang w:val="en-GB"/>
        </w:rPr>
        <w:t>Results and discussions</w:t>
      </w:r>
    </w:p>
    <w:p w14:paraId="76D4A884" w14:textId="77777777" w:rsidR="00CA299A" w:rsidRPr="007048BA" w:rsidRDefault="00CA299A" w:rsidP="00CA299A">
      <w:pPr>
        <w:pStyle w:val="Heading2"/>
        <w:keepNext w:val="0"/>
        <w:keepLines w:val="0"/>
        <w:numPr>
          <w:ilvl w:val="1"/>
          <w:numId w:val="7"/>
        </w:numPr>
        <w:autoSpaceDE w:val="0"/>
        <w:autoSpaceDN w:val="0"/>
        <w:adjustRightInd w:val="0"/>
        <w:spacing w:before="240" w:after="120" w:line="240" w:lineRule="auto"/>
        <w:ind w:left="805" w:hanging="805"/>
        <w:contextualSpacing/>
        <w:rPr>
          <w:lang w:val="en-GB"/>
        </w:rPr>
      </w:pPr>
      <w:r w:rsidRPr="007048BA">
        <w:rPr>
          <w:lang w:val="en-GB"/>
        </w:rPr>
        <w:t xml:space="preserve">Descriptive statistics </w:t>
      </w:r>
    </w:p>
    <w:p w14:paraId="5751C85D" w14:textId="06885660" w:rsidR="00CA299A" w:rsidRPr="007048BA" w:rsidRDefault="00CA299A" w:rsidP="00CA299A">
      <w:pPr>
        <w:ind w:firstLine="720"/>
        <w:rPr>
          <w:rFonts w:cs="Times New Roman"/>
          <w:lang w:val="en-GB"/>
        </w:rPr>
      </w:pPr>
      <w:r w:rsidRPr="007048BA">
        <w:rPr>
          <w:rFonts w:cs="Times New Roman"/>
          <w:lang w:val="en-GB"/>
        </w:rPr>
        <w:t>Table 1 presents descriptive statistics for variables used in the study.</w:t>
      </w:r>
      <w:r w:rsidR="00482274" w:rsidRPr="007048BA">
        <w:rPr>
          <w:rStyle w:val="FootnoteReference"/>
          <w:rFonts w:cs="Times New Roman"/>
          <w:lang w:val="en-GB"/>
        </w:rPr>
        <w:footnoteReference w:id="8"/>
      </w:r>
      <w:r w:rsidRPr="007048BA">
        <w:rPr>
          <w:rFonts w:cs="Times New Roman"/>
          <w:lang w:val="en-GB"/>
        </w:rPr>
        <w:t xml:space="preserve"> The mean </w:t>
      </w:r>
      <w:r w:rsidRPr="007048BA">
        <w:rPr>
          <w:rFonts w:cs="Times New Roman"/>
          <w:i/>
          <w:iCs/>
          <w:lang w:val="en-GB"/>
        </w:rPr>
        <w:t>ROCE</w:t>
      </w:r>
      <w:r w:rsidRPr="007048BA">
        <w:rPr>
          <w:rFonts w:cs="Times New Roman"/>
          <w:lang w:val="en-GB"/>
        </w:rPr>
        <w:t xml:space="preserve"> and </w:t>
      </w:r>
      <w:r w:rsidRPr="007048BA">
        <w:rPr>
          <w:rFonts w:cs="Times New Roman"/>
          <w:i/>
          <w:iCs/>
          <w:lang w:val="en-GB"/>
        </w:rPr>
        <w:t>AAR</w:t>
      </w:r>
      <w:r w:rsidRPr="007048BA">
        <w:rPr>
          <w:rFonts w:cs="Times New Roman"/>
          <w:lang w:val="en-GB"/>
        </w:rPr>
        <w:t xml:space="preserve"> for the sample are </w:t>
      </w:r>
      <w:r w:rsidR="00A55E64" w:rsidRPr="007048BA">
        <w:rPr>
          <w:rFonts w:cs="Times New Roman"/>
          <w:lang w:val="en-GB"/>
        </w:rPr>
        <w:t>3.3</w:t>
      </w:r>
      <w:r w:rsidRPr="007048BA">
        <w:rPr>
          <w:rFonts w:cs="Times New Roman"/>
          <w:lang w:val="en-GB"/>
        </w:rPr>
        <w:t xml:space="preserve"> percent and 0 percent, respectively. The results for </w:t>
      </w:r>
      <w:r w:rsidRPr="007048BA">
        <w:rPr>
          <w:rFonts w:cs="Times New Roman"/>
          <w:i/>
          <w:iCs/>
          <w:lang w:val="en-GB"/>
        </w:rPr>
        <w:t>ROCE</w:t>
      </w:r>
      <w:r w:rsidRPr="007048BA">
        <w:rPr>
          <w:rFonts w:cs="Times New Roman"/>
          <w:lang w:val="en-GB"/>
        </w:rPr>
        <w:t xml:space="preserve"> are arguably low, perhaps, because </w:t>
      </w:r>
      <w:r w:rsidRPr="007048BA">
        <w:rPr>
          <w:rFonts w:cs="Times New Roman"/>
          <w:i/>
          <w:lang w:val="en-GB"/>
        </w:rPr>
        <w:t>ROCE</w:t>
      </w:r>
      <w:r w:rsidRPr="007048BA">
        <w:rPr>
          <w:rFonts w:cs="Times New Roman"/>
          <w:lang w:val="en-GB"/>
        </w:rPr>
        <w:t xml:space="preserve"> is negatively skewed. The median </w:t>
      </w:r>
      <w:r w:rsidRPr="007048BA">
        <w:rPr>
          <w:rFonts w:cs="Times New Roman"/>
          <w:i/>
          <w:lang w:val="en-GB"/>
        </w:rPr>
        <w:t>ROCE</w:t>
      </w:r>
      <w:r w:rsidRPr="007048BA">
        <w:rPr>
          <w:rFonts w:cs="Times New Roman"/>
          <w:lang w:val="en-GB"/>
        </w:rPr>
        <w:t xml:space="preserve"> for UK firms between 1988 and 20</w:t>
      </w:r>
      <w:r w:rsidR="00A55E64" w:rsidRPr="007048BA">
        <w:rPr>
          <w:rFonts w:cs="Times New Roman"/>
          <w:lang w:val="en-GB"/>
        </w:rPr>
        <w:t>17 is a more realistic 10</w:t>
      </w:r>
      <w:r w:rsidRPr="007048BA">
        <w:rPr>
          <w:rFonts w:cs="Times New Roman"/>
          <w:lang w:val="en-GB"/>
        </w:rPr>
        <w:t xml:space="preserve">.8 percent. In untabulated results, we find that the correlation coefficient between </w:t>
      </w:r>
      <w:r w:rsidRPr="007048BA">
        <w:rPr>
          <w:rFonts w:cs="Times New Roman"/>
          <w:i/>
          <w:iCs/>
          <w:lang w:val="en-GB"/>
        </w:rPr>
        <w:t>ROCE</w:t>
      </w:r>
      <w:r w:rsidRPr="007048BA">
        <w:rPr>
          <w:rFonts w:cs="Times New Roman"/>
          <w:lang w:val="en-GB"/>
        </w:rPr>
        <w:t xml:space="preserve"> and </w:t>
      </w:r>
      <w:r w:rsidRPr="007048BA">
        <w:rPr>
          <w:rFonts w:cs="Times New Roman"/>
          <w:i/>
          <w:iCs/>
          <w:lang w:val="en-GB"/>
        </w:rPr>
        <w:t>AAR</w:t>
      </w:r>
      <w:r w:rsidRPr="007048BA">
        <w:rPr>
          <w:rFonts w:cs="Times New Roman"/>
          <w:lang w:val="en-GB"/>
        </w:rPr>
        <w:t xml:space="preserve"> is </w:t>
      </w:r>
      <w:r w:rsidR="00A55E64" w:rsidRPr="007048BA">
        <w:rPr>
          <w:color w:val="000000" w:themeColor="text1"/>
          <w:lang w:val="en-GB"/>
        </w:rPr>
        <w:t>-0.05</w:t>
      </w:r>
      <w:r w:rsidR="00A55E64" w:rsidRPr="007048BA">
        <w:rPr>
          <w:rFonts w:cs="Times New Roman"/>
          <w:color w:val="000000" w:themeColor="text1"/>
          <w:lang w:val="en-GB"/>
        </w:rPr>
        <w:t xml:space="preserve"> </w:t>
      </w:r>
      <w:r w:rsidRPr="007048BA">
        <w:rPr>
          <w:rFonts w:cs="Times New Roman"/>
          <w:color w:val="000000" w:themeColor="text1"/>
          <w:lang w:val="en-GB"/>
        </w:rPr>
        <w:t>(</w:t>
      </w:r>
      <w:r w:rsidR="00D44A7E" w:rsidRPr="007048BA">
        <w:rPr>
          <w:rFonts w:cs="Times New Roman"/>
          <w:i/>
          <w:iCs/>
          <w:lang w:val="en-GB"/>
        </w:rPr>
        <w:t>p-value</w:t>
      </w:r>
      <w:r w:rsidRPr="007048BA">
        <w:rPr>
          <w:rFonts w:cs="Times New Roman"/>
          <w:lang w:val="en-GB"/>
        </w:rPr>
        <w:t xml:space="preserve"> of 0.000). While the </w:t>
      </w:r>
      <w:r w:rsidR="00D44A7E" w:rsidRPr="007048BA">
        <w:rPr>
          <w:rFonts w:cs="Times New Roman"/>
          <w:i/>
          <w:iCs/>
          <w:lang w:val="en-GB"/>
        </w:rPr>
        <w:t>p-value</w:t>
      </w:r>
      <w:r w:rsidRPr="007048BA">
        <w:rPr>
          <w:rFonts w:cs="Times New Roman"/>
          <w:lang w:val="en-GB"/>
        </w:rPr>
        <w:t xml:space="preserve"> is significant at the 1 percent level, the magnitude of the coefficient is small, indicating a low possibility of multicollinearity. The low correlation coefficient between </w:t>
      </w:r>
      <w:r w:rsidRPr="007048BA">
        <w:rPr>
          <w:rFonts w:cs="Times New Roman"/>
          <w:i/>
          <w:iCs/>
          <w:lang w:val="en-GB"/>
        </w:rPr>
        <w:t>ROCE</w:t>
      </w:r>
      <w:r w:rsidRPr="007048BA">
        <w:rPr>
          <w:rFonts w:cs="Times New Roman"/>
          <w:lang w:val="en-GB"/>
        </w:rPr>
        <w:t xml:space="preserve"> and </w:t>
      </w:r>
      <w:r w:rsidRPr="007048BA">
        <w:rPr>
          <w:rFonts w:cs="Times New Roman"/>
          <w:i/>
          <w:iCs/>
          <w:lang w:val="en-GB"/>
        </w:rPr>
        <w:t>AAR</w:t>
      </w:r>
      <w:r w:rsidRPr="007048BA">
        <w:rPr>
          <w:rFonts w:cs="Times New Roman"/>
          <w:lang w:val="en-GB"/>
        </w:rPr>
        <w:t xml:space="preserve"> supports our view that the two measures provide different types of performance-related information</w:t>
      </w:r>
      <w:r w:rsidR="00984D02" w:rsidRPr="007048BA">
        <w:rPr>
          <w:rFonts w:cs="Times New Roman"/>
          <w:lang w:val="en-GB"/>
        </w:rPr>
        <w:t xml:space="preserve"> and are, hence, complements rather than substitutes</w:t>
      </w:r>
      <w:r w:rsidRPr="007048BA">
        <w:rPr>
          <w:rFonts w:cs="Times New Roman"/>
          <w:lang w:val="en-GB"/>
        </w:rPr>
        <w:t xml:space="preserve">. </w:t>
      </w:r>
    </w:p>
    <w:p w14:paraId="14FE5F86" w14:textId="77777777" w:rsidR="00CA299A" w:rsidRPr="007048BA" w:rsidRDefault="00CA299A" w:rsidP="00CA299A">
      <w:pPr>
        <w:ind w:firstLine="720"/>
        <w:jc w:val="center"/>
        <w:rPr>
          <w:rFonts w:cs="Times New Roman"/>
          <w:b/>
          <w:lang w:val="en-GB"/>
        </w:rPr>
      </w:pPr>
      <w:r w:rsidRPr="007048BA">
        <w:rPr>
          <w:rFonts w:cs="Times New Roman"/>
          <w:b/>
          <w:lang w:val="en-GB"/>
        </w:rPr>
        <w:t>[Insert Table 2 about here]</w:t>
      </w:r>
    </w:p>
    <w:p w14:paraId="7FD9E8EB" w14:textId="7EE03FF6" w:rsidR="00CA299A" w:rsidRPr="007048BA" w:rsidRDefault="00CA299A" w:rsidP="00CA299A">
      <w:pPr>
        <w:ind w:firstLine="720"/>
        <w:rPr>
          <w:rFonts w:cs="Times New Roman"/>
          <w:lang w:val="en-GB"/>
        </w:rPr>
      </w:pPr>
      <w:r w:rsidRPr="007048BA">
        <w:rPr>
          <w:rFonts w:cs="Times New Roman"/>
          <w:lang w:val="en-GB"/>
        </w:rPr>
        <w:t xml:space="preserve">In Table 2, we group the firms in our sample under the proposed four </w:t>
      </w:r>
      <w:r w:rsidR="006B3320" w:rsidRPr="007048BA">
        <w:rPr>
          <w:rFonts w:cs="Times New Roman"/>
          <w:lang w:val="en-GB"/>
        </w:rPr>
        <w:t>attributes</w:t>
      </w:r>
      <w:r w:rsidRPr="007048BA">
        <w:rPr>
          <w:rFonts w:cs="Times New Roman"/>
          <w:lang w:val="en-GB"/>
        </w:rPr>
        <w:t xml:space="preserve">. Over </w:t>
      </w:r>
      <w:r w:rsidR="00F549BE" w:rsidRPr="007048BA">
        <w:rPr>
          <w:rFonts w:cs="Times New Roman"/>
          <w:lang w:val="en-GB"/>
        </w:rPr>
        <w:t>39.31</w:t>
      </w:r>
      <w:r w:rsidRPr="007048BA">
        <w:rPr>
          <w:rFonts w:cs="Times New Roman"/>
          <w:lang w:val="en-GB"/>
        </w:rPr>
        <w:t xml:space="preserve"> percent of the firm-year observations in the sample are classified as having </w:t>
      </w:r>
      <w:r w:rsidR="00ED262D" w:rsidRPr="007048BA">
        <w:rPr>
          <w:rFonts w:cs="Times New Roman"/>
          <w:i/>
          <w:lang w:val="en-GB"/>
        </w:rPr>
        <w:t>efficient</w:t>
      </w:r>
      <w:r w:rsidRPr="007048BA">
        <w:rPr>
          <w:rFonts w:cs="Times New Roman"/>
          <w:lang w:val="en-GB"/>
        </w:rPr>
        <w:t xml:space="preserve"> management teams and only </w:t>
      </w:r>
      <w:r w:rsidR="00F549BE" w:rsidRPr="007048BA">
        <w:rPr>
          <w:rFonts w:cs="Times New Roman"/>
          <w:lang w:val="en-GB"/>
        </w:rPr>
        <w:t>15.14</w:t>
      </w:r>
      <w:r w:rsidRPr="007048BA">
        <w:rPr>
          <w:rFonts w:cs="Times New Roman"/>
          <w:lang w:val="en-GB"/>
        </w:rPr>
        <w:t xml:space="preserve"> percent are classified as having </w:t>
      </w:r>
      <w:r w:rsidR="00ED262D" w:rsidRPr="007048BA">
        <w:rPr>
          <w:rFonts w:cs="Times New Roman"/>
          <w:i/>
          <w:lang w:val="en-GB"/>
        </w:rPr>
        <w:t>poor</w:t>
      </w:r>
      <w:r w:rsidRPr="007048BA">
        <w:rPr>
          <w:rFonts w:cs="Times New Roman"/>
          <w:lang w:val="en-GB"/>
        </w:rPr>
        <w:t xml:space="preserve"> management teams. This suggests that </w:t>
      </w:r>
      <w:r w:rsidR="00F549BE" w:rsidRPr="007048BA">
        <w:rPr>
          <w:rFonts w:cs="Times New Roman"/>
          <w:lang w:val="en-GB"/>
        </w:rPr>
        <w:t>45.73</w:t>
      </w:r>
      <w:r w:rsidRPr="007048BA">
        <w:rPr>
          <w:rFonts w:cs="Times New Roman"/>
          <w:lang w:val="en-GB"/>
        </w:rPr>
        <w:t xml:space="preserve"> percent of firms </w:t>
      </w:r>
      <w:r w:rsidR="00B92219" w:rsidRPr="007048BA">
        <w:rPr>
          <w:rFonts w:cs="Times New Roman"/>
          <w:lang w:val="en-GB"/>
        </w:rPr>
        <w:t>cannot</w:t>
      </w:r>
      <w:r w:rsidRPr="007048BA">
        <w:rPr>
          <w:rFonts w:cs="Times New Roman"/>
          <w:lang w:val="en-GB"/>
        </w:rPr>
        <w:t xml:space="preserve"> be clearly identified as having either efficient or inefficient management teams. Our framework allows us to </w:t>
      </w:r>
      <w:r w:rsidR="00B92219" w:rsidRPr="007048BA">
        <w:rPr>
          <w:rFonts w:cs="Times New Roman"/>
          <w:lang w:val="en-GB"/>
        </w:rPr>
        <w:t>classify</w:t>
      </w:r>
      <w:r w:rsidRPr="007048BA">
        <w:rPr>
          <w:rFonts w:cs="Times New Roman"/>
          <w:lang w:val="en-GB"/>
        </w:rPr>
        <w:t xml:space="preserve"> these under two categories; </w:t>
      </w:r>
      <w:r w:rsidR="00ED262D" w:rsidRPr="007048BA">
        <w:rPr>
          <w:rFonts w:cs="Times New Roman"/>
          <w:i/>
          <w:lang w:val="en-GB"/>
        </w:rPr>
        <w:t>myopia</w:t>
      </w:r>
      <w:r w:rsidRPr="007048BA">
        <w:rPr>
          <w:rFonts w:cs="Times New Roman"/>
          <w:i/>
          <w:lang w:val="en-GB"/>
        </w:rPr>
        <w:t xml:space="preserve"> </w:t>
      </w:r>
      <w:r w:rsidRPr="007048BA">
        <w:rPr>
          <w:rFonts w:cs="Times New Roman"/>
          <w:lang w:val="en-GB"/>
        </w:rPr>
        <w:t>(</w:t>
      </w:r>
      <w:r w:rsidR="00F549BE" w:rsidRPr="007048BA">
        <w:rPr>
          <w:rFonts w:cs="Times New Roman"/>
          <w:lang w:val="en-GB"/>
        </w:rPr>
        <w:t>26.09</w:t>
      </w:r>
      <w:r w:rsidRPr="007048BA">
        <w:rPr>
          <w:rFonts w:cs="Times New Roman"/>
          <w:lang w:val="en-GB"/>
        </w:rPr>
        <w:t xml:space="preserve"> percent of observations) and </w:t>
      </w:r>
      <w:r w:rsidR="00ED262D" w:rsidRPr="007048BA">
        <w:rPr>
          <w:rFonts w:cs="Times New Roman"/>
          <w:i/>
          <w:lang w:val="en-GB"/>
        </w:rPr>
        <w:t>hyperopia</w:t>
      </w:r>
      <w:r w:rsidRPr="007048BA">
        <w:rPr>
          <w:rFonts w:cs="Times New Roman"/>
          <w:lang w:val="en-GB"/>
        </w:rPr>
        <w:t xml:space="preserve"> (</w:t>
      </w:r>
      <w:r w:rsidR="00F549BE" w:rsidRPr="007048BA">
        <w:rPr>
          <w:rFonts w:cs="Times New Roman"/>
          <w:lang w:val="en-GB"/>
        </w:rPr>
        <w:t>19.46</w:t>
      </w:r>
      <w:r w:rsidRPr="007048BA">
        <w:rPr>
          <w:rFonts w:cs="Times New Roman"/>
          <w:lang w:val="en-GB"/>
        </w:rPr>
        <w:t xml:space="preserve"> percent of observations). </w:t>
      </w:r>
    </w:p>
    <w:p w14:paraId="65C98710" w14:textId="23DF5AE8" w:rsidR="00CA299A" w:rsidRPr="007048BA" w:rsidRDefault="00DD7B1E" w:rsidP="00CA299A">
      <w:pPr>
        <w:pStyle w:val="Heading2"/>
        <w:keepNext w:val="0"/>
        <w:keepLines w:val="0"/>
        <w:numPr>
          <w:ilvl w:val="1"/>
          <w:numId w:val="7"/>
        </w:numPr>
        <w:autoSpaceDE w:val="0"/>
        <w:autoSpaceDN w:val="0"/>
        <w:adjustRightInd w:val="0"/>
        <w:spacing w:before="240" w:after="120" w:line="240" w:lineRule="auto"/>
        <w:ind w:left="805" w:hanging="805"/>
        <w:contextualSpacing/>
        <w:rPr>
          <w:lang w:val="en-GB"/>
        </w:rPr>
      </w:pPr>
      <w:r w:rsidRPr="007048BA">
        <w:rPr>
          <w:lang w:val="en-GB"/>
        </w:rPr>
        <w:t>Results from v</w:t>
      </w:r>
      <w:r w:rsidR="00CA299A" w:rsidRPr="007048BA">
        <w:rPr>
          <w:lang w:val="en-GB"/>
        </w:rPr>
        <w:t>alidation tests</w:t>
      </w:r>
    </w:p>
    <w:p w14:paraId="7F4F6F37" w14:textId="750B593F" w:rsidR="00CA299A" w:rsidRPr="007048BA" w:rsidRDefault="00CA299A" w:rsidP="00CA299A">
      <w:pPr>
        <w:ind w:firstLine="720"/>
        <w:rPr>
          <w:rFonts w:cs="Times New Roman"/>
          <w:lang w:val="en-GB"/>
        </w:rPr>
      </w:pPr>
      <w:r w:rsidRPr="007048BA">
        <w:rPr>
          <w:rFonts w:cs="Times New Roman"/>
          <w:lang w:val="en-GB"/>
        </w:rPr>
        <w:t xml:space="preserve">We conduct a number of tests to validate </w:t>
      </w:r>
      <w:r w:rsidR="001D681C" w:rsidRPr="007048BA">
        <w:rPr>
          <w:rFonts w:cs="Times New Roman"/>
          <w:lang w:val="en-GB"/>
        </w:rPr>
        <w:t>this</w:t>
      </w:r>
      <w:r w:rsidRPr="007048BA">
        <w:rPr>
          <w:rFonts w:cs="Times New Roman"/>
          <w:lang w:val="en-GB"/>
        </w:rPr>
        <w:t xml:space="preserve"> framework. In our first test, we explore whether the </w:t>
      </w:r>
      <w:r w:rsidR="006B3320" w:rsidRPr="007048BA">
        <w:rPr>
          <w:rFonts w:cs="Times New Roman"/>
          <w:lang w:val="en-GB"/>
        </w:rPr>
        <w:t>attributes</w:t>
      </w:r>
      <w:r w:rsidRPr="007048BA">
        <w:rPr>
          <w:rFonts w:cs="Times New Roman"/>
          <w:lang w:val="en-GB"/>
        </w:rPr>
        <w:t xml:space="preserve"> (i.e., </w:t>
      </w:r>
      <w:r w:rsidR="00ED262D" w:rsidRPr="007048BA">
        <w:rPr>
          <w:rFonts w:cs="Times New Roman"/>
          <w:i/>
          <w:lang w:val="en-GB"/>
        </w:rPr>
        <w:t>poor</w:t>
      </w:r>
      <w:r w:rsidRPr="007048BA">
        <w:rPr>
          <w:rFonts w:cs="Times New Roman"/>
          <w:i/>
          <w:lang w:val="en-GB"/>
        </w:rPr>
        <w:t xml:space="preserve">, </w:t>
      </w:r>
      <w:r w:rsidR="00ED262D" w:rsidRPr="007048BA">
        <w:rPr>
          <w:rFonts w:cs="Times New Roman"/>
          <w:i/>
          <w:lang w:val="en-GB"/>
        </w:rPr>
        <w:t>myopic</w:t>
      </w:r>
      <w:r w:rsidRPr="007048BA">
        <w:rPr>
          <w:rFonts w:cs="Times New Roman"/>
          <w:i/>
          <w:lang w:val="en-GB"/>
        </w:rPr>
        <w:t xml:space="preserve">, </w:t>
      </w:r>
      <w:r w:rsidR="005575A3" w:rsidRPr="007048BA">
        <w:rPr>
          <w:rFonts w:cs="Times New Roman"/>
          <w:i/>
          <w:lang w:val="en-GB"/>
        </w:rPr>
        <w:t xml:space="preserve">hyperopic </w:t>
      </w:r>
      <w:r w:rsidRPr="007048BA">
        <w:rPr>
          <w:rFonts w:cs="Times New Roman"/>
          <w:lang w:val="en-GB"/>
        </w:rPr>
        <w:t xml:space="preserve">and </w:t>
      </w:r>
      <w:r w:rsidR="00ED262D" w:rsidRPr="007048BA">
        <w:rPr>
          <w:rFonts w:cs="Times New Roman"/>
          <w:i/>
          <w:lang w:val="en-GB"/>
        </w:rPr>
        <w:t>efficient</w:t>
      </w:r>
      <w:r w:rsidRPr="007048BA">
        <w:rPr>
          <w:rFonts w:cs="Times New Roman"/>
          <w:lang w:val="en-GB"/>
        </w:rPr>
        <w:t>) are valid and distinct from each other (i.e., whether firms under each category are integrally different from firms in other categories). We use conventional one-way multivariate analysis of variance (MANOVA) to compare the vector of means of firm characteristics (</w:t>
      </w:r>
      <w:r w:rsidRPr="007048BA">
        <w:rPr>
          <w:rFonts w:cs="Times New Roman"/>
          <w:noProof/>
          <w:lang w:val="en-GB"/>
        </w:rPr>
        <w:t>Tobin</w:t>
      </w:r>
      <w:r w:rsidR="00341183" w:rsidRPr="007048BA">
        <w:rPr>
          <w:rFonts w:cs="Times New Roman"/>
          <w:lang w:val="en-GB"/>
        </w:rPr>
        <w:t>’</w:t>
      </w:r>
      <w:r w:rsidRPr="007048BA">
        <w:rPr>
          <w:rFonts w:cs="Times New Roman"/>
          <w:noProof/>
          <w:lang w:val="en-GB"/>
        </w:rPr>
        <w:t>s</w:t>
      </w:r>
      <w:r w:rsidRPr="007048BA">
        <w:rPr>
          <w:rFonts w:cs="Times New Roman"/>
          <w:lang w:val="en-GB"/>
        </w:rPr>
        <w:t xml:space="preserve"> Q, liquidity, leverage, sales growth, growth-resource mismatch dummy, industry disturbance dummy, free cash flow, tangible assets, size, age, industry </w:t>
      </w:r>
      <w:r w:rsidR="00F549BE" w:rsidRPr="007048BA">
        <w:rPr>
          <w:rFonts w:cs="Times New Roman"/>
          <w:lang w:val="en-GB"/>
        </w:rPr>
        <w:t xml:space="preserve">concentration, block-holders, rumours, momentum and trading volume </w:t>
      </w:r>
      <w:r w:rsidRPr="007048BA">
        <w:rPr>
          <w:rFonts w:cs="Times New Roman"/>
          <w:lang w:val="en-GB"/>
        </w:rPr>
        <w:t xml:space="preserve">) for the four categories of management performance. </w:t>
      </w:r>
      <w:r w:rsidR="00F549BE" w:rsidRPr="007048BA">
        <w:rPr>
          <w:rFonts w:cs="Times New Roman"/>
          <w:lang w:val="en-GB"/>
        </w:rPr>
        <w:t xml:space="preserve">These variables are </w:t>
      </w:r>
      <w:r w:rsidR="00F549BE" w:rsidRPr="007048BA">
        <w:rPr>
          <w:rFonts w:cs="Times New Roman"/>
          <w:lang w:val="en-GB"/>
        </w:rPr>
        <w:lastRenderedPageBreak/>
        <w:t xml:space="preserve">fully defined in Appendix 1. </w:t>
      </w:r>
      <w:r w:rsidRPr="007048BA">
        <w:rPr>
          <w:rFonts w:cs="Times New Roman"/>
          <w:lang w:val="en-GB"/>
        </w:rPr>
        <w:t>In untabulated results, we find that the</w:t>
      </w:r>
      <w:r w:rsidRPr="007048BA">
        <w:rPr>
          <w:rFonts w:cs="Times New Roman"/>
          <w:noProof/>
          <w:lang w:val="en-GB"/>
        </w:rPr>
        <w:t xml:space="preserve"> key</w:t>
      </w:r>
      <w:r w:rsidRPr="007048BA">
        <w:rPr>
          <w:rFonts w:cs="Times New Roman"/>
          <w:lang w:val="en-GB"/>
        </w:rPr>
        <w:t xml:space="preserve"> MANOVA test statistics (including Wilks’ lambda, Pillai’s trace, Lawley–Hotelling trace, and Roy’s largest root) are all statistically significant with </w:t>
      </w:r>
      <w:r w:rsidR="00D44A7E" w:rsidRPr="007048BA">
        <w:rPr>
          <w:rFonts w:cs="Times New Roman"/>
          <w:i/>
          <w:lang w:val="en-GB"/>
        </w:rPr>
        <w:t>p-values</w:t>
      </w:r>
      <w:r w:rsidRPr="007048BA">
        <w:rPr>
          <w:rFonts w:cs="Times New Roman"/>
          <w:lang w:val="en-GB"/>
        </w:rPr>
        <w:t xml:space="preserve"> of less than 0.000. This suggests integral differences in our four </w:t>
      </w:r>
      <w:r w:rsidR="006B3320" w:rsidRPr="007048BA">
        <w:rPr>
          <w:rFonts w:cs="Times New Roman"/>
          <w:lang w:val="en-GB"/>
        </w:rPr>
        <w:t>attributes</w:t>
      </w:r>
      <w:r w:rsidRPr="007048BA">
        <w:rPr>
          <w:rFonts w:cs="Times New Roman"/>
          <w:lang w:val="en-GB"/>
        </w:rPr>
        <w:t xml:space="preserve">. </w:t>
      </w:r>
      <w:r w:rsidR="00BC175E" w:rsidRPr="007048BA">
        <w:rPr>
          <w:rFonts w:cs="Times New Roman"/>
          <w:lang w:val="en-GB"/>
        </w:rPr>
        <w:t>The results are robust to the choice of firm characteristics</w:t>
      </w:r>
    </w:p>
    <w:p w14:paraId="01064FCB" w14:textId="77777777" w:rsidR="00CA299A" w:rsidRPr="007048BA" w:rsidRDefault="00CA299A" w:rsidP="00CA299A">
      <w:pPr>
        <w:ind w:firstLine="720"/>
        <w:jc w:val="center"/>
        <w:rPr>
          <w:rFonts w:cs="Times New Roman"/>
          <w:b/>
          <w:lang w:val="en-GB"/>
        </w:rPr>
      </w:pPr>
      <w:r w:rsidRPr="007048BA">
        <w:rPr>
          <w:rFonts w:cs="Times New Roman"/>
          <w:b/>
          <w:lang w:val="en-GB"/>
        </w:rPr>
        <w:t>[Insert Table 3 about here]</w:t>
      </w:r>
    </w:p>
    <w:p w14:paraId="46A0D1E4" w14:textId="0A178DC1" w:rsidR="00CA299A" w:rsidRPr="007048BA" w:rsidRDefault="00CA299A" w:rsidP="00807114">
      <w:pPr>
        <w:ind w:firstLine="720"/>
        <w:rPr>
          <w:rFonts w:cs="Times New Roman"/>
          <w:lang w:val="en-GB"/>
        </w:rPr>
      </w:pPr>
      <w:r w:rsidRPr="007048BA">
        <w:rPr>
          <w:rFonts w:cs="Times New Roman"/>
          <w:lang w:val="en-GB"/>
        </w:rPr>
        <w:t xml:space="preserve">In Table 3, we explore this further through a </w:t>
      </w:r>
      <w:r w:rsidRPr="007048BA">
        <w:rPr>
          <w:rFonts w:cs="Times New Roman"/>
          <w:noProof/>
          <w:lang w:val="en-GB"/>
        </w:rPr>
        <w:t>one-way</w:t>
      </w:r>
      <w:r w:rsidRPr="007048BA">
        <w:rPr>
          <w:rFonts w:cs="Times New Roman"/>
          <w:lang w:val="en-GB"/>
        </w:rPr>
        <w:t xml:space="preserve"> analysis of variance (ANOVA) with standard Bonferroni correction of the level of significance</w:t>
      </w:r>
      <w:r w:rsidR="003D2812" w:rsidRPr="007048BA">
        <w:rPr>
          <w:rFonts w:cs="Times New Roman"/>
          <w:lang w:val="en-GB"/>
        </w:rPr>
        <w:t xml:space="preserve"> </w:t>
      </w:r>
      <w:r w:rsidR="00DF7CE8" w:rsidRPr="007048BA">
        <w:rPr>
          <w:rFonts w:cs="Times New Roman"/>
          <w:lang w:val="en-GB"/>
        </w:rPr>
        <w:t>(panel A). Given that several of our variables are skewed (see Table 1)</w:t>
      </w:r>
      <w:r w:rsidR="001D322E" w:rsidRPr="007048BA">
        <w:rPr>
          <w:rFonts w:cs="Times New Roman"/>
          <w:lang w:val="en-GB"/>
        </w:rPr>
        <w:t>, we also use</w:t>
      </w:r>
      <w:r w:rsidR="003D2812" w:rsidRPr="007048BA">
        <w:rPr>
          <w:rFonts w:cs="Times New Roman"/>
          <w:lang w:val="en-GB"/>
        </w:rPr>
        <w:t xml:space="preserve"> the non-parametric alternative, Dunn’s test of </w:t>
      </w:r>
      <w:r w:rsidR="00DF7CE8" w:rsidRPr="007048BA">
        <w:rPr>
          <w:rFonts w:cs="Times New Roman"/>
          <w:lang w:val="en-GB"/>
        </w:rPr>
        <w:t xml:space="preserve">differences </w:t>
      </w:r>
      <w:r w:rsidR="001D322E" w:rsidRPr="007048BA">
        <w:rPr>
          <w:rFonts w:cs="Times New Roman"/>
          <w:lang w:val="en-GB"/>
        </w:rPr>
        <w:t xml:space="preserve">in medians (Dunn, 1964) in </w:t>
      </w:r>
      <w:r w:rsidR="00DF7CE8" w:rsidRPr="007048BA">
        <w:rPr>
          <w:rFonts w:cs="Times New Roman"/>
          <w:lang w:val="en-GB"/>
        </w:rPr>
        <w:t>panel B</w:t>
      </w:r>
      <w:r w:rsidRPr="007048BA">
        <w:rPr>
          <w:rFonts w:cs="Times New Roman"/>
          <w:lang w:val="en-GB"/>
        </w:rPr>
        <w:t xml:space="preserve">. This allows us to compare the means </w:t>
      </w:r>
      <w:r w:rsidR="001D322E" w:rsidRPr="007048BA">
        <w:rPr>
          <w:rFonts w:cs="Times New Roman"/>
          <w:lang w:val="en-GB"/>
        </w:rPr>
        <w:t xml:space="preserve">and medians </w:t>
      </w:r>
      <w:r w:rsidR="0035511B" w:rsidRPr="007048BA">
        <w:rPr>
          <w:rFonts w:cs="Times New Roman"/>
          <w:lang w:val="en-GB"/>
        </w:rPr>
        <w:t>of our 18</w:t>
      </w:r>
      <w:r w:rsidRPr="007048BA">
        <w:rPr>
          <w:rFonts w:cs="Times New Roman"/>
          <w:lang w:val="en-GB"/>
        </w:rPr>
        <w:t xml:space="preserve"> firm-level variables across the four </w:t>
      </w:r>
      <w:r w:rsidR="006B3320" w:rsidRPr="007048BA">
        <w:rPr>
          <w:rFonts w:cs="Times New Roman"/>
          <w:lang w:val="en-GB"/>
        </w:rPr>
        <w:t>attributes</w:t>
      </w:r>
      <w:r w:rsidRPr="007048BA">
        <w:rPr>
          <w:rFonts w:cs="Times New Roman"/>
          <w:lang w:val="en-GB"/>
        </w:rPr>
        <w:t xml:space="preserve"> of management performance. </w:t>
      </w:r>
      <w:r w:rsidR="0035511B" w:rsidRPr="007048BA">
        <w:rPr>
          <w:rFonts w:cs="Times New Roman"/>
          <w:lang w:val="en-GB"/>
        </w:rPr>
        <w:t>In panel A, w</w:t>
      </w:r>
      <w:r w:rsidRPr="007048BA">
        <w:rPr>
          <w:rFonts w:cs="Times New Roman"/>
          <w:lang w:val="en-GB"/>
        </w:rPr>
        <w:t>e</w:t>
      </w:r>
      <w:r w:rsidR="0035511B" w:rsidRPr="007048BA">
        <w:rPr>
          <w:rFonts w:cs="Times New Roman"/>
          <w:lang w:val="en-GB"/>
        </w:rPr>
        <w:t xml:space="preserve"> find that the distribution of 8</w:t>
      </w:r>
      <w:r w:rsidRPr="007048BA">
        <w:rPr>
          <w:rFonts w:cs="Times New Roman"/>
          <w:lang w:val="en-GB"/>
        </w:rPr>
        <w:t xml:space="preserve"> of our variables (including </w:t>
      </w:r>
      <w:r w:rsidR="0035511B" w:rsidRPr="007048BA">
        <w:rPr>
          <w:rFonts w:cs="Times New Roman"/>
          <w:lang w:val="en-GB"/>
        </w:rPr>
        <w:t xml:space="preserve">average abnormal returns, Tobin’s Q, </w:t>
      </w:r>
      <w:r w:rsidRPr="007048BA">
        <w:rPr>
          <w:rFonts w:cs="Times New Roman"/>
          <w:lang w:val="en-GB"/>
        </w:rPr>
        <w:t>l</w:t>
      </w:r>
      <w:r w:rsidR="0035511B" w:rsidRPr="007048BA">
        <w:rPr>
          <w:rFonts w:cs="Times New Roman"/>
          <w:lang w:val="en-GB"/>
        </w:rPr>
        <w:t xml:space="preserve">iquidity, free cash flow, size, </w:t>
      </w:r>
      <w:r w:rsidRPr="007048BA">
        <w:rPr>
          <w:rFonts w:cs="Times New Roman"/>
          <w:noProof/>
          <w:lang w:val="en-GB"/>
        </w:rPr>
        <w:t>block holders</w:t>
      </w:r>
      <w:r w:rsidR="0035511B" w:rsidRPr="007048BA">
        <w:rPr>
          <w:rFonts w:cs="Times New Roman"/>
          <w:noProof/>
          <w:lang w:val="en-GB"/>
        </w:rPr>
        <w:t>, momentum and trading volume</w:t>
      </w:r>
      <w:r w:rsidRPr="007048BA">
        <w:rPr>
          <w:rFonts w:cs="Times New Roman"/>
          <w:lang w:val="en-GB"/>
        </w:rPr>
        <w:t xml:space="preserve">) are unique across each </w:t>
      </w:r>
      <w:r w:rsidR="002E346E" w:rsidRPr="007048BA">
        <w:rPr>
          <w:rFonts w:cs="Times New Roman"/>
          <w:lang w:val="en-GB"/>
        </w:rPr>
        <w:t>attribute</w:t>
      </w:r>
      <w:r w:rsidRPr="007048BA">
        <w:rPr>
          <w:rFonts w:cs="Times New Roman"/>
          <w:lang w:val="en-GB"/>
        </w:rPr>
        <w:t xml:space="preserve"> and statistically different from those of the other three </w:t>
      </w:r>
      <w:r w:rsidR="006B3320" w:rsidRPr="007048BA">
        <w:rPr>
          <w:rFonts w:cs="Times New Roman"/>
          <w:lang w:val="en-GB"/>
        </w:rPr>
        <w:t>attributes</w:t>
      </w:r>
      <w:r w:rsidRPr="007048BA">
        <w:rPr>
          <w:rFonts w:cs="Times New Roman"/>
          <w:lang w:val="en-GB"/>
        </w:rPr>
        <w:t xml:space="preserve">. </w:t>
      </w:r>
      <w:r w:rsidR="00322EDC" w:rsidRPr="007048BA">
        <w:rPr>
          <w:rFonts w:cs="Times New Roman"/>
          <w:lang w:val="en-GB"/>
        </w:rPr>
        <w:t xml:space="preserve">Similarly, in panel B, </w:t>
      </w:r>
      <w:r w:rsidR="0052314A" w:rsidRPr="007048BA">
        <w:rPr>
          <w:rFonts w:cs="Times New Roman"/>
          <w:lang w:val="en-GB"/>
        </w:rPr>
        <w:t>when we compare median values, we find that</w:t>
      </w:r>
      <w:r w:rsidR="00322EDC" w:rsidRPr="007048BA">
        <w:rPr>
          <w:rFonts w:cs="Times New Roman"/>
          <w:lang w:val="en-GB"/>
        </w:rPr>
        <w:t xml:space="preserve"> firms </w:t>
      </w:r>
      <w:r w:rsidR="0052314A" w:rsidRPr="007048BA">
        <w:rPr>
          <w:rFonts w:cs="Times New Roman"/>
          <w:lang w:val="en-GB"/>
        </w:rPr>
        <w:t xml:space="preserve">in the four categories </w:t>
      </w:r>
      <w:r w:rsidR="00322EDC" w:rsidRPr="007048BA">
        <w:rPr>
          <w:rFonts w:cs="Times New Roman"/>
          <w:lang w:val="en-GB"/>
        </w:rPr>
        <w:t xml:space="preserve">are distinct in terms of market to book values, leverage, tangible assets, </w:t>
      </w:r>
      <w:r w:rsidR="0052314A" w:rsidRPr="007048BA">
        <w:rPr>
          <w:rFonts w:cs="Times New Roman"/>
          <w:lang w:val="en-GB"/>
        </w:rPr>
        <w:t>size, presence of block holders and</w:t>
      </w:r>
      <w:r w:rsidR="00322EDC" w:rsidRPr="007048BA">
        <w:rPr>
          <w:rFonts w:cs="Times New Roman"/>
          <w:lang w:val="en-GB"/>
        </w:rPr>
        <w:t xml:space="preserve"> momentum</w:t>
      </w:r>
      <w:r w:rsidR="0052314A" w:rsidRPr="007048BA">
        <w:rPr>
          <w:rFonts w:cs="Times New Roman"/>
          <w:lang w:val="en-GB"/>
        </w:rPr>
        <w:t>.</w:t>
      </w:r>
      <w:r w:rsidRPr="007048BA">
        <w:rPr>
          <w:rFonts w:cs="Times New Roman"/>
          <w:lang w:val="en-GB"/>
        </w:rPr>
        <w:t xml:space="preserve"> </w:t>
      </w:r>
    </w:p>
    <w:p w14:paraId="22A0EBD3" w14:textId="254F9E09" w:rsidR="00CA299A" w:rsidRPr="007048BA" w:rsidRDefault="00A74A7D" w:rsidP="00CA299A">
      <w:pPr>
        <w:ind w:firstLine="720"/>
        <w:rPr>
          <w:lang w:val="en-GB"/>
        </w:rPr>
      </w:pPr>
      <w:r w:rsidRPr="007048BA">
        <w:rPr>
          <w:lang w:val="en-GB"/>
        </w:rPr>
        <w:t xml:space="preserve">Our next validation test explores the relation between firm-level R&amp;D investments and our </w:t>
      </w:r>
      <w:r w:rsidR="006B3320" w:rsidRPr="007048BA">
        <w:rPr>
          <w:lang w:val="en-GB"/>
        </w:rPr>
        <w:t>attributes</w:t>
      </w:r>
      <w:r w:rsidR="001D681C" w:rsidRPr="007048BA">
        <w:rPr>
          <w:lang w:val="en-GB"/>
        </w:rPr>
        <w:t>,</w:t>
      </w:r>
      <w:r w:rsidRPr="007048BA">
        <w:rPr>
          <w:lang w:val="en-GB"/>
        </w:rPr>
        <w:t xml:space="preserve"> in a multivariate setting in which we control for other firm characteristics. </w:t>
      </w:r>
      <w:r w:rsidR="00CA299A" w:rsidRPr="007048BA">
        <w:rPr>
          <w:lang w:val="en-GB"/>
        </w:rPr>
        <w:t>Given that R&amp;D is discretionary expenditure, managers can vary its level with a direct impact on reported profit. A disinvestment in R&amp;D will increase current profitability with an adverse impact on long-term cash flows (</w:t>
      </w:r>
      <w:r w:rsidR="00CA299A" w:rsidRPr="007048BA">
        <w:rPr>
          <w:rFonts w:cs="Times New Roman"/>
          <w:lang w:val="en-GB"/>
        </w:rPr>
        <w:t>Faleye, 2007; Holden and Lundstrum, 2009; Boubaker et al., 2017</w:t>
      </w:r>
      <w:r w:rsidR="00CA299A" w:rsidRPr="007048BA">
        <w:rPr>
          <w:lang w:val="en-GB"/>
        </w:rPr>
        <w:t xml:space="preserve">). A negative (positive) relation between R&amp;D investments and our </w:t>
      </w:r>
      <w:r w:rsidR="00ED262D" w:rsidRPr="007048BA">
        <w:rPr>
          <w:i/>
          <w:lang w:val="en-GB"/>
        </w:rPr>
        <w:t>myopia</w:t>
      </w:r>
      <w:r w:rsidR="00CA299A" w:rsidRPr="007048BA">
        <w:rPr>
          <w:lang w:val="en-GB"/>
        </w:rPr>
        <w:t xml:space="preserve"> (</w:t>
      </w:r>
      <w:r w:rsidR="00ED262D" w:rsidRPr="007048BA">
        <w:rPr>
          <w:i/>
          <w:lang w:val="en-GB"/>
        </w:rPr>
        <w:t>hyperopia</w:t>
      </w:r>
      <w:r w:rsidR="00CA299A" w:rsidRPr="007048BA">
        <w:rPr>
          <w:lang w:val="en-GB"/>
        </w:rPr>
        <w:t>)</w:t>
      </w:r>
      <w:r w:rsidR="001F3487" w:rsidRPr="007048BA">
        <w:rPr>
          <w:lang w:val="en-GB"/>
        </w:rPr>
        <w:t xml:space="preserve"> measure</w:t>
      </w:r>
      <w:r w:rsidR="00CA299A" w:rsidRPr="007048BA">
        <w:rPr>
          <w:lang w:val="en-GB"/>
        </w:rPr>
        <w:t xml:space="preserve"> will be consistent with our view that </w:t>
      </w:r>
      <w:r w:rsidR="001F3487" w:rsidRPr="007048BA">
        <w:rPr>
          <w:lang w:val="en-GB"/>
        </w:rPr>
        <w:t>this measure</w:t>
      </w:r>
      <w:r w:rsidR="00CA299A" w:rsidRPr="007048BA">
        <w:rPr>
          <w:lang w:val="en-GB"/>
        </w:rPr>
        <w:t xml:space="preserve"> capture</w:t>
      </w:r>
      <w:r w:rsidR="001F3487" w:rsidRPr="007048BA">
        <w:rPr>
          <w:lang w:val="en-GB"/>
        </w:rPr>
        <w:t>s</w:t>
      </w:r>
      <w:r w:rsidR="00CA299A" w:rsidRPr="007048BA">
        <w:rPr>
          <w:lang w:val="en-GB"/>
        </w:rPr>
        <w:t xml:space="preserve"> management short-termism </w:t>
      </w:r>
      <w:r w:rsidR="001F3487" w:rsidRPr="007048BA">
        <w:rPr>
          <w:lang w:val="en-GB"/>
        </w:rPr>
        <w:t>(</w:t>
      </w:r>
      <w:r w:rsidR="00CA299A" w:rsidRPr="007048BA">
        <w:rPr>
          <w:lang w:val="en-GB"/>
        </w:rPr>
        <w:t>long-termism</w:t>
      </w:r>
      <w:r w:rsidR="001F3487" w:rsidRPr="007048BA">
        <w:rPr>
          <w:lang w:val="en-GB"/>
        </w:rPr>
        <w:t>)</w:t>
      </w:r>
      <w:r w:rsidR="00CA299A" w:rsidRPr="007048BA">
        <w:rPr>
          <w:lang w:val="en-GB"/>
        </w:rPr>
        <w:t xml:space="preserve">. </w:t>
      </w:r>
      <w:r w:rsidR="00015FBE" w:rsidRPr="007048BA">
        <w:rPr>
          <w:lang w:val="en-GB"/>
        </w:rPr>
        <w:t xml:space="preserve">We do not have any expectations in terms of the relation between R&amp;D investments and our </w:t>
      </w:r>
      <w:r w:rsidR="00ED262D" w:rsidRPr="007048BA">
        <w:rPr>
          <w:i/>
          <w:lang w:val="en-GB"/>
        </w:rPr>
        <w:t>poor</w:t>
      </w:r>
      <w:r w:rsidR="00015FBE" w:rsidRPr="007048BA">
        <w:rPr>
          <w:lang w:val="en-GB"/>
        </w:rPr>
        <w:t xml:space="preserve"> (</w:t>
      </w:r>
      <w:r w:rsidR="001D681C" w:rsidRPr="007048BA">
        <w:rPr>
          <w:lang w:val="en-GB"/>
        </w:rPr>
        <w:t xml:space="preserve">and </w:t>
      </w:r>
      <w:r w:rsidR="00ED262D" w:rsidRPr="007048BA">
        <w:rPr>
          <w:i/>
          <w:lang w:val="en-GB"/>
        </w:rPr>
        <w:t>efficient</w:t>
      </w:r>
      <w:r w:rsidR="00015FBE" w:rsidRPr="007048BA">
        <w:rPr>
          <w:lang w:val="en-GB"/>
        </w:rPr>
        <w:t xml:space="preserve">) measures. </w:t>
      </w:r>
      <w:r w:rsidR="00CA299A" w:rsidRPr="007048BA">
        <w:rPr>
          <w:lang w:val="en-GB"/>
        </w:rPr>
        <w:t xml:space="preserve">Our results from equation (2) are presented in Table </w:t>
      </w:r>
      <w:r w:rsidR="00280ED9" w:rsidRPr="007048BA">
        <w:rPr>
          <w:lang w:val="en-GB"/>
        </w:rPr>
        <w:t>4</w:t>
      </w:r>
      <w:r w:rsidR="001E326E" w:rsidRPr="007048BA">
        <w:rPr>
          <w:lang w:val="en-GB"/>
        </w:rPr>
        <w:t xml:space="preserve">, models 1 to 4. </w:t>
      </w:r>
      <w:r w:rsidR="00E63383" w:rsidRPr="007048BA">
        <w:rPr>
          <w:lang w:val="en-GB"/>
        </w:rPr>
        <w:t xml:space="preserve">To directly explore real earnings management through a reduction of R&amp;D </w:t>
      </w:r>
      <w:r w:rsidR="001E326E" w:rsidRPr="007048BA">
        <w:rPr>
          <w:lang w:val="en-GB"/>
        </w:rPr>
        <w:t xml:space="preserve">and/or SG&amp;A, </w:t>
      </w:r>
      <w:r w:rsidR="00E63383" w:rsidRPr="007048BA">
        <w:rPr>
          <w:lang w:val="en-GB"/>
        </w:rPr>
        <w:t>we also use abnormal discretionary expenses</w:t>
      </w:r>
      <w:r w:rsidR="001E326E" w:rsidRPr="007048BA">
        <w:rPr>
          <w:lang w:val="en-GB"/>
        </w:rPr>
        <w:t>, computed as the residual in equation (3), as an alternative dependent variable in equation (2).</w:t>
      </w:r>
      <w:r w:rsidR="00E63383" w:rsidRPr="007048BA">
        <w:rPr>
          <w:lang w:val="en-GB"/>
        </w:rPr>
        <w:t xml:space="preserve"> </w:t>
      </w:r>
      <w:r w:rsidR="001E326E" w:rsidRPr="007048BA">
        <w:rPr>
          <w:lang w:val="en-GB"/>
        </w:rPr>
        <w:t>These results are presented in models 5 to 8. All models</w:t>
      </w:r>
      <w:r w:rsidR="00CA299A" w:rsidRPr="007048BA">
        <w:rPr>
          <w:lang w:val="en-GB"/>
        </w:rPr>
        <w:t xml:space="preserve"> </w:t>
      </w:r>
      <w:r w:rsidR="00461F6E" w:rsidRPr="007048BA">
        <w:rPr>
          <w:lang w:val="en-GB"/>
        </w:rPr>
        <w:t>correct</w:t>
      </w:r>
      <w:r w:rsidR="00CA299A" w:rsidRPr="007048BA">
        <w:rPr>
          <w:lang w:val="en-GB"/>
        </w:rPr>
        <w:t xml:space="preserve"> for selection bias</w:t>
      </w:r>
      <w:r w:rsidR="00461F6E" w:rsidRPr="007048BA">
        <w:rPr>
          <w:lang w:val="en-GB"/>
        </w:rPr>
        <w:t xml:space="preserve"> using the Heckman Two Stage approach</w:t>
      </w:r>
      <w:r w:rsidR="00CA299A" w:rsidRPr="007048BA">
        <w:rPr>
          <w:lang w:val="en-GB"/>
        </w:rPr>
        <w:t>.</w:t>
      </w:r>
      <w:r w:rsidR="00CA299A" w:rsidRPr="007048BA">
        <w:rPr>
          <w:rStyle w:val="FootnoteReference"/>
          <w:lang w:val="en-GB"/>
        </w:rPr>
        <w:footnoteReference w:id="9"/>
      </w:r>
      <w:r w:rsidR="00CA299A" w:rsidRPr="007048BA">
        <w:rPr>
          <w:lang w:val="en-GB"/>
        </w:rPr>
        <w:t xml:space="preserve"> All independent variables are lagged by one period</w:t>
      </w:r>
      <w:r w:rsidR="00280ED9" w:rsidRPr="007048BA">
        <w:rPr>
          <w:lang w:val="en-GB"/>
        </w:rPr>
        <w:t xml:space="preserve"> and </w:t>
      </w:r>
      <w:r w:rsidR="00461F6E" w:rsidRPr="007048BA">
        <w:rPr>
          <w:lang w:val="en-GB"/>
        </w:rPr>
        <w:t>all</w:t>
      </w:r>
      <w:r w:rsidR="00280ED9" w:rsidRPr="007048BA">
        <w:rPr>
          <w:lang w:val="en-GB"/>
        </w:rPr>
        <w:t xml:space="preserve"> models control for industry and year effects</w:t>
      </w:r>
      <w:r w:rsidR="00CA299A" w:rsidRPr="007048BA">
        <w:rPr>
          <w:lang w:val="en-GB"/>
        </w:rPr>
        <w:t>.</w:t>
      </w:r>
    </w:p>
    <w:p w14:paraId="64BE47A9" w14:textId="52C9B1CB" w:rsidR="00CA299A" w:rsidRPr="007048BA" w:rsidRDefault="00CA299A" w:rsidP="00CA299A">
      <w:pPr>
        <w:jc w:val="center"/>
        <w:rPr>
          <w:b/>
          <w:lang w:val="en-GB"/>
        </w:rPr>
      </w:pPr>
      <w:r w:rsidRPr="007048BA">
        <w:rPr>
          <w:lang w:val="en-GB"/>
        </w:rPr>
        <w:t xml:space="preserve"> </w:t>
      </w:r>
      <w:r w:rsidRPr="007048BA">
        <w:rPr>
          <w:b/>
          <w:lang w:val="en-GB"/>
        </w:rPr>
        <w:t xml:space="preserve">[Insert Table </w:t>
      </w:r>
      <w:r w:rsidR="00F63862" w:rsidRPr="007048BA">
        <w:rPr>
          <w:b/>
          <w:lang w:val="en-GB"/>
        </w:rPr>
        <w:t>4</w:t>
      </w:r>
      <w:r w:rsidRPr="007048BA">
        <w:rPr>
          <w:b/>
          <w:lang w:val="en-GB"/>
        </w:rPr>
        <w:t xml:space="preserve"> about here]</w:t>
      </w:r>
    </w:p>
    <w:p w14:paraId="34D3C986" w14:textId="2C2171FE" w:rsidR="00CA299A" w:rsidRPr="007048BA" w:rsidRDefault="001A4FC8" w:rsidP="00CA299A">
      <w:pPr>
        <w:rPr>
          <w:lang w:val="en-GB"/>
        </w:rPr>
      </w:pPr>
      <w:r w:rsidRPr="007048BA">
        <w:rPr>
          <w:lang w:val="en-GB"/>
        </w:rPr>
        <w:lastRenderedPageBreak/>
        <w:t>The results from models</w:t>
      </w:r>
      <w:r w:rsidR="00CA299A" w:rsidRPr="007048BA">
        <w:rPr>
          <w:lang w:val="en-GB"/>
        </w:rPr>
        <w:t xml:space="preserve"> </w:t>
      </w:r>
      <w:r w:rsidR="009E3944" w:rsidRPr="007048BA">
        <w:rPr>
          <w:lang w:val="en-GB"/>
        </w:rPr>
        <w:t>2</w:t>
      </w:r>
      <w:r w:rsidR="00CA299A" w:rsidRPr="007048BA">
        <w:rPr>
          <w:lang w:val="en-GB"/>
        </w:rPr>
        <w:t xml:space="preserve"> </w:t>
      </w:r>
      <w:r w:rsidRPr="007048BA">
        <w:rPr>
          <w:lang w:val="en-GB"/>
        </w:rPr>
        <w:t xml:space="preserve">and 6 </w:t>
      </w:r>
      <w:r w:rsidR="00CA299A" w:rsidRPr="007048BA">
        <w:rPr>
          <w:lang w:val="en-GB"/>
        </w:rPr>
        <w:t xml:space="preserve">suggest a negative and statistically significant relation between management </w:t>
      </w:r>
      <w:r w:rsidR="001D681C" w:rsidRPr="007048BA">
        <w:rPr>
          <w:lang w:val="en-GB"/>
        </w:rPr>
        <w:t>short-termism</w:t>
      </w:r>
      <w:r w:rsidR="00CA299A" w:rsidRPr="007048BA">
        <w:rPr>
          <w:lang w:val="en-GB"/>
        </w:rPr>
        <w:t xml:space="preserve"> and R&amp;D investment</w:t>
      </w:r>
      <w:r w:rsidR="00E442A4" w:rsidRPr="007048BA">
        <w:rPr>
          <w:lang w:val="en-GB"/>
        </w:rPr>
        <w:t xml:space="preserve"> (model 2)</w:t>
      </w:r>
      <w:r w:rsidRPr="007048BA">
        <w:rPr>
          <w:lang w:val="en-GB"/>
        </w:rPr>
        <w:t xml:space="preserve"> or abnormal discretionary expenses</w:t>
      </w:r>
      <w:r w:rsidR="00E442A4" w:rsidRPr="007048BA">
        <w:rPr>
          <w:lang w:val="en-GB"/>
        </w:rPr>
        <w:t xml:space="preserve"> (model 6)</w:t>
      </w:r>
      <w:r w:rsidR="00CA299A" w:rsidRPr="007048BA">
        <w:rPr>
          <w:lang w:val="en-GB"/>
        </w:rPr>
        <w:t xml:space="preserve">. That is, firms classified as suffering from </w:t>
      </w:r>
      <w:r w:rsidR="00ED262D" w:rsidRPr="007048BA">
        <w:rPr>
          <w:i/>
          <w:lang w:val="en-GB"/>
        </w:rPr>
        <w:t>myopia</w:t>
      </w:r>
      <w:r w:rsidR="00CA299A" w:rsidRPr="007048BA">
        <w:rPr>
          <w:lang w:val="en-GB"/>
        </w:rPr>
        <w:t xml:space="preserve"> in the current period tend to reduce </w:t>
      </w:r>
      <w:r w:rsidRPr="007048BA">
        <w:rPr>
          <w:lang w:val="en-GB"/>
        </w:rPr>
        <w:t>discretionary expenses, particularly R</w:t>
      </w:r>
      <w:r w:rsidR="00CA299A" w:rsidRPr="007048BA">
        <w:rPr>
          <w:lang w:val="en-GB"/>
        </w:rPr>
        <w:t>&amp;D investment</w:t>
      </w:r>
      <w:r w:rsidRPr="007048BA">
        <w:rPr>
          <w:lang w:val="en-GB"/>
        </w:rPr>
        <w:t>,</w:t>
      </w:r>
      <w:r w:rsidR="00CA299A" w:rsidRPr="007048BA">
        <w:rPr>
          <w:lang w:val="en-GB"/>
        </w:rPr>
        <w:t xml:space="preserve"> in the next period. Conversely, our results from models </w:t>
      </w:r>
      <w:r w:rsidR="009E3944" w:rsidRPr="007048BA">
        <w:rPr>
          <w:lang w:val="en-GB"/>
        </w:rPr>
        <w:t>3</w:t>
      </w:r>
      <w:r w:rsidR="00CA299A" w:rsidRPr="007048BA">
        <w:rPr>
          <w:lang w:val="en-GB"/>
        </w:rPr>
        <w:t xml:space="preserve"> and 6 suggest that </w:t>
      </w:r>
      <w:r w:rsidR="00E442A4" w:rsidRPr="007048BA">
        <w:rPr>
          <w:lang w:val="en-GB"/>
        </w:rPr>
        <w:t>firms</w:t>
      </w:r>
      <w:r w:rsidR="00CA299A" w:rsidRPr="007048BA">
        <w:rPr>
          <w:lang w:val="en-GB"/>
        </w:rPr>
        <w:t xml:space="preserve"> classified as </w:t>
      </w:r>
      <w:r w:rsidR="00ED262D" w:rsidRPr="007048BA">
        <w:rPr>
          <w:i/>
          <w:lang w:val="en-GB"/>
        </w:rPr>
        <w:t>hyperopia</w:t>
      </w:r>
      <w:r w:rsidR="00CA299A" w:rsidRPr="007048BA">
        <w:rPr>
          <w:lang w:val="en-GB"/>
        </w:rPr>
        <w:t xml:space="preserve"> in the current period tend to grow R&amp;D investment</w:t>
      </w:r>
      <w:r w:rsidR="00E442A4" w:rsidRPr="007048BA">
        <w:rPr>
          <w:lang w:val="en-GB"/>
        </w:rPr>
        <w:t xml:space="preserve"> (model 3) or</w:t>
      </w:r>
      <w:r w:rsidR="00CA299A" w:rsidRPr="007048BA">
        <w:rPr>
          <w:lang w:val="en-GB"/>
        </w:rPr>
        <w:t xml:space="preserve"> </w:t>
      </w:r>
      <w:r w:rsidR="00E442A4" w:rsidRPr="007048BA">
        <w:rPr>
          <w:lang w:val="en-GB"/>
        </w:rPr>
        <w:t xml:space="preserve">discretionary expenditures (model 7) </w:t>
      </w:r>
      <w:r w:rsidR="00CA299A" w:rsidRPr="007048BA">
        <w:rPr>
          <w:lang w:val="en-GB"/>
        </w:rPr>
        <w:t>in the next period. This finding is consistent with the extant literature, which document</w:t>
      </w:r>
      <w:r w:rsidR="001D681C" w:rsidRPr="007048BA">
        <w:rPr>
          <w:lang w:val="en-GB"/>
        </w:rPr>
        <w:t>s a positive relation between short-termism</w:t>
      </w:r>
      <w:r w:rsidR="00CA299A" w:rsidRPr="007048BA">
        <w:rPr>
          <w:lang w:val="en-GB"/>
        </w:rPr>
        <w:t xml:space="preserve"> and firm-level R&amp;D investments</w:t>
      </w:r>
      <w:r w:rsidR="001D681C" w:rsidRPr="007048BA">
        <w:rPr>
          <w:lang w:val="en-GB"/>
        </w:rPr>
        <w:t xml:space="preserve"> (Graham et al., 2006; </w:t>
      </w:r>
      <w:r w:rsidR="001D681C" w:rsidRPr="007048BA">
        <w:rPr>
          <w:rFonts w:cs="Times New Roman"/>
          <w:lang w:val="en-GB"/>
        </w:rPr>
        <w:t>Wahal and McConnell, 2000).</w:t>
      </w:r>
      <w:r w:rsidR="00CA299A" w:rsidRPr="007048BA">
        <w:rPr>
          <w:lang w:val="en-GB"/>
        </w:rPr>
        <w:t xml:space="preserve"> More importantly, it provides some empirical evidence of the tendency for our categories to correctly classify firms in terms of management </w:t>
      </w:r>
      <w:r w:rsidR="00B92219" w:rsidRPr="007048BA">
        <w:rPr>
          <w:lang w:val="en-GB"/>
        </w:rPr>
        <w:t>horizon</w:t>
      </w:r>
      <w:r w:rsidR="00CA299A" w:rsidRPr="007048BA">
        <w:rPr>
          <w:lang w:val="en-GB"/>
        </w:rPr>
        <w:t>.</w:t>
      </w:r>
      <w:r w:rsidR="009B7888" w:rsidRPr="007048BA">
        <w:rPr>
          <w:lang w:val="en-GB"/>
        </w:rPr>
        <w:t xml:space="preserve"> Notwithstanding, we find similarities between our </w:t>
      </w:r>
      <w:r w:rsidR="00ED262D" w:rsidRPr="007048BA">
        <w:rPr>
          <w:i/>
          <w:lang w:val="en-GB"/>
        </w:rPr>
        <w:t>poor</w:t>
      </w:r>
      <w:r w:rsidR="009B7888" w:rsidRPr="007048BA">
        <w:rPr>
          <w:lang w:val="en-GB"/>
        </w:rPr>
        <w:t xml:space="preserve"> and </w:t>
      </w:r>
      <w:r w:rsidR="00E442A4" w:rsidRPr="007048BA">
        <w:rPr>
          <w:i/>
          <w:lang w:val="en-GB"/>
        </w:rPr>
        <w:t>hyperopic</w:t>
      </w:r>
      <w:r w:rsidR="009B7888" w:rsidRPr="007048BA">
        <w:rPr>
          <w:lang w:val="en-GB"/>
        </w:rPr>
        <w:t>, as well as,</w:t>
      </w:r>
      <w:r w:rsidR="009B7888" w:rsidRPr="007048BA">
        <w:rPr>
          <w:i/>
          <w:lang w:val="en-GB"/>
        </w:rPr>
        <w:t xml:space="preserve"> </w:t>
      </w:r>
      <w:r w:rsidR="00ED262D" w:rsidRPr="007048BA">
        <w:rPr>
          <w:i/>
          <w:lang w:val="en-GB"/>
        </w:rPr>
        <w:t>myopic</w:t>
      </w:r>
      <w:r w:rsidR="009B7888" w:rsidRPr="007048BA">
        <w:rPr>
          <w:i/>
          <w:lang w:val="en-GB"/>
        </w:rPr>
        <w:t xml:space="preserve"> </w:t>
      </w:r>
      <w:r w:rsidR="009B7888" w:rsidRPr="007048BA">
        <w:rPr>
          <w:lang w:val="en-GB"/>
        </w:rPr>
        <w:t>and</w:t>
      </w:r>
      <w:r w:rsidR="009B7888" w:rsidRPr="007048BA">
        <w:rPr>
          <w:i/>
          <w:lang w:val="en-GB"/>
        </w:rPr>
        <w:t xml:space="preserve"> </w:t>
      </w:r>
      <w:r w:rsidR="00ED262D" w:rsidRPr="007048BA">
        <w:rPr>
          <w:i/>
          <w:lang w:val="en-GB"/>
        </w:rPr>
        <w:t>efficient</w:t>
      </w:r>
      <w:r w:rsidR="009B7888" w:rsidRPr="007048BA">
        <w:rPr>
          <w:i/>
          <w:lang w:val="en-GB"/>
        </w:rPr>
        <w:t xml:space="preserve"> </w:t>
      </w:r>
      <w:r w:rsidR="006B3320" w:rsidRPr="007048BA">
        <w:rPr>
          <w:lang w:val="en-GB"/>
        </w:rPr>
        <w:t>attributes</w:t>
      </w:r>
      <w:r w:rsidR="009B7888" w:rsidRPr="007048BA">
        <w:rPr>
          <w:i/>
          <w:lang w:val="en-GB"/>
        </w:rPr>
        <w:t>.</w:t>
      </w:r>
      <w:r w:rsidR="009B7888" w:rsidRPr="007048BA">
        <w:rPr>
          <w:lang w:val="en-GB"/>
        </w:rPr>
        <w:t xml:space="preserve"> That is, firms classified as </w:t>
      </w:r>
      <w:r w:rsidR="00ED262D" w:rsidRPr="007048BA">
        <w:rPr>
          <w:i/>
          <w:lang w:val="en-GB"/>
        </w:rPr>
        <w:t>poor</w:t>
      </w:r>
      <w:r w:rsidR="009B7888" w:rsidRPr="007048BA">
        <w:rPr>
          <w:lang w:val="en-GB"/>
        </w:rPr>
        <w:t xml:space="preserve"> (</w:t>
      </w:r>
      <w:r w:rsidR="00ED262D" w:rsidRPr="007048BA">
        <w:rPr>
          <w:i/>
          <w:lang w:val="en-GB"/>
        </w:rPr>
        <w:t>efficient</w:t>
      </w:r>
      <w:r w:rsidR="009B7888" w:rsidRPr="007048BA">
        <w:rPr>
          <w:lang w:val="en-GB"/>
        </w:rPr>
        <w:t>) also report higher (lower) R&amp;D investments</w:t>
      </w:r>
      <w:r w:rsidR="00E442A4" w:rsidRPr="007048BA">
        <w:rPr>
          <w:lang w:val="en-GB"/>
        </w:rPr>
        <w:t xml:space="preserve"> and abnormal discretionary expenses</w:t>
      </w:r>
      <w:r w:rsidR="009B7888" w:rsidRPr="007048BA">
        <w:rPr>
          <w:lang w:val="en-GB"/>
        </w:rPr>
        <w:t>.</w:t>
      </w:r>
    </w:p>
    <w:p w14:paraId="3BE6E1B0" w14:textId="2D1EFE1C" w:rsidR="00CA299A" w:rsidRPr="007048BA" w:rsidRDefault="00CA299A" w:rsidP="0031197E">
      <w:pPr>
        <w:rPr>
          <w:lang w:val="en-GB"/>
        </w:rPr>
      </w:pPr>
      <w:r w:rsidRPr="007048BA">
        <w:rPr>
          <w:lang w:val="en-GB"/>
        </w:rPr>
        <w:tab/>
        <w:t xml:space="preserve">Our </w:t>
      </w:r>
      <w:r w:rsidR="00452C30" w:rsidRPr="007048BA">
        <w:rPr>
          <w:lang w:val="en-GB"/>
        </w:rPr>
        <w:t>final</w:t>
      </w:r>
      <w:r w:rsidRPr="007048BA">
        <w:rPr>
          <w:lang w:val="en-GB"/>
        </w:rPr>
        <w:t xml:space="preserve"> validation test focuses on accrual earnings management. Prior research suggests that short-termist managers seeking to meet earnings targets can use a variety of accrual earnings management strategies (e.g., revenue recognition and bad debt </w:t>
      </w:r>
      <w:r w:rsidR="00D65A53" w:rsidRPr="007048BA">
        <w:rPr>
          <w:lang w:val="en-GB"/>
        </w:rPr>
        <w:t>manipulation</w:t>
      </w:r>
      <w:r w:rsidRPr="007048BA">
        <w:rPr>
          <w:lang w:val="en-GB"/>
        </w:rPr>
        <w:t xml:space="preserve">, amongst others) to inflate reported earnings </w:t>
      </w:r>
      <w:r w:rsidRPr="007048BA">
        <w:rPr>
          <w:rFonts w:cs="Times New Roman"/>
          <w:lang w:val="en-GB"/>
        </w:rPr>
        <w:t>(Dechow et al., 1995; Cohen and Zarowin, 2010)</w:t>
      </w:r>
      <w:r w:rsidRPr="007048BA">
        <w:rPr>
          <w:lang w:val="en-GB"/>
        </w:rPr>
        <w:t xml:space="preserve">. </w:t>
      </w:r>
      <w:r w:rsidR="005C68D2" w:rsidRPr="007048BA">
        <w:rPr>
          <w:lang w:val="en-GB"/>
        </w:rPr>
        <w:t>We use the modified-Jones model</w:t>
      </w:r>
      <w:r w:rsidRPr="007048BA">
        <w:rPr>
          <w:lang w:val="en-GB"/>
        </w:rPr>
        <w:t>, as specified in equations (</w:t>
      </w:r>
      <w:r w:rsidR="005C68D2" w:rsidRPr="007048BA">
        <w:rPr>
          <w:lang w:val="en-GB"/>
        </w:rPr>
        <w:t>4</w:t>
      </w:r>
      <w:r w:rsidRPr="007048BA">
        <w:rPr>
          <w:lang w:val="en-GB"/>
        </w:rPr>
        <w:t xml:space="preserve">) </w:t>
      </w:r>
      <w:r w:rsidR="005C68D2" w:rsidRPr="007048BA">
        <w:rPr>
          <w:lang w:val="en-GB"/>
        </w:rPr>
        <w:t>to</w:t>
      </w:r>
      <w:r w:rsidRPr="007048BA">
        <w:rPr>
          <w:lang w:val="en-GB"/>
        </w:rPr>
        <w:t xml:space="preserve"> (</w:t>
      </w:r>
      <w:r w:rsidR="005C68D2" w:rsidRPr="007048BA">
        <w:rPr>
          <w:lang w:val="en-GB"/>
        </w:rPr>
        <w:t>8</w:t>
      </w:r>
      <w:r w:rsidR="002E07ED" w:rsidRPr="007048BA">
        <w:rPr>
          <w:lang w:val="en-GB"/>
        </w:rPr>
        <w:t>)</w:t>
      </w:r>
      <w:r w:rsidR="00391D36" w:rsidRPr="007048BA">
        <w:rPr>
          <w:lang w:val="en-GB"/>
        </w:rPr>
        <w:t>,</w:t>
      </w:r>
      <w:r w:rsidR="002E07ED" w:rsidRPr="007048BA">
        <w:rPr>
          <w:lang w:val="en-GB"/>
        </w:rPr>
        <w:t xml:space="preserve"> to compute total and current discretionary </w:t>
      </w:r>
      <w:r w:rsidR="00391D36" w:rsidRPr="007048BA">
        <w:rPr>
          <w:lang w:val="en-GB"/>
        </w:rPr>
        <w:t xml:space="preserve">accruals. </w:t>
      </w:r>
      <w:r w:rsidR="0020694A" w:rsidRPr="007048BA">
        <w:rPr>
          <w:lang w:val="en-GB"/>
        </w:rPr>
        <w:t xml:space="preserve">Following </w:t>
      </w:r>
      <w:r w:rsidR="0020694A" w:rsidRPr="007048BA">
        <w:rPr>
          <w:rFonts w:cs="Times New Roman"/>
          <w:lang w:val="en-GB"/>
        </w:rPr>
        <w:t xml:space="preserve">Cohen and Zarowin (2010), we expect firms classified as </w:t>
      </w:r>
      <w:r w:rsidR="0020694A" w:rsidRPr="007048BA">
        <w:rPr>
          <w:rFonts w:cs="Times New Roman"/>
          <w:i/>
          <w:lang w:val="en-GB"/>
        </w:rPr>
        <w:t>myopic (hyperopic)</w:t>
      </w:r>
      <w:r w:rsidR="0020694A" w:rsidRPr="007048BA">
        <w:rPr>
          <w:rFonts w:cs="Times New Roman"/>
          <w:lang w:val="en-GB"/>
        </w:rPr>
        <w:t xml:space="preserve"> to report positive (negative) discretionary accruals.</w:t>
      </w:r>
      <w:r w:rsidR="00391D36" w:rsidRPr="007048BA">
        <w:rPr>
          <w:lang w:val="en-GB"/>
        </w:rPr>
        <w:t xml:space="preserve"> </w:t>
      </w:r>
      <w:r w:rsidR="0020694A" w:rsidRPr="007048BA">
        <w:rPr>
          <w:lang w:val="en-GB"/>
        </w:rPr>
        <w:t xml:space="preserve">For completeness, we also report results for our </w:t>
      </w:r>
      <w:r w:rsidR="0020694A" w:rsidRPr="007048BA">
        <w:rPr>
          <w:i/>
          <w:lang w:val="en-GB"/>
        </w:rPr>
        <w:t>poor</w:t>
      </w:r>
      <w:r w:rsidR="0020694A" w:rsidRPr="007048BA">
        <w:rPr>
          <w:lang w:val="en-GB"/>
        </w:rPr>
        <w:t xml:space="preserve"> and </w:t>
      </w:r>
      <w:r w:rsidR="0020694A" w:rsidRPr="007048BA">
        <w:rPr>
          <w:i/>
          <w:lang w:val="en-GB"/>
        </w:rPr>
        <w:t>efficient</w:t>
      </w:r>
      <w:r w:rsidR="0020694A" w:rsidRPr="007048BA">
        <w:rPr>
          <w:lang w:val="en-GB"/>
        </w:rPr>
        <w:t xml:space="preserve"> </w:t>
      </w:r>
      <w:r w:rsidR="0020694A" w:rsidRPr="007048BA">
        <w:rPr>
          <w:color w:val="FF0000"/>
          <w:lang w:val="en-GB"/>
        </w:rPr>
        <w:t>attributes</w:t>
      </w:r>
      <w:r w:rsidR="0020694A" w:rsidRPr="007048BA">
        <w:rPr>
          <w:lang w:val="en-GB"/>
        </w:rPr>
        <w:t xml:space="preserve">, but have no expectations for these 2 </w:t>
      </w:r>
      <w:r w:rsidR="006A2DE9" w:rsidRPr="007048BA">
        <w:rPr>
          <w:color w:val="FF0000"/>
          <w:lang w:val="en-GB"/>
        </w:rPr>
        <w:t>attributes</w:t>
      </w:r>
      <w:r w:rsidR="0020694A" w:rsidRPr="007048BA">
        <w:rPr>
          <w:lang w:val="en-GB"/>
        </w:rPr>
        <w:t xml:space="preserve">. In Table 5, we compare the mean and median discretionary accruals for firms across the four </w:t>
      </w:r>
      <w:r w:rsidR="006A2DE9" w:rsidRPr="007048BA">
        <w:rPr>
          <w:color w:val="FF0000"/>
          <w:lang w:val="en-GB"/>
        </w:rPr>
        <w:t>attributes</w:t>
      </w:r>
      <w:r w:rsidR="0020694A" w:rsidRPr="007048BA">
        <w:rPr>
          <w:lang w:val="en-GB"/>
        </w:rPr>
        <w:t xml:space="preserve">. </w:t>
      </w:r>
    </w:p>
    <w:p w14:paraId="23B77F53" w14:textId="0EC72407" w:rsidR="00CA299A" w:rsidRPr="007048BA" w:rsidRDefault="00CA299A" w:rsidP="00005B9F">
      <w:pPr>
        <w:ind w:firstLine="720"/>
        <w:jc w:val="center"/>
        <w:rPr>
          <w:rFonts w:cs="Times New Roman"/>
          <w:b/>
          <w:lang w:val="en-GB"/>
        </w:rPr>
      </w:pPr>
      <w:r w:rsidRPr="007048BA">
        <w:rPr>
          <w:rFonts w:cs="Times New Roman"/>
          <w:b/>
          <w:lang w:val="en-GB"/>
        </w:rPr>
        <w:t xml:space="preserve">[Insert Table </w:t>
      </w:r>
      <w:r w:rsidR="00F63862" w:rsidRPr="007048BA">
        <w:rPr>
          <w:rFonts w:cs="Times New Roman"/>
          <w:b/>
          <w:lang w:val="en-GB"/>
        </w:rPr>
        <w:t>5</w:t>
      </w:r>
      <w:r w:rsidRPr="007048BA">
        <w:rPr>
          <w:rFonts w:cs="Times New Roman"/>
          <w:b/>
          <w:lang w:val="en-GB"/>
        </w:rPr>
        <w:t xml:space="preserve"> about here]</w:t>
      </w:r>
    </w:p>
    <w:p w14:paraId="257ADDF6" w14:textId="71385482" w:rsidR="00F63862" w:rsidRPr="007048BA" w:rsidRDefault="00F63862" w:rsidP="00F63862">
      <w:pPr>
        <w:ind w:firstLine="720"/>
        <w:jc w:val="center"/>
        <w:rPr>
          <w:rFonts w:cs="Times New Roman"/>
          <w:b/>
          <w:lang w:val="en-GB"/>
        </w:rPr>
      </w:pPr>
      <w:r w:rsidRPr="007048BA">
        <w:rPr>
          <w:rFonts w:cs="Times New Roman"/>
          <w:b/>
          <w:lang w:val="en-GB"/>
        </w:rPr>
        <w:t>[Insert Table 6 about here]</w:t>
      </w:r>
    </w:p>
    <w:p w14:paraId="042552B6" w14:textId="496409FD" w:rsidR="00C553AA" w:rsidRPr="007048BA" w:rsidRDefault="00CA299A" w:rsidP="00CA299A">
      <w:pPr>
        <w:ind w:firstLine="720"/>
        <w:rPr>
          <w:rFonts w:cs="Times New Roman"/>
          <w:lang w:val="en-GB"/>
        </w:rPr>
      </w:pPr>
      <w:r w:rsidRPr="007048BA">
        <w:rPr>
          <w:rFonts w:cs="Times New Roman"/>
          <w:lang w:val="en-GB"/>
        </w:rPr>
        <w:t xml:space="preserve">Our results </w:t>
      </w:r>
      <w:r w:rsidR="007D2D8F" w:rsidRPr="007048BA">
        <w:rPr>
          <w:rFonts w:cs="Times New Roman"/>
          <w:lang w:val="en-GB"/>
        </w:rPr>
        <w:t xml:space="preserve">from Table 5 </w:t>
      </w:r>
      <w:r w:rsidRPr="007048BA">
        <w:rPr>
          <w:rFonts w:cs="Times New Roman"/>
          <w:lang w:val="en-GB"/>
        </w:rPr>
        <w:t>show that</w:t>
      </w:r>
      <w:r w:rsidR="007D2D8F" w:rsidRPr="007048BA">
        <w:rPr>
          <w:rFonts w:cs="Times New Roman"/>
          <w:lang w:val="en-GB"/>
        </w:rPr>
        <w:t xml:space="preserve"> </w:t>
      </w:r>
      <w:r w:rsidRPr="007048BA">
        <w:rPr>
          <w:rFonts w:cs="Times New Roman"/>
          <w:lang w:val="en-GB"/>
        </w:rPr>
        <w:t xml:space="preserve">observations classified </w:t>
      </w:r>
      <w:r w:rsidR="00B92219" w:rsidRPr="007048BA">
        <w:rPr>
          <w:rFonts w:cs="Times New Roman"/>
          <w:lang w:val="en-GB"/>
        </w:rPr>
        <w:t xml:space="preserve">as </w:t>
      </w:r>
      <w:r w:rsidR="00ED262D" w:rsidRPr="007048BA">
        <w:rPr>
          <w:rFonts w:cs="Times New Roman"/>
          <w:i/>
          <w:lang w:val="en-GB"/>
        </w:rPr>
        <w:t>myopia</w:t>
      </w:r>
      <w:r w:rsidR="00C54D98" w:rsidRPr="007048BA">
        <w:rPr>
          <w:rFonts w:cs="Times New Roman"/>
          <w:lang w:val="en-GB"/>
        </w:rPr>
        <w:t xml:space="preserve"> </w:t>
      </w:r>
      <w:r w:rsidRPr="007048BA">
        <w:rPr>
          <w:rFonts w:cs="Times New Roman"/>
          <w:lang w:val="en-GB"/>
        </w:rPr>
        <w:t>report positive discretionary accruals</w:t>
      </w:r>
      <w:r w:rsidR="00A1390A" w:rsidRPr="007048BA">
        <w:rPr>
          <w:rFonts w:cs="Times New Roman"/>
          <w:lang w:val="en-GB"/>
        </w:rPr>
        <w:t xml:space="preserve"> (both total and current)</w:t>
      </w:r>
      <w:r w:rsidR="0022579D" w:rsidRPr="007048BA">
        <w:rPr>
          <w:rFonts w:cs="Times New Roman"/>
          <w:lang w:val="en-GB"/>
        </w:rPr>
        <w:t>,</w:t>
      </w:r>
      <w:r w:rsidRPr="007048BA">
        <w:rPr>
          <w:rFonts w:cs="Times New Roman"/>
          <w:lang w:val="en-GB"/>
        </w:rPr>
        <w:t xml:space="preserve"> while </w:t>
      </w:r>
      <w:r w:rsidR="007D2D8F" w:rsidRPr="007048BA">
        <w:rPr>
          <w:rFonts w:cs="Times New Roman"/>
          <w:lang w:val="en-GB"/>
        </w:rPr>
        <w:t xml:space="preserve">those classified as </w:t>
      </w:r>
      <w:r w:rsidR="00ED262D" w:rsidRPr="007048BA">
        <w:rPr>
          <w:rFonts w:cs="Times New Roman"/>
          <w:i/>
          <w:lang w:val="en-GB"/>
        </w:rPr>
        <w:t>hyperopia</w:t>
      </w:r>
      <w:r w:rsidRPr="007048BA">
        <w:rPr>
          <w:rFonts w:cs="Times New Roman"/>
          <w:lang w:val="en-GB"/>
        </w:rPr>
        <w:t xml:space="preserve"> report negative discretionary accruals. The difference in mean </w:t>
      </w:r>
      <w:r w:rsidR="00C54D98" w:rsidRPr="007048BA">
        <w:rPr>
          <w:rFonts w:cs="Times New Roman"/>
          <w:lang w:val="en-GB"/>
        </w:rPr>
        <w:t xml:space="preserve">and median </w:t>
      </w:r>
      <w:r w:rsidRPr="007048BA">
        <w:rPr>
          <w:rFonts w:cs="Times New Roman"/>
          <w:lang w:val="en-GB"/>
        </w:rPr>
        <w:t xml:space="preserve">discretionary accruals for the two categories </w:t>
      </w:r>
      <w:r w:rsidR="00C553AA" w:rsidRPr="007048BA">
        <w:rPr>
          <w:rFonts w:cs="Times New Roman"/>
          <w:lang w:val="en-GB"/>
        </w:rPr>
        <w:t xml:space="preserve">(i.e., </w:t>
      </w:r>
      <w:r w:rsidR="00C553AA" w:rsidRPr="007048BA">
        <w:rPr>
          <w:rFonts w:cs="Times New Roman"/>
          <w:i/>
          <w:lang w:val="en-GB"/>
        </w:rPr>
        <w:t>(2)-(3)</w:t>
      </w:r>
      <w:r w:rsidR="00C553AA" w:rsidRPr="007048BA">
        <w:rPr>
          <w:rFonts w:cs="Times New Roman"/>
          <w:lang w:val="en-GB"/>
        </w:rPr>
        <w:t xml:space="preserve">) </w:t>
      </w:r>
      <w:r w:rsidRPr="007048BA">
        <w:rPr>
          <w:rFonts w:cs="Times New Roman"/>
          <w:lang w:val="en-GB"/>
        </w:rPr>
        <w:t>is significant at the 1</w:t>
      </w:r>
      <w:r w:rsidR="00A1390A" w:rsidRPr="007048BA">
        <w:rPr>
          <w:rFonts w:cs="Times New Roman"/>
          <w:lang w:val="en-GB"/>
        </w:rPr>
        <w:t>0</w:t>
      </w:r>
      <w:r w:rsidRPr="007048BA">
        <w:rPr>
          <w:rFonts w:cs="Times New Roman"/>
          <w:lang w:val="en-GB"/>
        </w:rPr>
        <w:t xml:space="preserve"> percent level. This suggest that firm-year observations we classify under the </w:t>
      </w:r>
      <w:r w:rsidR="00ED262D" w:rsidRPr="007048BA">
        <w:rPr>
          <w:rFonts w:cs="Times New Roman"/>
          <w:i/>
          <w:lang w:val="en-GB"/>
        </w:rPr>
        <w:t>myopia</w:t>
      </w:r>
      <w:r w:rsidRPr="007048BA">
        <w:rPr>
          <w:rFonts w:cs="Times New Roman"/>
          <w:lang w:val="en-GB"/>
        </w:rPr>
        <w:t xml:space="preserve"> category are more likely to be associated with </w:t>
      </w:r>
      <w:r w:rsidR="007D2D8F" w:rsidRPr="007048BA">
        <w:rPr>
          <w:rFonts w:cs="Times New Roman"/>
          <w:lang w:val="en-GB"/>
        </w:rPr>
        <w:t xml:space="preserve">upward </w:t>
      </w:r>
      <w:r w:rsidRPr="007048BA">
        <w:rPr>
          <w:rFonts w:cs="Times New Roman"/>
          <w:lang w:val="en-GB"/>
        </w:rPr>
        <w:t xml:space="preserve">accrual earnings management when compared to their </w:t>
      </w:r>
      <w:r w:rsidR="00ED262D" w:rsidRPr="007048BA">
        <w:rPr>
          <w:rFonts w:cs="Times New Roman"/>
          <w:i/>
          <w:lang w:val="en-GB"/>
        </w:rPr>
        <w:t>hyperopia</w:t>
      </w:r>
      <w:r w:rsidRPr="007048BA">
        <w:rPr>
          <w:rFonts w:cs="Times New Roman"/>
          <w:lang w:val="en-GB"/>
        </w:rPr>
        <w:t xml:space="preserve"> counterparts</w:t>
      </w:r>
      <w:r w:rsidR="00FF01C2" w:rsidRPr="007048BA">
        <w:rPr>
          <w:rFonts w:cs="Times New Roman"/>
          <w:lang w:val="en-GB"/>
        </w:rPr>
        <w:t>,</w:t>
      </w:r>
      <w:r w:rsidR="007D2D8F" w:rsidRPr="007048BA">
        <w:rPr>
          <w:rFonts w:cs="Times New Roman"/>
          <w:lang w:val="en-GB"/>
        </w:rPr>
        <w:t xml:space="preserve"> who appear to manage earnings downward</w:t>
      </w:r>
      <w:r w:rsidRPr="007048BA">
        <w:rPr>
          <w:rFonts w:cs="Times New Roman"/>
          <w:lang w:val="en-GB"/>
        </w:rPr>
        <w:t xml:space="preserve">. </w:t>
      </w:r>
      <w:r w:rsidR="00FF01C2" w:rsidRPr="007048BA">
        <w:rPr>
          <w:rFonts w:cs="Times New Roman"/>
          <w:lang w:val="en-GB"/>
        </w:rPr>
        <w:t xml:space="preserve">When we explore differences in discretionary accruals reported by the </w:t>
      </w:r>
      <w:r w:rsidR="00C553AA" w:rsidRPr="007048BA">
        <w:rPr>
          <w:rFonts w:cs="Times New Roman"/>
          <w:lang w:val="en-GB"/>
        </w:rPr>
        <w:t>other</w:t>
      </w:r>
      <w:r w:rsidR="00FF01C2" w:rsidRPr="007048BA">
        <w:rPr>
          <w:rFonts w:cs="Times New Roman"/>
          <w:lang w:val="en-GB"/>
        </w:rPr>
        <w:t xml:space="preserve"> categories, we find statistically significant differences between </w:t>
      </w:r>
      <w:r w:rsidR="00ED262D" w:rsidRPr="007048BA">
        <w:rPr>
          <w:rFonts w:cs="Times New Roman"/>
          <w:i/>
          <w:lang w:val="en-GB"/>
        </w:rPr>
        <w:t>poor</w:t>
      </w:r>
      <w:r w:rsidR="00FF01C2" w:rsidRPr="007048BA">
        <w:rPr>
          <w:rFonts w:cs="Times New Roman"/>
          <w:lang w:val="en-GB"/>
        </w:rPr>
        <w:t xml:space="preserve"> and </w:t>
      </w:r>
      <w:r w:rsidR="00ED262D" w:rsidRPr="007048BA">
        <w:rPr>
          <w:rFonts w:cs="Times New Roman"/>
          <w:i/>
          <w:lang w:val="en-GB"/>
        </w:rPr>
        <w:lastRenderedPageBreak/>
        <w:t>myopia</w:t>
      </w:r>
      <w:r w:rsidR="00FF01C2" w:rsidRPr="007048BA">
        <w:rPr>
          <w:rFonts w:cs="Times New Roman"/>
          <w:lang w:val="en-GB"/>
        </w:rPr>
        <w:t xml:space="preserve">, and </w:t>
      </w:r>
      <w:r w:rsidR="00ED262D" w:rsidRPr="007048BA">
        <w:rPr>
          <w:rFonts w:cs="Times New Roman"/>
          <w:i/>
          <w:lang w:val="en-GB"/>
        </w:rPr>
        <w:t>hyperopia</w:t>
      </w:r>
      <w:r w:rsidR="00FF01C2" w:rsidRPr="007048BA">
        <w:rPr>
          <w:rFonts w:cs="Times New Roman"/>
          <w:lang w:val="en-GB"/>
        </w:rPr>
        <w:t xml:space="preserve"> and </w:t>
      </w:r>
      <w:r w:rsidR="00ED262D" w:rsidRPr="007048BA">
        <w:rPr>
          <w:rFonts w:cs="Times New Roman"/>
          <w:i/>
          <w:lang w:val="en-GB"/>
        </w:rPr>
        <w:t>efficient</w:t>
      </w:r>
      <w:r w:rsidR="00FF01C2" w:rsidRPr="007048BA">
        <w:rPr>
          <w:rFonts w:cs="Times New Roman"/>
          <w:lang w:val="en-GB"/>
        </w:rPr>
        <w:t xml:space="preserve">. As in Table 4, we do not find significant differences between our </w:t>
      </w:r>
      <w:r w:rsidR="00ED262D" w:rsidRPr="007048BA">
        <w:rPr>
          <w:rFonts w:cs="Times New Roman"/>
          <w:i/>
          <w:lang w:val="en-GB"/>
        </w:rPr>
        <w:t>poor</w:t>
      </w:r>
      <w:r w:rsidR="00FF01C2" w:rsidRPr="007048BA">
        <w:rPr>
          <w:rFonts w:cs="Times New Roman"/>
          <w:lang w:val="en-GB"/>
        </w:rPr>
        <w:t xml:space="preserve"> and </w:t>
      </w:r>
      <w:r w:rsidR="00ED262D" w:rsidRPr="007048BA">
        <w:rPr>
          <w:rFonts w:cs="Times New Roman"/>
          <w:i/>
          <w:lang w:val="en-GB"/>
        </w:rPr>
        <w:t>hyperopia</w:t>
      </w:r>
      <w:r w:rsidR="00D40B77" w:rsidRPr="007048BA">
        <w:rPr>
          <w:rFonts w:cs="Times New Roman"/>
          <w:lang w:val="en-GB"/>
        </w:rPr>
        <w:t xml:space="preserve"> or between our</w:t>
      </w:r>
      <w:r w:rsidR="00FF01C2" w:rsidRPr="007048BA">
        <w:rPr>
          <w:rFonts w:cs="Times New Roman"/>
          <w:lang w:val="en-GB"/>
        </w:rPr>
        <w:t xml:space="preserve"> </w:t>
      </w:r>
      <w:r w:rsidR="00ED262D" w:rsidRPr="007048BA">
        <w:rPr>
          <w:rFonts w:cs="Times New Roman"/>
          <w:i/>
          <w:lang w:val="en-GB"/>
        </w:rPr>
        <w:t>myopia</w:t>
      </w:r>
      <w:r w:rsidR="00FF01C2" w:rsidRPr="007048BA">
        <w:rPr>
          <w:rFonts w:cs="Times New Roman"/>
          <w:lang w:val="en-GB"/>
        </w:rPr>
        <w:t xml:space="preserve"> and </w:t>
      </w:r>
      <w:r w:rsidR="00ED262D" w:rsidRPr="007048BA">
        <w:rPr>
          <w:rFonts w:cs="Times New Roman"/>
          <w:i/>
          <w:lang w:val="en-GB"/>
        </w:rPr>
        <w:t>efficient</w:t>
      </w:r>
      <w:r w:rsidR="00FF01C2" w:rsidRPr="007048BA">
        <w:rPr>
          <w:rFonts w:cs="Times New Roman"/>
          <w:lang w:val="en-GB"/>
        </w:rPr>
        <w:t xml:space="preserve"> </w:t>
      </w:r>
      <w:r w:rsidR="006B3320" w:rsidRPr="007048BA">
        <w:rPr>
          <w:rFonts w:cs="Times New Roman"/>
          <w:lang w:val="en-GB"/>
        </w:rPr>
        <w:t>attributes</w:t>
      </w:r>
      <w:r w:rsidR="00FF01C2" w:rsidRPr="007048BA">
        <w:rPr>
          <w:rFonts w:cs="Times New Roman"/>
          <w:lang w:val="en-GB"/>
        </w:rPr>
        <w:t>, in terms of levels of discretionary accruals.</w:t>
      </w:r>
      <w:r w:rsidR="00030E2E" w:rsidRPr="007048BA">
        <w:rPr>
          <w:rFonts w:cs="Times New Roman"/>
          <w:lang w:val="en-GB"/>
        </w:rPr>
        <w:t xml:space="preserve"> </w:t>
      </w:r>
    </w:p>
    <w:p w14:paraId="75736775" w14:textId="51FEC8CE" w:rsidR="00CA299A" w:rsidRPr="007048BA" w:rsidRDefault="00030E2E" w:rsidP="00CA299A">
      <w:pPr>
        <w:ind w:firstLine="720"/>
        <w:rPr>
          <w:rFonts w:cs="Times New Roman"/>
          <w:lang w:val="en-GB"/>
        </w:rPr>
      </w:pPr>
      <w:r w:rsidRPr="007048BA">
        <w:rPr>
          <w:rFonts w:cs="Times New Roman"/>
          <w:lang w:val="en-GB"/>
        </w:rPr>
        <w:t>Our regres</w:t>
      </w:r>
      <w:r w:rsidR="00C553AA" w:rsidRPr="007048BA">
        <w:rPr>
          <w:rFonts w:cs="Times New Roman"/>
          <w:lang w:val="en-GB"/>
        </w:rPr>
        <w:t>sion results in Table 6 confirm</w:t>
      </w:r>
      <w:r w:rsidRPr="007048BA">
        <w:rPr>
          <w:rFonts w:cs="Times New Roman"/>
          <w:lang w:val="en-GB"/>
        </w:rPr>
        <w:t xml:space="preserve"> that</w:t>
      </w:r>
      <w:r w:rsidR="00827423" w:rsidRPr="007048BA">
        <w:rPr>
          <w:rFonts w:cs="Times New Roman"/>
          <w:lang w:val="en-GB"/>
        </w:rPr>
        <w:t>, after controlling for firm, industry and year characteristics,</w:t>
      </w:r>
      <w:r w:rsidRPr="007048BA">
        <w:rPr>
          <w:rFonts w:cs="Times New Roman"/>
          <w:lang w:val="en-GB"/>
        </w:rPr>
        <w:t xml:space="preserve"> levels of </w:t>
      </w:r>
      <w:r w:rsidR="00C53582" w:rsidRPr="007048BA">
        <w:rPr>
          <w:rFonts w:cs="Times New Roman"/>
          <w:lang w:val="en-GB"/>
        </w:rPr>
        <w:t xml:space="preserve">current </w:t>
      </w:r>
      <w:r w:rsidRPr="007048BA">
        <w:rPr>
          <w:rFonts w:cs="Times New Roman"/>
          <w:lang w:val="en-GB"/>
        </w:rPr>
        <w:t xml:space="preserve">discretionary accruals decline with </w:t>
      </w:r>
      <w:r w:rsidR="00ED262D" w:rsidRPr="007048BA">
        <w:rPr>
          <w:rFonts w:cs="Times New Roman"/>
          <w:i/>
          <w:lang w:val="en-GB"/>
        </w:rPr>
        <w:t>poor</w:t>
      </w:r>
      <w:r w:rsidRPr="007048BA">
        <w:rPr>
          <w:rFonts w:cs="Times New Roman"/>
          <w:lang w:val="en-GB"/>
        </w:rPr>
        <w:t xml:space="preserve"> and </w:t>
      </w:r>
      <w:r w:rsidR="00ED262D" w:rsidRPr="007048BA">
        <w:rPr>
          <w:rFonts w:cs="Times New Roman"/>
          <w:i/>
          <w:lang w:val="en-GB"/>
        </w:rPr>
        <w:t>hyperopia</w:t>
      </w:r>
      <w:r w:rsidRPr="007048BA">
        <w:rPr>
          <w:rFonts w:cs="Times New Roman"/>
          <w:lang w:val="en-GB"/>
        </w:rPr>
        <w:t xml:space="preserve"> but increase with </w:t>
      </w:r>
      <w:r w:rsidR="00ED262D" w:rsidRPr="007048BA">
        <w:rPr>
          <w:rFonts w:cs="Times New Roman"/>
          <w:i/>
          <w:lang w:val="en-GB"/>
        </w:rPr>
        <w:t>myopia</w:t>
      </w:r>
      <w:r w:rsidRPr="007048BA">
        <w:rPr>
          <w:rFonts w:cs="Times New Roman"/>
          <w:lang w:val="en-GB"/>
        </w:rPr>
        <w:t xml:space="preserve"> and </w:t>
      </w:r>
      <w:r w:rsidR="00ED262D" w:rsidRPr="007048BA">
        <w:rPr>
          <w:rFonts w:cs="Times New Roman"/>
          <w:i/>
          <w:lang w:val="en-GB"/>
        </w:rPr>
        <w:t>efficient</w:t>
      </w:r>
      <w:r w:rsidR="00827423" w:rsidRPr="007048BA">
        <w:rPr>
          <w:rFonts w:cs="Times New Roman"/>
          <w:lang w:val="en-GB"/>
        </w:rPr>
        <w:t>.</w:t>
      </w:r>
      <w:r w:rsidR="007D4FFC" w:rsidRPr="007048BA">
        <w:rPr>
          <w:rFonts w:cs="Times New Roman"/>
          <w:lang w:val="en-GB"/>
        </w:rPr>
        <w:t xml:space="preserve"> </w:t>
      </w:r>
      <w:r w:rsidR="00CA299A" w:rsidRPr="007048BA">
        <w:rPr>
          <w:rFonts w:cs="Times New Roman"/>
          <w:lang w:val="en-GB"/>
        </w:rPr>
        <w:t xml:space="preserve">These results are robust to different model specifications including the use of the original (unmodified) Jones (1991) model to compute </w:t>
      </w:r>
      <w:r w:rsidR="00B92219" w:rsidRPr="007048BA">
        <w:rPr>
          <w:rFonts w:cs="Times New Roman"/>
          <w:lang w:val="en-GB"/>
        </w:rPr>
        <w:t>discretionary</w:t>
      </w:r>
      <w:r w:rsidR="00E33BF9" w:rsidRPr="007048BA">
        <w:rPr>
          <w:rFonts w:cs="Times New Roman"/>
          <w:lang w:val="en-GB"/>
        </w:rPr>
        <w:t xml:space="preserve"> accruals, as well as, the use of total </w:t>
      </w:r>
      <w:r w:rsidR="00C53582" w:rsidRPr="007048BA">
        <w:rPr>
          <w:rFonts w:cs="Times New Roman"/>
          <w:lang w:val="en-GB"/>
        </w:rPr>
        <w:t xml:space="preserve">discretionary </w:t>
      </w:r>
      <w:r w:rsidR="00E33BF9" w:rsidRPr="007048BA">
        <w:rPr>
          <w:rFonts w:cs="Times New Roman"/>
          <w:lang w:val="en-GB"/>
        </w:rPr>
        <w:t xml:space="preserve">accruals instead of current </w:t>
      </w:r>
      <w:r w:rsidR="00C53582" w:rsidRPr="007048BA">
        <w:rPr>
          <w:rFonts w:cs="Times New Roman"/>
          <w:lang w:val="en-GB"/>
        </w:rPr>
        <w:t xml:space="preserve">discretionary </w:t>
      </w:r>
      <w:r w:rsidR="00E33BF9" w:rsidRPr="007048BA">
        <w:rPr>
          <w:rFonts w:cs="Times New Roman"/>
          <w:lang w:val="en-GB"/>
        </w:rPr>
        <w:t>accruals.</w:t>
      </w:r>
      <w:r w:rsidR="00C553AA" w:rsidRPr="007048BA">
        <w:rPr>
          <w:rFonts w:cs="Times New Roman"/>
          <w:lang w:val="en-GB"/>
        </w:rPr>
        <w:t xml:space="preserve"> </w:t>
      </w:r>
      <w:r w:rsidR="007D4FFC" w:rsidRPr="007048BA">
        <w:rPr>
          <w:rFonts w:cs="Times New Roman"/>
          <w:lang w:val="en-GB"/>
        </w:rPr>
        <w:t xml:space="preserve">While the results suggest some similarities between firms in our </w:t>
      </w:r>
      <w:r w:rsidR="00ED262D" w:rsidRPr="007048BA">
        <w:rPr>
          <w:rFonts w:cs="Times New Roman"/>
          <w:i/>
          <w:lang w:val="en-GB"/>
        </w:rPr>
        <w:t>poor</w:t>
      </w:r>
      <w:r w:rsidR="007D4FFC" w:rsidRPr="007048BA">
        <w:rPr>
          <w:rFonts w:cs="Times New Roman"/>
          <w:lang w:val="en-GB"/>
        </w:rPr>
        <w:t xml:space="preserve"> and </w:t>
      </w:r>
      <w:r w:rsidR="00ED262D" w:rsidRPr="007048BA">
        <w:rPr>
          <w:rFonts w:cs="Times New Roman"/>
          <w:i/>
          <w:lang w:val="en-GB"/>
        </w:rPr>
        <w:t>hyperopia</w:t>
      </w:r>
      <w:r w:rsidR="007D4FFC" w:rsidRPr="007048BA">
        <w:rPr>
          <w:rFonts w:cs="Times New Roman"/>
          <w:lang w:val="en-GB"/>
        </w:rPr>
        <w:t xml:space="preserve">, as well as, </w:t>
      </w:r>
      <w:r w:rsidR="00ED262D" w:rsidRPr="007048BA">
        <w:rPr>
          <w:rFonts w:cs="Times New Roman"/>
          <w:i/>
          <w:lang w:val="en-GB"/>
        </w:rPr>
        <w:t>myopia</w:t>
      </w:r>
      <w:r w:rsidR="007D4FFC" w:rsidRPr="007048BA">
        <w:rPr>
          <w:rFonts w:cs="Times New Roman"/>
          <w:lang w:val="en-GB"/>
        </w:rPr>
        <w:t xml:space="preserve"> and </w:t>
      </w:r>
      <w:r w:rsidR="00ED262D" w:rsidRPr="007048BA">
        <w:rPr>
          <w:rFonts w:cs="Times New Roman"/>
          <w:i/>
          <w:lang w:val="en-GB"/>
        </w:rPr>
        <w:t>efficient</w:t>
      </w:r>
      <w:r w:rsidR="007D4FFC" w:rsidRPr="007048BA">
        <w:rPr>
          <w:rFonts w:cs="Times New Roman"/>
          <w:lang w:val="en-GB"/>
        </w:rPr>
        <w:t xml:space="preserve"> </w:t>
      </w:r>
      <w:r w:rsidR="006B3320" w:rsidRPr="007048BA">
        <w:rPr>
          <w:rFonts w:cs="Times New Roman"/>
          <w:lang w:val="en-GB"/>
        </w:rPr>
        <w:t>attributes</w:t>
      </w:r>
      <w:r w:rsidR="007D4FFC" w:rsidRPr="007048BA">
        <w:rPr>
          <w:rFonts w:cs="Times New Roman"/>
          <w:lang w:val="en-GB"/>
        </w:rPr>
        <w:t xml:space="preserve">, in terms of R&amp;D investments and discretionary accruals, our results in the next section will demonstrate that firms within these </w:t>
      </w:r>
      <w:r w:rsidR="006B3320" w:rsidRPr="007048BA">
        <w:rPr>
          <w:rFonts w:cs="Times New Roman"/>
          <w:lang w:val="en-GB"/>
        </w:rPr>
        <w:t>attributes</w:t>
      </w:r>
      <w:r w:rsidR="007D4FFC" w:rsidRPr="007048BA">
        <w:rPr>
          <w:rFonts w:cs="Times New Roman"/>
          <w:lang w:val="en-GB"/>
        </w:rPr>
        <w:t xml:space="preserve"> face distinct takeover risks.</w:t>
      </w:r>
    </w:p>
    <w:p w14:paraId="6754DF66" w14:textId="77777777" w:rsidR="00CA299A" w:rsidRPr="007048BA" w:rsidRDefault="00CA299A" w:rsidP="00CA299A">
      <w:pPr>
        <w:pStyle w:val="Heading2"/>
        <w:keepNext w:val="0"/>
        <w:keepLines w:val="0"/>
        <w:numPr>
          <w:ilvl w:val="1"/>
          <w:numId w:val="7"/>
        </w:numPr>
        <w:autoSpaceDE w:val="0"/>
        <w:autoSpaceDN w:val="0"/>
        <w:adjustRightInd w:val="0"/>
        <w:spacing w:before="240" w:after="120" w:line="240" w:lineRule="auto"/>
        <w:ind w:left="805" w:hanging="805"/>
        <w:contextualSpacing/>
        <w:rPr>
          <w:lang w:val="en-GB"/>
        </w:rPr>
      </w:pPr>
      <w:r w:rsidRPr="007048BA">
        <w:rPr>
          <w:lang w:val="en-GB"/>
        </w:rPr>
        <w:t>Management performance and takeover likelihood</w:t>
      </w:r>
    </w:p>
    <w:p w14:paraId="3E0B3B79" w14:textId="4D742E14" w:rsidR="00CA299A" w:rsidRPr="007048BA" w:rsidRDefault="00B75971" w:rsidP="00CA299A">
      <w:pPr>
        <w:ind w:firstLine="720"/>
        <w:rPr>
          <w:rFonts w:cs="Times New Roman"/>
          <w:lang w:val="en-GB"/>
        </w:rPr>
      </w:pPr>
      <w:r w:rsidRPr="007048BA">
        <w:rPr>
          <w:rFonts w:cs="Times New Roman"/>
          <w:lang w:val="en-GB"/>
        </w:rPr>
        <w:t xml:space="preserve">We apply our framework </w:t>
      </w:r>
      <w:r w:rsidR="00CA299A" w:rsidRPr="007048BA">
        <w:rPr>
          <w:rFonts w:cs="Times New Roman"/>
          <w:lang w:val="en-GB"/>
        </w:rPr>
        <w:t>to retest the management inefficiency hypothesis. P</w:t>
      </w:r>
      <w:r w:rsidR="003B5659" w:rsidRPr="007048BA">
        <w:rPr>
          <w:rFonts w:cs="Times New Roman"/>
          <w:lang w:val="en-GB"/>
        </w:rPr>
        <w:t xml:space="preserve">rior studies generally test this </w:t>
      </w:r>
      <w:r w:rsidR="00CA299A" w:rsidRPr="007048BA">
        <w:rPr>
          <w:rFonts w:cs="Times New Roman"/>
          <w:lang w:val="en-GB"/>
        </w:rPr>
        <w:t xml:space="preserve">hypothesis by investigating whether targets underperform </w:t>
      </w:r>
      <w:r w:rsidR="003B5659" w:rsidRPr="007048BA">
        <w:rPr>
          <w:rFonts w:cs="Times New Roman"/>
          <w:lang w:val="en-GB"/>
        </w:rPr>
        <w:t xml:space="preserve">(relative to non-targets) </w:t>
      </w:r>
      <w:r w:rsidR="00CA299A" w:rsidRPr="007048BA">
        <w:rPr>
          <w:rFonts w:cs="Times New Roman"/>
          <w:lang w:val="en-GB"/>
        </w:rPr>
        <w:t>prior to takeovers (Agarwal and Jaffe, 2003; Powell and Yawson, 2007) and also by investigating whether takeover likelihood increases with firm performance (Palepu 1986; Ambrose and Megginson, 1992; Powell and Yawson, 2007). We first replicate traditional tests to demonstrate how the lack of a comprehensive framework for calibrating management performance leads to inconclusive results.</w:t>
      </w:r>
    </w:p>
    <w:p w14:paraId="4FF56E9E" w14:textId="2DC26C28" w:rsidR="00CA299A" w:rsidRPr="007048BA" w:rsidRDefault="00CA299A" w:rsidP="00CA299A">
      <w:pPr>
        <w:ind w:firstLine="720"/>
        <w:rPr>
          <w:rFonts w:cs="Times New Roman"/>
          <w:lang w:val="en-GB"/>
        </w:rPr>
      </w:pPr>
      <w:r w:rsidRPr="007048BA">
        <w:rPr>
          <w:rFonts w:cs="Times New Roman"/>
          <w:lang w:val="en-GB"/>
        </w:rPr>
        <w:t xml:space="preserve">In untabulated results, targets have a mean </w:t>
      </w:r>
      <w:r w:rsidRPr="007048BA">
        <w:rPr>
          <w:rFonts w:cs="Times New Roman"/>
          <w:i/>
          <w:iCs/>
          <w:lang w:val="en-GB"/>
        </w:rPr>
        <w:t>ROCE</w:t>
      </w:r>
      <w:r w:rsidRPr="007048BA">
        <w:rPr>
          <w:rFonts w:cs="Times New Roman"/>
          <w:lang w:val="en-GB"/>
        </w:rPr>
        <w:t xml:space="preserve"> of </w:t>
      </w:r>
      <w:r w:rsidR="00812AD9" w:rsidRPr="007048BA">
        <w:rPr>
          <w:rFonts w:cs="Times New Roman"/>
          <w:lang w:val="en-GB"/>
        </w:rPr>
        <w:t>9.2</w:t>
      </w:r>
      <w:r w:rsidRPr="007048BA">
        <w:rPr>
          <w:rFonts w:cs="Times New Roman"/>
          <w:lang w:val="en-GB"/>
        </w:rPr>
        <w:t xml:space="preserve"> percent compared to the </w:t>
      </w:r>
      <w:r w:rsidR="00812AD9" w:rsidRPr="007048BA">
        <w:rPr>
          <w:rFonts w:cs="Times New Roman"/>
          <w:lang w:val="en-GB"/>
        </w:rPr>
        <w:t>2.8</w:t>
      </w:r>
      <w:r w:rsidRPr="007048BA">
        <w:rPr>
          <w:rFonts w:cs="Times New Roman"/>
          <w:lang w:val="en-GB"/>
        </w:rPr>
        <w:t xml:space="preserve"> percent for no</w:t>
      </w:r>
      <w:r w:rsidR="00812AD9" w:rsidRPr="007048BA">
        <w:rPr>
          <w:rFonts w:cs="Times New Roman"/>
          <w:lang w:val="en-GB"/>
        </w:rPr>
        <w:t>n-targets. The difference of 6.4</w:t>
      </w:r>
      <w:r w:rsidRPr="007048BA">
        <w:rPr>
          <w:rFonts w:cs="Times New Roman"/>
          <w:lang w:val="en-GB"/>
        </w:rPr>
        <w:t xml:space="preserve"> percentage points is statistically significant at the 1 percent level (</w:t>
      </w:r>
      <w:r w:rsidR="00D44A7E" w:rsidRPr="007048BA">
        <w:rPr>
          <w:rFonts w:cs="Times New Roman"/>
          <w:i/>
          <w:lang w:val="en-GB"/>
        </w:rPr>
        <w:t>p-value</w:t>
      </w:r>
      <w:r w:rsidRPr="007048BA">
        <w:rPr>
          <w:rFonts w:cs="Times New Roman"/>
          <w:lang w:val="en-GB"/>
        </w:rPr>
        <w:t xml:space="preserve"> of 0.000)</w:t>
      </w:r>
      <w:r w:rsidRPr="007048BA">
        <w:rPr>
          <w:rStyle w:val="FootnoteReference"/>
          <w:rFonts w:cs="Times New Roman"/>
          <w:lang w:val="en-GB"/>
        </w:rPr>
        <w:footnoteReference w:id="10"/>
      </w:r>
      <w:r w:rsidRPr="007048BA">
        <w:rPr>
          <w:rFonts w:cs="Times New Roman"/>
          <w:lang w:val="en-GB"/>
        </w:rPr>
        <w:t xml:space="preserve">. These results do not support the management inefficiency hypothesis that targets underperform (compared to non-targets) prior to takeovers. They are, nonetheless, consistent with the findings of several studies, including Agarwal and Jaffe (2003) and Danbolt et al. (2016). The results obtained using market measures of performance are in stark contrast. Consistent with the predictions of the management inefficiency hypothesis, targets report significantly lower </w:t>
      </w:r>
      <w:r w:rsidRPr="007048BA">
        <w:rPr>
          <w:rFonts w:cs="Times New Roman"/>
          <w:i/>
          <w:iCs/>
          <w:lang w:val="en-GB"/>
        </w:rPr>
        <w:t>AAR</w:t>
      </w:r>
      <w:r w:rsidRPr="007048BA">
        <w:rPr>
          <w:rFonts w:cs="Times New Roman"/>
          <w:lang w:val="en-GB"/>
        </w:rPr>
        <w:t xml:space="preserve"> in the year prior to acquisitions compared to their non-target counterparts. On average, targets achieve negative </w:t>
      </w:r>
      <w:r w:rsidRPr="007048BA">
        <w:rPr>
          <w:rFonts w:cs="Times New Roman"/>
          <w:i/>
          <w:iCs/>
          <w:lang w:val="en-GB"/>
        </w:rPr>
        <w:t>AAR</w:t>
      </w:r>
      <w:r w:rsidRPr="007048BA">
        <w:rPr>
          <w:rFonts w:cs="Times New Roman"/>
          <w:lang w:val="en-GB"/>
        </w:rPr>
        <w:t xml:space="preserve"> of -</w:t>
      </w:r>
      <w:r w:rsidR="00B96F63" w:rsidRPr="007048BA">
        <w:rPr>
          <w:rFonts w:cs="Times New Roman"/>
          <w:lang w:val="en-GB"/>
        </w:rPr>
        <w:t>4.02</w:t>
      </w:r>
      <w:r w:rsidRPr="007048BA">
        <w:rPr>
          <w:rFonts w:cs="Times New Roman"/>
          <w:lang w:val="en-GB"/>
        </w:rPr>
        <w:t xml:space="preserve"> percent </w:t>
      </w:r>
      <w:r w:rsidR="00B96F63" w:rsidRPr="007048BA">
        <w:rPr>
          <w:rFonts w:cs="Times New Roman"/>
          <w:lang w:val="en-GB"/>
        </w:rPr>
        <w:t xml:space="preserve">per year </w:t>
      </w:r>
      <w:r w:rsidRPr="007048BA">
        <w:rPr>
          <w:rFonts w:cs="Times New Roman"/>
          <w:lang w:val="en-GB"/>
        </w:rPr>
        <w:t xml:space="preserve">compared to abnormal returns of </w:t>
      </w:r>
      <w:r w:rsidR="00B96F63" w:rsidRPr="007048BA">
        <w:rPr>
          <w:rFonts w:cs="Times New Roman"/>
          <w:lang w:val="en-GB"/>
        </w:rPr>
        <w:t>-1.06</w:t>
      </w:r>
      <w:r w:rsidRPr="007048BA">
        <w:rPr>
          <w:rFonts w:cs="Times New Roman"/>
          <w:lang w:val="en-GB"/>
        </w:rPr>
        <w:t xml:space="preserve"> percent </w:t>
      </w:r>
      <w:r w:rsidR="00B96F63" w:rsidRPr="007048BA">
        <w:rPr>
          <w:rFonts w:cs="Times New Roman"/>
          <w:lang w:val="en-GB"/>
        </w:rPr>
        <w:t xml:space="preserve">per year </w:t>
      </w:r>
      <w:r w:rsidRPr="007048BA">
        <w:rPr>
          <w:rFonts w:cs="Times New Roman"/>
          <w:lang w:val="en-GB"/>
        </w:rPr>
        <w:t xml:space="preserve">earned by non-targets. The difference in mean of </w:t>
      </w:r>
      <w:r w:rsidR="00B96F63" w:rsidRPr="007048BA">
        <w:rPr>
          <w:rFonts w:cs="Times New Roman"/>
          <w:lang w:val="en-GB"/>
        </w:rPr>
        <w:t>3</w:t>
      </w:r>
      <w:r w:rsidRPr="007048BA">
        <w:rPr>
          <w:rFonts w:cs="Times New Roman"/>
          <w:lang w:val="en-GB"/>
        </w:rPr>
        <w:t xml:space="preserve"> percentage points is statistically significant at the </w:t>
      </w:r>
      <w:r w:rsidR="00B96F63" w:rsidRPr="007048BA">
        <w:rPr>
          <w:rFonts w:cs="Times New Roman"/>
          <w:lang w:val="en-GB"/>
        </w:rPr>
        <w:t>5</w:t>
      </w:r>
      <w:r w:rsidRPr="007048BA">
        <w:rPr>
          <w:rFonts w:cs="Times New Roman"/>
          <w:lang w:val="en-GB"/>
        </w:rPr>
        <w:t xml:space="preserve"> percent level (</w:t>
      </w:r>
      <w:r w:rsidR="00D44A7E" w:rsidRPr="007048BA">
        <w:rPr>
          <w:rFonts w:cs="Times New Roman"/>
          <w:i/>
          <w:iCs/>
          <w:lang w:val="en-GB"/>
        </w:rPr>
        <w:t>p-value</w:t>
      </w:r>
      <w:r w:rsidRPr="007048BA">
        <w:rPr>
          <w:rFonts w:cs="Times New Roman"/>
          <w:lang w:val="en-GB"/>
        </w:rPr>
        <w:t xml:space="preserve"> of 0.0</w:t>
      </w:r>
      <w:r w:rsidR="00B96F63" w:rsidRPr="007048BA">
        <w:rPr>
          <w:rFonts w:cs="Times New Roman"/>
          <w:lang w:val="en-GB"/>
        </w:rPr>
        <w:t>33</w:t>
      </w:r>
      <w:r w:rsidRPr="007048BA">
        <w:rPr>
          <w:rFonts w:cs="Times New Roman"/>
          <w:lang w:val="en-GB"/>
        </w:rPr>
        <w:t xml:space="preserve">). These results are generally robust to deal characteristics, industry differences and differences across years. </w:t>
      </w:r>
    </w:p>
    <w:p w14:paraId="6F991B78" w14:textId="0E2049C5" w:rsidR="00CA299A" w:rsidRPr="007048BA" w:rsidRDefault="00B75971" w:rsidP="00CA299A">
      <w:pPr>
        <w:ind w:firstLine="720"/>
        <w:rPr>
          <w:rFonts w:cs="Times New Roman"/>
          <w:lang w:val="en-GB"/>
        </w:rPr>
      </w:pPr>
      <w:r w:rsidRPr="007048BA">
        <w:rPr>
          <w:rFonts w:cs="Times New Roman"/>
          <w:lang w:val="en-GB"/>
        </w:rPr>
        <w:lastRenderedPageBreak/>
        <w:t xml:space="preserve">This inconclusive </w:t>
      </w:r>
      <w:r w:rsidR="00CA299A" w:rsidRPr="007048BA">
        <w:rPr>
          <w:rFonts w:cs="Times New Roman"/>
          <w:lang w:val="en-GB"/>
        </w:rPr>
        <w:t xml:space="preserve">evidence </w:t>
      </w:r>
      <w:r w:rsidRPr="007048BA">
        <w:rPr>
          <w:rFonts w:cs="Times New Roman"/>
          <w:lang w:val="en-GB"/>
        </w:rPr>
        <w:t>on</w:t>
      </w:r>
      <w:r w:rsidR="00CA299A" w:rsidRPr="007048BA">
        <w:rPr>
          <w:rFonts w:cs="Times New Roman"/>
          <w:lang w:val="en-GB"/>
        </w:rPr>
        <w:t xml:space="preserve"> the management inefficiency hypothesis persists in a multivariate analytical setting in which we regress takeover likelihood on standard accounting and market measures of performance.</w:t>
      </w:r>
      <w:r w:rsidR="00CA299A" w:rsidRPr="007048BA">
        <w:rPr>
          <w:rStyle w:val="FootnoteReference"/>
          <w:rFonts w:cs="Times New Roman"/>
          <w:lang w:val="en-GB"/>
        </w:rPr>
        <w:footnoteReference w:id="11"/>
      </w:r>
      <w:r w:rsidR="00CA299A" w:rsidRPr="007048BA">
        <w:rPr>
          <w:rFonts w:cs="Times New Roman"/>
          <w:lang w:val="en-GB"/>
        </w:rPr>
        <w:t xml:space="preserve"> The results for panel logit </w:t>
      </w:r>
      <w:r w:rsidR="00983D57" w:rsidRPr="007048BA">
        <w:rPr>
          <w:rFonts w:cs="Times New Roman"/>
          <w:lang w:val="en-GB"/>
        </w:rPr>
        <w:t xml:space="preserve">(fixed effects) </w:t>
      </w:r>
      <w:r w:rsidR="00CA299A" w:rsidRPr="007048BA">
        <w:rPr>
          <w:rFonts w:cs="Times New Roman"/>
          <w:lang w:val="en-GB"/>
        </w:rPr>
        <w:t>regressions are presented in Table 7 (model 1).</w:t>
      </w:r>
      <w:r w:rsidR="00983D57" w:rsidRPr="007048BA">
        <w:rPr>
          <w:rStyle w:val="FootnoteReference"/>
          <w:rFonts w:cs="Times New Roman"/>
          <w:lang w:val="en-GB"/>
        </w:rPr>
        <w:footnoteReference w:id="12"/>
      </w:r>
      <w:r w:rsidR="00CA299A" w:rsidRPr="007048BA">
        <w:rPr>
          <w:rFonts w:cs="Times New Roman"/>
          <w:lang w:val="en-GB"/>
        </w:rPr>
        <w:t xml:space="preserve"> The dependent variable is takeover likelihood (dummy) and the predictor variables are measures of management performance and the control variables defined in Appendix 1. All independent variables in the models are lagged by one period to partly control for endogeneity (reverse causality</w:t>
      </w:r>
      <w:r w:rsidR="00D855F3" w:rsidRPr="007048BA">
        <w:rPr>
          <w:rFonts w:cs="Times New Roman"/>
          <w:lang w:val="en-GB"/>
        </w:rPr>
        <w:t xml:space="preserve"> bias</w:t>
      </w:r>
      <w:r w:rsidR="00CA299A" w:rsidRPr="007048BA">
        <w:rPr>
          <w:rFonts w:cs="Times New Roman"/>
          <w:lang w:val="en-GB"/>
        </w:rPr>
        <w:t xml:space="preserve">). The variables of interest are </w:t>
      </w:r>
      <w:r w:rsidR="00CA299A" w:rsidRPr="007048BA">
        <w:rPr>
          <w:rFonts w:cs="Times New Roman"/>
          <w:i/>
          <w:iCs/>
          <w:lang w:val="en-GB"/>
        </w:rPr>
        <w:t>ROCE</w:t>
      </w:r>
      <w:r w:rsidR="00CA299A" w:rsidRPr="007048BA">
        <w:rPr>
          <w:rFonts w:cs="Times New Roman"/>
          <w:lang w:val="en-GB"/>
        </w:rPr>
        <w:t xml:space="preserve"> (accounting measure of management performance) and </w:t>
      </w:r>
      <w:r w:rsidR="00CA299A" w:rsidRPr="007048BA">
        <w:rPr>
          <w:rFonts w:cs="Times New Roman"/>
          <w:i/>
          <w:iCs/>
          <w:lang w:val="en-GB"/>
        </w:rPr>
        <w:t>AAR</w:t>
      </w:r>
      <w:r w:rsidR="00CA299A" w:rsidRPr="007048BA">
        <w:rPr>
          <w:rFonts w:cs="Times New Roman"/>
          <w:lang w:val="en-GB"/>
        </w:rPr>
        <w:t xml:space="preserve"> (</w:t>
      </w:r>
      <w:r w:rsidR="00CA299A" w:rsidRPr="007048BA">
        <w:rPr>
          <w:rFonts w:cs="Times New Roman"/>
          <w:noProof/>
          <w:lang w:val="en-GB"/>
        </w:rPr>
        <w:t>market</w:t>
      </w:r>
      <w:r w:rsidR="00CA299A" w:rsidRPr="007048BA">
        <w:rPr>
          <w:rFonts w:cs="Times New Roman"/>
          <w:lang w:val="en-GB"/>
        </w:rPr>
        <w:t xml:space="preserve"> measure of management performance). Consistent with the results from the univariate analysis, the results show that takeover likelihood declines with </w:t>
      </w:r>
      <w:r w:rsidR="00CA299A" w:rsidRPr="007048BA">
        <w:rPr>
          <w:rFonts w:cs="Times New Roman"/>
          <w:i/>
          <w:iCs/>
          <w:lang w:val="en-GB"/>
        </w:rPr>
        <w:t>AAR</w:t>
      </w:r>
      <w:r w:rsidR="00CA299A" w:rsidRPr="007048BA">
        <w:rPr>
          <w:rFonts w:cs="Times New Roman"/>
          <w:lang w:val="en-GB"/>
        </w:rPr>
        <w:t xml:space="preserve"> and increases with </w:t>
      </w:r>
      <w:r w:rsidR="00CA299A" w:rsidRPr="007048BA">
        <w:rPr>
          <w:rFonts w:cs="Times New Roman"/>
          <w:i/>
          <w:iCs/>
          <w:lang w:val="en-GB"/>
        </w:rPr>
        <w:t>ROCE</w:t>
      </w:r>
      <w:r w:rsidR="00CA299A" w:rsidRPr="007048BA">
        <w:rPr>
          <w:rFonts w:cs="Times New Roman"/>
          <w:lang w:val="en-GB"/>
        </w:rPr>
        <w:t xml:space="preserve"> after controlling for other determinants of takeover likelihood. These results are also robust to bid characteristics</w:t>
      </w:r>
      <w:r w:rsidRPr="007048BA">
        <w:rPr>
          <w:rFonts w:cs="Times New Roman"/>
          <w:lang w:val="en-GB"/>
        </w:rPr>
        <w:t xml:space="preserve"> (untabulated),</w:t>
      </w:r>
      <w:r w:rsidR="00CA299A" w:rsidRPr="007048BA">
        <w:rPr>
          <w:rFonts w:cs="Times New Roman"/>
          <w:lang w:val="en-GB"/>
        </w:rPr>
        <w:t xml:space="preserve"> mirror the findings of prior studies (Palepu, 1986; Danbolt et al., 2016)</w:t>
      </w:r>
      <w:r w:rsidR="0022579D" w:rsidRPr="007048BA">
        <w:rPr>
          <w:rFonts w:cs="Times New Roman"/>
          <w:lang w:val="en-GB"/>
        </w:rPr>
        <w:t>,</w:t>
      </w:r>
      <w:r w:rsidR="00CA299A" w:rsidRPr="007048BA">
        <w:rPr>
          <w:rFonts w:cs="Times New Roman"/>
          <w:lang w:val="en-GB"/>
        </w:rPr>
        <w:t xml:space="preserve"> and are consistent with other studies exploring the management inefficiency hypothesis (e.g., Frank and Mayer, 1996; Agarwal and Jaffe, 2003</w:t>
      </w:r>
      <w:r w:rsidR="001C1F17" w:rsidRPr="007048BA">
        <w:rPr>
          <w:rFonts w:cs="Times New Roman"/>
          <w:lang w:val="en-GB"/>
        </w:rPr>
        <w:t xml:space="preserve">. </w:t>
      </w:r>
      <w:r w:rsidR="00CA299A" w:rsidRPr="007048BA">
        <w:rPr>
          <w:rFonts w:cs="Times New Roman"/>
          <w:lang w:val="en-GB"/>
        </w:rPr>
        <w:t xml:space="preserve">These results are </w:t>
      </w:r>
      <w:r w:rsidRPr="007048BA">
        <w:rPr>
          <w:rFonts w:cs="Times New Roman"/>
          <w:lang w:val="en-GB"/>
        </w:rPr>
        <w:t>inconclusive</w:t>
      </w:r>
      <w:r w:rsidR="00CA299A" w:rsidRPr="007048BA">
        <w:rPr>
          <w:rFonts w:cs="Times New Roman"/>
          <w:lang w:val="en-GB"/>
        </w:rPr>
        <w:t xml:space="preserve"> as they neither support nor refute the management inefficiency hypothesis. </w:t>
      </w:r>
    </w:p>
    <w:p w14:paraId="57337B23" w14:textId="77777777" w:rsidR="00CA299A" w:rsidRPr="007048BA" w:rsidRDefault="00CA299A" w:rsidP="00CA299A">
      <w:pPr>
        <w:ind w:firstLine="720"/>
        <w:jc w:val="center"/>
        <w:rPr>
          <w:rFonts w:cs="Times New Roman"/>
          <w:b/>
          <w:lang w:val="en-GB"/>
        </w:rPr>
      </w:pPr>
      <w:r w:rsidRPr="007048BA">
        <w:rPr>
          <w:rFonts w:cs="Times New Roman"/>
          <w:b/>
          <w:lang w:val="en-GB"/>
        </w:rPr>
        <w:t xml:space="preserve">[Insert Table 7 about here] </w:t>
      </w:r>
    </w:p>
    <w:p w14:paraId="60F4E7EF" w14:textId="05675156" w:rsidR="00CA299A" w:rsidRPr="007048BA" w:rsidRDefault="00B75971" w:rsidP="001C1F17">
      <w:pPr>
        <w:ind w:firstLine="720"/>
        <w:rPr>
          <w:rFonts w:cs="Times New Roman"/>
          <w:lang w:val="en-GB"/>
        </w:rPr>
      </w:pPr>
      <w:r w:rsidRPr="007048BA">
        <w:rPr>
          <w:rFonts w:cs="Times New Roman"/>
          <w:lang w:val="en-GB"/>
        </w:rPr>
        <w:t xml:space="preserve">Next, we replace traditional measures of performance (ROCE and AAR) in model 1, with proxies for </w:t>
      </w:r>
      <w:r w:rsidR="00ED262D" w:rsidRPr="007048BA">
        <w:rPr>
          <w:rFonts w:cs="Times New Roman"/>
          <w:i/>
          <w:lang w:val="en-GB"/>
        </w:rPr>
        <w:t>poor</w:t>
      </w:r>
      <w:r w:rsidRPr="007048BA">
        <w:rPr>
          <w:rFonts w:cs="Times New Roman"/>
          <w:i/>
          <w:lang w:val="en-GB"/>
        </w:rPr>
        <w:t xml:space="preserve"> </w:t>
      </w:r>
      <w:r w:rsidRPr="007048BA">
        <w:rPr>
          <w:rFonts w:cs="Times New Roman"/>
          <w:lang w:val="en-GB"/>
        </w:rPr>
        <w:t>(model 2)</w:t>
      </w:r>
      <w:r w:rsidRPr="007048BA">
        <w:rPr>
          <w:rFonts w:cs="Times New Roman"/>
          <w:i/>
          <w:lang w:val="en-GB"/>
        </w:rPr>
        <w:t xml:space="preserve">, </w:t>
      </w:r>
      <w:r w:rsidR="00ED262D" w:rsidRPr="007048BA">
        <w:rPr>
          <w:rFonts w:cs="Times New Roman"/>
          <w:i/>
          <w:lang w:val="en-GB"/>
        </w:rPr>
        <w:t>myopia</w:t>
      </w:r>
      <w:r w:rsidRPr="007048BA">
        <w:rPr>
          <w:rFonts w:cs="Times New Roman"/>
          <w:i/>
          <w:lang w:val="en-GB"/>
        </w:rPr>
        <w:t xml:space="preserve"> </w:t>
      </w:r>
      <w:r w:rsidRPr="007048BA">
        <w:rPr>
          <w:rFonts w:cs="Times New Roman"/>
          <w:lang w:val="en-GB"/>
        </w:rPr>
        <w:t>(model 3)</w:t>
      </w:r>
      <w:r w:rsidRPr="007048BA">
        <w:rPr>
          <w:rFonts w:cs="Times New Roman"/>
          <w:i/>
          <w:lang w:val="en-GB"/>
        </w:rPr>
        <w:t xml:space="preserve">, </w:t>
      </w:r>
      <w:r w:rsidR="00ED262D" w:rsidRPr="007048BA">
        <w:rPr>
          <w:rFonts w:cs="Times New Roman"/>
          <w:i/>
          <w:lang w:val="en-GB"/>
        </w:rPr>
        <w:t>hyperopia</w:t>
      </w:r>
      <w:r w:rsidRPr="007048BA">
        <w:rPr>
          <w:rFonts w:cs="Times New Roman"/>
          <w:i/>
          <w:lang w:val="en-GB"/>
        </w:rPr>
        <w:t xml:space="preserve"> </w:t>
      </w:r>
      <w:r w:rsidRPr="007048BA">
        <w:rPr>
          <w:rFonts w:cs="Times New Roman"/>
          <w:lang w:val="en-GB"/>
        </w:rPr>
        <w:t xml:space="preserve">(model 4) and </w:t>
      </w:r>
      <w:r w:rsidR="00ED262D" w:rsidRPr="007048BA">
        <w:rPr>
          <w:rFonts w:cs="Times New Roman"/>
          <w:i/>
          <w:lang w:val="en-GB"/>
        </w:rPr>
        <w:t>efficient</w:t>
      </w:r>
      <w:r w:rsidRPr="007048BA">
        <w:rPr>
          <w:rFonts w:cs="Times New Roman"/>
          <w:i/>
          <w:lang w:val="en-GB"/>
        </w:rPr>
        <w:t xml:space="preserve"> </w:t>
      </w:r>
      <w:r w:rsidRPr="007048BA">
        <w:rPr>
          <w:rFonts w:cs="Times New Roman"/>
          <w:lang w:val="en-GB"/>
        </w:rPr>
        <w:t xml:space="preserve">(model 5) management. </w:t>
      </w:r>
      <w:r w:rsidR="00CA299A" w:rsidRPr="007048BA">
        <w:rPr>
          <w:rFonts w:cs="Times New Roman"/>
          <w:lang w:val="en-GB"/>
        </w:rPr>
        <w:t xml:space="preserve">We find that, consistent with our first hypothesis, takeover likelihood increases with </w:t>
      </w:r>
      <w:r w:rsidR="00ED262D" w:rsidRPr="007048BA">
        <w:rPr>
          <w:rFonts w:cs="Times New Roman"/>
          <w:i/>
          <w:iCs/>
          <w:lang w:val="en-GB"/>
        </w:rPr>
        <w:t>poor</w:t>
      </w:r>
      <w:r w:rsidR="00CA299A" w:rsidRPr="007048BA">
        <w:rPr>
          <w:rFonts w:cs="Times New Roman"/>
          <w:i/>
          <w:iCs/>
          <w:lang w:val="en-GB"/>
        </w:rPr>
        <w:t xml:space="preserve"> </w:t>
      </w:r>
      <w:r w:rsidR="00CA299A" w:rsidRPr="007048BA">
        <w:rPr>
          <w:rFonts w:cs="Times New Roman"/>
          <w:lang w:val="en-GB"/>
        </w:rPr>
        <w:t>management</w:t>
      </w:r>
      <w:r w:rsidR="00506A05" w:rsidRPr="007048BA">
        <w:rPr>
          <w:rFonts w:cs="Times New Roman"/>
          <w:lang w:val="en-GB"/>
        </w:rPr>
        <w:t xml:space="preserve"> (model 2)</w:t>
      </w:r>
      <w:r w:rsidR="00CA299A" w:rsidRPr="007048BA">
        <w:rPr>
          <w:rFonts w:cs="Times New Roman"/>
          <w:i/>
          <w:iCs/>
          <w:lang w:val="en-GB"/>
        </w:rPr>
        <w:t>,</w:t>
      </w:r>
      <w:r w:rsidR="00CA299A" w:rsidRPr="007048BA">
        <w:rPr>
          <w:rFonts w:cs="Times New Roman"/>
          <w:lang w:val="en-GB"/>
        </w:rPr>
        <w:t xml:space="preserve"> but declines with </w:t>
      </w:r>
      <w:r w:rsidR="00ED262D" w:rsidRPr="007048BA">
        <w:rPr>
          <w:rFonts w:cs="Times New Roman"/>
          <w:i/>
          <w:iCs/>
          <w:lang w:val="en-GB"/>
        </w:rPr>
        <w:t>efficient</w:t>
      </w:r>
      <w:r w:rsidR="00CA299A" w:rsidRPr="007048BA">
        <w:rPr>
          <w:rFonts w:cs="Times New Roman"/>
          <w:lang w:val="en-GB"/>
        </w:rPr>
        <w:t xml:space="preserve"> management</w:t>
      </w:r>
      <w:r w:rsidR="00506A05" w:rsidRPr="007048BA">
        <w:rPr>
          <w:rFonts w:cs="Times New Roman"/>
          <w:lang w:val="en-GB"/>
        </w:rPr>
        <w:t xml:space="preserve"> (model 5)</w:t>
      </w:r>
      <w:r w:rsidR="00CA299A" w:rsidRPr="007048BA">
        <w:rPr>
          <w:rFonts w:cs="Times New Roman"/>
          <w:lang w:val="en-GB"/>
        </w:rPr>
        <w:t xml:space="preserve">. This suggests that managers that achieve high accounting and high stock market performance (i.e., efficient managers) are less likely to be targeted by takeovers, when compared to managers that achieve low accounting and low stock market performance. This result is also consistent with the predictions of the management inefficiency hypothesis (Palepu, 1986; Brar et al., 2009; Danbolt et al., 2016). </w:t>
      </w:r>
      <w:r w:rsidR="00506A05" w:rsidRPr="007048BA">
        <w:rPr>
          <w:rFonts w:cs="Times New Roman"/>
          <w:lang w:val="en-GB"/>
        </w:rPr>
        <w:t xml:space="preserve">The results also </w:t>
      </w:r>
      <w:r w:rsidR="00CA299A" w:rsidRPr="007048BA">
        <w:rPr>
          <w:rFonts w:cs="Times New Roman"/>
          <w:lang w:val="en-GB"/>
        </w:rPr>
        <w:t xml:space="preserve">show that, consistent with our second hypothesis, takeover likelihood increases with </w:t>
      </w:r>
      <w:r w:rsidR="00ED262D" w:rsidRPr="007048BA">
        <w:rPr>
          <w:rFonts w:cs="Times New Roman"/>
          <w:i/>
          <w:lang w:val="en-GB"/>
        </w:rPr>
        <w:t>myopia</w:t>
      </w:r>
      <w:r w:rsidR="00CA299A" w:rsidRPr="007048BA">
        <w:rPr>
          <w:rFonts w:cs="Times New Roman"/>
          <w:lang w:val="en-GB"/>
        </w:rPr>
        <w:t xml:space="preserve"> </w:t>
      </w:r>
      <w:r w:rsidR="00506A05" w:rsidRPr="007048BA">
        <w:rPr>
          <w:rFonts w:cs="Times New Roman"/>
          <w:lang w:val="en-GB"/>
        </w:rPr>
        <w:t xml:space="preserve">(model 3) </w:t>
      </w:r>
      <w:r w:rsidR="00CA299A" w:rsidRPr="007048BA">
        <w:rPr>
          <w:rFonts w:cs="Times New Roman"/>
          <w:lang w:val="en-GB"/>
        </w:rPr>
        <w:t xml:space="preserve">but declines with </w:t>
      </w:r>
      <w:r w:rsidR="00ED262D" w:rsidRPr="007048BA">
        <w:rPr>
          <w:rFonts w:cs="Times New Roman"/>
          <w:i/>
          <w:lang w:val="en-GB"/>
        </w:rPr>
        <w:t>hyperopia</w:t>
      </w:r>
      <w:r w:rsidR="00506A05" w:rsidRPr="007048BA">
        <w:rPr>
          <w:rFonts w:cs="Times New Roman"/>
          <w:i/>
          <w:lang w:val="en-GB"/>
        </w:rPr>
        <w:t xml:space="preserve"> </w:t>
      </w:r>
      <w:r w:rsidR="00506A05" w:rsidRPr="007048BA">
        <w:rPr>
          <w:rFonts w:cs="Times New Roman"/>
          <w:lang w:val="en-GB"/>
        </w:rPr>
        <w:t>(model 4)</w:t>
      </w:r>
      <w:r w:rsidR="00CA299A" w:rsidRPr="007048BA">
        <w:rPr>
          <w:rFonts w:cs="Times New Roman"/>
          <w:lang w:val="en-GB"/>
        </w:rPr>
        <w:t xml:space="preserve">. </w:t>
      </w:r>
      <w:r w:rsidR="00516C72" w:rsidRPr="007048BA">
        <w:rPr>
          <w:rFonts w:cs="Times New Roman"/>
          <w:lang w:val="en-GB"/>
        </w:rPr>
        <w:t xml:space="preserve">In model 8, we include </w:t>
      </w:r>
      <w:r w:rsidR="00516C72" w:rsidRPr="007048BA">
        <w:rPr>
          <w:rFonts w:cs="Times New Roman"/>
          <w:i/>
          <w:lang w:val="en-GB"/>
        </w:rPr>
        <w:t>poor</w:t>
      </w:r>
      <w:r w:rsidR="00516C72" w:rsidRPr="007048BA">
        <w:rPr>
          <w:rFonts w:cs="Times New Roman"/>
          <w:lang w:val="en-GB"/>
        </w:rPr>
        <w:t xml:space="preserve">, </w:t>
      </w:r>
      <w:r w:rsidR="00516C72" w:rsidRPr="007048BA">
        <w:rPr>
          <w:rFonts w:cs="Times New Roman"/>
          <w:i/>
          <w:lang w:val="en-GB"/>
        </w:rPr>
        <w:t>myopia</w:t>
      </w:r>
      <w:r w:rsidR="00516C72" w:rsidRPr="007048BA">
        <w:rPr>
          <w:rFonts w:cs="Times New Roman"/>
          <w:lang w:val="en-GB"/>
        </w:rPr>
        <w:t xml:space="preserve"> and</w:t>
      </w:r>
      <w:r w:rsidR="00516C72" w:rsidRPr="007048BA">
        <w:rPr>
          <w:rFonts w:cs="Times New Roman"/>
          <w:i/>
          <w:lang w:val="en-GB"/>
        </w:rPr>
        <w:t xml:space="preserve"> hyperopia </w:t>
      </w:r>
      <w:r w:rsidR="00516C72" w:rsidRPr="007048BA">
        <w:rPr>
          <w:rFonts w:cs="Times New Roman"/>
          <w:lang w:val="en-GB"/>
        </w:rPr>
        <w:t xml:space="preserve">in the model, with </w:t>
      </w:r>
      <w:r w:rsidR="00516C72" w:rsidRPr="007048BA">
        <w:rPr>
          <w:rFonts w:cs="Times New Roman"/>
          <w:i/>
          <w:lang w:val="en-GB"/>
        </w:rPr>
        <w:t>efficient</w:t>
      </w:r>
      <w:r w:rsidR="00516C72" w:rsidRPr="007048BA">
        <w:rPr>
          <w:rFonts w:cs="Times New Roman"/>
          <w:lang w:val="en-GB"/>
        </w:rPr>
        <w:t xml:space="preserve"> acting as the reference category. The results show that </w:t>
      </w:r>
      <w:r w:rsidR="00516C72" w:rsidRPr="007048BA">
        <w:rPr>
          <w:rFonts w:cs="Times New Roman"/>
          <w:i/>
          <w:lang w:val="en-GB"/>
        </w:rPr>
        <w:t>poor</w:t>
      </w:r>
      <w:r w:rsidR="00516C72" w:rsidRPr="007048BA">
        <w:rPr>
          <w:rFonts w:cs="Times New Roman"/>
          <w:lang w:val="en-GB"/>
        </w:rPr>
        <w:t xml:space="preserve"> and </w:t>
      </w:r>
      <w:r w:rsidR="00516C72" w:rsidRPr="007048BA">
        <w:rPr>
          <w:rFonts w:cs="Times New Roman"/>
          <w:i/>
          <w:lang w:val="en-GB"/>
        </w:rPr>
        <w:t xml:space="preserve">myopic </w:t>
      </w:r>
      <w:r w:rsidR="00516C72" w:rsidRPr="007048BA">
        <w:rPr>
          <w:rFonts w:cs="Times New Roman"/>
          <w:lang w:val="en-GB"/>
        </w:rPr>
        <w:t xml:space="preserve">firms </w:t>
      </w:r>
      <w:r w:rsidR="00F5445C" w:rsidRPr="007048BA">
        <w:rPr>
          <w:rFonts w:cs="Times New Roman"/>
          <w:lang w:val="en-GB"/>
        </w:rPr>
        <w:t xml:space="preserve">(but not </w:t>
      </w:r>
      <w:r w:rsidR="00F5445C" w:rsidRPr="007048BA">
        <w:rPr>
          <w:rFonts w:cs="Times New Roman"/>
          <w:i/>
          <w:lang w:val="en-GB"/>
        </w:rPr>
        <w:t>hyperopic</w:t>
      </w:r>
      <w:r w:rsidR="00F5445C" w:rsidRPr="007048BA">
        <w:rPr>
          <w:rFonts w:cs="Times New Roman"/>
          <w:lang w:val="en-GB"/>
        </w:rPr>
        <w:t xml:space="preserve"> firms) </w:t>
      </w:r>
      <w:r w:rsidR="00516C72" w:rsidRPr="007048BA">
        <w:rPr>
          <w:rFonts w:cs="Times New Roman"/>
          <w:lang w:val="en-GB"/>
        </w:rPr>
        <w:t xml:space="preserve">have relatively higher takeover likelihood when compared to </w:t>
      </w:r>
      <w:r w:rsidR="00516C72" w:rsidRPr="007048BA">
        <w:rPr>
          <w:rFonts w:cs="Times New Roman"/>
          <w:i/>
          <w:lang w:val="en-GB"/>
        </w:rPr>
        <w:t>efficient</w:t>
      </w:r>
      <w:r w:rsidR="00516C72" w:rsidRPr="007048BA">
        <w:rPr>
          <w:rFonts w:cs="Times New Roman"/>
          <w:lang w:val="en-GB"/>
        </w:rPr>
        <w:t xml:space="preserve"> firms. Overall, the results suggest</w:t>
      </w:r>
      <w:r w:rsidR="00CA299A" w:rsidRPr="007048BA">
        <w:rPr>
          <w:rFonts w:cs="Times New Roman"/>
          <w:lang w:val="en-GB"/>
        </w:rPr>
        <w:t xml:space="preserve"> that managers who focus on achieving short-term accounting earnings at the expense of long-term shareholder value (as measured by their stock market performance) are susceptible to takeovers, whereas managers who focus on creating long-term value for </w:t>
      </w:r>
      <w:r w:rsidR="00CA299A" w:rsidRPr="007048BA">
        <w:rPr>
          <w:rFonts w:cs="Times New Roman"/>
          <w:lang w:val="en-GB"/>
        </w:rPr>
        <w:lastRenderedPageBreak/>
        <w:t>their shareholders, even at the expense of generating short-term profitability, are less likely to be</w:t>
      </w:r>
      <w:r w:rsidR="00BD2AEF" w:rsidRPr="007048BA">
        <w:rPr>
          <w:rFonts w:cs="Times New Roman"/>
          <w:lang w:val="en-GB"/>
        </w:rPr>
        <w:t xml:space="preserve"> disciplined through takeovers.</w:t>
      </w:r>
      <w:r w:rsidR="001C1F17" w:rsidRPr="007048BA">
        <w:rPr>
          <w:rFonts w:cs="Times New Roman"/>
          <w:lang w:val="en-GB"/>
        </w:rPr>
        <w:t xml:space="preserve"> Our conclusions are robust to the inclusion of other control variables such as price momentum, trading volume and market sentiment.</w:t>
      </w:r>
    </w:p>
    <w:p w14:paraId="2E72A77F" w14:textId="71F6D9A7" w:rsidR="00CA299A" w:rsidRPr="007048BA" w:rsidRDefault="00506A05" w:rsidP="00CA299A">
      <w:pPr>
        <w:ind w:firstLine="720"/>
        <w:rPr>
          <w:rFonts w:cs="Times New Roman"/>
          <w:lang w:val="en-GB"/>
        </w:rPr>
      </w:pPr>
      <w:r w:rsidRPr="007048BA">
        <w:rPr>
          <w:rFonts w:cs="Times New Roman"/>
          <w:lang w:val="en-GB"/>
        </w:rPr>
        <w:t>As opposed to our earlier results (Tables 4-6)</w:t>
      </w:r>
      <w:r w:rsidR="00ED075E" w:rsidRPr="007048BA">
        <w:rPr>
          <w:rStyle w:val="FootnoteReference"/>
          <w:rFonts w:cs="Times New Roman"/>
          <w:lang w:val="en-GB"/>
        </w:rPr>
        <w:footnoteReference w:id="13"/>
      </w:r>
      <w:r w:rsidRPr="007048BA">
        <w:rPr>
          <w:rFonts w:cs="Times New Roman"/>
          <w:lang w:val="en-GB"/>
        </w:rPr>
        <w:t>, the results here (Table 7) show that firms in the weaker performance categories (</w:t>
      </w:r>
      <w:r w:rsidR="00ED262D" w:rsidRPr="007048BA">
        <w:rPr>
          <w:rFonts w:cs="Times New Roman"/>
          <w:i/>
          <w:lang w:val="en-GB"/>
        </w:rPr>
        <w:t>poor</w:t>
      </w:r>
      <w:r w:rsidRPr="007048BA">
        <w:rPr>
          <w:rFonts w:cs="Times New Roman"/>
          <w:lang w:val="en-GB"/>
        </w:rPr>
        <w:t xml:space="preserve"> and </w:t>
      </w:r>
      <w:r w:rsidR="00ED262D" w:rsidRPr="007048BA">
        <w:rPr>
          <w:rFonts w:cs="Times New Roman"/>
          <w:i/>
          <w:lang w:val="en-GB"/>
        </w:rPr>
        <w:t>myopia</w:t>
      </w:r>
      <w:r w:rsidRPr="007048BA">
        <w:rPr>
          <w:rFonts w:cs="Times New Roman"/>
          <w:lang w:val="en-GB"/>
        </w:rPr>
        <w:t>), as well as firms in the stronger categories (</w:t>
      </w:r>
      <w:r w:rsidR="00ED262D" w:rsidRPr="007048BA">
        <w:rPr>
          <w:rFonts w:cs="Times New Roman"/>
          <w:i/>
          <w:lang w:val="en-GB"/>
        </w:rPr>
        <w:t>hyperopia</w:t>
      </w:r>
      <w:r w:rsidRPr="007048BA">
        <w:rPr>
          <w:rFonts w:cs="Times New Roman"/>
          <w:lang w:val="en-GB"/>
        </w:rPr>
        <w:t xml:space="preserve"> and </w:t>
      </w:r>
      <w:r w:rsidR="00ED262D" w:rsidRPr="007048BA">
        <w:rPr>
          <w:rFonts w:cs="Times New Roman"/>
          <w:i/>
          <w:lang w:val="en-GB"/>
        </w:rPr>
        <w:t>efficient</w:t>
      </w:r>
      <w:r w:rsidRPr="007048BA">
        <w:rPr>
          <w:rFonts w:cs="Times New Roman"/>
          <w:lang w:val="en-GB"/>
        </w:rPr>
        <w:t>)</w:t>
      </w:r>
      <w:r w:rsidR="00ED6126" w:rsidRPr="007048BA">
        <w:rPr>
          <w:rFonts w:cs="Times New Roman"/>
          <w:lang w:val="en-GB"/>
        </w:rPr>
        <w:t>,</w:t>
      </w:r>
      <w:r w:rsidRPr="007048BA">
        <w:rPr>
          <w:rFonts w:cs="Times New Roman"/>
          <w:lang w:val="en-GB"/>
        </w:rPr>
        <w:t xml:space="preserve"> bare more similarities in terms of takeover likelihood.</w:t>
      </w:r>
      <w:r w:rsidR="000D5308" w:rsidRPr="007048BA">
        <w:rPr>
          <w:rFonts w:cs="Times New Roman"/>
          <w:lang w:val="en-GB"/>
        </w:rPr>
        <w:t xml:space="preserve"> However, t</w:t>
      </w:r>
      <w:r w:rsidR="00CA299A" w:rsidRPr="007048BA">
        <w:rPr>
          <w:rFonts w:cs="Times New Roman"/>
          <w:lang w:val="en-GB"/>
        </w:rPr>
        <w:t xml:space="preserve">he coefficients in models 2 and 3 </w:t>
      </w:r>
      <w:r w:rsidR="000D5308" w:rsidRPr="007048BA">
        <w:rPr>
          <w:rFonts w:cs="Times New Roman"/>
          <w:lang w:val="en-GB"/>
        </w:rPr>
        <w:t xml:space="preserve">(Table 7) </w:t>
      </w:r>
      <w:r w:rsidR="00CA299A" w:rsidRPr="007048BA">
        <w:rPr>
          <w:rFonts w:cs="Times New Roman"/>
          <w:lang w:val="en-GB"/>
        </w:rPr>
        <w:t xml:space="preserve">suggest that firms with </w:t>
      </w:r>
      <w:r w:rsidR="00ED262D" w:rsidRPr="007048BA">
        <w:rPr>
          <w:rFonts w:cs="Times New Roman"/>
          <w:i/>
          <w:lang w:val="en-GB"/>
        </w:rPr>
        <w:t>myopic</w:t>
      </w:r>
      <w:r w:rsidR="00CA299A" w:rsidRPr="007048BA">
        <w:rPr>
          <w:rFonts w:cs="Times New Roman"/>
          <w:lang w:val="en-GB"/>
        </w:rPr>
        <w:t xml:space="preserve"> management are more likely to face takeovers when compared to firms with </w:t>
      </w:r>
      <w:r w:rsidR="00ED262D" w:rsidRPr="007048BA">
        <w:rPr>
          <w:rFonts w:cs="Times New Roman"/>
          <w:i/>
          <w:lang w:val="en-GB"/>
        </w:rPr>
        <w:t>poor</w:t>
      </w:r>
      <w:r w:rsidR="00CA299A" w:rsidRPr="007048BA">
        <w:rPr>
          <w:rFonts w:cs="Times New Roman"/>
          <w:lang w:val="en-GB"/>
        </w:rPr>
        <w:t xml:space="preserve"> management. Similarly, models 4 and 5 suggest that firms with </w:t>
      </w:r>
      <w:r w:rsidR="00ED262D" w:rsidRPr="007048BA">
        <w:rPr>
          <w:rFonts w:cs="Times New Roman"/>
          <w:i/>
          <w:lang w:val="en-GB"/>
        </w:rPr>
        <w:t>efficient</w:t>
      </w:r>
      <w:r w:rsidR="00CA299A" w:rsidRPr="007048BA">
        <w:rPr>
          <w:rFonts w:cs="Times New Roman"/>
          <w:lang w:val="en-GB"/>
        </w:rPr>
        <w:t xml:space="preserve"> management are less likely to face takeovers when compared to firms with </w:t>
      </w:r>
      <w:r w:rsidR="005575A3" w:rsidRPr="007048BA">
        <w:rPr>
          <w:rFonts w:cs="Times New Roman"/>
          <w:i/>
          <w:lang w:val="en-GB"/>
        </w:rPr>
        <w:t xml:space="preserve">hyperopic </w:t>
      </w:r>
      <w:r w:rsidR="00CA299A" w:rsidRPr="007048BA">
        <w:rPr>
          <w:rFonts w:cs="Times New Roman"/>
          <w:lang w:val="en-GB"/>
        </w:rPr>
        <w:t xml:space="preserve">management teams. These results are further confirmed when we explore marginal effects (untabulated). The difference in takeover likelihood between </w:t>
      </w:r>
      <w:r w:rsidR="00ED262D" w:rsidRPr="007048BA">
        <w:rPr>
          <w:rFonts w:cs="Times New Roman"/>
          <w:i/>
          <w:lang w:val="en-GB"/>
        </w:rPr>
        <w:t>poor</w:t>
      </w:r>
      <w:r w:rsidR="00CA299A" w:rsidRPr="007048BA">
        <w:rPr>
          <w:rFonts w:cs="Times New Roman"/>
          <w:lang w:val="en-GB"/>
        </w:rPr>
        <w:t xml:space="preserve"> and </w:t>
      </w:r>
      <w:r w:rsidR="00ED262D" w:rsidRPr="007048BA">
        <w:rPr>
          <w:rFonts w:cs="Times New Roman"/>
          <w:i/>
          <w:lang w:val="en-GB"/>
        </w:rPr>
        <w:t>myopic</w:t>
      </w:r>
      <w:r w:rsidR="00CA299A" w:rsidRPr="007048BA">
        <w:rPr>
          <w:rFonts w:cs="Times New Roman"/>
          <w:lang w:val="en-GB"/>
        </w:rPr>
        <w:t xml:space="preserve"> firms </w:t>
      </w:r>
      <w:r w:rsidR="00C72C14" w:rsidRPr="007048BA">
        <w:rPr>
          <w:rFonts w:cs="Times New Roman"/>
          <w:lang w:val="en-GB"/>
        </w:rPr>
        <w:t>may at first appear</w:t>
      </w:r>
      <w:r w:rsidR="00CA299A" w:rsidRPr="007048BA">
        <w:rPr>
          <w:rFonts w:cs="Times New Roman"/>
          <w:lang w:val="en-GB"/>
        </w:rPr>
        <w:t xml:space="preserve"> puzzling</w:t>
      </w:r>
      <w:r w:rsidR="00F50F8A" w:rsidRPr="007048BA">
        <w:rPr>
          <w:rFonts w:cs="Times New Roman"/>
          <w:lang w:val="en-GB"/>
        </w:rPr>
        <w:t xml:space="preserve">, as we would expect </w:t>
      </w:r>
      <w:r w:rsidR="00ED262D" w:rsidRPr="007048BA">
        <w:rPr>
          <w:rFonts w:cs="Times New Roman"/>
          <w:i/>
          <w:lang w:val="en-GB"/>
        </w:rPr>
        <w:t>poor</w:t>
      </w:r>
      <w:r w:rsidR="00F50F8A" w:rsidRPr="007048BA">
        <w:rPr>
          <w:rFonts w:cs="Times New Roman"/>
          <w:lang w:val="en-GB"/>
        </w:rPr>
        <w:t xml:space="preserve"> firms to be more exposed to takeovers</w:t>
      </w:r>
      <w:r w:rsidR="00CA299A" w:rsidRPr="007048BA">
        <w:rPr>
          <w:rFonts w:cs="Times New Roman"/>
          <w:lang w:val="en-GB"/>
        </w:rPr>
        <w:t>. One possible explanation for this observation is that</w:t>
      </w:r>
      <w:r w:rsidR="002D36DF" w:rsidRPr="007048BA">
        <w:rPr>
          <w:rFonts w:cs="Times New Roman"/>
          <w:lang w:val="en-GB"/>
        </w:rPr>
        <w:t xml:space="preserve">, given that both </w:t>
      </w:r>
      <w:r w:rsidR="00ED262D" w:rsidRPr="007048BA">
        <w:rPr>
          <w:rFonts w:cs="Times New Roman"/>
          <w:i/>
          <w:lang w:val="en-GB"/>
        </w:rPr>
        <w:t>poor</w:t>
      </w:r>
      <w:r w:rsidR="002D36DF" w:rsidRPr="007048BA">
        <w:rPr>
          <w:rFonts w:cs="Times New Roman"/>
          <w:lang w:val="en-GB"/>
        </w:rPr>
        <w:t xml:space="preserve"> and </w:t>
      </w:r>
      <w:r w:rsidR="00ED262D" w:rsidRPr="007048BA">
        <w:rPr>
          <w:rFonts w:cs="Times New Roman"/>
          <w:i/>
          <w:lang w:val="en-GB"/>
        </w:rPr>
        <w:t>myopic</w:t>
      </w:r>
      <w:r w:rsidR="002D36DF" w:rsidRPr="007048BA">
        <w:rPr>
          <w:rFonts w:cs="Times New Roman"/>
          <w:lang w:val="en-GB"/>
        </w:rPr>
        <w:t xml:space="preserve"> firms </w:t>
      </w:r>
      <w:r w:rsidR="00516C72" w:rsidRPr="007048BA">
        <w:rPr>
          <w:rFonts w:cs="Times New Roman"/>
          <w:lang w:val="en-GB"/>
        </w:rPr>
        <w:t>have poor market returns</w:t>
      </w:r>
      <w:r w:rsidR="002D36DF" w:rsidRPr="007048BA">
        <w:rPr>
          <w:rFonts w:cs="Times New Roman"/>
          <w:lang w:val="en-GB"/>
        </w:rPr>
        <w:t>, rational</w:t>
      </w:r>
      <w:r w:rsidR="00CA299A" w:rsidRPr="007048BA">
        <w:rPr>
          <w:rFonts w:cs="Times New Roman"/>
          <w:lang w:val="en-GB"/>
        </w:rPr>
        <w:t xml:space="preserve"> acquirers </w:t>
      </w:r>
      <w:r w:rsidR="002D36DF" w:rsidRPr="007048BA">
        <w:rPr>
          <w:rFonts w:cs="Times New Roman"/>
          <w:lang w:val="en-GB"/>
        </w:rPr>
        <w:t xml:space="preserve">are likely to </w:t>
      </w:r>
      <w:r w:rsidR="00CA299A" w:rsidRPr="007048BA">
        <w:rPr>
          <w:rFonts w:cs="Times New Roman"/>
          <w:lang w:val="en-GB"/>
        </w:rPr>
        <w:t>show preference for</w:t>
      </w:r>
      <w:r w:rsidR="00850566" w:rsidRPr="007048BA">
        <w:rPr>
          <w:rFonts w:cs="Times New Roman"/>
          <w:lang w:val="en-GB"/>
        </w:rPr>
        <w:t xml:space="preserve"> the category of</w:t>
      </w:r>
      <w:r w:rsidR="00CA299A" w:rsidRPr="007048BA">
        <w:rPr>
          <w:rFonts w:cs="Times New Roman"/>
          <w:lang w:val="en-GB"/>
        </w:rPr>
        <w:t xml:space="preserve"> firms that have </w:t>
      </w:r>
      <w:r w:rsidR="00EA09E7" w:rsidRPr="007048BA">
        <w:rPr>
          <w:rFonts w:cs="Times New Roman"/>
          <w:lang w:val="en-GB"/>
        </w:rPr>
        <w:t xml:space="preserve">some </w:t>
      </w:r>
      <w:r w:rsidR="00CA299A" w:rsidRPr="007048BA">
        <w:rPr>
          <w:rFonts w:cs="Times New Roman"/>
          <w:lang w:val="en-GB"/>
        </w:rPr>
        <w:t>potential for profitability</w:t>
      </w:r>
      <w:r w:rsidR="002D36DF" w:rsidRPr="007048BA">
        <w:rPr>
          <w:rFonts w:cs="Times New Roman"/>
          <w:lang w:val="en-GB"/>
        </w:rPr>
        <w:t xml:space="preserve"> (i.e., </w:t>
      </w:r>
      <w:r w:rsidR="00ED262D" w:rsidRPr="007048BA">
        <w:rPr>
          <w:rFonts w:cs="Times New Roman"/>
          <w:i/>
          <w:lang w:val="en-GB"/>
        </w:rPr>
        <w:t>myopic</w:t>
      </w:r>
      <w:r w:rsidR="002D36DF" w:rsidRPr="007048BA">
        <w:rPr>
          <w:rFonts w:cs="Times New Roman"/>
          <w:lang w:val="en-GB"/>
        </w:rPr>
        <w:t xml:space="preserve"> firms)</w:t>
      </w:r>
      <w:r w:rsidR="00CA299A" w:rsidRPr="007048BA">
        <w:rPr>
          <w:rFonts w:cs="Times New Roman"/>
          <w:lang w:val="en-GB"/>
        </w:rPr>
        <w:t>.</w:t>
      </w:r>
    </w:p>
    <w:p w14:paraId="7F908DA6" w14:textId="38716DBE" w:rsidR="00CA299A" w:rsidRPr="007048BA" w:rsidRDefault="00CA299A" w:rsidP="00CA299A">
      <w:pPr>
        <w:ind w:firstLine="720"/>
        <w:rPr>
          <w:rFonts w:cs="Times New Roman"/>
          <w:lang w:val="en-GB"/>
        </w:rPr>
      </w:pPr>
      <w:r w:rsidRPr="007048BA">
        <w:rPr>
          <w:rFonts w:cs="Times New Roman"/>
          <w:lang w:val="en-GB"/>
        </w:rPr>
        <w:t xml:space="preserve">Even though we have lagged our independent variables by one period and also used the June approach (Soares and Stark, 2009) to match our dependent and independent variables, our results are prone to reverse causality issues. In essence, one could argue reverse causality – takeover threat forces managers to perform optimally. To the extent that optimal performance is consistent with a preference for a long term orientation towards investments, as opposed to a myopic view, we would expect a negative (positive) relation between takeover likelihood and </w:t>
      </w:r>
      <w:r w:rsidR="00ED262D" w:rsidRPr="007048BA">
        <w:rPr>
          <w:rFonts w:cs="Times New Roman"/>
          <w:i/>
          <w:lang w:val="en-GB"/>
        </w:rPr>
        <w:t>myopia</w:t>
      </w:r>
      <w:r w:rsidRPr="007048BA">
        <w:rPr>
          <w:rFonts w:cs="Times New Roman"/>
          <w:lang w:val="en-GB"/>
        </w:rPr>
        <w:t xml:space="preserve"> (</w:t>
      </w:r>
      <w:r w:rsidR="00ED262D" w:rsidRPr="007048BA">
        <w:rPr>
          <w:rFonts w:cs="Times New Roman"/>
          <w:i/>
          <w:lang w:val="en-GB"/>
        </w:rPr>
        <w:t>hyperopia</w:t>
      </w:r>
      <w:r w:rsidRPr="007048BA">
        <w:rPr>
          <w:rFonts w:cs="Times New Roman"/>
          <w:lang w:val="en-GB"/>
        </w:rPr>
        <w:t>). Our results are inconsistent with such a view. In this context, our results in Table 7</w:t>
      </w:r>
      <w:r w:rsidRPr="007048BA">
        <w:rPr>
          <w:rStyle w:val="FootnoteReference"/>
          <w:rFonts w:cs="Times New Roman"/>
          <w:lang w:val="en-GB"/>
        </w:rPr>
        <w:footnoteReference w:id="14"/>
      </w:r>
      <w:r w:rsidRPr="007048BA">
        <w:rPr>
          <w:rFonts w:cs="Times New Roman"/>
          <w:lang w:val="en-GB"/>
        </w:rPr>
        <w:t xml:space="preserve"> will rather suggest that low threat of takeovers incentivise managers to improve performance and vice versa. This is counterintuitive. Nonetheless, besides using lagged values of explanatory variables in all our analyses, we also apply a two-stage approach to mitigate reverse causality bias in our analysis. Our focus is on our new constructs; </w:t>
      </w:r>
      <w:r w:rsidR="00ED262D" w:rsidRPr="007048BA">
        <w:rPr>
          <w:rFonts w:cs="Times New Roman"/>
          <w:i/>
          <w:lang w:val="en-GB"/>
        </w:rPr>
        <w:t>myopia</w:t>
      </w:r>
      <w:r w:rsidRPr="007048BA">
        <w:rPr>
          <w:rFonts w:cs="Times New Roman"/>
          <w:lang w:val="en-GB"/>
        </w:rPr>
        <w:t xml:space="preserve"> and </w:t>
      </w:r>
      <w:r w:rsidR="00ED262D" w:rsidRPr="007048BA">
        <w:rPr>
          <w:rFonts w:cs="Times New Roman"/>
          <w:i/>
          <w:lang w:val="en-GB"/>
        </w:rPr>
        <w:t>hyperopia</w:t>
      </w:r>
      <w:r w:rsidRPr="007048BA">
        <w:rPr>
          <w:rFonts w:cs="Times New Roman"/>
          <w:lang w:val="en-GB"/>
        </w:rPr>
        <w:t xml:space="preserve">. In the first stage, we use mean industry R&amp;D as an instrument to generate predicted values for </w:t>
      </w:r>
      <w:r w:rsidR="00ED262D" w:rsidRPr="007048BA">
        <w:rPr>
          <w:rFonts w:cs="Times New Roman"/>
          <w:i/>
          <w:lang w:val="en-GB"/>
        </w:rPr>
        <w:t>myopia</w:t>
      </w:r>
      <w:r w:rsidRPr="007048BA">
        <w:rPr>
          <w:rFonts w:cs="Times New Roman"/>
          <w:lang w:val="en-GB"/>
        </w:rPr>
        <w:t xml:space="preserve"> and </w:t>
      </w:r>
      <w:r w:rsidR="00ED262D" w:rsidRPr="007048BA">
        <w:rPr>
          <w:rFonts w:cs="Times New Roman"/>
          <w:i/>
          <w:lang w:val="en-GB"/>
        </w:rPr>
        <w:t>hyperopia</w:t>
      </w:r>
      <w:r w:rsidRPr="007048BA">
        <w:rPr>
          <w:rFonts w:cs="Times New Roman"/>
          <w:i/>
          <w:lang w:val="en-GB"/>
        </w:rPr>
        <w:t xml:space="preserve">. </w:t>
      </w:r>
      <w:r w:rsidRPr="007048BA">
        <w:rPr>
          <w:rFonts w:cs="Times New Roman"/>
          <w:lang w:val="en-GB"/>
        </w:rPr>
        <w:t xml:space="preserve">We use these predicted values (i.e., </w:t>
      </w:r>
      <m:oMath>
        <m:acc>
          <m:accPr>
            <m:ctrlPr>
              <w:rPr>
                <w:rFonts w:ascii="Cambria Math" w:hAnsi="Cambria Math" w:cs="Times New Roman"/>
                <w:i/>
                <w:lang w:val="en-GB"/>
              </w:rPr>
            </m:ctrlPr>
          </m:accPr>
          <m:e>
            <m:r>
              <w:rPr>
                <w:rFonts w:ascii="Cambria Math" w:hAnsi="Cambria Math" w:cs="Times New Roman"/>
                <w:lang w:val="en-GB"/>
              </w:rPr>
              <m:t>myopia</m:t>
            </m:r>
          </m:e>
        </m:acc>
        <m:r>
          <w:rPr>
            <w:rFonts w:ascii="Cambria Math" w:hAnsi="Cambria Math" w:cs="Times New Roman"/>
            <w:lang w:val="en-GB"/>
          </w:rPr>
          <m:t xml:space="preserve"> </m:t>
        </m:r>
      </m:oMath>
      <w:r w:rsidRPr="007048BA">
        <w:rPr>
          <w:rFonts w:cs="Times New Roman"/>
          <w:lang w:val="en-GB"/>
        </w:rPr>
        <w:t xml:space="preserve">and </w:t>
      </w:r>
      <m:oMath>
        <m:acc>
          <m:accPr>
            <m:ctrlPr>
              <w:rPr>
                <w:rFonts w:ascii="Cambria Math" w:hAnsi="Cambria Math" w:cs="Times New Roman"/>
                <w:i/>
                <w:lang w:val="en-GB"/>
              </w:rPr>
            </m:ctrlPr>
          </m:accPr>
          <m:e>
            <m:r>
              <w:rPr>
                <w:rFonts w:ascii="Cambria Math" w:hAnsi="Cambria Math" w:cs="Times New Roman"/>
                <w:lang w:val="en-GB"/>
              </w:rPr>
              <m:t>hyperopia</m:t>
            </m:r>
          </m:e>
        </m:acc>
      </m:oMath>
      <w:r w:rsidRPr="007048BA">
        <w:rPr>
          <w:rFonts w:cs="Times New Roman"/>
          <w:lang w:val="en-GB"/>
        </w:rPr>
        <w:t xml:space="preserve">) in place of the actual values used in models 3 and 4. The </w:t>
      </w:r>
      <w:r w:rsidRPr="007048BA">
        <w:rPr>
          <w:rFonts w:cs="Times New Roman"/>
          <w:lang w:val="en-GB"/>
        </w:rPr>
        <w:lastRenderedPageBreak/>
        <w:t>results are presented in models 6 and 7. We find that our results are robust to reverse causality or simultaneity bias.</w:t>
      </w:r>
      <w:r w:rsidRPr="007048BA">
        <w:rPr>
          <w:rStyle w:val="FootnoteReference"/>
          <w:rFonts w:cs="Times New Roman"/>
          <w:lang w:val="en-GB"/>
        </w:rPr>
        <w:footnoteReference w:id="15"/>
      </w:r>
    </w:p>
    <w:p w14:paraId="2CE2AEB3" w14:textId="77777777" w:rsidR="004B7A60" w:rsidRPr="007048BA" w:rsidRDefault="004B7A60" w:rsidP="004B7A60">
      <w:pPr>
        <w:pStyle w:val="Heading2"/>
        <w:keepNext w:val="0"/>
        <w:keepLines w:val="0"/>
        <w:numPr>
          <w:ilvl w:val="1"/>
          <w:numId w:val="7"/>
        </w:numPr>
        <w:autoSpaceDE w:val="0"/>
        <w:autoSpaceDN w:val="0"/>
        <w:adjustRightInd w:val="0"/>
        <w:spacing w:before="240" w:after="120" w:line="240" w:lineRule="auto"/>
        <w:ind w:left="805" w:hanging="805"/>
        <w:contextualSpacing/>
        <w:rPr>
          <w:lang w:val="en-GB"/>
        </w:rPr>
      </w:pPr>
      <w:r w:rsidRPr="007048BA">
        <w:rPr>
          <w:lang w:val="en-GB"/>
        </w:rPr>
        <w:t>Switching and takeover likelihood</w:t>
      </w:r>
    </w:p>
    <w:p w14:paraId="49E2FE2E" w14:textId="05DCEE59" w:rsidR="00CA299A" w:rsidRPr="007048BA" w:rsidRDefault="00E5016F" w:rsidP="00CA299A">
      <w:pPr>
        <w:rPr>
          <w:lang w:val="en-GB"/>
        </w:rPr>
      </w:pPr>
      <w:r w:rsidRPr="007048BA">
        <w:rPr>
          <w:rFonts w:cs="Times New Roman"/>
          <w:lang w:val="en-GB"/>
        </w:rPr>
        <w:t>We expect firms to switch from one category to another over time</w:t>
      </w:r>
      <w:r w:rsidR="004F5035" w:rsidRPr="007048BA">
        <w:rPr>
          <w:rFonts w:cs="Times New Roman"/>
          <w:lang w:val="en-GB"/>
        </w:rPr>
        <w:t>,</w:t>
      </w:r>
      <w:r w:rsidRPr="007048BA">
        <w:rPr>
          <w:rFonts w:cs="Times New Roman"/>
          <w:lang w:val="en-GB"/>
        </w:rPr>
        <w:t xml:space="preserve"> consistent </w:t>
      </w:r>
      <w:r w:rsidR="004F5035" w:rsidRPr="007048BA">
        <w:rPr>
          <w:rFonts w:cs="Times New Roman"/>
          <w:lang w:val="en-GB"/>
        </w:rPr>
        <w:t xml:space="preserve">with </w:t>
      </w:r>
      <w:r w:rsidRPr="007048BA">
        <w:rPr>
          <w:rFonts w:cs="Times New Roman"/>
          <w:lang w:val="en-GB"/>
        </w:rPr>
        <w:t>variability in management performance. Hence, w</w:t>
      </w:r>
      <w:r w:rsidR="00CA299A" w:rsidRPr="007048BA">
        <w:rPr>
          <w:lang w:val="en-GB"/>
        </w:rPr>
        <w:t>e explore how frequently firms switch between the four categories</w:t>
      </w:r>
      <w:r w:rsidR="00E33D21" w:rsidRPr="007048BA">
        <w:rPr>
          <w:lang w:val="en-GB"/>
        </w:rPr>
        <w:t>, whether these switches are driven by management efforts to adopt a more long-term orientation</w:t>
      </w:r>
      <w:r w:rsidR="0029605C" w:rsidRPr="007048BA">
        <w:rPr>
          <w:lang w:val="en-GB"/>
        </w:rPr>
        <w:t xml:space="preserve"> (i.e., investment in R&amp;D, reduction in discretionary accruals)</w:t>
      </w:r>
      <w:r w:rsidR="00E33D21" w:rsidRPr="007048BA">
        <w:rPr>
          <w:lang w:val="en-GB"/>
        </w:rPr>
        <w:t xml:space="preserve">, and how the </w:t>
      </w:r>
      <w:r w:rsidR="00CD4B17" w:rsidRPr="007048BA">
        <w:rPr>
          <w:lang w:val="en-GB"/>
        </w:rPr>
        <w:t>takeover market</w:t>
      </w:r>
      <w:r w:rsidR="00E33D21" w:rsidRPr="007048BA">
        <w:rPr>
          <w:lang w:val="en-GB"/>
        </w:rPr>
        <w:t xml:space="preserve"> responds to such </w:t>
      </w:r>
      <w:r w:rsidR="00DC73E4" w:rsidRPr="007048BA">
        <w:rPr>
          <w:lang w:val="en-GB"/>
        </w:rPr>
        <w:t>efforts</w:t>
      </w:r>
      <w:r w:rsidR="00CA299A" w:rsidRPr="007048BA">
        <w:rPr>
          <w:lang w:val="en-GB"/>
        </w:rPr>
        <w:t xml:space="preserve">. </w:t>
      </w:r>
      <w:r w:rsidR="00BF1A7A" w:rsidRPr="007048BA">
        <w:rPr>
          <w:lang w:val="en-GB"/>
        </w:rPr>
        <w:t>To explore the drivers and effects of switching</w:t>
      </w:r>
      <w:r w:rsidR="00ED7311" w:rsidRPr="007048BA">
        <w:rPr>
          <w:lang w:val="en-GB"/>
        </w:rPr>
        <w:t xml:space="preserve"> from one year to the other</w:t>
      </w:r>
      <w:r w:rsidR="00BF1A7A" w:rsidRPr="007048BA">
        <w:rPr>
          <w:lang w:val="en-GB"/>
        </w:rPr>
        <w:t xml:space="preserve">, we assume an ordinal scale for performance, where </w:t>
      </w:r>
      <w:r w:rsidR="00ED262D" w:rsidRPr="007048BA">
        <w:rPr>
          <w:lang w:val="en-GB"/>
        </w:rPr>
        <w:t>poor</w:t>
      </w:r>
      <w:r w:rsidR="00BF1A7A" w:rsidRPr="007048BA">
        <w:rPr>
          <w:lang w:val="en-GB"/>
        </w:rPr>
        <w:t xml:space="preserve"> is ranked lowest (1), followed by </w:t>
      </w:r>
      <w:r w:rsidR="00ED262D" w:rsidRPr="007048BA">
        <w:rPr>
          <w:i/>
          <w:lang w:val="en-GB"/>
        </w:rPr>
        <w:t>myopia</w:t>
      </w:r>
      <w:r w:rsidR="00BF1A7A" w:rsidRPr="007048BA">
        <w:rPr>
          <w:lang w:val="en-GB"/>
        </w:rPr>
        <w:t xml:space="preserve"> (2), then </w:t>
      </w:r>
      <w:r w:rsidR="00ED262D" w:rsidRPr="007048BA">
        <w:rPr>
          <w:i/>
          <w:lang w:val="en-GB"/>
        </w:rPr>
        <w:t>hyperopia</w:t>
      </w:r>
      <w:r w:rsidR="00BF1A7A" w:rsidRPr="007048BA">
        <w:rPr>
          <w:lang w:val="en-GB"/>
        </w:rPr>
        <w:t xml:space="preserve"> (3) and </w:t>
      </w:r>
      <w:r w:rsidR="00ED262D" w:rsidRPr="007048BA">
        <w:rPr>
          <w:i/>
          <w:lang w:val="en-GB"/>
        </w:rPr>
        <w:t>efficient</w:t>
      </w:r>
      <w:r w:rsidR="00BF1A7A" w:rsidRPr="007048BA">
        <w:rPr>
          <w:lang w:val="en-GB"/>
        </w:rPr>
        <w:t xml:space="preserve"> (4). We then identify 3 category of firms; </w:t>
      </w:r>
      <w:r w:rsidR="00D42E84" w:rsidRPr="007048BA">
        <w:rPr>
          <w:i/>
          <w:lang w:val="en-GB"/>
        </w:rPr>
        <w:t>im</w:t>
      </w:r>
      <w:r w:rsidR="00EF63A8" w:rsidRPr="007048BA">
        <w:rPr>
          <w:i/>
          <w:lang w:val="en-GB"/>
        </w:rPr>
        <w:t>prove</w:t>
      </w:r>
      <w:r w:rsidR="00BF1A7A" w:rsidRPr="007048BA">
        <w:rPr>
          <w:lang w:val="en-GB"/>
        </w:rPr>
        <w:t xml:space="preserve"> (firms that switch up from lower to higher ranked categories), </w:t>
      </w:r>
      <w:r w:rsidR="00D42E84" w:rsidRPr="007048BA">
        <w:rPr>
          <w:i/>
          <w:lang w:val="en-GB"/>
        </w:rPr>
        <w:t>m</w:t>
      </w:r>
      <w:r w:rsidR="00EF63A8" w:rsidRPr="007048BA">
        <w:rPr>
          <w:i/>
          <w:lang w:val="en-GB"/>
        </w:rPr>
        <w:t>aintain</w:t>
      </w:r>
      <w:r w:rsidR="00BF1A7A" w:rsidRPr="007048BA">
        <w:rPr>
          <w:lang w:val="en-GB"/>
        </w:rPr>
        <w:t xml:space="preserve"> (firms that do not chan</w:t>
      </w:r>
      <w:r w:rsidR="00D17917" w:rsidRPr="007048BA">
        <w:rPr>
          <w:lang w:val="en-GB"/>
        </w:rPr>
        <w:t xml:space="preserve">ge category) and </w:t>
      </w:r>
      <w:r w:rsidR="00EF63A8" w:rsidRPr="007048BA">
        <w:rPr>
          <w:i/>
          <w:lang w:val="en-GB"/>
        </w:rPr>
        <w:t>Decline</w:t>
      </w:r>
      <w:r w:rsidR="00D17917" w:rsidRPr="007048BA">
        <w:rPr>
          <w:lang w:val="en-GB"/>
        </w:rPr>
        <w:t xml:space="preserve"> (firms that switch down from higher to lower ranked categories)</w:t>
      </w:r>
      <w:r w:rsidR="00CD4B17" w:rsidRPr="007048BA">
        <w:rPr>
          <w:lang w:val="en-GB"/>
        </w:rPr>
        <w:t xml:space="preserve"> from one year to the next</w:t>
      </w:r>
      <w:r w:rsidR="00D17917" w:rsidRPr="007048BA">
        <w:rPr>
          <w:lang w:val="en-GB"/>
        </w:rPr>
        <w:t>.</w:t>
      </w:r>
      <w:r w:rsidRPr="007048BA">
        <w:rPr>
          <w:lang w:val="en-GB"/>
        </w:rPr>
        <w:t xml:space="preserve"> </w:t>
      </w:r>
      <w:r w:rsidR="00CA299A" w:rsidRPr="007048BA">
        <w:rPr>
          <w:rFonts w:cs="Times New Roman"/>
          <w:lang w:val="en-GB"/>
        </w:rPr>
        <w:t xml:space="preserve">We </w:t>
      </w:r>
      <w:r w:rsidRPr="007048BA">
        <w:rPr>
          <w:rFonts w:cs="Times New Roman"/>
          <w:lang w:val="en-GB"/>
        </w:rPr>
        <w:t>expect to</w:t>
      </w:r>
      <w:r w:rsidR="00CA299A" w:rsidRPr="007048BA">
        <w:rPr>
          <w:rFonts w:cs="Times New Roman"/>
          <w:lang w:val="en-GB"/>
        </w:rPr>
        <w:t xml:space="preserve"> observe substantial movement </w:t>
      </w:r>
      <w:r w:rsidR="006C4BB7" w:rsidRPr="007048BA">
        <w:rPr>
          <w:rFonts w:cs="Times New Roman"/>
          <w:lang w:val="en-GB"/>
        </w:rPr>
        <w:t>(</w:t>
      </w:r>
      <w:r w:rsidR="00EF63A8" w:rsidRPr="007048BA">
        <w:rPr>
          <w:rFonts w:cs="Times New Roman"/>
          <w:i/>
          <w:lang w:val="en-GB"/>
        </w:rPr>
        <w:t>Improve</w:t>
      </w:r>
      <w:r w:rsidR="006C4BB7" w:rsidRPr="007048BA">
        <w:rPr>
          <w:rFonts w:cs="Times New Roman"/>
          <w:lang w:val="en-GB"/>
        </w:rPr>
        <w:t xml:space="preserve">) </w:t>
      </w:r>
      <w:r w:rsidR="00CA299A" w:rsidRPr="007048BA">
        <w:rPr>
          <w:rFonts w:cs="Times New Roman"/>
          <w:lang w:val="en-GB"/>
        </w:rPr>
        <w:t>from underperforming categories (</w:t>
      </w:r>
      <w:r w:rsidR="00ED262D" w:rsidRPr="007048BA">
        <w:rPr>
          <w:rFonts w:cs="Times New Roman"/>
          <w:i/>
          <w:lang w:val="en-GB"/>
        </w:rPr>
        <w:t>poor</w:t>
      </w:r>
      <w:r w:rsidR="00CA299A" w:rsidRPr="007048BA">
        <w:rPr>
          <w:rFonts w:cs="Times New Roman"/>
          <w:lang w:val="en-GB"/>
        </w:rPr>
        <w:t xml:space="preserve"> and </w:t>
      </w:r>
      <w:r w:rsidR="00ED262D" w:rsidRPr="007048BA">
        <w:rPr>
          <w:rFonts w:cs="Times New Roman"/>
          <w:i/>
          <w:lang w:val="en-GB"/>
        </w:rPr>
        <w:t>myopia</w:t>
      </w:r>
      <w:r w:rsidR="00CA299A" w:rsidRPr="007048BA">
        <w:rPr>
          <w:rFonts w:cs="Times New Roman"/>
          <w:lang w:val="en-GB"/>
        </w:rPr>
        <w:t>) into the outperforming category (</w:t>
      </w:r>
      <w:r w:rsidR="00ED262D" w:rsidRPr="007048BA">
        <w:rPr>
          <w:rFonts w:cs="Times New Roman"/>
          <w:i/>
          <w:lang w:val="en-GB"/>
        </w:rPr>
        <w:t>efficient</w:t>
      </w:r>
      <w:r w:rsidR="00CA299A" w:rsidRPr="007048BA">
        <w:rPr>
          <w:lang w:val="en-GB"/>
        </w:rPr>
        <w:t>) as management responds to external pressures</w:t>
      </w:r>
      <w:r w:rsidR="00DC73E4" w:rsidRPr="007048BA">
        <w:rPr>
          <w:lang w:val="en-GB"/>
        </w:rPr>
        <w:t>, such as those from the takeover market</w:t>
      </w:r>
      <w:r w:rsidR="00CA299A" w:rsidRPr="007048BA">
        <w:rPr>
          <w:rFonts w:cs="Times New Roman"/>
          <w:lang w:val="en-GB"/>
        </w:rPr>
        <w:t xml:space="preserve">. In response to such pressures, we </w:t>
      </w:r>
      <w:r w:rsidRPr="007048BA">
        <w:rPr>
          <w:rFonts w:cs="Times New Roman"/>
          <w:lang w:val="en-GB"/>
        </w:rPr>
        <w:t>expect to</w:t>
      </w:r>
      <w:r w:rsidR="00CA299A" w:rsidRPr="007048BA">
        <w:rPr>
          <w:rFonts w:cs="Times New Roman"/>
          <w:lang w:val="en-GB"/>
        </w:rPr>
        <w:t xml:space="preserve"> also observe comparatively lower levels of switching </w:t>
      </w:r>
      <w:r w:rsidR="006C4BB7" w:rsidRPr="007048BA">
        <w:rPr>
          <w:rFonts w:cs="Times New Roman"/>
          <w:lang w:val="en-GB"/>
        </w:rPr>
        <w:t>(</w:t>
      </w:r>
      <w:r w:rsidR="00D42E84" w:rsidRPr="007048BA">
        <w:rPr>
          <w:rFonts w:cs="Times New Roman"/>
          <w:i/>
          <w:lang w:val="en-GB"/>
        </w:rPr>
        <w:t>d</w:t>
      </w:r>
      <w:r w:rsidR="00EF63A8" w:rsidRPr="007048BA">
        <w:rPr>
          <w:rFonts w:cs="Times New Roman"/>
          <w:i/>
          <w:lang w:val="en-GB"/>
        </w:rPr>
        <w:t>ecline</w:t>
      </w:r>
      <w:r w:rsidR="006C4BB7" w:rsidRPr="007048BA">
        <w:rPr>
          <w:rFonts w:cs="Times New Roman"/>
          <w:lang w:val="en-GB"/>
        </w:rPr>
        <w:t xml:space="preserve">) </w:t>
      </w:r>
      <w:r w:rsidR="00CA299A" w:rsidRPr="007048BA">
        <w:rPr>
          <w:rFonts w:cs="Times New Roman"/>
          <w:lang w:val="en-GB"/>
        </w:rPr>
        <w:t>f</w:t>
      </w:r>
      <w:r w:rsidR="006C4BB7" w:rsidRPr="007048BA">
        <w:rPr>
          <w:rFonts w:cs="Times New Roman"/>
          <w:lang w:val="en-GB"/>
        </w:rPr>
        <w:t xml:space="preserve">rom the outperforming category </w:t>
      </w:r>
      <w:r w:rsidR="00CA299A" w:rsidRPr="007048BA">
        <w:rPr>
          <w:rFonts w:cs="Times New Roman"/>
          <w:lang w:val="en-GB"/>
        </w:rPr>
        <w:t>(</w:t>
      </w:r>
      <w:r w:rsidR="00ED262D" w:rsidRPr="007048BA">
        <w:rPr>
          <w:rFonts w:cs="Times New Roman"/>
          <w:i/>
          <w:lang w:val="en-GB"/>
        </w:rPr>
        <w:t>efficient</w:t>
      </w:r>
      <w:r w:rsidR="00B92219" w:rsidRPr="007048BA">
        <w:rPr>
          <w:lang w:val="en-GB"/>
        </w:rPr>
        <w:t xml:space="preserve">) </w:t>
      </w:r>
      <w:r w:rsidR="00B92219" w:rsidRPr="007048BA">
        <w:rPr>
          <w:rFonts w:cs="Times New Roman"/>
          <w:lang w:val="en-GB"/>
        </w:rPr>
        <w:t>into</w:t>
      </w:r>
      <w:r w:rsidR="00CA299A" w:rsidRPr="007048BA">
        <w:rPr>
          <w:rFonts w:cs="Times New Roman"/>
          <w:lang w:val="en-GB"/>
        </w:rPr>
        <w:t xml:space="preserve"> the underperforming categories (</w:t>
      </w:r>
      <w:r w:rsidR="00ED262D" w:rsidRPr="007048BA">
        <w:rPr>
          <w:rFonts w:cs="Times New Roman"/>
          <w:i/>
          <w:lang w:val="en-GB"/>
        </w:rPr>
        <w:t>poor</w:t>
      </w:r>
      <w:r w:rsidR="00CA299A" w:rsidRPr="007048BA">
        <w:rPr>
          <w:rFonts w:cs="Times New Roman"/>
          <w:lang w:val="en-GB"/>
        </w:rPr>
        <w:t xml:space="preserve">, </w:t>
      </w:r>
      <w:r w:rsidR="00ED262D" w:rsidRPr="007048BA">
        <w:rPr>
          <w:rFonts w:cs="Times New Roman"/>
          <w:i/>
          <w:lang w:val="en-GB"/>
        </w:rPr>
        <w:t>myopia</w:t>
      </w:r>
      <w:r w:rsidR="00CA299A" w:rsidRPr="007048BA">
        <w:rPr>
          <w:rFonts w:cs="Times New Roman"/>
          <w:lang w:val="en-GB"/>
        </w:rPr>
        <w:t xml:space="preserve"> and </w:t>
      </w:r>
      <w:r w:rsidR="00ED262D" w:rsidRPr="007048BA">
        <w:rPr>
          <w:i/>
          <w:lang w:val="en-GB"/>
        </w:rPr>
        <w:t>hyperopia</w:t>
      </w:r>
      <w:r w:rsidR="00CA299A" w:rsidRPr="007048BA">
        <w:rPr>
          <w:lang w:val="en-GB"/>
        </w:rPr>
        <w:t>).</w:t>
      </w:r>
      <w:r w:rsidR="004E0016" w:rsidRPr="007048BA">
        <w:rPr>
          <w:lang w:val="en-GB"/>
        </w:rPr>
        <w:t xml:space="preserve"> Results on how frequently firms switch from one category to the other are presented in Table 8.</w:t>
      </w:r>
    </w:p>
    <w:p w14:paraId="7886BACF" w14:textId="2C54B339" w:rsidR="00CA299A" w:rsidRPr="007048BA" w:rsidRDefault="00CA299A" w:rsidP="00CA299A">
      <w:pPr>
        <w:ind w:firstLine="720"/>
        <w:jc w:val="center"/>
        <w:rPr>
          <w:rFonts w:cs="Times New Roman"/>
          <w:b/>
          <w:lang w:val="en-GB"/>
        </w:rPr>
      </w:pPr>
      <w:r w:rsidRPr="007048BA">
        <w:rPr>
          <w:rFonts w:cs="Times New Roman"/>
          <w:b/>
          <w:lang w:val="en-GB"/>
        </w:rPr>
        <w:t xml:space="preserve">[Insert Table </w:t>
      </w:r>
      <w:r w:rsidR="00F63862" w:rsidRPr="007048BA">
        <w:rPr>
          <w:rFonts w:cs="Times New Roman"/>
          <w:b/>
          <w:lang w:val="en-GB"/>
        </w:rPr>
        <w:t>8</w:t>
      </w:r>
      <w:r w:rsidRPr="007048BA">
        <w:rPr>
          <w:rFonts w:cs="Times New Roman"/>
          <w:b/>
          <w:lang w:val="en-GB"/>
        </w:rPr>
        <w:t xml:space="preserve"> about here]</w:t>
      </w:r>
    </w:p>
    <w:p w14:paraId="5F403B34" w14:textId="5EADC69E" w:rsidR="00CA299A" w:rsidRPr="007048BA" w:rsidRDefault="00CA299A" w:rsidP="00A66E57">
      <w:pPr>
        <w:ind w:firstLine="720"/>
        <w:rPr>
          <w:rFonts w:cs="Times New Roman"/>
          <w:lang w:val="en-GB"/>
        </w:rPr>
      </w:pPr>
      <w:r w:rsidRPr="007048BA">
        <w:rPr>
          <w:rFonts w:cs="Times New Roman"/>
          <w:lang w:val="en-GB"/>
        </w:rPr>
        <w:t xml:space="preserve">Indeed, we find significant switching, particularly for our </w:t>
      </w:r>
      <w:r w:rsidR="00ED262D" w:rsidRPr="007048BA">
        <w:rPr>
          <w:rFonts w:cs="Times New Roman"/>
          <w:i/>
          <w:lang w:val="en-GB"/>
        </w:rPr>
        <w:t>poor</w:t>
      </w:r>
      <w:r w:rsidRPr="007048BA">
        <w:rPr>
          <w:rFonts w:cs="Times New Roman"/>
          <w:i/>
          <w:lang w:val="en-GB"/>
        </w:rPr>
        <w:t xml:space="preserve"> </w:t>
      </w:r>
      <w:r w:rsidRPr="007048BA">
        <w:rPr>
          <w:rFonts w:cs="Times New Roman"/>
          <w:lang w:val="en-GB"/>
        </w:rPr>
        <w:t>(</w:t>
      </w:r>
      <w:r w:rsidR="00A66E57" w:rsidRPr="007048BA">
        <w:rPr>
          <w:rFonts w:cs="Times New Roman"/>
          <w:lang w:val="en-GB"/>
        </w:rPr>
        <w:t>64.11</w:t>
      </w:r>
      <w:r w:rsidRPr="007048BA">
        <w:rPr>
          <w:rFonts w:cs="Times New Roman"/>
          <w:lang w:val="en-GB"/>
        </w:rPr>
        <w:t xml:space="preserve"> percent)</w:t>
      </w:r>
      <w:r w:rsidRPr="007048BA">
        <w:rPr>
          <w:rFonts w:cs="Times New Roman"/>
          <w:i/>
          <w:lang w:val="en-GB"/>
        </w:rPr>
        <w:t xml:space="preserve">, </w:t>
      </w:r>
      <w:r w:rsidR="00ED262D" w:rsidRPr="007048BA">
        <w:rPr>
          <w:rFonts w:cs="Times New Roman"/>
          <w:i/>
          <w:lang w:val="en-GB"/>
        </w:rPr>
        <w:t>myopic</w:t>
      </w:r>
      <w:r w:rsidRPr="007048BA">
        <w:rPr>
          <w:rFonts w:cs="Times New Roman"/>
          <w:i/>
          <w:lang w:val="en-GB"/>
        </w:rPr>
        <w:t xml:space="preserve"> </w:t>
      </w:r>
      <w:r w:rsidRPr="007048BA">
        <w:rPr>
          <w:rFonts w:cs="Times New Roman"/>
          <w:lang w:val="en-GB"/>
        </w:rPr>
        <w:t>(61.</w:t>
      </w:r>
      <w:r w:rsidR="00A66E57" w:rsidRPr="007048BA">
        <w:rPr>
          <w:rFonts w:cs="Times New Roman"/>
          <w:lang w:val="en-GB"/>
        </w:rPr>
        <w:t>73</w:t>
      </w:r>
      <w:r w:rsidRPr="007048BA">
        <w:rPr>
          <w:rFonts w:cs="Times New Roman"/>
          <w:lang w:val="en-GB"/>
        </w:rPr>
        <w:t xml:space="preserve"> percent) and </w:t>
      </w:r>
      <w:r w:rsidR="005575A3" w:rsidRPr="007048BA">
        <w:rPr>
          <w:rFonts w:cs="Times New Roman"/>
          <w:i/>
          <w:lang w:val="en-GB"/>
        </w:rPr>
        <w:t xml:space="preserve">hyperopic </w:t>
      </w:r>
      <w:r w:rsidRPr="007048BA">
        <w:rPr>
          <w:rFonts w:cs="Times New Roman"/>
          <w:lang w:val="en-GB"/>
        </w:rPr>
        <w:t>(</w:t>
      </w:r>
      <w:r w:rsidR="00A66E57" w:rsidRPr="007048BA">
        <w:rPr>
          <w:rFonts w:cs="Times New Roman"/>
          <w:lang w:val="en-GB"/>
        </w:rPr>
        <w:t>60.78</w:t>
      </w:r>
      <w:r w:rsidRPr="007048BA">
        <w:rPr>
          <w:rFonts w:cs="Times New Roman"/>
          <w:lang w:val="en-GB"/>
        </w:rPr>
        <w:t xml:space="preserve"> percent) categories. </w:t>
      </w:r>
      <w:r w:rsidR="00E5016F" w:rsidRPr="007048BA">
        <w:rPr>
          <w:rFonts w:cs="Times New Roman"/>
          <w:lang w:val="en-GB"/>
        </w:rPr>
        <w:t xml:space="preserve">That is, about </w:t>
      </w:r>
      <w:r w:rsidR="00A66E57" w:rsidRPr="007048BA">
        <w:rPr>
          <w:rFonts w:cs="Times New Roman"/>
          <w:lang w:val="en-GB"/>
        </w:rPr>
        <w:t>35.89</w:t>
      </w:r>
      <w:r w:rsidR="00E5016F" w:rsidRPr="007048BA">
        <w:rPr>
          <w:rFonts w:cs="Times New Roman"/>
          <w:lang w:val="en-GB"/>
        </w:rPr>
        <w:t xml:space="preserve"> percent, </w:t>
      </w:r>
      <w:r w:rsidR="00A66E57" w:rsidRPr="007048BA">
        <w:rPr>
          <w:rFonts w:cs="Times New Roman"/>
          <w:lang w:val="en-GB"/>
        </w:rPr>
        <w:t>38.27</w:t>
      </w:r>
      <w:r w:rsidR="00E5016F" w:rsidRPr="007048BA">
        <w:rPr>
          <w:rFonts w:cs="Times New Roman"/>
          <w:lang w:val="en-GB"/>
        </w:rPr>
        <w:t xml:space="preserve"> percent and </w:t>
      </w:r>
      <w:r w:rsidR="00A66E57" w:rsidRPr="007048BA">
        <w:rPr>
          <w:rFonts w:cs="Times New Roman"/>
          <w:lang w:val="en-GB"/>
        </w:rPr>
        <w:t>39.22</w:t>
      </w:r>
      <w:r w:rsidR="00E5016F" w:rsidRPr="007048BA">
        <w:rPr>
          <w:rFonts w:cs="Times New Roman"/>
          <w:lang w:val="en-GB"/>
        </w:rPr>
        <w:t xml:space="preserve"> percent of our </w:t>
      </w:r>
      <w:r w:rsidR="00ED262D" w:rsidRPr="007048BA">
        <w:rPr>
          <w:rFonts w:cs="Times New Roman"/>
          <w:i/>
          <w:lang w:val="en-GB"/>
        </w:rPr>
        <w:t>poor</w:t>
      </w:r>
      <w:r w:rsidR="00E5016F" w:rsidRPr="007048BA">
        <w:rPr>
          <w:rFonts w:cs="Times New Roman"/>
          <w:lang w:val="en-GB"/>
        </w:rPr>
        <w:t xml:space="preserve">, </w:t>
      </w:r>
      <w:r w:rsidR="00ED262D" w:rsidRPr="007048BA">
        <w:rPr>
          <w:rFonts w:cs="Times New Roman"/>
          <w:i/>
          <w:lang w:val="en-GB"/>
        </w:rPr>
        <w:t>myopic</w:t>
      </w:r>
      <w:r w:rsidR="00E5016F" w:rsidRPr="007048BA">
        <w:rPr>
          <w:rFonts w:cs="Times New Roman"/>
          <w:lang w:val="en-GB"/>
        </w:rPr>
        <w:t xml:space="preserve"> and </w:t>
      </w:r>
      <w:r w:rsidR="005575A3" w:rsidRPr="007048BA">
        <w:rPr>
          <w:rFonts w:cs="Times New Roman"/>
          <w:i/>
          <w:lang w:val="en-GB"/>
        </w:rPr>
        <w:t xml:space="preserve">hyperopic </w:t>
      </w:r>
      <w:r w:rsidR="00E5016F" w:rsidRPr="007048BA">
        <w:rPr>
          <w:rFonts w:cs="Times New Roman"/>
          <w:lang w:val="en-GB"/>
        </w:rPr>
        <w:t xml:space="preserve">categories </w:t>
      </w:r>
      <w:r w:rsidR="00D42E84" w:rsidRPr="007048BA">
        <w:rPr>
          <w:rFonts w:cs="Times New Roman"/>
          <w:i/>
          <w:lang w:val="en-GB"/>
        </w:rPr>
        <w:t>maintain</w:t>
      </w:r>
      <w:r w:rsidR="00E5016F" w:rsidRPr="007048BA">
        <w:rPr>
          <w:rFonts w:cs="Times New Roman"/>
          <w:lang w:val="en-GB"/>
        </w:rPr>
        <w:t xml:space="preserve"> their </w:t>
      </w:r>
      <w:r w:rsidR="006B3320" w:rsidRPr="007048BA">
        <w:rPr>
          <w:rFonts w:cs="Times New Roman"/>
          <w:lang w:val="en-GB"/>
        </w:rPr>
        <w:t>attributes</w:t>
      </w:r>
      <w:r w:rsidR="00E5016F" w:rsidRPr="007048BA">
        <w:rPr>
          <w:rFonts w:cs="Times New Roman"/>
          <w:lang w:val="en-GB"/>
        </w:rPr>
        <w:t xml:space="preserve"> from one year to the next. </w:t>
      </w:r>
      <w:r w:rsidRPr="007048BA">
        <w:rPr>
          <w:rFonts w:cs="Times New Roman"/>
          <w:lang w:val="en-GB"/>
        </w:rPr>
        <w:t xml:space="preserve">By contrast, only </w:t>
      </w:r>
      <w:r w:rsidR="00A66E57" w:rsidRPr="007048BA">
        <w:rPr>
          <w:rFonts w:cs="Times New Roman"/>
          <w:lang w:val="en-GB"/>
        </w:rPr>
        <w:t>44.45</w:t>
      </w:r>
      <w:r w:rsidRPr="007048BA">
        <w:rPr>
          <w:rFonts w:cs="Times New Roman"/>
          <w:lang w:val="en-GB"/>
        </w:rPr>
        <w:t xml:space="preserve"> percent of observations in our </w:t>
      </w:r>
      <w:r w:rsidR="00ED262D" w:rsidRPr="007048BA">
        <w:rPr>
          <w:rFonts w:cs="Times New Roman"/>
          <w:i/>
          <w:lang w:val="en-GB"/>
        </w:rPr>
        <w:t>efficient</w:t>
      </w:r>
      <w:r w:rsidRPr="007048BA">
        <w:rPr>
          <w:rFonts w:cs="Times New Roman"/>
          <w:lang w:val="en-GB"/>
        </w:rPr>
        <w:t xml:space="preserve"> category switch to other categories from one year to the next</w:t>
      </w:r>
      <w:r w:rsidR="00E5016F" w:rsidRPr="007048BA">
        <w:rPr>
          <w:rFonts w:cs="Times New Roman"/>
          <w:lang w:val="en-GB"/>
        </w:rPr>
        <w:t xml:space="preserve"> (i.e., </w:t>
      </w:r>
      <w:r w:rsidR="00A66E57" w:rsidRPr="007048BA">
        <w:rPr>
          <w:rFonts w:cs="Times New Roman"/>
          <w:lang w:val="en-GB"/>
        </w:rPr>
        <w:t>55.45</w:t>
      </w:r>
      <w:r w:rsidR="00E5016F" w:rsidRPr="007048BA">
        <w:rPr>
          <w:rFonts w:cs="Times New Roman"/>
          <w:lang w:val="en-GB"/>
        </w:rPr>
        <w:t xml:space="preserve"> percent </w:t>
      </w:r>
      <w:r w:rsidR="00D42E84" w:rsidRPr="007048BA">
        <w:rPr>
          <w:rFonts w:cs="Times New Roman"/>
          <w:i/>
          <w:lang w:val="en-GB"/>
        </w:rPr>
        <w:t>m</w:t>
      </w:r>
      <w:r w:rsidR="00EF63A8" w:rsidRPr="007048BA">
        <w:rPr>
          <w:rFonts w:cs="Times New Roman"/>
          <w:i/>
          <w:lang w:val="en-GB"/>
        </w:rPr>
        <w:t>aintain</w:t>
      </w:r>
      <w:r w:rsidR="00E5016F" w:rsidRPr="007048BA">
        <w:rPr>
          <w:rFonts w:cs="Times New Roman"/>
          <w:lang w:val="en-GB"/>
        </w:rPr>
        <w:t xml:space="preserve"> this category)</w:t>
      </w:r>
      <w:r w:rsidR="00A66E57" w:rsidRPr="007048BA">
        <w:rPr>
          <w:rFonts w:cs="Times New Roman"/>
          <w:lang w:val="en-GB"/>
        </w:rPr>
        <w:t>. These results suggest</w:t>
      </w:r>
      <w:r w:rsidRPr="007048BA">
        <w:rPr>
          <w:rFonts w:cs="Times New Roman"/>
          <w:lang w:val="en-GB"/>
        </w:rPr>
        <w:t xml:space="preserve"> that, as expected, managers are more eager to move out of the </w:t>
      </w:r>
      <w:r w:rsidR="00ED262D" w:rsidRPr="007048BA">
        <w:rPr>
          <w:rFonts w:cs="Times New Roman"/>
          <w:i/>
          <w:lang w:val="en-GB"/>
        </w:rPr>
        <w:t>poor</w:t>
      </w:r>
      <w:r w:rsidRPr="007048BA">
        <w:rPr>
          <w:rFonts w:cs="Times New Roman"/>
          <w:lang w:val="en-GB"/>
        </w:rPr>
        <w:t xml:space="preserve"> and </w:t>
      </w:r>
      <w:r w:rsidR="00ED262D" w:rsidRPr="007048BA">
        <w:rPr>
          <w:rFonts w:cs="Times New Roman"/>
          <w:i/>
          <w:lang w:val="en-GB"/>
        </w:rPr>
        <w:t>myopia</w:t>
      </w:r>
      <w:r w:rsidRPr="007048BA">
        <w:rPr>
          <w:rFonts w:cs="Times New Roman"/>
          <w:lang w:val="en-GB"/>
        </w:rPr>
        <w:t xml:space="preserve"> categories</w:t>
      </w:r>
      <w:r w:rsidR="006C4BB7" w:rsidRPr="007048BA">
        <w:rPr>
          <w:rFonts w:cs="Times New Roman"/>
          <w:lang w:val="en-GB"/>
        </w:rPr>
        <w:t xml:space="preserve"> (</w:t>
      </w:r>
      <w:r w:rsidR="00E5016F" w:rsidRPr="007048BA">
        <w:rPr>
          <w:rFonts w:cs="Times New Roman"/>
          <w:lang w:val="en-GB"/>
        </w:rPr>
        <w:t xml:space="preserve">i.e., </w:t>
      </w:r>
      <w:r w:rsidR="00D42E84" w:rsidRPr="007048BA">
        <w:rPr>
          <w:rFonts w:cs="Times New Roman"/>
          <w:i/>
          <w:lang w:val="en-GB"/>
        </w:rPr>
        <w:t>improve</w:t>
      </w:r>
      <w:r w:rsidR="006C4BB7" w:rsidRPr="007048BA">
        <w:rPr>
          <w:rFonts w:cs="Times New Roman"/>
          <w:lang w:val="en-GB"/>
        </w:rPr>
        <w:t>)</w:t>
      </w:r>
      <w:r w:rsidRPr="007048BA">
        <w:rPr>
          <w:rFonts w:cs="Times New Roman"/>
          <w:lang w:val="en-GB"/>
        </w:rPr>
        <w:t xml:space="preserve"> when compared to the </w:t>
      </w:r>
      <w:r w:rsidR="00ED262D" w:rsidRPr="007048BA">
        <w:rPr>
          <w:rFonts w:cs="Times New Roman"/>
          <w:i/>
          <w:lang w:val="en-GB"/>
        </w:rPr>
        <w:t>efficient</w:t>
      </w:r>
      <w:r w:rsidRPr="007048BA">
        <w:rPr>
          <w:rFonts w:cs="Times New Roman"/>
          <w:lang w:val="en-GB"/>
        </w:rPr>
        <w:t xml:space="preserve"> category</w:t>
      </w:r>
      <w:r w:rsidR="006C4BB7" w:rsidRPr="007048BA">
        <w:rPr>
          <w:rFonts w:cs="Times New Roman"/>
          <w:lang w:val="en-GB"/>
        </w:rPr>
        <w:t xml:space="preserve"> (</w:t>
      </w:r>
      <w:r w:rsidR="00E5016F" w:rsidRPr="007048BA">
        <w:rPr>
          <w:rFonts w:cs="Times New Roman"/>
          <w:lang w:val="en-GB"/>
        </w:rPr>
        <w:t xml:space="preserve">i.e., </w:t>
      </w:r>
      <w:r w:rsidR="00D42E84" w:rsidRPr="007048BA">
        <w:rPr>
          <w:rFonts w:cs="Times New Roman"/>
          <w:i/>
          <w:lang w:val="en-GB"/>
        </w:rPr>
        <w:t>d</w:t>
      </w:r>
      <w:r w:rsidR="00EF63A8" w:rsidRPr="007048BA">
        <w:rPr>
          <w:rFonts w:cs="Times New Roman"/>
          <w:i/>
          <w:lang w:val="en-GB"/>
        </w:rPr>
        <w:t>ecline</w:t>
      </w:r>
      <w:r w:rsidR="006C4BB7" w:rsidRPr="007048BA">
        <w:rPr>
          <w:rFonts w:cs="Times New Roman"/>
          <w:lang w:val="en-GB"/>
        </w:rPr>
        <w:t>)</w:t>
      </w:r>
      <w:r w:rsidRPr="007048BA">
        <w:rPr>
          <w:rFonts w:cs="Times New Roman"/>
          <w:lang w:val="en-GB"/>
        </w:rPr>
        <w:t>. We find that a majority of observations (</w:t>
      </w:r>
      <w:r w:rsidR="00A66E57" w:rsidRPr="007048BA">
        <w:rPr>
          <w:rFonts w:cs="Times New Roman"/>
          <w:lang w:val="en-GB"/>
        </w:rPr>
        <w:t>41.82</w:t>
      </w:r>
      <w:r w:rsidR="00E5016F" w:rsidRPr="007048BA">
        <w:rPr>
          <w:rFonts w:cs="Times New Roman"/>
          <w:lang w:val="en-GB"/>
        </w:rPr>
        <w:t xml:space="preserve"> percent) switching</w:t>
      </w:r>
      <w:r w:rsidRPr="007048BA">
        <w:rPr>
          <w:rFonts w:cs="Times New Roman"/>
          <w:lang w:val="en-GB"/>
        </w:rPr>
        <w:t xml:space="preserve"> from </w:t>
      </w:r>
      <w:r w:rsidR="00ED262D" w:rsidRPr="007048BA">
        <w:rPr>
          <w:rFonts w:cs="Times New Roman"/>
          <w:i/>
          <w:lang w:val="en-GB"/>
        </w:rPr>
        <w:t>poor</w:t>
      </w:r>
      <w:r w:rsidRPr="007048BA">
        <w:rPr>
          <w:rFonts w:cs="Times New Roman"/>
          <w:lang w:val="en-GB"/>
        </w:rPr>
        <w:t xml:space="preserve"> move into the </w:t>
      </w:r>
      <w:r w:rsidR="00ED262D" w:rsidRPr="007048BA">
        <w:rPr>
          <w:rFonts w:cs="Times New Roman"/>
          <w:i/>
          <w:lang w:val="en-GB"/>
        </w:rPr>
        <w:t>hyperopia</w:t>
      </w:r>
      <w:r w:rsidRPr="007048BA">
        <w:rPr>
          <w:rFonts w:cs="Times New Roman"/>
          <w:i/>
          <w:lang w:val="en-GB"/>
        </w:rPr>
        <w:t xml:space="preserve"> </w:t>
      </w:r>
      <w:r w:rsidRPr="007048BA">
        <w:rPr>
          <w:rFonts w:cs="Times New Roman"/>
          <w:lang w:val="en-GB"/>
        </w:rPr>
        <w:t>category</w:t>
      </w:r>
      <w:r w:rsidRPr="007048BA">
        <w:rPr>
          <w:rFonts w:cs="Times New Roman"/>
          <w:i/>
          <w:lang w:val="en-GB"/>
        </w:rPr>
        <w:t>.</w:t>
      </w:r>
      <w:r w:rsidRPr="007048BA">
        <w:rPr>
          <w:rFonts w:cs="Times New Roman"/>
          <w:lang w:val="en-GB"/>
        </w:rPr>
        <w:t xml:space="preserve"> Similarly, almost half (4</w:t>
      </w:r>
      <w:r w:rsidR="00A66E57" w:rsidRPr="007048BA">
        <w:rPr>
          <w:rFonts w:cs="Times New Roman"/>
          <w:lang w:val="en-GB"/>
        </w:rPr>
        <w:t>3</w:t>
      </w:r>
      <w:r w:rsidRPr="007048BA">
        <w:rPr>
          <w:rFonts w:cs="Times New Roman"/>
          <w:lang w:val="en-GB"/>
        </w:rPr>
        <w:t>.</w:t>
      </w:r>
      <w:r w:rsidR="00A66E57" w:rsidRPr="007048BA">
        <w:rPr>
          <w:rFonts w:cs="Times New Roman"/>
          <w:lang w:val="en-GB"/>
        </w:rPr>
        <w:t>98</w:t>
      </w:r>
      <w:r w:rsidRPr="007048BA">
        <w:rPr>
          <w:rFonts w:cs="Times New Roman"/>
          <w:lang w:val="en-GB"/>
        </w:rPr>
        <w:t xml:space="preserve"> percent) of firms switching from the </w:t>
      </w:r>
      <w:r w:rsidR="00ED262D" w:rsidRPr="007048BA">
        <w:rPr>
          <w:rFonts w:cs="Times New Roman"/>
          <w:i/>
          <w:lang w:val="en-GB"/>
        </w:rPr>
        <w:t>myopia</w:t>
      </w:r>
      <w:r w:rsidRPr="007048BA">
        <w:rPr>
          <w:rFonts w:cs="Times New Roman"/>
          <w:lang w:val="en-GB"/>
        </w:rPr>
        <w:t xml:space="preserve"> category move into the </w:t>
      </w:r>
      <w:r w:rsidR="00ED262D" w:rsidRPr="007048BA">
        <w:rPr>
          <w:rFonts w:cs="Times New Roman"/>
          <w:i/>
          <w:lang w:val="en-GB"/>
        </w:rPr>
        <w:t>efficient</w:t>
      </w:r>
      <w:r w:rsidRPr="007048BA">
        <w:rPr>
          <w:rFonts w:cs="Times New Roman"/>
          <w:lang w:val="en-GB"/>
        </w:rPr>
        <w:t xml:space="preserve"> category.</w:t>
      </w:r>
    </w:p>
    <w:p w14:paraId="1FF4D554" w14:textId="25CF2A17" w:rsidR="004E0016" w:rsidRPr="007048BA" w:rsidRDefault="004E0016" w:rsidP="00CA299A">
      <w:pPr>
        <w:ind w:firstLine="720"/>
        <w:rPr>
          <w:rFonts w:cs="Times New Roman"/>
          <w:lang w:val="en-GB"/>
        </w:rPr>
      </w:pPr>
      <w:r w:rsidRPr="007048BA">
        <w:rPr>
          <w:rFonts w:cs="Times New Roman"/>
          <w:lang w:val="en-GB"/>
        </w:rPr>
        <w:lastRenderedPageBreak/>
        <w:t>We next</w:t>
      </w:r>
      <w:r w:rsidR="008B6334" w:rsidRPr="007048BA">
        <w:rPr>
          <w:rFonts w:cs="Times New Roman"/>
          <w:lang w:val="en-GB"/>
        </w:rPr>
        <w:t>,</w:t>
      </w:r>
      <w:r w:rsidRPr="007048BA">
        <w:rPr>
          <w:rFonts w:cs="Times New Roman"/>
          <w:lang w:val="en-GB"/>
        </w:rPr>
        <w:t xml:space="preserve"> specifically</w:t>
      </w:r>
      <w:r w:rsidR="008B6334" w:rsidRPr="007048BA">
        <w:rPr>
          <w:rFonts w:cs="Times New Roman"/>
          <w:lang w:val="en-GB"/>
        </w:rPr>
        <w:t>,</w:t>
      </w:r>
      <w:r w:rsidRPr="007048BA">
        <w:rPr>
          <w:rFonts w:cs="Times New Roman"/>
          <w:lang w:val="en-GB"/>
        </w:rPr>
        <w:t xml:space="preserve"> explore whether the adoption of a more long-term approach (e.g., as evidence</w:t>
      </w:r>
      <w:r w:rsidR="004F5035" w:rsidRPr="007048BA">
        <w:rPr>
          <w:rFonts w:cs="Times New Roman"/>
          <w:lang w:val="en-GB"/>
        </w:rPr>
        <w:t>d</w:t>
      </w:r>
      <w:r w:rsidRPr="007048BA">
        <w:rPr>
          <w:rFonts w:cs="Times New Roman"/>
          <w:lang w:val="en-GB"/>
        </w:rPr>
        <w:t xml:space="preserve"> </w:t>
      </w:r>
      <w:r w:rsidR="008B6334" w:rsidRPr="007048BA">
        <w:rPr>
          <w:rFonts w:cs="Times New Roman"/>
          <w:lang w:val="en-GB"/>
        </w:rPr>
        <w:t>by</w:t>
      </w:r>
      <w:r w:rsidRPr="007048BA">
        <w:rPr>
          <w:rFonts w:cs="Times New Roman"/>
          <w:lang w:val="en-GB"/>
        </w:rPr>
        <w:t xml:space="preserve"> increased investment in R&amp;D or the accumulation of lower discretionary accruals) partly explains the switch from underperforming to better performing categories</w:t>
      </w:r>
      <w:r w:rsidR="008B6334" w:rsidRPr="007048BA">
        <w:rPr>
          <w:rFonts w:cs="Times New Roman"/>
          <w:lang w:val="en-GB"/>
        </w:rPr>
        <w:t xml:space="preserve"> (</w:t>
      </w:r>
      <w:r w:rsidR="00D42E84" w:rsidRPr="007048BA">
        <w:rPr>
          <w:rFonts w:cs="Times New Roman"/>
          <w:i/>
          <w:lang w:val="en-GB"/>
        </w:rPr>
        <w:t>i</w:t>
      </w:r>
      <w:r w:rsidR="00EF63A8" w:rsidRPr="007048BA">
        <w:rPr>
          <w:rFonts w:cs="Times New Roman"/>
          <w:i/>
          <w:lang w:val="en-GB"/>
        </w:rPr>
        <w:t>mprove</w:t>
      </w:r>
      <w:r w:rsidR="008B6334" w:rsidRPr="007048BA">
        <w:rPr>
          <w:rFonts w:cs="Times New Roman"/>
          <w:lang w:val="en-GB"/>
        </w:rPr>
        <w:t>)</w:t>
      </w:r>
      <w:r w:rsidRPr="007048BA">
        <w:rPr>
          <w:rFonts w:cs="Times New Roman"/>
          <w:lang w:val="en-GB"/>
        </w:rPr>
        <w:t>.</w:t>
      </w:r>
      <w:r w:rsidR="0089403C" w:rsidRPr="007048BA">
        <w:rPr>
          <w:rFonts w:cs="Times New Roman"/>
          <w:lang w:val="en-GB"/>
        </w:rPr>
        <w:t xml:space="preserve"> We may therefore observe that firms switching up from </w:t>
      </w:r>
      <w:r w:rsidR="00ED262D" w:rsidRPr="007048BA">
        <w:rPr>
          <w:rFonts w:cs="Times New Roman"/>
          <w:i/>
          <w:lang w:val="en-GB"/>
        </w:rPr>
        <w:t>poor</w:t>
      </w:r>
      <w:r w:rsidR="008B6334" w:rsidRPr="007048BA">
        <w:rPr>
          <w:rFonts w:cs="Times New Roman"/>
          <w:lang w:val="en-GB"/>
        </w:rPr>
        <w:t xml:space="preserve"> (</w:t>
      </w:r>
      <w:r w:rsidR="00CD4B17" w:rsidRPr="007048BA">
        <w:rPr>
          <w:rFonts w:cs="Times New Roman"/>
          <w:lang w:val="en-GB"/>
        </w:rPr>
        <w:t xml:space="preserve">i.e., </w:t>
      </w:r>
      <w:r w:rsidR="00D42E84" w:rsidRPr="007048BA">
        <w:rPr>
          <w:rFonts w:cs="Times New Roman"/>
          <w:i/>
          <w:lang w:val="en-GB"/>
        </w:rPr>
        <w:t>i</w:t>
      </w:r>
      <w:r w:rsidR="00EF63A8" w:rsidRPr="007048BA">
        <w:rPr>
          <w:rFonts w:cs="Times New Roman"/>
          <w:i/>
          <w:lang w:val="en-GB"/>
        </w:rPr>
        <w:t>mprove</w:t>
      </w:r>
      <w:r w:rsidR="008B6334" w:rsidRPr="007048BA">
        <w:rPr>
          <w:rFonts w:cs="Times New Roman"/>
          <w:lang w:val="en-GB"/>
        </w:rPr>
        <w:t xml:space="preserve">) </w:t>
      </w:r>
      <w:r w:rsidR="0089403C" w:rsidRPr="007048BA">
        <w:rPr>
          <w:rFonts w:cs="Times New Roman"/>
          <w:lang w:val="en-GB"/>
        </w:rPr>
        <w:t>are associated with higher R&amp;D investments or lower accumulated discretionary accrual</w:t>
      </w:r>
      <w:r w:rsidR="00BF1A7A" w:rsidRPr="007048BA">
        <w:rPr>
          <w:rFonts w:cs="Times New Roman"/>
          <w:lang w:val="en-GB"/>
        </w:rPr>
        <w:t>s</w:t>
      </w:r>
      <w:r w:rsidR="0089403C" w:rsidRPr="007048BA">
        <w:rPr>
          <w:rFonts w:cs="Times New Roman"/>
          <w:lang w:val="en-GB"/>
        </w:rPr>
        <w:t xml:space="preserve"> in the previous period.</w:t>
      </w:r>
      <w:r w:rsidR="00BF1A7A" w:rsidRPr="007048BA">
        <w:rPr>
          <w:rFonts w:cs="Times New Roman"/>
          <w:lang w:val="en-GB"/>
        </w:rPr>
        <w:t xml:space="preserve"> </w:t>
      </w:r>
      <w:r w:rsidR="00E5016F" w:rsidRPr="007048BA">
        <w:rPr>
          <w:rFonts w:cs="Times New Roman"/>
          <w:lang w:val="en-GB"/>
        </w:rPr>
        <w:t xml:space="preserve">To explore this issue, we run logit regression models to estimate the likelihood of </w:t>
      </w:r>
      <w:r w:rsidR="006559B6" w:rsidRPr="007048BA">
        <w:rPr>
          <w:rFonts w:cs="Times New Roman"/>
          <w:i/>
          <w:lang w:val="en-GB"/>
        </w:rPr>
        <w:t>im</w:t>
      </w:r>
      <w:r w:rsidR="00EF63A8" w:rsidRPr="007048BA">
        <w:rPr>
          <w:rFonts w:cs="Times New Roman"/>
          <w:i/>
          <w:lang w:val="en-GB"/>
        </w:rPr>
        <w:t>prove</w:t>
      </w:r>
      <w:r w:rsidR="00E5016F" w:rsidRPr="007048BA">
        <w:rPr>
          <w:rFonts w:cs="Times New Roman"/>
          <w:lang w:val="en-GB"/>
        </w:rPr>
        <w:t xml:space="preserve">, </w:t>
      </w:r>
      <w:r w:rsidR="006559B6" w:rsidRPr="007048BA">
        <w:rPr>
          <w:rFonts w:cs="Times New Roman"/>
          <w:i/>
          <w:lang w:val="en-GB"/>
        </w:rPr>
        <w:t>m</w:t>
      </w:r>
      <w:r w:rsidR="00EF63A8" w:rsidRPr="007048BA">
        <w:rPr>
          <w:rFonts w:cs="Times New Roman"/>
          <w:i/>
          <w:lang w:val="en-GB"/>
        </w:rPr>
        <w:t>aintain</w:t>
      </w:r>
      <w:r w:rsidR="00E5016F" w:rsidRPr="007048BA">
        <w:rPr>
          <w:rFonts w:cs="Times New Roman"/>
          <w:lang w:val="en-GB"/>
        </w:rPr>
        <w:t xml:space="preserve"> and </w:t>
      </w:r>
      <w:r w:rsidR="006559B6" w:rsidRPr="007048BA">
        <w:rPr>
          <w:rFonts w:cs="Times New Roman"/>
          <w:i/>
          <w:lang w:val="en-GB"/>
        </w:rPr>
        <w:t>d</w:t>
      </w:r>
      <w:r w:rsidR="00EF63A8" w:rsidRPr="007048BA">
        <w:rPr>
          <w:rFonts w:cs="Times New Roman"/>
          <w:i/>
          <w:lang w:val="en-GB"/>
        </w:rPr>
        <w:t>ecline</w:t>
      </w:r>
      <w:r w:rsidR="00E5016F" w:rsidRPr="007048BA">
        <w:rPr>
          <w:rFonts w:cs="Times New Roman"/>
          <w:lang w:val="en-GB"/>
        </w:rPr>
        <w:t xml:space="preserve">, as a function of lagged R&amp;D investments and lagged </w:t>
      </w:r>
      <w:r w:rsidR="00E9195E" w:rsidRPr="007048BA">
        <w:rPr>
          <w:rFonts w:cs="Times New Roman"/>
          <w:lang w:val="en-GB"/>
        </w:rPr>
        <w:t xml:space="preserve">current </w:t>
      </w:r>
      <w:r w:rsidR="00E5016F" w:rsidRPr="007048BA">
        <w:rPr>
          <w:rFonts w:cs="Times New Roman"/>
          <w:lang w:val="en-GB"/>
        </w:rPr>
        <w:t>discretionary accruals. Our results are reported in Table 9.</w:t>
      </w:r>
    </w:p>
    <w:p w14:paraId="0355E6DB" w14:textId="77777777" w:rsidR="007D09EA" w:rsidRPr="007048BA" w:rsidRDefault="007D09EA" w:rsidP="007D09EA">
      <w:pPr>
        <w:ind w:firstLine="720"/>
        <w:jc w:val="center"/>
        <w:rPr>
          <w:rFonts w:cs="Times New Roman"/>
          <w:b/>
          <w:lang w:val="en-GB"/>
        </w:rPr>
      </w:pPr>
      <w:r w:rsidRPr="007048BA">
        <w:rPr>
          <w:rFonts w:cs="Times New Roman"/>
          <w:b/>
          <w:lang w:val="en-GB"/>
        </w:rPr>
        <w:t xml:space="preserve">[Insert Table 9 about here] </w:t>
      </w:r>
    </w:p>
    <w:p w14:paraId="5C4CFA59" w14:textId="7824ED70" w:rsidR="002648FC" w:rsidRPr="007048BA" w:rsidRDefault="00F8215B" w:rsidP="00F8215B">
      <w:pPr>
        <w:ind w:firstLine="720"/>
        <w:rPr>
          <w:rFonts w:cs="Times New Roman"/>
          <w:lang w:val="en-GB"/>
        </w:rPr>
      </w:pPr>
      <w:r w:rsidRPr="007048BA">
        <w:rPr>
          <w:rFonts w:cs="Times New Roman"/>
          <w:lang w:val="en-GB"/>
        </w:rPr>
        <w:t>The r</w:t>
      </w:r>
      <w:r w:rsidR="002648FC" w:rsidRPr="007048BA">
        <w:rPr>
          <w:rFonts w:cs="Times New Roman"/>
          <w:lang w:val="en-GB"/>
        </w:rPr>
        <w:t xml:space="preserve">esults </w:t>
      </w:r>
      <w:r w:rsidRPr="007048BA">
        <w:rPr>
          <w:rFonts w:cs="Times New Roman"/>
          <w:lang w:val="en-GB"/>
        </w:rPr>
        <w:t>(model</w:t>
      </w:r>
      <w:r w:rsidR="00CD4B17" w:rsidRPr="007048BA">
        <w:rPr>
          <w:rFonts w:cs="Times New Roman"/>
          <w:lang w:val="en-GB"/>
        </w:rPr>
        <w:t>s</w:t>
      </w:r>
      <w:r w:rsidRPr="007048BA">
        <w:rPr>
          <w:rFonts w:cs="Times New Roman"/>
          <w:lang w:val="en-GB"/>
        </w:rPr>
        <w:t xml:space="preserve"> 1</w:t>
      </w:r>
      <w:r w:rsidR="00CD4B17" w:rsidRPr="007048BA">
        <w:rPr>
          <w:rFonts w:cs="Times New Roman"/>
          <w:lang w:val="en-GB"/>
        </w:rPr>
        <w:t xml:space="preserve"> and 2</w:t>
      </w:r>
      <w:r w:rsidRPr="007048BA">
        <w:rPr>
          <w:rFonts w:cs="Times New Roman"/>
          <w:lang w:val="en-GB"/>
        </w:rPr>
        <w:t xml:space="preserve">) from Table 9 </w:t>
      </w:r>
      <w:r w:rsidR="002648FC" w:rsidRPr="007048BA">
        <w:rPr>
          <w:rFonts w:cs="Times New Roman"/>
          <w:lang w:val="en-GB"/>
        </w:rPr>
        <w:t>show that</w:t>
      </w:r>
      <w:r w:rsidRPr="007048BA">
        <w:rPr>
          <w:rFonts w:cs="Times New Roman"/>
          <w:lang w:val="en-GB"/>
        </w:rPr>
        <w:t xml:space="preserve"> an increase in R&amp;D investments, as well as, a decreases in discretionary accruals </w:t>
      </w:r>
      <w:r w:rsidR="00E9195E" w:rsidRPr="007048BA">
        <w:rPr>
          <w:rFonts w:cs="Times New Roman"/>
          <w:lang w:val="en-GB"/>
        </w:rPr>
        <w:t xml:space="preserve">in the current period, </w:t>
      </w:r>
      <w:r w:rsidRPr="007048BA">
        <w:rPr>
          <w:rFonts w:cs="Times New Roman"/>
          <w:lang w:val="en-GB"/>
        </w:rPr>
        <w:t xml:space="preserve">increases </w:t>
      </w:r>
      <w:r w:rsidR="002648FC" w:rsidRPr="007048BA">
        <w:rPr>
          <w:rFonts w:cs="Times New Roman"/>
          <w:lang w:val="en-GB"/>
        </w:rPr>
        <w:t>the likelihood of switching up (</w:t>
      </w:r>
      <w:r w:rsidR="006559B6" w:rsidRPr="007048BA">
        <w:rPr>
          <w:rFonts w:cs="Times New Roman"/>
          <w:i/>
          <w:lang w:val="en-GB"/>
        </w:rPr>
        <w:t>i</w:t>
      </w:r>
      <w:r w:rsidR="00EF63A8" w:rsidRPr="007048BA">
        <w:rPr>
          <w:rFonts w:cs="Times New Roman"/>
          <w:i/>
          <w:lang w:val="en-GB"/>
        </w:rPr>
        <w:t>mprove</w:t>
      </w:r>
      <w:r w:rsidR="002648FC" w:rsidRPr="007048BA">
        <w:rPr>
          <w:rFonts w:cs="Times New Roman"/>
          <w:lang w:val="en-GB"/>
        </w:rPr>
        <w:t>)</w:t>
      </w:r>
      <w:r w:rsidR="00E9195E" w:rsidRPr="007048BA">
        <w:rPr>
          <w:rFonts w:cs="Times New Roman"/>
          <w:lang w:val="en-GB"/>
        </w:rPr>
        <w:t xml:space="preserve"> in the next period</w:t>
      </w:r>
      <w:r w:rsidR="002648FC" w:rsidRPr="007048BA">
        <w:rPr>
          <w:rFonts w:cs="Times New Roman"/>
          <w:lang w:val="en-GB"/>
        </w:rPr>
        <w:t xml:space="preserve">. Also, </w:t>
      </w:r>
      <w:r w:rsidRPr="007048BA">
        <w:rPr>
          <w:rFonts w:cs="Times New Roman"/>
          <w:lang w:val="en-GB"/>
        </w:rPr>
        <w:t xml:space="preserve">as in model 5, a decrease in R&amp;D investments </w:t>
      </w:r>
      <w:r w:rsidR="005A109A" w:rsidRPr="007048BA">
        <w:rPr>
          <w:rFonts w:cs="Times New Roman"/>
          <w:lang w:val="en-GB"/>
        </w:rPr>
        <w:t xml:space="preserve">in the current period </w:t>
      </w:r>
      <w:r w:rsidRPr="007048BA">
        <w:rPr>
          <w:rFonts w:cs="Times New Roman"/>
          <w:lang w:val="en-GB"/>
        </w:rPr>
        <w:t xml:space="preserve">increases </w:t>
      </w:r>
      <w:r w:rsidR="002648FC" w:rsidRPr="007048BA">
        <w:rPr>
          <w:rFonts w:cs="Times New Roman"/>
          <w:lang w:val="en-GB"/>
        </w:rPr>
        <w:t>the likelihood of switching down (</w:t>
      </w:r>
      <w:r w:rsidR="006559B6" w:rsidRPr="007048BA">
        <w:rPr>
          <w:rFonts w:cs="Times New Roman"/>
          <w:i/>
          <w:lang w:val="en-GB"/>
        </w:rPr>
        <w:t>de</w:t>
      </w:r>
      <w:r w:rsidR="00EF63A8" w:rsidRPr="007048BA">
        <w:rPr>
          <w:rFonts w:cs="Times New Roman"/>
          <w:i/>
          <w:lang w:val="en-GB"/>
        </w:rPr>
        <w:t>cline</w:t>
      </w:r>
      <w:r w:rsidRPr="007048BA">
        <w:rPr>
          <w:rFonts w:cs="Times New Roman"/>
          <w:lang w:val="en-GB"/>
        </w:rPr>
        <w:t>)</w:t>
      </w:r>
      <w:r w:rsidR="005A109A" w:rsidRPr="007048BA">
        <w:rPr>
          <w:rFonts w:cs="Times New Roman"/>
          <w:lang w:val="en-GB"/>
        </w:rPr>
        <w:t xml:space="preserve"> in the next period</w:t>
      </w:r>
      <w:r w:rsidRPr="007048BA">
        <w:rPr>
          <w:rFonts w:cs="Times New Roman"/>
          <w:lang w:val="en-GB"/>
        </w:rPr>
        <w:t xml:space="preserve">. </w:t>
      </w:r>
      <w:r w:rsidR="002648FC" w:rsidRPr="007048BA">
        <w:rPr>
          <w:rFonts w:cs="Times New Roman"/>
          <w:lang w:val="en-GB"/>
        </w:rPr>
        <w:t xml:space="preserve">Firms that </w:t>
      </w:r>
      <w:r w:rsidR="00CD4B17" w:rsidRPr="007048BA">
        <w:rPr>
          <w:rFonts w:cs="Times New Roman"/>
          <w:lang w:val="en-GB"/>
        </w:rPr>
        <w:t>grow their</w:t>
      </w:r>
      <w:r w:rsidR="002648FC" w:rsidRPr="007048BA">
        <w:rPr>
          <w:rFonts w:cs="Times New Roman"/>
          <w:lang w:val="en-GB"/>
        </w:rPr>
        <w:t xml:space="preserve"> levels of discretionary accruals </w:t>
      </w:r>
      <w:r w:rsidR="005A109A" w:rsidRPr="007048BA">
        <w:rPr>
          <w:rFonts w:cs="Times New Roman"/>
          <w:lang w:val="en-GB"/>
        </w:rPr>
        <w:t xml:space="preserve">(i.e., model </w:t>
      </w:r>
      <w:r w:rsidR="00CD4B17" w:rsidRPr="007048BA">
        <w:rPr>
          <w:rFonts w:cs="Times New Roman"/>
          <w:lang w:val="en-GB"/>
        </w:rPr>
        <w:t xml:space="preserve">4) </w:t>
      </w:r>
      <w:r w:rsidR="002648FC" w:rsidRPr="007048BA">
        <w:rPr>
          <w:rFonts w:cs="Times New Roman"/>
          <w:lang w:val="en-GB"/>
        </w:rPr>
        <w:t xml:space="preserve">appear to stay within their current category. </w:t>
      </w:r>
      <w:r w:rsidRPr="007048BA">
        <w:rPr>
          <w:rFonts w:cs="Times New Roman"/>
          <w:lang w:val="en-GB"/>
        </w:rPr>
        <w:t>Overall, t</w:t>
      </w:r>
      <w:r w:rsidR="002648FC" w:rsidRPr="007048BA">
        <w:rPr>
          <w:rFonts w:cs="Times New Roman"/>
          <w:lang w:val="en-GB"/>
        </w:rPr>
        <w:t xml:space="preserve">he results suggest that firms achieve improved performance (i.e., </w:t>
      </w:r>
      <w:r w:rsidR="006559B6" w:rsidRPr="007048BA">
        <w:rPr>
          <w:rFonts w:cs="Times New Roman"/>
          <w:i/>
          <w:lang w:val="en-GB"/>
        </w:rPr>
        <w:t>i</w:t>
      </w:r>
      <w:r w:rsidR="00EF63A8" w:rsidRPr="007048BA">
        <w:rPr>
          <w:rFonts w:cs="Times New Roman"/>
          <w:i/>
          <w:lang w:val="en-GB"/>
        </w:rPr>
        <w:t>mprove</w:t>
      </w:r>
      <w:r w:rsidR="002648FC" w:rsidRPr="007048BA">
        <w:rPr>
          <w:rFonts w:cs="Times New Roman"/>
          <w:lang w:val="en-GB"/>
        </w:rPr>
        <w:t xml:space="preserve">), partly, by taking a long term </w:t>
      </w:r>
      <w:r w:rsidR="008855B7" w:rsidRPr="007048BA">
        <w:rPr>
          <w:rFonts w:cs="Times New Roman"/>
          <w:lang w:val="en-GB"/>
        </w:rPr>
        <w:t>view</w:t>
      </w:r>
      <w:r w:rsidR="002648FC" w:rsidRPr="007048BA">
        <w:rPr>
          <w:rFonts w:cs="Times New Roman"/>
          <w:lang w:val="en-GB"/>
        </w:rPr>
        <w:t xml:space="preserve"> (e.g., by investing in R&amp;D</w:t>
      </w:r>
      <w:r w:rsidR="008855B7" w:rsidRPr="007048BA">
        <w:rPr>
          <w:rFonts w:cs="Times New Roman"/>
          <w:lang w:val="en-GB"/>
        </w:rPr>
        <w:t xml:space="preserve"> or reducing discretionary accruals</w:t>
      </w:r>
      <w:r w:rsidR="002648FC" w:rsidRPr="007048BA">
        <w:rPr>
          <w:rFonts w:cs="Times New Roman"/>
          <w:lang w:val="en-GB"/>
        </w:rPr>
        <w:t>)</w:t>
      </w:r>
      <w:r w:rsidRPr="007048BA">
        <w:rPr>
          <w:rFonts w:cs="Times New Roman"/>
          <w:lang w:val="en-GB"/>
        </w:rPr>
        <w:t xml:space="preserve">. </w:t>
      </w:r>
      <w:r w:rsidR="005A109A" w:rsidRPr="007048BA">
        <w:rPr>
          <w:rFonts w:cs="Times New Roman"/>
          <w:lang w:val="en-GB"/>
        </w:rPr>
        <w:t xml:space="preserve">These results are robust when we use abnormal discretional expenses in place of R&amp;D investments in the models. </w:t>
      </w:r>
      <w:r w:rsidRPr="007048BA">
        <w:rPr>
          <w:rFonts w:cs="Times New Roman"/>
          <w:lang w:val="en-GB"/>
        </w:rPr>
        <w:t>We explore the implications of a switch (</w:t>
      </w:r>
      <w:r w:rsidR="006559B6" w:rsidRPr="007048BA">
        <w:rPr>
          <w:rFonts w:cs="Times New Roman"/>
          <w:i/>
          <w:lang w:val="en-GB"/>
        </w:rPr>
        <w:t>d</w:t>
      </w:r>
      <w:r w:rsidR="00EF63A8" w:rsidRPr="007048BA">
        <w:rPr>
          <w:rFonts w:cs="Times New Roman"/>
          <w:i/>
          <w:lang w:val="en-GB"/>
        </w:rPr>
        <w:t>ecline</w:t>
      </w:r>
      <w:r w:rsidRPr="007048BA">
        <w:rPr>
          <w:rFonts w:cs="Times New Roman"/>
          <w:i/>
          <w:lang w:val="en-GB"/>
        </w:rPr>
        <w:t xml:space="preserve">, </w:t>
      </w:r>
      <w:r w:rsidR="006559B6" w:rsidRPr="007048BA">
        <w:rPr>
          <w:rFonts w:cs="Times New Roman"/>
          <w:i/>
          <w:lang w:val="en-GB"/>
        </w:rPr>
        <w:t>m</w:t>
      </w:r>
      <w:r w:rsidR="00EF63A8" w:rsidRPr="007048BA">
        <w:rPr>
          <w:rFonts w:cs="Times New Roman"/>
          <w:i/>
          <w:lang w:val="en-GB"/>
        </w:rPr>
        <w:t>aintain</w:t>
      </w:r>
      <w:r w:rsidRPr="007048BA">
        <w:rPr>
          <w:rFonts w:cs="Times New Roman"/>
          <w:i/>
          <w:lang w:val="en-GB"/>
        </w:rPr>
        <w:t xml:space="preserve">, </w:t>
      </w:r>
      <w:r w:rsidR="006559B6" w:rsidRPr="007048BA">
        <w:rPr>
          <w:rFonts w:cs="Times New Roman"/>
          <w:i/>
          <w:lang w:val="en-GB"/>
        </w:rPr>
        <w:t>i</w:t>
      </w:r>
      <w:r w:rsidR="00EF63A8" w:rsidRPr="007048BA">
        <w:rPr>
          <w:rFonts w:cs="Times New Roman"/>
          <w:i/>
          <w:lang w:val="en-GB"/>
        </w:rPr>
        <w:t>mprove</w:t>
      </w:r>
      <w:r w:rsidRPr="007048BA">
        <w:rPr>
          <w:rFonts w:cs="Times New Roman"/>
          <w:lang w:val="en-GB"/>
        </w:rPr>
        <w:t>) on a firm’s takeover likelihood in Table 10.</w:t>
      </w:r>
    </w:p>
    <w:p w14:paraId="50454EB8" w14:textId="77777777" w:rsidR="00AB2F3D" w:rsidRPr="007048BA" w:rsidRDefault="00AB2F3D" w:rsidP="00AB2F3D">
      <w:pPr>
        <w:ind w:firstLine="720"/>
        <w:jc w:val="center"/>
        <w:rPr>
          <w:rFonts w:cs="Times New Roman"/>
          <w:b/>
          <w:lang w:val="en-GB"/>
        </w:rPr>
      </w:pPr>
      <w:r w:rsidRPr="007048BA">
        <w:rPr>
          <w:rFonts w:cs="Times New Roman"/>
          <w:b/>
          <w:lang w:val="en-GB"/>
        </w:rPr>
        <w:t xml:space="preserve">[Insert Table 10 about here] </w:t>
      </w:r>
    </w:p>
    <w:p w14:paraId="7F9CF76E" w14:textId="63A535C0" w:rsidR="00CA299A" w:rsidRPr="007048BA" w:rsidRDefault="00784ABD" w:rsidP="009F268B">
      <w:pPr>
        <w:ind w:firstLine="720"/>
        <w:rPr>
          <w:lang w:val="en-GB"/>
        </w:rPr>
      </w:pPr>
      <w:r w:rsidRPr="007048BA">
        <w:rPr>
          <w:rFonts w:cs="Times New Roman"/>
          <w:lang w:val="en-GB"/>
        </w:rPr>
        <w:t xml:space="preserve">The results from models 1 and 2 </w:t>
      </w:r>
      <w:r w:rsidR="00F8215B" w:rsidRPr="007048BA">
        <w:rPr>
          <w:rFonts w:cs="Times New Roman"/>
          <w:lang w:val="en-GB"/>
        </w:rPr>
        <w:t xml:space="preserve">(not statistically significant) </w:t>
      </w:r>
      <w:r w:rsidRPr="007048BA">
        <w:rPr>
          <w:rFonts w:cs="Times New Roman"/>
          <w:lang w:val="en-GB"/>
        </w:rPr>
        <w:t xml:space="preserve">suggest that takeover likelihood of </w:t>
      </w:r>
      <w:r w:rsidR="00ED262D" w:rsidRPr="007048BA">
        <w:rPr>
          <w:rFonts w:cs="Times New Roman"/>
          <w:i/>
          <w:lang w:val="en-GB"/>
        </w:rPr>
        <w:t>poor</w:t>
      </w:r>
      <w:r w:rsidRPr="007048BA">
        <w:rPr>
          <w:rFonts w:cs="Times New Roman"/>
          <w:lang w:val="en-GB"/>
        </w:rPr>
        <w:t xml:space="preserve"> firms increases if they do not switch (</w:t>
      </w:r>
      <w:r w:rsidR="006559B6" w:rsidRPr="007048BA">
        <w:rPr>
          <w:rFonts w:cs="Times New Roman"/>
          <w:i/>
          <w:lang w:val="en-GB"/>
        </w:rPr>
        <w:t>m</w:t>
      </w:r>
      <w:r w:rsidR="00EF63A8" w:rsidRPr="007048BA">
        <w:rPr>
          <w:rFonts w:cs="Times New Roman"/>
          <w:i/>
          <w:lang w:val="en-GB"/>
        </w:rPr>
        <w:t>aintain</w:t>
      </w:r>
      <w:r w:rsidRPr="007048BA">
        <w:rPr>
          <w:rFonts w:cs="Times New Roman"/>
          <w:lang w:val="en-GB"/>
        </w:rPr>
        <w:t>), and decreases if they switch up (</w:t>
      </w:r>
      <w:r w:rsidR="006559B6" w:rsidRPr="007048BA">
        <w:rPr>
          <w:rFonts w:cs="Times New Roman"/>
          <w:i/>
          <w:lang w:val="en-GB"/>
        </w:rPr>
        <w:t>i</w:t>
      </w:r>
      <w:r w:rsidR="00EF63A8" w:rsidRPr="007048BA">
        <w:rPr>
          <w:rFonts w:cs="Times New Roman"/>
          <w:i/>
          <w:lang w:val="en-GB"/>
        </w:rPr>
        <w:t>mprove</w:t>
      </w:r>
      <w:r w:rsidRPr="007048BA">
        <w:rPr>
          <w:rFonts w:cs="Times New Roman"/>
          <w:lang w:val="en-GB"/>
        </w:rPr>
        <w:t>). From model</w:t>
      </w:r>
      <w:r w:rsidR="00327538" w:rsidRPr="007048BA">
        <w:rPr>
          <w:rFonts w:cs="Times New Roman"/>
          <w:lang w:val="en-GB"/>
        </w:rPr>
        <w:t>s 3-5, we find that takeover li</w:t>
      </w:r>
      <w:r w:rsidRPr="007048BA">
        <w:rPr>
          <w:rFonts w:cs="Times New Roman"/>
          <w:lang w:val="en-GB"/>
        </w:rPr>
        <w:t xml:space="preserve">kelihood of </w:t>
      </w:r>
      <w:r w:rsidR="00ED262D" w:rsidRPr="007048BA">
        <w:rPr>
          <w:rFonts w:cs="Times New Roman"/>
          <w:i/>
          <w:lang w:val="en-GB"/>
        </w:rPr>
        <w:t>myopi</w:t>
      </w:r>
      <w:r w:rsidR="005F12CE" w:rsidRPr="007048BA">
        <w:rPr>
          <w:rFonts w:cs="Times New Roman"/>
          <w:i/>
          <w:lang w:val="en-GB"/>
        </w:rPr>
        <w:t>c</w:t>
      </w:r>
      <w:r w:rsidRPr="007048BA">
        <w:rPr>
          <w:rFonts w:cs="Times New Roman"/>
          <w:lang w:val="en-GB"/>
        </w:rPr>
        <w:t xml:space="preserve"> firms increases if they switch down</w:t>
      </w:r>
      <w:r w:rsidR="00F8215B" w:rsidRPr="007048BA">
        <w:rPr>
          <w:rFonts w:cs="Times New Roman"/>
          <w:lang w:val="en-GB"/>
        </w:rPr>
        <w:t xml:space="preserve"> to </w:t>
      </w:r>
      <w:r w:rsidR="00ED262D" w:rsidRPr="007048BA">
        <w:rPr>
          <w:rFonts w:cs="Times New Roman"/>
          <w:i/>
          <w:lang w:val="en-GB"/>
        </w:rPr>
        <w:t>poor</w:t>
      </w:r>
      <w:r w:rsidRPr="007048BA">
        <w:rPr>
          <w:rFonts w:cs="Times New Roman"/>
          <w:lang w:val="en-GB"/>
        </w:rPr>
        <w:t xml:space="preserve"> (</w:t>
      </w:r>
      <w:r w:rsidR="00F8215B" w:rsidRPr="007048BA">
        <w:rPr>
          <w:rFonts w:cs="Times New Roman"/>
          <w:lang w:val="en-GB"/>
        </w:rPr>
        <w:t xml:space="preserve">i.e., </w:t>
      </w:r>
      <w:r w:rsidR="00EF63A8" w:rsidRPr="007048BA">
        <w:rPr>
          <w:rFonts w:cs="Times New Roman"/>
          <w:i/>
          <w:lang w:val="en-GB"/>
        </w:rPr>
        <w:t>Decline</w:t>
      </w:r>
      <w:r w:rsidRPr="007048BA">
        <w:rPr>
          <w:rFonts w:cs="Times New Roman"/>
          <w:lang w:val="en-GB"/>
        </w:rPr>
        <w:t xml:space="preserve">) </w:t>
      </w:r>
      <w:r w:rsidR="00B26989" w:rsidRPr="007048BA">
        <w:rPr>
          <w:rFonts w:cs="Times New Roman"/>
          <w:lang w:val="en-GB"/>
        </w:rPr>
        <w:t xml:space="preserve">or </w:t>
      </w:r>
      <w:r w:rsidRPr="007048BA">
        <w:rPr>
          <w:rFonts w:cs="Times New Roman"/>
          <w:lang w:val="en-GB"/>
        </w:rPr>
        <w:t>do not switch (</w:t>
      </w:r>
      <w:r w:rsidR="00B26989" w:rsidRPr="007048BA">
        <w:rPr>
          <w:rFonts w:cs="Times New Roman"/>
          <w:lang w:val="en-GB"/>
        </w:rPr>
        <w:t xml:space="preserve">i.e., </w:t>
      </w:r>
      <w:r w:rsidR="006559B6" w:rsidRPr="007048BA">
        <w:rPr>
          <w:rFonts w:cs="Times New Roman"/>
          <w:i/>
          <w:lang w:val="en-GB"/>
        </w:rPr>
        <w:t>m</w:t>
      </w:r>
      <w:r w:rsidR="00EF63A8" w:rsidRPr="007048BA">
        <w:rPr>
          <w:rFonts w:cs="Times New Roman"/>
          <w:i/>
          <w:lang w:val="en-GB"/>
        </w:rPr>
        <w:t>aintain</w:t>
      </w:r>
      <w:r w:rsidR="00327538" w:rsidRPr="007048BA">
        <w:rPr>
          <w:rFonts w:cs="Times New Roman"/>
          <w:lang w:val="en-GB"/>
        </w:rPr>
        <w:t xml:space="preserve">) but </w:t>
      </w:r>
      <w:r w:rsidR="00B26989" w:rsidRPr="007048BA">
        <w:rPr>
          <w:rFonts w:cs="Times New Roman"/>
          <w:lang w:val="en-GB"/>
        </w:rPr>
        <w:t>their takeover likelihood reduces</w:t>
      </w:r>
      <w:r w:rsidR="00327538" w:rsidRPr="007048BA">
        <w:rPr>
          <w:rFonts w:cs="Times New Roman"/>
          <w:lang w:val="en-GB"/>
        </w:rPr>
        <w:t xml:space="preserve"> if they switch up</w:t>
      </w:r>
      <w:r w:rsidR="00B26989" w:rsidRPr="007048BA">
        <w:rPr>
          <w:rFonts w:cs="Times New Roman"/>
          <w:lang w:val="en-GB"/>
        </w:rPr>
        <w:t xml:space="preserve"> into our</w:t>
      </w:r>
      <w:r w:rsidR="00327538" w:rsidRPr="007048BA">
        <w:rPr>
          <w:rFonts w:cs="Times New Roman"/>
          <w:lang w:val="en-GB"/>
        </w:rPr>
        <w:t xml:space="preserve"> </w:t>
      </w:r>
      <w:r w:rsidR="00ED262D" w:rsidRPr="007048BA">
        <w:rPr>
          <w:rFonts w:cs="Times New Roman"/>
          <w:i/>
          <w:lang w:val="en-GB"/>
        </w:rPr>
        <w:t>hyperopia</w:t>
      </w:r>
      <w:r w:rsidR="00B26989" w:rsidRPr="007048BA">
        <w:rPr>
          <w:rFonts w:cs="Times New Roman"/>
          <w:lang w:val="en-GB"/>
        </w:rPr>
        <w:t xml:space="preserve"> or </w:t>
      </w:r>
      <w:r w:rsidR="00ED262D" w:rsidRPr="007048BA">
        <w:rPr>
          <w:rFonts w:cs="Times New Roman"/>
          <w:i/>
          <w:lang w:val="en-GB"/>
        </w:rPr>
        <w:t>efficient</w:t>
      </w:r>
      <w:r w:rsidR="00B26989" w:rsidRPr="007048BA">
        <w:rPr>
          <w:rFonts w:cs="Times New Roman"/>
          <w:lang w:val="en-GB"/>
        </w:rPr>
        <w:t xml:space="preserve"> categories </w:t>
      </w:r>
      <w:r w:rsidR="00327538" w:rsidRPr="007048BA">
        <w:rPr>
          <w:rFonts w:cs="Times New Roman"/>
          <w:lang w:val="en-GB"/>
        </w:rPr>
        <w:t>(</w:t>
      </w:r>
      <w:r w:rsidR="00B26989" w:rsidRPr="007048BA">
        <w:rPr>
          <w:rFonts w:cs="Times New Roman"/>
          <w:lang w:val="en-GB"/>
        </w:rPr>
        <w:t xml:space="preserve">i.e., </w:t>
      </w:r>
      <w:r w:rsidR="006559B6" w:rsidRPr="007048BA">
        <w:rPr>
          <w:rFonts w:cs="Times New Roman"/>
          <w:i/>
          <w:lang w:val="en-GB"/>
        </w:rPr>
        <w:t>i</w:t>
      </w:r>
      <w:r w:rsidR="00EF63A8" w:rsidRPr="007048BA">
        <w:rPr>
          <w:rFonts w:cs="Times New Roman"/>
          <w:i/>
          <w:lang w:val="en-GB"/>
        </w:rPr>
        <w:t>mprove</w:t>
      </w:r>
      <w:r w:rsidR="00327538" w:rsidRPr="007048BA">
        <w:rPr>
          <w:rFonts w:cs="Times New Roman"/>
          <w:lang w:val="en-GB"/>
        </w:rPr>
        <w:t xml:space="preserve">). The coefficients for </w:t>
      </w:r>
      <w:r w:rsidR="006559B6" w:rsidRPr="007048BA">
        <w:rPr>
          <w:rFonts w:cs="Times New Roman"/>
          <w:i/>
          <w:lang w:val="en-GB"/>
        </w:rPr>
        <w:t>m</w:t>
      </w:r>
      <w:r w:rsidR="00EF63A8" w:rsidRPr="007048BA">
        <w:rPr>
          <w:rFonts w:cs="Times New Roman"/>
          <w:i/>
          <w:lang w:val="en-GB"/>
        </w:rPr>
        <w:t>aintain</w:t>
      </w:r>
      <w:r w:rsidR="00327538" w:rsidRPr="007048BA">
        <w:rPr>
          <w:rFonts w:cs="Times New Roman"/>
          <w:lang w:val="en-GB"/>
        </w:rPr>
        <w:t xml:space="preserve"> </w:t>
      </w:r>
      <w:r w:rsidR="00B26989" w:rsidRPr="007048BA">
        <w:rPr>
          <w:rFonts w:cs="Times New Roman"/>
          <w:lang w:val="en-GB"/>
        </w:rPr>
        <w:t xml:space="preserve">(model 3) </w:t>
      </w:r>
      <w:r w:rsidR="00327538" w:rsidRPr="007048BA">
        <w:rPr>
          <w:rFonts w:cs="Times New Roman"/>
          <w:lang w:val="en-GB"/>
        </w:rPr>
        <w:t xml:space="preserve">and </w:t>
      </w:r>
      <w:r w:rsidR="006559B6" w:rsidRPr="007048BA">
        <w:rPr>
          <w:rFonts w:cs="Times New Roman"/>
          <w:i/>
          <w:lang w:val="en-GB"/>
        </w:rPr>
        <w:t>d</w:t>
      </w:r>
      <w:r w:rsidR="00EF63A8" w:rsidRPr="007048BA">
        <w:rPr>
          <w:rFonts w:cs="Times New Roman"/>
          <w:i/>
          <w:lang w:val="en-GB"/>
        </w:rPr>
        <w:t>ecline</w:t>
      </w:r>
      <w:r w:rsidR="00327538" w:rsidRPr="007048BA">
        <w:rPr>
          <w:rFonts w:cs="Times New Roman"/>
          <w:lang w:val="en-GB"/>
        </w:rPr>
        <w:t xml:space="preserve"> </w:t>
      </w:r>
      <w:r w:rsidR="00B26989" w:rsidRPr="007048BA">
        <w:rPr>
          <w:rFonts w:cs="Times New Roman"/>
          <w:lang w:val="en-GB"/>
        </w:rPr>
        <w:t xml:space="preserve">(model 4) </w:t>
      </w:r>
      <w:r w:rsidR="00327538" w:rsidRPr="007048BA">
        <w:rPr>
          <w:rFonts w:cs="Times New Roman"/>
          <w:lang w:val="en-GB"/>
        </w:rPr>
        <w:t xml:space="preserve">suggests that the takeover likelihood is </w:t>
      </w:r>
      <w:r w:rsidR="00B26989" w:rsidRPr="007048BA">
        <w:rPr>
          <w:rFonts w:cs="Times New Roman"/>
          <w:lang w:val="en-GB"/>
        </w:rPr>
        <w:t xml:space="preserve">slightly </w:t>
      </w:r>
      <w:r w:rsidR="00327538" w:rsidRPr="007048BA">
        <w:rPr>
          <w:rFonts w:cs="Times New Roman"/>
          <w:lang w:val="en-GB"/>
        </w:rPr>
        <w:t xml:space="preserve">more sensitive to the </w:t>
      </w:r>
      <w:r w:rsidR="005B5DCB" w:rsidRPr="007048BA">
        <w:rPr>
          <w:rFonts w:cs="Times New Roman"/>
          <w:lang w:val="en-GB"/>
        </w:rPr>
        <w:t>latter than</w:t>
      </w:r>
      <w:r w:rsidR="00327538" w:rsidRPr="007048BA">
        <w:rPr>
          <w:rFonts w:cs="Times New Roman"/>
          <w:lang w:val="en-GB"/>
        </w:rPr>
        <w:t xml:space="preserve"> the former.</w:t>
      </w:r>
      <w:r w:rsidR="005B5DCB" w:rsidRPr="007048BA">
        <w:rPr>
          <w:rFonts w:cs="Times New Roman"/>
          <w:lang w:val="en-GB"/>
        </w:rPr>
        <w:t xml:space="preserve"> </w:t>
      </w:r>
      <w:r w:rsidR="00911088" w:rsidRPr="007048BA">
        <w:rPr>
          <w:rFonts w:cs="Times New Roman"/>
          <w:lang w:val="en-GB"/>
        </w:rPr>
        <w:t xml:space="preserve">The results suggests that, compared to </w:t>
      </w:r>
      <w:r w:rsidR="00ED262D" w:rsidRPr="007048BA">
        <w:rPr>
          <w:rFonts w:cs="Times New Roman"/>
          <w:i/>
          <w:lang w:val="en-GB"/>
        </w:rPr>
        <w:t>poor</w:t>
      </w:r>
      <w:r w:rsidR="00911088" w:rsidRPr="007048BA">
        <w:rPr>
          <w:rFonts w:cs="Times New Roman"/>
          <w:lang w:val="en-GB"/>
        </w:rPr>
        <w:t xml:space="preserve">, the takeover likelihood of </w:t>
      </w:r>
      <w:r w:rsidR="00ED262D" w:rsidRPr="007048BA">
        <w:rPr>
          <w:rFonts w:cs="Times New Roman"/>
          <w:i/>
          <w:lang w:val="en-GB"/>
        </w:rPr>
        <w:t>myopi</w:t>
      </w:r>
      <w:r w:rsidR="005F12CE" w:rsidRPr="007048BA">
        <w:rPr>
          <w:rFonts w:cs="Times New Roman"/>
          <w:i/>
          <w:lang w:val="en-GB"/>
        </w:rPr>
        <w:t>c</w:t>
      </w:r>
      <w:r w:rsidR="00911088" w:rsidRPr="007048BA">
        <w:rPr>
          <w:rFonts w:cs="Times New Roman"/>
          <w:lang w:val="en-GB"/>
        </w:rPr>
        <w:t xml:space="preserve"> firms is more sensitive to their performance over time. </w:t>
      </w:r>
      <w:r w:rsidR="005B5DCB" w:rsidRPr="007048BA">
        <w:rPr>
          <w:rFonts w:cs="Times New Roman"/>
          <w:lang w:val="en-GB"/>
        </w:rPr>
        <w:t xml:space="preserve">Looking at models 6-10, takeover likelihood of </w:t>
      </w:r>
      <w:r w:rsidR="00ED262D" w:rsidRPr="007048BA">
        <w:rPr>
          <w:rFonts w:cs="Times New Roman"/>
          <w:i/>
          <w:lang w:val="en-GB"/>
        </w:rPr>
        <w:t>hyperopi</w:t>
      </w:r>
      <w:r w:rsidR="006559B6" w:rsidRPr="007048BA">
        <w:rPr>
          <w:rFonts w:cs="Times New Roman"/>
          <w:i/>
          <w:lang w:val="en-GB"/>
        </w:rPr>
        <w:t>c</w:t>
      </w:r>
      <w:r w:rsidR="00AE6947" w:rsidRPr="007048BA">
        <w:rPr>
          <w:rFonts w:cs="Times New Roman"/>
          <w:lang w:val="en-GB"/>
        </w:rPr>
        <w:t xml:space="preserve"> </w:t>
      </w:r>
      <w:r w:rsidR="005B5DCB" w:rsidRPr="007048BA">
        <w:rPr>
          <w:rFonts w:cs="Times New Roman"/>
          <w:lang w:val="en-GB"/>
        </w:rPr>
        <w:t xml:space="preserve">firms declines when they </w:t>
      </w:r>
      <w:r w:rsidR="006559B6" w:rsidRPr="007048BA">
        <w:rPr>
          <w:rFonts w:cs="Times New Roman"/>
          <w:i/>
          <w:lang w:val="en-GB"/>
        </w:rPr>
        <w:t>maintain</w:t>
      </w:r>
      <w:r w:rsidR="005B5DCB" w:rsidRPr="007048BA">
        <w:rPr>
          <w:rFonts w:cs="Times New Roman"/>
          <w:lang w:val="en-GB"/>
        </w:rPr>
        <w:t xml:space="preserve">, with the effects of </w:t>
      </w:r>
      <w:r w:rsidR="006559B6" w:rsidRPr="007048BA">
        <w:rPr>
          <w:rFonts w:cs="Times New Roman"/>
          <w:i/>
          <w:lang w:val="en-GB"/>
        </w:rPr>
        <w:t>d</w:t>
      </w:r>
      <w:r w:rsidR="00EF63A8" w:rsidRPr="007048BA">
        <w:rPr>
          <w:rFonts w:cs="Times New Roman"/>
          <w:i/>
          <w:lang w:val="en-GB"/>
        </w:rPr>
        <w:t>ecline</w:t>
      </w:r>
      <w:r w:rsidR="005B5DCB" w:rsidRPr="007048BA">
        <w:rPr>
          <w:rFonts w:cs="Times New Roman"/>
          <w:lang w:val="en-GB"/>
        </w:rPr>
        <w:t xml:space="preserve"> and </w:t>
      </w:r>
      <w:r w:rsidR="006559B6" w:rsidRPr="007048BA">
        <w:rPr>
          <w:rFonts w:cs="Times New Roman"/>
          <w:i/>
          <w:lang w:val="en-GB"/>
        </w:rPr>
        <w:t>improve</w:t>
      </w:r>
      <w:r w:rsidR="005B5DCB" w:rsidRPr="007048BA">
        <w:rPr>
          <w:rFonts w:cs="Times New Roman"/>
          <w:lang w:val="en-GB"/>
        </w:rPr>
        <w:t>, not statistically significant. Models 9 and 10 shows that t</w:t>
      </w:r>
      <w:r w:rsidR="002D2809" w:rsidRPr="007048BA">
        <w:rPr>
          <w:rFonts w:cs="Times New Roman"/>
          <w:lang w:val="en-GB"/>
        </w:rPr>
        <w:t xml:space="preserve">akeover likelihood for </w:t>
      </w:r>
      <w:r w:rsidR="00ED262D" w:rsidRPr="007048BA">
        <w:rPr>
          <w:rFonts w:cs="Times New Roman"/>
          <w:i/>
          <w:lang w:val="en-GB"/>
        </w:rPr>
        <w:t>efficient</w:t>
      </w:r>
      <w:r w:rsidR="005B5DCB" w:rsidRPr="007048BA">
        <w:rPr>
          <w:rFonts w:cs="Times New Roman"/>
          <w:lang w:val="en-GB"/>
        </w:rPr>
        <w:t xml:space="preserve"> firms increases when they </w:t>
      </w:r>
      <w:r w:rsidR="006559B6" w:rsidRPr="007048BA">
        <w:rPr>
          <w:rFonts w:cs="Times New Roman"/>
          <w:i/>
          <w:lang w:val="en-GB"/>
        </w:rPr>
        <w:t>d</w:t>
      </w:r>
      <w:r w:rsidR="00EF63A8" w:rsidRPr="007048BA">
        <w:rPr>
          <w:rFonts w:cs="Times New Roman"/>
          <w:i/>
          <w:lang w:val="en-GB"/>
        </w:rPr>
        <w:t>ecline</w:t>
      </w:r>
      <w:r w:rsidR="005B5DCB" w:rsidRPr="007048BA">
        <w:rPr>
          <w:rFonts w:cs="Times New Roman"/>
          <w:lang w:val="en-GB"/>
        </w:rPr>
        <w:t xml:space="preserve"> and decreases when they </w:t>
      </w:r>
      <w:r w:rsidR="006559B6" w:rsidRPr="007048BA">
        <w:rPr>
          <w:rFonts w:cs="Times New Roman"/>
          <w:i/>
          <w:lang w:val="en-GB"/>
        </w:rPr>
        <w:t>maintain</w:t>
      </w:r>
      <w:r w:rsidR="005B5DCB" w:rsidRPr="007048BA">
        <w:rPr>
          <w:rFonts w:cs="Times New Roman"/>
          <w:lang w:val="en-GB"/>
        </w:rPr>
        <w:t>.</w:t>
      </w:r>
      <w:r w:rsidR="009F268B" w:rsidRPr="007048BA">
        <w:rPr>
          <w:rFonts w:cs="Times New Roman"/>
          <w:lang w:val="en-GB"/>
        </w:rPr>
        <w:t xml:space="preserve"> </w:t>
      </w:r>
      <w:r w:rsidR="00B26989" w:rsidRPr="007048BA">
        <w:rPr>
          <w:rFonts w:cs="Times New Roman"/>
          <w:lang w:val="en-GB"/>
        </w:rPr>
        <w:t xml:space="preserve">Overall, our results broadly suggest that firms that switch from underperforming to outperforming categories face lower levels of takeover risk and vice versa. Additionally, firms in underperforming </w:t>
      </w:r>
      <w:r w:rsidR="00B26989" w:rsidRPr="007048BA">
        <w:rPr>
          <w:rFonts w:cs="Times New Roman"/>
          <w:lang w:val="en-GB"/>
        </w:rPr>
        <w:lastRenderedPageBreak/>
        <w:t xml:space="preserve">categories (specifically, </w:t>
      </w:r>
      <w:r w:rsidR="00ED262D" w:rsidRPr="007048BA">
        <w:rPr>
          <w:rFonts w:cs="Times New Roman"/>
          <w:i/>
          <w:lang w:val="en-GB"/>
        </w:rPr>
        <w:t>myopia</w:t>
      </w:r>
      <w:r w:rsidR="00B26989" w:rsidRPr="007048BA">
        <w:rPr>
          <w:rFonts w:cs="Times New Roman"/>
          <w:lang w:val="en-GB"/>
        </w:rPr>
        <w:t>) who do not switch up face higher takeover risks, while their counterparts in outperforming categories (</w:t>
      </w:r>
      <w:r w:rsidR="00ED262D" w:rsidRPr="007048BA">
        <w:rPr>
          <w:rFonts w:cs="Times New Roman"/>
          <w:i/>
          <w:lang w:val="en-GB"/>
        </w:rPr>
        <w:t>hyperopia</w:t>
      </w:r>
      <w:r w:rsidR="00B26989" w:rsidRPr="007048BA">
        <w:rPr>
          <w:rFonts w:cs="Times New Roman"/>
          <w:lang w:val="en-GB"/>
        </w:rPr>
        <w:t xml:space="preserve"> and </w:t>
      </w:r>
      <w:r w:rsidR="00ED262D" w:rsidRPr="007048BA">
        <w:rPr>
          <w:rFonts w:cs="Times New Roman"/>
          <w:i/>
          <w:lang w:val="en-GB"/>
        </w:rPr>
        <w:t>efficient</w:t>
      </w:r>
      <w:r w:rsidR="00B26989" w:rsidRPr="007048BA">
        <w:rPr>
          <w:rFonts w:cs="Times New Roman"/>
          <w:lang w:val="en-GB"/>
        </w:rPr>
        <w:t xml:space="preserve">) who do not </w:t>
      </w:r>
      <w:r w:rsidR="006559B6" w:rsidRPr="007048BA">
        <w:rPr>
          <w:rFonts w:cs="Times New Roman"/>
          <w:i/>
          <w:lang w:val="en-GB"/>
        </w:rPr>
        <w:t>d</w:t>
      </w:r>
      <w:r w:rsidR="00EF63A8" w:rsidRPr="007048BA">
        <w:rPr>
          <w:rFonts w:cs="Times New Roman"/>
          <w:i/>
          <w:lang w:val="en-GB"/>
        </w:rPr>
        <w:t>ecline</w:t>
      </w:r>
      <w:r w:rsidR="00B26989" w:rsidRPr="007048BA">
        <w:rPr>
          <w:rFonts w:cs="Times New Roman"/>
          <w:lang w:val="en-GB"/>
        </w:rPr>
        <w:t>, experience lower takeover risks.</w:t>
      </w:r>
    </w:p>
    <w:p w14:paraId="3187FA72" w14:textId="29B219CA" w:rsidR="00CA299A" w:rsidRPr="007048BA" w:rsidRDefault="00521C50" w:rsidP="00CA299A">
      <w:pPr>
        <w:pStyle w:val="Heading2"/>
        <w:keepNext w:val="0"/>
        <w:keepLines w:val="0"/>
        <w:numPr>
          <w:ilvl w:val="1"/>
          <w:numId w:val="7"/>
        </w:numPr>
        <w:autoSpaceDE w:val="0"/>
        <w:autoSpaceDN w:val="0"/>
        <w:adjustRightInd w:val="0"/>
        <w:spacing w:before="240" w:after="120" w:line="240" w:lineRule="auto"/>
        <w:ind w:left="805" w:hanging="805"/>
        <w:contextualSpacing/>
        <w:rPr>
          <w:lang w:val="en-GB"/>
        </w:rPr>
      </w:pPr>
      <w:r w:rsidRPr="007048BA">
        <w:rPr>
          <w:lang w:val="en-GB"/>
        </w:rPr>
        <w:t>Additional analyses and</w:t>
      </w:r>
      <w:r w:rsidR="002B6314" w:rsidRPr="007048BA">
        <w:rPr>
          <w:lang w:val="en-GB"/>
        </w:rPr>
        <w:t xml:space="preserve"> </w:t>
      </w:r>
      <w:r w:rsidRPr="007048BA">
        <w:rPr>
          <w:lang w:val="en-GB"/>
        </w:rPr>
        <w:t>robustness checks</w:t>
      </w:r>
    </w:p>
    <w:p w14:paraId="719C3EC7" w14:textId="50A662C5" w:rsidR="002B6314" w:rsidRPr="007048BA" w:rsidRDefault="002B6314" w:rsidP="002B6314">
      <w:pPr>
        <w:ind w:firstLine="720"/>
        <w:rPr>
          <w:rFonts w:cs="Times New Roman"/>
          <w:lang w:val="en-GB"/>
        </w:rPr>
      </w:pPr>
      <w:r w:rsidRPr="007048BA">
        <w:rPr>
          <w:rFonts w:cs="Times New Roman"/>
          <w:lang w:val="en-GB"/>
        </w:rPr>
        <w:t>We conduct two addi</w:t>
      </w:r>
      <w:r w:rsidR="00A20EFD" w:rsidRPr="007048BA">
        <w:rPr>
          <w:rFonts w:cs="Times New Roman"/>
          <w:lang w:val="en-GB"/>
        </w:rPr>
        <w:t>tional analyses in this section.</w:t>
      </w:r>
      <w:r w:rsidRPr="007048BA">
        <w:rPr>
          <w:rFonts w:cs="Times New Roman"/>
          <w:lang w:val="en-GB"/>
        </w:rPr>
        <w:t xml:space="preserve"> </w:t>
      </w:r>
      <w:r w:rsidR="00A20EFD" w:rsidRPr="007048BA">
        <w:rPr>
          <w:rFonts w:cs="Times New Roman"/>
          <w:lang w:val="en-GB"/>
        </w:rPr>
        <w:t>(1) Firstly,</w:t>
      </w:r>
      <w:r w:rsidRPr="007048BA">
        <w:rPr>
          <w:rFonts w:cs="Times New Roman"/>
          <w:lang w:val="en-GB"/>
        </w:rPr>
        <w:t xml:space="preserve"> we briefly explore whether acquirers provide market discipline as suggested by the man</w:t>
      </w:r>
      <w:r w:rsidR="00A20EFD" w:rsidRPr="007048BA">
        <w:rPr>
          <w:rFonts w:cs="Times New Roman"/>
          <w:lang w:val="en-GB"/>
        </w:rPr>
        <w:t>agement inefficiency hypothesis. (2)</w:t>
      </w:r>
      <w:r w:rsidRPr="007048BA">
        <w:rPr>
          <w:rFonts w:cs="Times New Roman"/>
          <w:lang w:val="en-GB"/>
        </w:rPr>
        <w:t xml:space="preserve"> Secondly, we explore an alternative explanation for our main finding i.e., whether valuation rather than performance explains the differences in takeover likelihoods across the different categories. Additionally, we summarise </w:t>
      </w:r>
      <w:r w:rsidR="00A20EFD" w:rsidRPr="007048BA">
        <w:rPr>
          <w:rFonts w:cs="Times New Roman"/>
          <w:lang w:val="en-GB"/>
        </w:rPr>
        <w:t>the</w:t>
      </w:r>
      <w:r w:rsidRPr="007048BA">
        <w:rPr>
          <w:rFonts w:cs="Times New Roman"/>
          <w:lang w:val="en-GB"/>
        </w:rPr>
        <w:t xml:space="preserve"> robustness checks we have conducted.</w:t>
      </w:r>
    </w:p>
    <w:p w14:paraId="39973FEF" w14:textId="4EFD9725" w:rsidR="00CA299A" w:rsidRPr="007048BA" w:rsidRDefault="00553622" w:rsidP="00CA299A">
      <w:pPr>
        <w:ind w:firstLine="720"/>
        <w:rPr>
          <w:rFonts w:cs="Times New Roman"/>
          <w:lang w:val="en-GB"/>
        </w:rPr>
      </w:pPr>
      <w:r w:rsidRPr="007048BA">
        <w:rPr>
          <w:rFonts w:cs="Times New Roman"/>
          <w:lang w:val="en-GB"/>
        </w:rPr>
        <w:t xml:space="preserve">Consistent with prior studies </w:t>
      </w:r>
      <w:r w:rsidR="00A440F4" w:rsidRPr="007048BA">
        <w:rPr>
          <w:rFonts w:cs="Times New Roman"/>
          <w:lang w:val="en-GB"/>
        </w:rPr>
        <w:t>testing the</w:t>
      </w:r>
      <w:r w:rsidRPr="007048BA">
        <w:rPr>
          <w:rFonts w:cs="Times New Roman"/>
          <w:lang w:val="en-GB"/>
        </w:rPr>
        <w:t xml:space="preserve"> inefficient management hypothesis</w:t>
      </w:r>
      <w:r w:rsidR="00A440F4" w:rsidRPr="007048BA">
        <w:rPr>
          <w:rFonts w:cs="Times New Roman"/>
          <w:lang w:val="en-GB"/>
        </w:rPr>
        <w:t xml:space="preserve"> (Agrawal and Jaffe, 2003; Brar et al., 2009; Danbolt et al., 2016)</w:t>
      </w:r>
      <w:r w:rsidRPr="007048BA">
        <w:rPr>
          <w:rFonts w:cs="Times New Roman"/>
          <w:lang w:val="en-GB"/>
        </w:rPr>
        <w:t xml:space="preserve">, </w:t>
      </w:r>
      <w:r w:rsidR="00A440F4" w:rsidRPr="007048BA">
        <w:rPr>
          <w:rFonts w:cs="Times New Roman"/>
          <w:lang w:val="en-GB"/>
        </w:rPr>
        <w:t xml:space="preserve">our analyses </w:t>
      </w:r>
      <w:r w:rsidR="00902AA1" w:rsidRPr="007048BA">
        <w:rPr>
          <w:rFonts w:cs="Times New Roman"/>
          <w:lang w:val="en-GB"/>
        </w:rPr>
        <w:t xml:space="preserve">so far </w:t>
      </w:r>
      <w:r w:rsidR="00A440F4" w:rsidRPr="007048BA">
        <w:rPr>
          <w:rFonts w:cs="Times New Roman"/>
          <w:lang w:val="en-GB"/>
        </w:rPr>
        <w:t>have</w:t>
      </w:r>
      <w:r w:rsidRPr="007048BA">
        <w:rPr>
          <w:rFonts w:cs="Times New Roman"/>
          <w:lang w:val="en-GB"/>
        </w:rPr>
        <w:t xml:space="preserve"> focused on target firms. </w:t>
      </w:r>
      <w:r w:rsidR="003A47D0" w:rsidRPr="007048BA">
        <w:rPr>
          <w:rFonts w:cs="Times New Roman"/>
          <w:lang w:val="en-GB"/>
        </w:rPr>
        <w:t>Here,</w:t>
      </w:r>
      <w:r w:rsidR="00CA299A" w:rsidRPr="007048BA">
        <w:rPr>
          <w:rFonts w:cs="Times New Roman"/>
          <w:lang w:val="en-GB"/>
        </w:rPr>
        <w:t xml:space="preserve"> we extend </w:t>
      </w:r>
      <w:r w:rsidR="00A440F4" w:rsidRPr="007048BA">
        <w:rPr>
          <w:rFonts w:cs="Times New Roman"/>
          <w:lang w:val="en-GB"/>
        </w:rPr>
        <w:t>these</w:t>
      </w:r>
      <w:r w:rsidR="00CA299A" w:rsidRPr="007048BA">
        <w:rPr>
          <w:rFonts w:cs="Times New Roman"/>
          <w:lang w:val="en-GB"/>
        </w:rPr>
        <w:t xml:space="preserve"> </w:t>
      </w:r>
      <w:r w:rsidR="003A47D0" w:rsidRPr="007048BA">
        <w:rPr>
          <w:rFonts w:cs="Times New Roman"/>
          <w:lang w:val="en-GB"/>
        </w:rPr>
        <w:t xml:space="preserve">analyses </w:t>
      </w:r>
      <w:r w:rsidR="00CA299A" w:rsidRPr="007048BA">
        <w:rPr>
          <w:rFonts w:cs="Times New Roman"/>
          <w:lang w:val="en-GB"/>
        </w:rPr>
        <w:t xml:space="preserve">by exploring whether the action by bidders—the targeting of </w:t>
      </w:r>
      <w:r w:rsidR="00ED262D" w:rsidRPr="007048BA">
        <w:rPr>
          <w:rFonts w:cs="Times New Roman"/>
          <w:i/>
          <w:lang w:val="en-GB"/>
        </w:rPr>
        <w:t>poor</w:t>
      </w:r>
      <w:r w:rsidR="00CA299A" w:rsidRPr="007048BA">
        <w:rPr>
          <w:rFonts w:cs="Times New Roman"/>
          <w:lang w:val="en-GB"/>
        </w:rPr>
        <w:t xml:space="preserve"> management and management </w:t>
      </w:r>
      <w:r w:rsidR="00ED262D" w:rsidRPr="007048BA">
        <w:rPr>
          <w:rFonts w:cs="Times New Roman"/>
          <w:i/>
          <w:lang w:val="en-GB"/>
        </w:rPr>
        <w:t>myopia</w:t>
      </w:r>
      <w:r w:rsidR="00CA299A" w:rsidRPr="007048BA">
        <w:rPr>
          <w:rFonts w:cs="Times New Roman"/>
          <w:lang w:val="en-GB"/>
        </w:rPr>
        <w:t xml:space="preserve">—can be considered as </w:t>
      </w:r>
      <w:r w:rsidR="00CA299A" w:rsidRPr="007048BA">
        <w:rPr>
          <w:rFonts w:cs="Times New Roman"/>
          <w:noProof/>
          <w:lang w:val="en-GB"/>
        </w:rPr>
        <w:t>discipline</w:t>
      </w:r>
      <w:r w:rsidR="00CA299A" w:rsidRPr="007048BA">
        <w:rPr>
          <w:rFonts w:cs="Times New Roman"/>
          <w:lang w:val="en-GB"/>
        </w:rPr>
        <w:t xml:space="preserve"> as suggested by the management inefficiency hypothesis. If bidders are to act as enforcers of market discipline, then they themselves should be well-performing prior to making bids.</w:t>
      </w:r>
      <w:r w:rsidR="00CC2760" w:rsidRPr="007048BA">
        <w:rPr>
          <w:rFonts w:cs="Times New Roman"/>
          <w:lang w:val="en-GB"/>
        </w:rPr>
        <w:t xml:space="preserve"> An alternative view is that bidding firms are also subject to </w:t>
      </w:r>
      <w:r w:rsidR="00CC2760" w:rsidRPr="007048BA">
        <w:rPr>
          <w:rFonts w:cs="Times New Roman"/>
          <w:i/>
          <w:lang w:val="en-GB"/>
        </w:rPr>
        <w:t>myopia</w:t>
      </w:r>
      <w:r w:rsidR="00CC2760" w:rsidRPr="007048BA">
        <w:rPr>
          <w:rFonts w:cs="Times New Roman"/>
          <w:lang w:val="en-GB"/>
        </w:rPr>
        <w:t xml:space="preserve"> and are focused on acquiring high profit-making opportunities through takeovers. If this is the case, then the acquisition of targets will not constitute the correction of management inefficiency, but a participation in the “earnings game”. We find that bidders have an average ROCE of 11.5 percent in the 5 years before the bid. This plummets to 0.9 percent in the bid year (perhaps, due to significant merger costs), before increasing to an average of 13.5 percent in the 5 years after the bid.</w:t>
      </w:r>
      <w:r w:rsidR="00CA299A" w:rsidRPr="007048BA">
        <w:rPr>
          <w:rFonts w:cs="Times New Roman"/>
          <w:lang w:val="en-GB"/>
        </w:rPr>
        <w:t xml:space="preserve"> </w:t>
      </w:r>
      <w:r w:rsidR="00CC2760" w:rsidRPr="007048BA">
        <w:rPr>
          <w:rFonts w:cs="Times New Roman"/>
          <w:lang w:val="en-GB"/>
        </w:rPr>
        <w:t>The AAR generated by bidders before and after the bid are close to zero. As in Table 11, w</w:t>
      </w:r>
      <w:r w:rsidR="00CA299A" w:rsidRPr="007048BA">
        <w:rPr>
          <w:rFonts w:cs="Times New Roman"/>
          <w:lang w:val="en-GB"/>
        </w:rPr>
        <w:t xml:space="preserve">e </w:t>
      </w:r>
      <w:r w:rsidR="00B62799" w:rsidRPr="007048BA">
        <w:rPr>
          <w:rFonts w:cs="Times New Roman"/>
          <w:lang w:val="en-GB"/>
        </w:rPr>
        <w:t>explor</w:t>
      </w:r>
      <w:r w:rsidR="00CC2760" w:rsidRPr="007048BA">
        <w:rPr>
          <w:rFonts w:cs="Times New Roman"/>
          <w:lang w:val="en-GB"/>
        </w:rPr>
        <w:t>e</w:t>
      </w:r>
      <w:r w:rsidR="00CA299A" w:rsidRPr="007048BA">
        <w:rPr>
          <w:rFonts w:cs="Times New Roman"/>
          <w:lang w:val="en-GB"/>
        </w:rPr>
        <w:t xml:space="preserve"> whether the probability of making a bid increases with bidder management </w:t>
      </w:r>
      <w:r w:rsidR="00CA299A" w:rsidRPr="007048BA">
        <w:rPr>
          <w:rFonts w:cs="Times New Roman"/>
          <w:i/>
          <w:lang w:val="en-GB"/>
        </w:rPr>
        <w:t>hyperopia</w:t>
      </w:r>
      <w:r w:rsidR="00CA299A" w:rsidRPr="007048BA">
        <w:rPr>
          <w:rFonts w:cs="Times New Roman"/>
          <w:lang w:val="en-GB"/>
        </w:rPr>
        <w:t xml:space="preserve"> and </w:t>
      </w:r>
      <w:r w:rsidR="00CA299A" w:rsidRPr="007048BA">
        <w:rPr>
          <w:rFonts w:cs="Times New Roman"/>
          <w:i/>
          <w:lang w:val="en-GB"/>
        </w:rPr>
        <w:t>efficiency</w:t>
      </w:r>
      <w:r w:rsidR="00CA299A" w:rsidRPr="007048BA">
        <w:rPr>
          <w:rFonts w:cs="Times New Roman"/>
          <w:lang w:val="en-GB"/>
        </w:rPr>
        <w:t>.</w:t>
      </w:r>
    </w:p>
    <w:p w14:paraId="17C39F64" w14:textId="49CE8183" w:rsidR="00CA299A" w:rsidRPr="007048BA" w:rsidRDefault="00B62799" w:rsidP="00CA299A">
      <w:pPr>
        <w:ind w:firstLine="720"/>
        <w:jc w:val="center"/>
        <w:rPr>
          <w:rFonts w:cs="Times New Roman"/>
          <w:b/>
          <w:lang w:val="en-GB"/>
        </w:rPr>
      </w:pPr>
      <w:r w:rsidRPr="007048BA">
        <w:rPr>
          <w:rFonts w:cs="Times New Roman"/>
          <w:b/>
          <w:lang w:val="en-GB"/>
        </w:rPr>
        <w:t xml:space="preserve"> </w:t>
      </w:r>
      <w:r w:rsidR="00CA299A" w:rsidRPr="007048BA">
        <w:rPr>
          <w:rFonts w:cs="Times New Roman"/>
          <w:b/>
          <w:lang w:val="en-GB"/>
        </w:rPr>
        <w:t xml:space="preserve">[Insert Table </w:t>
      </w:r>
      <w:r w:rsidR="00497EE6" w:rsidRPr="007048BA">
        <w:rPr>
          <w:rFonts w:cs="Times New Roman"/>
          <w:b/>
          <w:lang w:val="en-GB"/>
        </w:rPr>
        <w:t>1</w:t>
      </w:r>
      <w:r w:rsidR="00A440F4" w:rsidRPr="007048BA">
        <w:rPr>
          <w:rFonts w:cs="Times New Roman"/>
          <w:b/>
          <w:lang w:val="en-GB"/>
        </w:rPr>
        <w:t>1</w:t>
      </w:r>
      <w:r w:rsidR="00497EE6" w:rsidRPr="007048BA">
        <w:rPr>
          <w:rFonts w:cs="Times New Roman"/>
          <w:b/>
          <w:lang w:val="en-GB"/>
        </w:rPr>
        <w:t xml:space="preserve"> </w:t>
      </w:r>
      <w:r w:rsidR="00CA299A" w:rsidRPr="007048BA">
        <w:rPr>
          <w:rFonts w:cs="Times New Roman"/>
          <w:b/>
          <w:lang w:val="en-GB"/>
        </w:rPr>
        <w:t>about here]</w:t>
      </w:r>
    </w:p>
    <w:p w14:paraId="2AF5FA59" w14:textId="1AE7D302" w:rsidR="00E73933" w:rsidRPr="007048BA" w:rsidRDefault="00CA299A" w:rsidP="00521C50">
      <w:pPr>
        <w:ind w:firstLine="720"/>
        <w:rPr>
          <w:rFonts w:cs="Times New Roman"/>
          <w:lang w:val="en-GB"/>
        </w:rPr>
      </w:pPr>
      <w:r w:rsidRPr="007048BA">
        <w:rPr>
          <w:rFonts w:cs="Times New Roman"/>
          <w:lang w:val="en-GB"/>
        </w:rPr>
        <w:t xml:space="preserve">The results from Table </w:t>
      </w:r>
      <w:r w:rsidR="00A440F4" w:rsidRPr="007048BA">
        <w:rPr>
          <w:rFonts w:cs="Times New Roman"/>
          <w:lang w:val="en-GB"/>
        </w:rPr>
        <w:t>11</w:t>
      </w:r>
      <w:r w:rsidRPr="007048BA">
        <w:rPr>
          <w:rFonts w:cs="Times New Roman"/>
          <w:lang w:val="en-GB"/>
        </w:rPr>
        <w:t xml:space="preserve"> suggest that the likelihood of making a takeover bid increases with management </w:t>
      </w:r>
      <w:r w:rsidR="00ED262D" w:rsidRPr="007048BA">
        <w:rPr>
          <w:rFonts w:cs="Times New Roman"/>
          <w:i/>
          <w:lang w:val="en-GB"/>
        </w:rPr>
        <w:t>hyperopia</w:t>
      </w:r>
      <w:r w:rsidRPr="007048BA">
        <w:rPr>
          <w:rFonts w:cs="Times New Roman"/>
          <w:lang w:val="en-GB"/>
        </w:rPr>
        <w:t xml:space="preserve"> (</w:t>
      </w:r>
      <w:r w:rsidR="00D44A7E" w:rsidRPr="007048BA">
        <w:rPr>
          <w:rFonts w:cs="Times New Roman"/>
          <w:i/>
          <w:iCs/>
          <w:lang w:val="en-GB"/>
        </w:rPr>
        <w:t>p-value</w:t>
      </w:r>
      <w:r w:rsidRPr="007048BA">
        <w:rPr>
          <w:rFonts w:cs="Times New Roman"/>
          <w:lang w:val="en-GB"/>
        </w:rPr>
        <w:t xml:space="preserve"> of 0.0</w:t>
      </w:r>
      <w:r w:rsidR="00981DA9" w:rsidRPr="007048BA">
        <w:rPr>
          <w:rFonts w:cs="Times New Roman"/>
          <w:lang w:val="en-GB"/>
        </w:rPr>
        <w:t>89</w:t>
      </w:r>
      <w:r w:rsidRPr="007048BA">
        <w:rPr>
          <w:rFonts w:cs="Times New Roman"/>
          <w:lang w:val="en-GB"/>
        </w:rPr>
        <w:t xml:space="preserve">) and declines with </w:t>
      </w:r>
      <w:r w:rsidR="00ED262D" w:rsidRPr="007048BA">
        <w:rPr>
          <w:rFonts w:cs="Times New Roman"/>
          <w:i/>
          <w:lang w:val="en-GB"/>
        </w:rPr>
        <w:t>poor</w:t>
      </w:r>
      <w:r w:rsidRPr="007048BA">
        <w:rPr>
          <w:rFonts w:cs="Times New Roman"/>
          <w:lang w:val="en-GB"/>
        </w:rPr>
        <w:t xml:space="preserve"> </w:t>
      </w:r>
      <w:r w:rsidR="00981DA9" w:rsidRPr="007048BA">
        <w:rPr>
          <w:rFonts w:cs="Times New Roman"/>
          <w:lang w:val="en-GB"/>
        </w:rPr>
        <w:t xml:space="preserve">management </w:t>
      </w:r>
      <w:r w:rsidRPr="007048BA">
        <w:rPr>
          <w:rFonts w:cs="Times New Roman"/>
          <w:lang w:val="en-GB"/>
        </w:rPr>
        <w:t>(</w:t>
      </w:r>
      <w:r w:rsidR="00D44A7E" w:rsidRPr="007048BA">
        <w:rPr>
          <w:rFonts w:cs="Times New Roman"/>
          <w:i/>
          <w:iCs/>
          <w:lang w:val="en-GB"/>
        </w:rPr>
        <w:t>p-value</w:t>
      </w:r>
      <w:r w:rsidRPr="007048BA">
        <w:rPr>
          <w:rFonts w:cs="Times New Roman"/>
          <w:lang w:val="en-GB"/>
        </w:rPr>
        <w:t xml:space="preserve"> of 0.0</w:t>
      </w:r>
      <w:r w:rsidR="00981DA9" w:rsidRPr="007048BA">
        <w:rPr>
          <w:rFonts w:cs="Times New Roman"/>
          <w:lang w:val="en-GB"/>
        </w:rPr>
        <w:t>44</w:t>
      </w:r>
      <w:r w:rsidRPr="007048BA">
        <w:rPr>
          <w:rFonts w:cs="Times New Roman"/>
          <w:lang w:val="en-GB"/>
        </w:rPr>
        <w:t xml:space="preserve">). </w:t>
      </w:r>
      <w:r w:rsidR="00981DA9" w:rsidRPr="007048BA">
        <w:rPr>
          <w:rFonts w:cs="Times New Roman"/>
          <w:lang w:val="en-GB"/>
        </w:rPr>
        <w:t xml:space="preserve">We do not find evidence that </w:t>
      </w:r>
      <w:r w:rsidR="00981DA9" w:rsidRPr="007048BA">
        <w:rPr>
          <w:rFonts w:cs="Times New Roman"/>
          <w:i/>
          <w:lang w:val="en-GB"/>
        </w:rPr>
        <w:t>myopic</w:t>
      </w:r>
      <w:r w:rsidR="00981DA9" w:rsidRPr="007048BA">
        <w:rPr>
          <w:rFonts w:cs="Times New Roman"/>
          <w:lang w:val="en-GB"/>
        </w:rPr>
        <w:t xml:space="preserve"> firms are more likely to make </w:t>
      </w:r>
      <w:r w:rsidR="00C36F88" w:rsidRPr="007048BA">
        <w:rPr>
          <w:rFonts w:cs="Times New Roman"/>
          <w:lang w:val="en-GB"/>
        </w:rPr>
        <w:t xml:space="preserve">bids. </w:t>
      </w:r>
      <w:r w:rsidRPr="007048BA">
        <w:rPr>
          <w:rFonts w:cs="Times New Roman"/>
          <w:lang w:val="en-GB"/>
        </w:rPr>
        <w:t>Given that bidder management are, on average, well-performing prior to bids and less likely to be class</w:t>
      </w:r>
      <w:r w:rsidR="00F46D90" w:rsidRPr="007048BA">
        <w:rPr>
          <w:rFonts w:cs="Times New Roman"/>
          <w:lang w:val="en-GB"/>
        </w:rPr>
        <w:t>i</w:t>
      </w:r>
      <w:r w:rsidRPr="007048BA">
        <w:rPr>
          <w:rFonts w:cs="Times New Roman"/>
          <w:lang w:val="en-GB"/>
        </w:rPr>
        <w:t xml:space="preserve">fied as </w:t>
      </w:r>
      <w:r w:rsidR="00ED262D" w:rsidRPr="007048BA">
        <w:rPr>
          <w:rFonts w:cs="Times New Roman"/>
          <w:i/>
          <w:lang w:val="en-GB"/>
        </w:rPr>
        <w:t>poor</w:t>
      </w:r>
      <w:r w:rsidRPr="007048BA">
        <w:rPr>
          <w:rFonts w:cs="Times New Roman"/>
          <w:lang w:val="en-GB"/>
        </w:rPr>
        <w:t xml:space="preserve"> or </w:t>
      </w:r>
      <w:r w:rsidR="00ED262D" w:rsidRPr="007048BA">
        <w:rPr>
          <w:rFonts w:cs="Times New Roman"/>
          <w:i/>
          <w:lang w:val="en-GB"/>
        </w:rPr>
        <w:t>myopia</w:t>
      </w:r>
      <w:r w:rsidRPr="007048BA">
        <w:rPr>
          <w:rFonts w:cs="Times New Roman"/>
          <w:lang w:val="en-GB"/>
        </w:rPr>
        <w:t>, their decision to acquire underperforming firms can, perhaps, be</w:t>
      </w:r>
      <w:r w:rsidR="006F7112" w:rsidRPr="007048BA">
        <w:rPr>
          <w:rFonts w:cs="Times New Roman"/>
          <w:lang w:val="en-GB"/>
        </w:rPr>
        <w:t xml:space="preserve"> indicative of the role of acquisitions in providing market discipline.</w:t>
      </w:r>
      <w:r w:rsidRPr="007048BA">
        <w:rPr>
          <w:rFonts w:cs="Times New Roman"/>
          <w:lang w:val="en-GB"/>
        </w:rPr>
        <w:t xml:space="preserve"> </w:t>
      </w:r>
    </w:p>
    <w:p w14:paraId="011C290E" w14:textId="4729CFD1" w:rsidR="003E5960" w:rsidRPr="007048BA" w:rsidRDefault="00A33B1A" w:rsidP="00A20EFD">
      <w:pPr>
        <w:ind w:firstLine="720"/>
        <w:rPr>
          <w:rFonts w:cs="Times New Roman"/>
          <w:lang w:val="en-GB"/>
        </w:rPr>
      </w:pPr>
      <w:r w:rsidRPr="007048BA">
        <w:rPr>
          <w:rFonts w:cs="Times New Roman"/>
          <w:lang w:val="en-GB"/>
        </w:rPr>
        <w:t xml:space="preserve">Secondly, we explore whether valuation rather than performance explains the differences in takeover likelihoods across the different categories. Our main result suggest that </w:t>
      </w:r>
      <w:r w:rsidRPr="007048BA">
        <w:rPr>
          <w:rFonts w:cs="Times New Roman"/>
          <w:i/>
          <w:lang w:val="en-GB"/>
        </w:rPr>
        <w:t>poor</w:t>
      </w:r>
      <w:r w:rsidRPr="007048BA">
        <w:rPr>
          <w:rFonts w:cs="Times New Roman"/>
          <w:lang w:val="en-GB"/>
        </w:rPr>
        <w:t xml:space="preserve"> and </w:t>
      </w:r>
      <w:r w:rsidRPr="007048BA">
        <w:rPr>
          <w:rFonts w:cs="Times New Roman"/>
          <w:i/>
          <w:lang w:val="en-GB"/>
        </w:rPr>
        <w:t>myopic</w:t>
      </w:r>
      <w:r w:rsidRPr="007048BA">
        <w:rPr>
          <w:rFonts w:cs="Times New Roman"/>
          <w:lang w:val="en-GB"/>
        </w:rPr>
        <w:t xml:space="preserve"> firms are </w:t>
      </w:r>
      <w:r w:rsidRPr="007048BA">
        <w:rPr>
          <w:rFonts w:cs="Times New Roman"/>
          <w:lang w:val="en-GB"/>
        </w:rPr>
        <w:lastRenderedPageBreak/>
        <w:t xml:space="preserve">more exposed to takeovers compared to their </w:t>
      </w:r>
      <w:r w:rsidRPr="007048BA">
        <w:rPr>
          <w:rFonts w:cs="Times New Roman"/>
          <w:i/>
          <w:lang w:val="en-GB"/>
        </w:rPr>
        <w:t>hyperopic</w:t>
      </w:r>
      <w:r w:rsidRPr="007048BA">
        <w:rPr>
          <w:rFonts w:cs="Times New Roman"/>
          <w:lang w:val="en-GB"/>
        </w:rPr>
        <w:t xml:space="preserve"> and </w:t>
      </w:r>
      <w:r w:rsidRPr="007048BA">
        <w:rPr>
          <w:rFonts w:cs="Times New Roman"/>
          <w:i/>
          <w:lang w:val="en-GB"/>
        </w:rPr>
        <w:t>efficient</w:t>
      </w:r>
      <w:r w:rsidRPr="007048BA">
        <w:rPr>
          <w:rFonts w:cs="Times New Roman"/>
          <w:lang w:val="en-GB"/>
        </w:rPr>
        <w:t xml:space="preserve"> counterparts. If</w:t>
      </w:r>
      <w:r w:rsidR="004301C6" w:rsidRPr="007048BA">
        <w:rPr>
          <w:rFonts w:cs="Times New Roman"/>
          <w:lang w:val="en-GB"/>
        </w:rPr>
        <w:t xml:space="preserve"> categories of firms with low stock market returns (i.e., </w:t>
      </w:r>
      <w:r w:rsidR="004301C6" w:rsidRPr="007048BA">
        <w:rPr>
          <w:rFonts w:cs="Times New Roman"/>
          <w:i/>
          <w:lang w:val="en-GB"/>
        </w:rPr>
        <w:t>poor</w:t>
      </w:r>
      <w:r w:rsidR="004301C6" w:rsidRPr="007048BA">
        <w:rPr>
          <w:rFonts w:cs="Times New Roman"/>
          <w:lang w:val="en-GB"/>
        </w:rPr>
        <w:t xml:space="preserve"> and </w:t>
      </w:r>
      <w:r w:rsidR="004301C6" w:rsidRPr="007048BA">
        <w:rPr>
          <w:rFonts w:cs="Times New Roman"/>
          <w:i/>
          <w:lang w:val="en-GB"/>
        </w:rPr>
        <w:t>myopic</w:t>
      </w:r>
      <w:r w:rsidR="004301C6" w:rsidRPr="007048BA">
        <w:rPr>
          <w:rFonts w:cs="Times New Roman"/>
          <w:lang w:val="en-GB"/>
        </w:rPr>
        <w:t xml:space="preserve"> firms) are simply undervalued firms, while their counterparts </w:t>
      </w:r>
      <w:r w:rsidR="003E5960" w:rsidRPr="007048BA">
        <w:rPr>
          <w:rFonts w:cs="Times New Roman"/>
          <w:lang w:val="en-GB"/>
        </w:rPr>
        <w:t xml:space="preserve">with high market returns </w:t>
      </w:r>
      <w:r w:rsidRPr="007048BA">
        <w:rPr>
          <w:rFonts w:cs="Times New Roman"/>
          <w:lang w:val="en-GB"/>
        </w:rPr>
        <w:t xml:space="preserve">(i.e., </w:t>
      </w:r>
      <w:r w:rsidR="004301C6" w:rsidRPr="007048BA">
        <w:rPr>
          <w:rFonts w:cs="Times New Roman"/>
          <w:i/>
          <w:lang w:val="en-GB"/>
        </w:rPr>
        <w:t>hyperopic</w:t>
      </w:r>
      <w:r w:rsidR="004301C6" w:rsidRPr="007048BA">
        <w:rPr>
          <w:rFonts w:cs="Times New Roman"/>
          <w:lang w:val="en-GB"/>
        </w:rPr>
        <w:t xml:space="preserve"> and </w:t>
      </w:r>
      <w:r w:rsidR="004301C6" w:rsidRPr="007048BA">
        <w:rPr>
          <w:rFonts w:cs="Times New Roman"/>
          <w:i/>
          <w:lang w:val="en-GB"/>
        </w:rPr>
        <w:t>efficient</w:t>
      </w:r>
      <w:r w:rsidR="004301C6" w:rsidRPr="007048BA">
        <w:rPr>
          <w:rFonts w:cs="Times New Roman"/>
          <w:lang w:val="en-GB"/>
        </w:rPr>
        <w:t xml:space="preserve"> firms</w:t>
      </w:r>
      <w:r w:rsidRPr="007048BA">
        <w:rPr>
          <w:rFonts w:cs="Times New Roman"/>
          <w:lang w:val="en-GB"/>
        </w:rPr>
        <w:t>)</w:t>
      </w:r>
      <w:r w:rsidR="004301C6" w:rsidRPr="007048BA">
        <w:rPr>
          <w:rFonts w:cs="Times New Roman"/>
          <w:lang w:val="en-GB"/>
        </w:rPr>
        <w:t xml:space="preserve"> are relatively over</w:t>
      </w:r>
      <w:r w:rsidR="003E5960" w:rsidRPr="007048BA">
        <w:rPr>
          <w:rFonts w:cs="Times New Roman"/>
          <w:lang w:val="en-GB"/>
        </w:rPr>
        <w:t>valued firms, then our results are consistent with the misevaluation hypothesis (</w:t>
      </w:r>
      <w:r w:rsidR="003E5960" w:rsidRPr="007048BA">
        <w:rPr>
          <w:rFonts w:eastAsia="Times New Roman" w:cs="Times New Roman"/>
          <w:szCs w:val="24"/>
          <w:lang w:eastAsia="en-GB"/>
        </w:rPr>
        <w:t>Shleifer and Vishny, 2003; Rhodes-Kropf et al., 2005, Dong et al., 2006</w:t>
      </w:r>
      <w:r w:rsidR="003E5960" w:rsidRPr="007048BA">
        <w:rPr>
          <w:rFonts w:cs="Times New Roman"/>
          <w:lang w:val="en-GB"/>
        </w:rPr>
        <w:t>). That is</w:t>
      </w:r>
      <w:r w:rsidR="00B31393" w:rsidRPr="007048BA">
        <w:rPr>
          <w:rFonts w:cs="Times New Roman"/>
          <w:lang w:val="en-GB"/>
        </w:rPr>
        <w:t>, undervalued</w:t>
      </w:r>
      <w:r w:rsidR="004301C6" w:rsidRPr="007048BA">
        <w:rPr>
          <w:rFonts w:cs="Times New Roman"/>
          <w:lang w:val="en-GB"/>
        </w:rPr>
        <w:t xml:space="preserve"> firms are more exposed to takeovers compared to their overvalued counterparts</w:t>
      </w:r>
      <w:r w:rsidR="003E5960" w:rsidRPr="007048BA">
        <w:rPr>
          <w:rFonts w:cs="Times New Roman"/>
          <w:lang w:val="en-GB"/>
        </w:rPr>
        <w:t xml:space="preserve"> (</w:t>
      </w:r>
      <w:r w:rsidR="00550EDC" w:rsidRPr="007048BA">
        <w:rPr>
          <w:rFonts w:cs="Times New Roman"/>
          <w:lang w:val="en-GB"/>
        </w:rPr>
        <w:t xml:space="preserve">as established by </w:t>
      </w:r>
      <w:r w:rsidR="003E5960" w:rsidRPr="007048BA">
        <w:rPr>
          <w:rFonts w:eastAsia="Times New Roman" w:cs="Times New Roman"/>
          <w:szCs w:val="24"/>
          <w:lang w:eastAsia="en-GB"/>
        </w:rPr>
        <w:t>Shleifer and Vishny, 2003; Rhodes-Kropf et al., 2005, Dong et al., 2006</w:t>
      </w:r>
      <w:r w:rsidR="00550EDC" w:rsidRPr="007048BA">
        <w:rPr>
          <w:rFonts w:eastAsia="Times New Roman" w:cs="Times New Roman"/>
          <w:szCs w:val="24"/>
          <w:lang w:eastAsia="en-GB"/>
        </w:rPr>
        <w:t>, amongst others</w:t>
      </w:r>
      <w:r w:rsidR="003E5960" w:rsidRPr="007048BA">
        <w:rPr>
          <w:rFonts w:cs="Times New Roman"/>
          <w:lang w:val="en-GB"/>
        </w:rPr>
        <w:t>)</w:t>
      </w:r>
      <w:r w:rsidR="004301C6" w:rsidRPr="007048BA">
        <w:rPr>
          <w:rFonts w:cs="Times New Roman"/>
          <w:lang w:val="en-GB"/>
        </w:rPr>
        <w:t xml:space="preserve">. </w:t>
      </w:r>
    </w:p>
    <w:p w14:paraId="37CEB5EB" w14:textId="7245AF39" w:rsidR="00AA3497" w:rsidRPr="007048BA" w:rsidRDefault="004301C6" w:rsidP="00A20EFD">
      <w:pPr>
        <w:ind w:firstLine="720"/>
        <w:rPr>
          <w:rFonts w:cs="Times New Roman"/>
          <w:lang w:val="en-GB"/>
        </w:rPr>
      </w:pPr>
      <w:r w:rsidRPr="007048BA">
        <w:rPr>
          <w:rFonts w:cs="Times New Roman"/>
          <w:lang w:val="en-GB"/>
        </w:rPr>
        <w:t xml:space="preserve">We argue that this is not the case and these categories do not simply proxy for valuation. To evidence this, we group </w:t>
      </w:r>
      <w:r w:rsidRPr="007048BA">
        <w:rPr>
          <w:rFonts w:cs="Times New Roman"/>
          <w:i/>
          <w:lang w:val="en-GB"/>
        </w:rPr>
        <w:t>poor</w:t>
      </w:r>
      <w:r w:rsidRPr="007048BA">
        <w:rPr>
          <w:rFonts w:cs="Times New Roman"/>
          <w:lang w:val="en-GB"/>
        </w:rPr>
        <w:t xml:space="preserve"> and </w:t>
      </w:r>
      <w:r w:rsidRPr="007048BA">
        <w:rPr>
          <w:rFonts w:cs="Times New Roman"/>
          <w:i/>
          <w:lang w:val="en-GB"/>
        </w:rPr>
        <w:t>myopic</w:t>
      </w:r>
      <w:r w:rsidRPr="007048BA">
        <w:rPr>
          <w:rFonts w:cs="Times New Roman"/>
          <w:lang w:val="en-GB"/>
        </w:rPr>
        <w:t xml:space="preserve"> firms into one category (PM) and </w:t>
      </w:r>
      <w:r w:rsidRPr="007048BA">
        <w:rPr>
          <w:rFonts w:cs="Times New Roman"/>
          <w:i/>
          <w:lang w:val="en-GB"/>
        </w:rPr>
        <w:t>hyperopic</w:t>
      </w:r>
      <w:r w:rsidRPr="007048BA">
        <w:rPr>
          <w:rFonts w:cs="Times New Roman"/>
          <w:lang w:val="en-GB"/>
        </w:rPr>
        <w:t xml:space="preserve"> and </w:t>
      </w:r>
      <w:r w:rsidRPr="007048BA">
        <w:rPr>
          <w:rFonts w:cs="Times New Roman"/>
          <w:i/>
          <w:lang w:val="en-GB"/>
        </w:rPr>
        <w:t>efficient</w:t>
      </w:r>
      <w:r w:rsidRPr="007048BA">
        <w:rPr>
          <w:rFonts w:cs="Times New Roman"/>
          <w:lang w:val="en-GB"/>
        </w:rPr>
        <w:t xml:space="preserve"> firms into another (HE). We compare the mean and median MTB and TBQ of th</w:t>
      </w:r>
      <w:r w:rsidR="00B31393" w:rsidRPr="007048BA">
        <w:rPr>
          <w:rFonts w:cs="Times New Roman"/>
          <w:lang w:val="en-GB"/>
        </w:rPr>
        <w:t>ese</w:t>
      </w:r>
      <w:r w:rsidRPr="007048BA">
        <w:rPr>
          <w:rFonts w:cs="Times New Roman"/>
          <w:lang w:val="en-GB"/>
        </w:rPr>
        <w:t xml:space="preserve"> two categories. If our categories simply proxy for valuation, then we will expect that HE firms should have significantly high</w:t>
      </w:r>
      <w:r w:rsidR="00B31393" w:rsidRPr="007048BA">
        <w:rPr>
          <w:rFonts w:cs="Times New Roman"/>
          <w:lang w:val="en-GB"/>
        </w:rPr>
        <w:t>er</w:t>
      </w:r>
      <w:r w:rsidRPr="007048BA">
        <w:rPr>
          <w:rFonts w:cs="Times New Roman"/>
          <w:lang w:val="en-GB"/>
        </w:rPr>
        <w:t xml:space="preserve"> MTB and TBQ </w:t>
      </w:r>
      <w:r w:rsidR="00B31393" w:rsidRPr="007048BA">
        <w:rPr>
          <w:rFonts w:cs="Times New Roman"/>
          <w:lang w:val="en-GB"/>
        </w:rPr>
        <w:t xml:space="preserve">when </w:t>
      </w:r>
      <w:r w:rsidRPr="007048BA">
        <w:rPr>
          <w:rFonts w:cs="Times New Roman"/>
          <w:lang w:val="en-GB"/>
        </w:rPr>
        <w:t>compared to their PM counterparts. On the contrary, we find that t</w:t>
      </w:r>
      <w:r w:rsidR="002725B3" w:rsidRPr="007048BA">
        <w:rPr>
          <w:rFonts w:cs="Times New Roman"/>
          <w:lang w:val="en-GB"/>
        </w:rPr>
        <w:t xml:space="preserve">he mean and median MTB of PM </w:t>
      </w:r>
      <w:r w:rsidRPr="007048BA">
        <w:rPr>
          <w:rFonts w:cs="Times New Roman"/>
          <w:lang w:val="en-GB"/>
        </w:rPr>
        <w:t xml:space="preserve">firms </w:t>
      </w:r>
      <w:r w:rsidR="002725B3" w:rsidRPr="007048BA">
        <w:rPr>
          <w:rFonts w:cs="Times New Roman"/>
          <w:lang w:val="en-GB"/>
        </w:rPr>
        <w:t>is higher than those of HE</w:t>
      </w:r>
      <w:r w:rsidRPr="007048BA">
        <w:rPr>
          <w:rFonts w:cs="Times New Roman"/>
          <w:lang w:val="en-GB"/>
        </w:rPr>
        <w:t xml:space="preserve"> firms</w:t>
      </w:r>
      <w:r w:rsidR="002725B3" w:rsidRPr="007048BA">
        <w:rPr>
          <w:rFonts w:cs="Times New Roman"/>
          <w:lang w:val="en-GB"/>
        </w:rPr>
        <w:t xml:space="preserve">. </w:t>
      </w:r>
      <w:r w:rsidR="00AA3497" w:rsidRPr="007048BA">
        <w:rPr>
          <w:rFonts w:cs="Times New Roman"/>
          <w:lang w:val="en-GB"/>
        </w:rPr>
        <w:t>As shown in Table 12 (panel A), t</w:t>
      </w:r>
      <w:r w:rsidR="002725B3" w:rsidRPr="007048BA">
        <w:rPr>
          <w:rFonts w:cs="Times New Roman"/>
          <w:lang w:val="en-GB"/>
        </w:rPr>
        <w:t>he m</w:t>
      </w:r>
      <w:r w:rsidR="002845C1" w:rsidRPr="007048BA">
        <w:rPr>
          <w:rFonts w:cs="Times New Roman"/>
          <w:lang w:val="en-GB"/>
        </w:rPr>
        <w:t xml:space="preserve">ean (median) MTB of PM is 1.727 </w:t>
      </w:r>
      <w:r w:rsidR="002725B3" w:rsidRPr="007048BA">
        <w:rPr>
          <w:rFonts w:cs="Times New Roman"/>
          <w:lang w:val="en-GB"/>
        </w:rPr>
        <w:t xml:space="preserve">(1.043) </w:t>
      </w:r>
      <w:r w:rsidR="002845C1" w:rsidRPr="007048BA">
        <w:rPr>
          <w:rFonts w:cs="Times New Roman"/>
          <w:lang w:val="en-GB"/>
        </w:rPr>
        <w:t xml:space="preserve">while mean </w:t>
      </w:r>
      <w:r w:rsidR="002725B3" w:rsidRPr="007048BA">
        <w:rPr>
          <w:rFonts w:cs="Times New Roman"/>
          <w:lang w:val="en-GB"/>
        </w:rPr>
        <w:t xml:space="preserve">(median) MTB </w:t>
      </w:r>
      <w:r w:rsidR="002845C1" w:rsidRPr="007048BA">
        <w:rPr>
          <w:rFonts w:cs="Times New Roman"/>
          <w:lang w:val="en-GB"/>
        </w:rPr>
        <w:t xml:space="preserve">of </w:t>
      </w:r>
      <w:r w:rsidR="002725B3" w:rsidRPr="007048BA">
        <w:rPr>
          <w:rFonts w:cs="Times New Roman"/>
          <w:lang w:val="en-GB"/>
        </w:rPr>
        <w:t>HE is 1.694 (0.991). The difference in mean MTB (0.033) is not statistically significant (</w:t>
      </w:r>
      <w:r w:rsidR="000A75F9" w:rsidRPr="007048BA">
        <w:rPr>
          <w:rFonts w:cs="Times New Roman"/>
          <w:i/>
          <w:lang w:val="en-GB"/>
        </w:rPr>
        <w:t>p-value</w:t>
      </w:r>
      <w:r w:rsidR="002725B3" w:rsidRPr="007048BA">
        <w:rPr>
          <w:rFonts w:cs="Times New Roman"/>
          <w:lang w:val="en-GB"/>
        </w:rPr>
        <w:t xml:space="preserve"> of 0.205) while the difference in median MTB (0.053) is statistically significant (</w:t>
      </w:r>
      <w:r w:rsidR="002725B3" w:rsidRPr="007048BA">
        <w:rPr>
          <w:rFonts w:cs="Times New Roman"/>
          <w:i/>
          <w:lang w:val="en-GB"/>
        </w:rPr>
        <w:t>p-value</w:t>
      </w:r>
      <w:r w:rsidR="002725B3" w:rsidRPr="007048BA">
        <w:rPr>
          <w:rFonts w:cs="Times New Roman"/>
          <w:lang w:val="en-GB"/>
        </w:rPr>
        <w:t xml:space="preserve"> of 0.000). The results are similar when we use TBQ as a proxy for valuation. The mean (median) TBQ for PM</w:t>
      </w:r>
      <w:r w:rsidR="00550EDC" w:rsidRPr="007048BA">
        <w:rPr>
          <w:rFonts w:cs="Times New Roman"/>
          <w:lang w:val="en-GB"/>
        </w:rPr>
        <w:t xml:space="preserve"> firms</w:t>
      </w:r>
      <w:r w:rsidR="002725B3" w:rsidRPr="007048BA">
        <w:rPr>
          <w:rFonts w:cs="Times New Roman"/>
          <w:lang w:val="en-GB"/>
        </w:rPr>
        <w:t xml:space="preserve"> is 2.064 (1.433) as against 1.887 (1.318)</w:t>
      </w:r>
      <w:r w:rsidR="00AA3497" w:rsidRPr="007048BA">
        <w:rPr>
          <w:rFonts w:cs="Times New Roman"/>
          <w:lang w:val="en-GB"/>
        </w:rPr>
        <w:t xml:space="preserve"> for HE</w:t>
      </w:r>
      <w:r w:rsidR="00550EDC" w:rsidRPr="007048BA">
        <w:rPr>
          <w:rFonts w:cs="Times New Roman"/>
          <w:lang w:val="en-GB"/>
        </w:rPr>
        <w:t xml:space="preserve"> firms</w:t>
      </w:r>
      <w:r w:rsidR="002725B3" w:rsidRPr="007048BA">
        <w:rPr>
          <w:rFonts w:cs="Times New Roman"/>
          <w:lang w:val="en-GB"/>
        </w:rPr>
        <w:t>. Here, the difference in mean and median TBQ are both statistically significant at the 1 percent level (</w:t>
      </w:r>
      <w:r w:rsidR="000A75F9" w:rsidRPr="007048BA">
        <w:rPr>
          <w:rFonts w:cs="Times New Roman"/>
          <w:i/>
          <w:lang w:val="en-GB"/>
        </w:rPr>
        <w:t>p-value</w:t>
      </w:r>
      <w:r w:rsidR="002725B3" w:rsidRPr="007048BA">
        <w:rPr>
          <w:rFonts w:cs="Times New Roman"/>
          <w:lang w:val="en-GB"/>
        </w:rPr>
        <w:t xml:space="preserve"> of 0.000).</w:t>
      </w:r>
      <w:r w:rsidR="00291057" w:rsidRPr="007048BA">
        <w:rPr>
          <w:rFonts w:cs="Times New Roman"/>
          <w:lang w:val="en-GB"/>
        </w:rPr>
        <w:t xml:space="preserve"> The results suggest that </w:t>
      </w:r>
      <w:r w:rsidR="00291057" w:rsidRPr="007048BA">
        <w:rPr>
          <w:rFonts w:cs="Times New Roman"/>
          <w:i/>
          <w:lang w:val="en-GB"/>
        </w:rPr>
        <w:t>poor</w:t>
      </w:r>
      <w:r w:rsidR="00291057" w:rsidRPr="007048BA">
        <w:rPr>
          <w:rFonts w:cs="Times New Roman"/>
          <w:lang w:val="en-GB"/>
        </w:rPr>
        <w:t xml:space="preserve"> and </w:t>
      </w:r>
      <w:r w:rsidR="00291057" w:rsidRPr="007048BA">
        <w:rPr>
          <w:rFonts w:cs="Times New Roman"/>
          <w:i/>
          <w:lang w:val="en-GB"/>
        </w:rPr>
        <w:t>myopic</w:t>
      </w:r>
      <w:r w:rsidR="00291057" w:rsidRPr="007048BA">
        <w:rPr>
          <w:rFonts w:cs="Times New Roman"/>
          <w:lang w:val="en-GB"/>
        </w:rPr>
        <w:t xml:space="preserve"> firms have relatively higher valuations than their </w:t>
      </w:r>
      <w:r w:rsidR="00291057" w:rsidRPr="007048BA">
        <w:rPr>
          <w:rFonts w:cs="Times New Roman"/>
          <w:i/>
          <w:lang w:val="en-GB"/>
        </w:rPr>
        <w:t>hyperopic</w:t>
      </w:r>
      <w:r w:rsidR="00291057" w:rsidRPr="007048BA">
        <w:rPr>
          <w:rFonts w:cs="Times New Roman"/>
          <w:lang w:val="en-GB"/>
        </w:rPr>
        <w:t xml:space="preserve"> and </w:t>
      </w:r>
      <w:r w:rsidR="00291057" w:rsidRPr="007048BA">
        <w:rPr>
          <w:rFonts w:cs="Times New Roman"/>
          <w:i/>
          <w:lang w:val="en-GB"/>
        </w:rPr>
        <w:t>efficient</w:t>
      </w:r>
      <w:r w:rsidR="00291057" w:rsidRPr="007048BA">
        <w:rPr>
          <w:rFonts w:cs="Times New Roman"/>
          <w:lang w:val="en-GB"/>
        </w:rPr>
        <w:t xml:space="preserve"> counterparts.</w:t>
      </w:r>
      <w:r w:rsidR="00AB1CE7" w:rsidRPr="007048BA">
        <w:rPr>
          <w:rFonts w:cs="Times New Roman"/>
          <w:lang w:val="en-GB"/>
        </w:rPr>
        <w:t xml:space="preserve"> </w:t>
      </w:r>
    </w:p>
    <w:p w14:paraId="3E09D4D9" w14:textId="77777777" w:rsidR="00E06CD0" w:rsidRPr="007048BA" w:rsidRDefault="00E06CD0" w:rsidP="00E06CD0">
      <w:pPr>
        <w:ind w:firstLine="720"/>
        <w:jc w:val="center"/>
        <w:rPr>
          <w:rFonts w:cs="Times New Roman"/>
          <w:b/>
          <w:lang w:val="en-GB"/>
        </w:rPr>
      </w:pPr>
      <w:r w:rsidRPr="007048BA">
        <w:rPr>
          <w:rFonts w:cs="Times New Roman"/>
          <w:b/>
          <w:lang w:val="en-GB"/>
        </w:rPr>
        <w:t>[Insert Table 12 about here]</w:t>
      </w:r>
    </w:p>
    <w:p w14:paraId="3FDEB5F5" w14:textId="3D779D8E" w:rsidR="002845C1" w:rsidRPr="007048BA" w:rsidRDefault="00AB1CE7" w:rsidP="00A20EFD">
      <w:pPr>
        <w:ind w:firstLine="720"/>
        <w:rPr>
          <w:rFonts w:cs="Times New Roman"/>
          <w:lang w:val="en-GB"/>
        </w:rPr>
      </w:pPr>
      <w:r w:rsidRPr="007048BA">
        <w:rPr>
          <w:rFonts w:cs="Times New Roman"/>
          <w:lang w:val="en-GB"/>
        </w:rPr>
        <w:t>We further explore these results in a multivariate setting where we control for other firm variables. Here</w:t>
      </w:r>
      <w:r w:rsidR="00E06CD0" w:rsidRPr="007048BA">
        <w:rPr>
          <w:rFonts w:cs="Times New Roman"/>
          <w:lang w:val="en-GB"/>
        </w:rPr>
        <w:t>,</w:t>
      </w:r>
      <w:r w:rsidRPr="007048BA">
        <w:rPr>
          <w:rFonts w:cs="Times New Roman"/>
          <w:lang w:val="en-GB"/>
        </w:rPr>
        <w:t xml:space="preserve"> we generate a dummy variable (PM</w:t>
      </w:r>
      <w:r w:rsidR="00E06CD0" w:rsidRPr="007048BA">
        <w:rPr>
          <w:rFonts w:cs="Times New Roman"/>
          <w:lang w:val="en-GB"/>
        </w:rPr>
        <w:t>_</w:t>
      </w:r>
      <w:r w:rsidRPr="007048BA">
        <w:rPr>
          <w:rFonts w:cs="Times New Roman"/>
          <w:lang w:val="en-GB"/>
        </w:rPr>
        <w:t>HE) which</w:t>
      </w:r>
      <w:r w:rsidR="00E06CD0" w:rsidRPr="007048BA">
        <w:rPr>
          <w:rFonts w:cs="Times New Roman"/>
          <w:lang w:val="en-GB"/>
        </w:rPr>
        <w:t xml:space="preserve"> takes a value of 1 if a firm is</w:t>
      </w:r>
      <w:r w:rsidRPr="007048BA">
        <w:rPr>
          <w:rFonts w:cs="Times New Roman"/>
          <w:lang w:val="en-GB"/>
        </w:rPr>
        <w:t xml:space="preserve"> in the HE category</w:t>
      </w:r>
      <w:r w:rsidR="00E06CD0" w:rsidRPr="007048BA">
        <w:rPr>
          <w:rFonts w:cs="Times New Roman"/>
          <w:lang w:val="en-GB"/>
        </w:rPr>
        <w:t xml:space="preserve"> (i.e., </w:t>
      </w:r>
      <w:r w:rsidR="00E06CD0" w:rsidRPr="007048BA">
        <w:rPr>
          <w:rFonts w:cs="Times New Roman"/>
          <w:i/>
          <w:lang w:val="en-GB"/>
        </w:rPr>
        <w:t>hyperopic</w:t>
      </w:r>
      <w:r w:rsidR="00E06CD0" w:rsidRPr="007048BA">
        <w:rPr>
          <w:rFonts w:cs="Times New Roman"/>
          <w:lang w:val="en-GB"/>
        </w:rPr>
        <w:t xml:space="preserve"> and </w:t>
      </w:r>
      <w:r w:rsidR="00E06CD0" w:rsidRPr="007048BA">
        <w:rPr>
          <w:rFonts w:cs="Times New Roman"/>
          <w:i/>
          <w:lang w:val="en-GB"/>
        </w:rPr>
        <w:t>efficient</w:t>
      </w:r>
      <w:r w:rsidR="00E06CD0" w:rsidRPr="007048BA">
        <w:rPr>
          <w:rFonts w:cs="Times New Roman"/>
          <w:lang w:val="en-GB"/>
        </w:rPr>
        <w:t xml:space="preserve"> firms) </w:t>
      </w:r>
      <w:r w:rsidRPr="007048BA">
        <w:rPr>
          <w:rFonts w:cs="Times New Roman"/>
          <w:lang w:val="en-GB"/>
        </w:rPr>
        <w:t xml:space="preserve">and a value of </w:t>
      </w:r>
      <w:r w:rsidR="00E06CD0" w:rsidRPr="007048BA">
        <w:rPr>
          <w:rFonts w:cs="Times New Roman"/>
          <w:lang w:val="en-GB"/>
        </w:rPr>
        <w:t>0</w:t>
      </w:r>
      <w:r w:rsidRPr="007048BA">
        <w:rPr>
          <w:rFonts w:cs="Times New Roman"/>
          <w:lang w:val="en-GB"/>
        </w:rPr>
        <w:t xml:space="preserve"> if the firm is in the PM category</w:t>
      </w:r>
      <w:r w:rsidR="00E06CD0" w:rsidRPr="007048BA">
        <w:rPr>
          <w:rFonts w:cs="Times New Roman"/>
          <w:lang w:val="en-GB"/>
        </w:rPr>
        <w:t xml:space="preserve"> (i.e., </w:t>
      </w:r>
      <w:r w:rsidR="00E06CD0" w:rsidRPr="007048BA">
        <w:rPr>
          <w:rFonts w:cs="Times New Roman"/>
          <w:i/>
          <w:lang w:val="en-GB"/>
        </w:rPr>
        <w:t>poor</w:t>
      </w:r>
      <w:r w:rsidR="00E06CD0" w:rsidRPr="007048BA">
        <w:rPr>
          <w:rFonts w:cs="Times New Roman"/>
          <w:lang w:val="en-GB"/>
        </w:rPr>
        <w:t xml:space="preserve"> and </w:t>
      </w:r>
      <w:r w:rsidR="00E06CD0" w:rsidRPr="007048BA">
        <w:rPr>
          <w:rFonts w:cs="Times New Roman"/>
          <w:i/>
          <w:lang w:val="en-GB"/>
        </w:rPr>
        <w:t>myopic</w:t>
      </w:r>
      <w:r w:rsidR="00E06CD0" w:rsidRPr="007048BA">
        <w:rPr>
          <w:rFonts w:cs="Times New Roman"/>
          <w:lang w:val="en-GB"/>
        </w:rPr>
        <w:t xml:space="preserve"> firms)</w:t>
      </w:r>
      <w:r w:rsidRPr="007048BA">
        <w:rPr>
          <w:rFonts w:cs="Times New Roman"/>
          <w:lang w:val="en-GB"/>
        </w:rPr>
        <w:t xml:space="preserve">. We run panel fixed effects regression models where the dependent variable is </w:t>
      </w:r>
      <w:r w:rsidR="00E06CD0" w:rsidRPr="007048BA">
        <w:rPr>
          <w:rFonts w:cs="Times New Roman"/>
          <w:lang w:val="en-GB"/>
        </w:rPr>
        <w:t>MTB</w:t>
      </w:r>
      <w:r w:rsidR="00E06CD0" w:rsidRPr="007048BA">
        <w:rPr>
          <w:rFonts w:cs="Times New Roman"/>
          <w:i/>
          <w:lang w:val="en-GB"/>
        </w:rPr>
        <w:t xml:space="preserve"> </w:t>
      </w:r>
      <w:r w:rsidR="00E06CD0" w:rsidRPr="007048BA">
        <w:rPr>
          <w:rFonts w:cs="Times New Roman"/>
          <w:lang w:val="en-GB"/>
        </w:rPr>
        <w:t>(models 1 and 2)</w:t>
      </w:r>
      <w:r w:rsidR="00E06CD0" w:rsidRPr="007048BA">
        <w:rPr>
          <w:rFonts w:cs="Times New Roman"/>
          <w:i/>
          <w:lang w:val="en-GB"/>
        </w:rPr>
        <w:t xml:space="preserve"> </w:t>
      </w:r>
      <w:r w:rsidR="00E06CD0" w:rsidRPr="007048BA">
        <w:rPr>
          <w:rFonts w:cs="Times New Roman"/>
          <w:lang w:val="en-GB"/>
        </w:rPr>
        <w:t>and</w:t>
      </w:r>
      <w:r w:rsidR="00E06CD0" w:rsidRPr="007048BA">
        <w:rPr>
          <w:rFonts w:cs="Times New Roman"/>
          <w:i/>
          <w:lang w:val="en-GB"/>
        </w:rPr>
        <w:t xml:space="preserve"> </w:t>
      </w:r>
      <w:r w:rsidR="00E06CD0" w:rsidRPr="007048BA">
        <w:rPr>
          <w:rFonts w:cs="Times New Roman"/>
          <w:lang w:val="en-GB"/>
        </w:rPr>
        <w:t>TBQ</w:t>
      </w:r>
      <w:r w:rsidR="00E06CD0" w:rsidRPr="007048BA">
        <w:rPr>
          <w:rFonts w:cs="Times New Roman"/>
          <w:i/>
          <w:lang w:val="en-GB"/>
        </w:rPr>
        <w:t xml:space="preserve"> </w:t>
      </w:r>
      <w:r w:rsidR="00E06CD0" w:rsidRPr="007048BA">
        <w:rPr>
          <w:rFonts w:cs="Times New Roman"/>
          <w:lang w:val="en-GB"/>
        </w:rPr>
        <w:t>(models 3 and 4)</w:t>
      </w:r>
      <w:r w:rsidR="00E06CD0" w:rsidRPr="007048BA">
        <w:rPr>
          <w:rFonts w:cs="Times New Roman"/>
          <w:i/>
          <w:lang w:val="en-GB"/>
        </w:rPr>
        <w:t xml:space="preserve"> </w:t>
      </w:r>
      <w:r w:rsidRPr="007048BA">
        <w:rPr>
          <w:rFonts w:cs="Times New Roman"/>
          <w:lang w:val="en-GB"/>
        </w:rPr>
        <w:t>and the main independent variable is PM</w:t>
      </w:r>
      <w:r w:rsidR="00E06CD0" w:rsidRPr="007048BA">
        <w:rPr>
          <w:rFonts w:cs="Times New Roman"/>
          <w:lang w:val="en-GB"/>
        </w:rPr>
        <w:t>_</w:t>
      </w:r>
      <w:r w:rsidRPr="007048BA">
        <w:rPr>
          <w:rFonts w:cs="Times New Roman"/>
          <w:lang w:val="en-GB"/>
        </w:rPr>
        <w:t xml:space="preserve">HE. </w:t>
      </w:r>
      <w:r w:rsidR="00E06CD0" w:rsidRPr="007048BA">
        <w:rPr>
          <w:rFonts w:cs="Times New Roman"/>
          <w:lang w:val="en-GB"/>
        </w:rPr>
        <w:t>The m</w:t>
      </w:r>
      <w:r w:rsidRPr="007048BA">
        <w:rPr>
          <w:rFonts w:cs="Times New Roman"/>
          <w:lang w:val="en-GB"/>
        </w:rPr>
        <w:t xml:space="preserve">odel controls for other firm characteristics. </w:t>
      </w:r>
    </w:p>
    <w:p w14:paraId="5CF5131C" w14:textId="4056E67A" w:rsidR="00AB1CE7" w:rsidRPr="007048BA" w:rsidRDefault="00CB3486" w:rsidP="00A20EFD">
      <w:pPr>
        <w:ind w:firstLine="720"/>
        <w:rPr>
          <w:rFonts w:cs="Times New Roman"/>
          <w:lang w:val="en-GB"/>
        </w:rPr>
      </w:pPr>
      <w:r w:rsidRPr="007048BA">
        <w:rPr>
          <w:rFonts w:cs="Times New Roman"/>
          <w:lang w:val="en-GB"/>
        </w:rPr>
        <w:t>We find that a</w:t>
      </w:r>
      <w:r w:rsidR="00485E5C" w:rsidRPr="007048BA">
        <w:rPr>
          <w:rFonts w:cs="Times New Roman"/>
          <w:lang w:val="en-GB"/>
        </w:rPr>
        <w:t>s PM</w:t>
      </w:r>
      <w:r w:rsidRPr="007048BA">
        <w:rPr>
          <w:rFonts w:cs="Times New Roman"/>
          <w:lang w:val="en-GB"/>
        </w:rPr>
        <w:t>_</w:t>
      </w:r>
      <w:r w:rsidR="00485E5C" w:rsidRPr="007048BA">
        <w:rPr>
          <w:rFonts w:cs="Times New Roman"/>
          <w:lang w:val="en-GB"/>
        </w:rPr>
        <w:t xml:space="preserve">HE increases </w:t>
      </w:r>
      <w:r w:rsidRPr="007048BA">
        <w:rPr>
          <w:rFonts w:cs="Times New Roman"/>
          <w:lang w:val="en-GB"/>
        </w:rPr>
        <w:t xml:space="preserve">by one unit </w:t>
      </w:r>
      <w:r w:rsidR="00485E5C" w:rsidRPr="007048BA">
        <w:rPr>
          <w:rFonts w:cs="Times New Roman"/>
          <w:lang w:val="en-GB"/>
        </w:rPr>
        <w:t>(i.e., a move from PM to HE)</w:t>
      </w:r>
      <w:r w:rsidRPr="007048BA">
        <w:rPr>
          <w:rFonts w:cs="Times New Roman"/>
          <w:lang w:val="en-GB"/>
        </w:rPr>
        <w:t xml:space="preserve"> other things remaining equal</w:t>
      </w:r>
      <w:r w:rsidR="00485E5C" w:rsidRPr="007048BA">
        <w:rPr>
          <w:rFonts w:cs="Times New Roman"/>
          <w:lang w:val="en-GB"/>
        </w:rPr>
        <w:t>, MTB reduces by about 27.3 percent</w:t>
      </w:r>
      <w:r w:rsidRPr="007048BA">
        <w:rPr>
          <w:rFonts w:cs="Times New Roman"/>
          <w:lang w:val="en-GB"/>
        </w:rPr>
        <w:t xml:space="preserve"> (model 2)</w:t>
      </w:r>
      <w:r w:rsidR="00485E5C" w:rsidRPr="007048BA">
        <w:rPr>
          <w:rFonts w:cs="Times New Roman"/>
          <w:lang w:val="en-GB"/>
        </w:rPr>
        <w:t xml:space="preserve"> or TBQ reduces by about 33.0 percent</w:t>
      </w:r>
      <w:r w:rsidRPr="007048BA">
        <w:rPr>
          <w:rFonts w:cs="Times New Roman"/>
          <w:lang w:val="en-GB"/>
        </w:rPr>
        <w:t xml:space="preserve"> (model 4)</w:t>
      </w:r>
      <w:r w:rsidR="00485E5C" w:rsidRPr="007048BA">
        <w:rPr>
          <w:rFonts w:cs="Times New Roman"/>
          <w:lang w:val="en-GB"/>
        </w:rPr>
        <w:t xml:space="preserve">. </w:t>
      </w:r>
      <w:r w:rsidR="002C675D" w:rsidRPr="007048BA">
        <w:rPr>
          <w:rFonts w:cs="Times New Roman"/>
          <w:lang w:val="en-GB"/>
        </w:rPr>
        <w:t>The coefficient of PM_HE is negative and significant at the 1 percent level in all models. Consistent</w:t>
      </w:r>
      <w:r w:rsidRPr="007048BA">
        <w:rPr>
          <w:rFonts w:cs="Times New Roman"/>
          <w:lang w:val="en-GB"/>
        </w:rPr>
        <w:t xml:space="preserve"> with findings from panel A, t</w:t>
      </w:r>
      <w:r w:rsidR="00485E5C" w:rsidRPr="007048BA">
        <w:rPr>
          <w:rFonts w:cs="Times New Roman"/>
          <w:lang w:val="en-GB"/>
        </w:rPr>
        <w:t>he results suggest that firms in the PM category ha</w:t>
      </w:r>
      <w:r w:rsidR="002C675D" w:rsidRPr="007048BA">
        <w:rPr>
          <w:rFonts w:cs="Times New Roman"/>
          <w:lang w:val="en-GB"/>
        </w:rPr>
        <w:t xml:space="preserve">ve relatively higher valuations. </w:t>
      </w:r>
      <w:r w:rsidR="002C675D" w:rsidRPr="007048BA">
        <w:rPr>
          <w:rFonts w:cs="Times New Roman"/>
          <w:lang w:val="en-GB"/>
        </w:rPr>
        <w:lastRenderedPageBreak/>
        <w:t>H</w:t>
      </w:r>
      <w:r w:rsidR="00485E5C" w:rsidRPr="007048BA">
        <w:rPr>
          <w:rFonts w:cs="Times New Roman"/>
          <w:lang w:val="en-GB"/>
        </w:rPr>
        <w:t>ence</w:t>
      </w:r>
      <w:r w:rsidR="002C675D" w:rsidRPr="007048BA">
        <w:rPr>
          <w:rFonts w:cs="Times New Roman"/>
          <w:lang w:val="en-GB"/>
        </w:rPr>
        <w:t>,</w:t>
      </w:r>
      <w:r w:rsidR="00485E5C" w:rsidRPr="007048BA">
        <w:rPr>
          <w:rFonts w:cs="Times New Roman"/>
          <w:lang w:val="en-GB"/>
        </w:rPr>
        <w:t xml:space="preserve"> </w:t>
      </w:r>
      <w:r w:rsidR="002C675D" w:rsidRPr="007048BA">
        <w:rPr>
          <w:rFonts w:cs="Times New Roman"/>
          <w:lang w:val="en-GB"/>
        </w:rPr>
        <w:t xml:space="preserve">it is unlikely that </w:t>
      </w:r>
      <w:r w:rsidR="00485E5C" w:rsidRPr="007048BA">
        <w:rPr>
          <w:rFonts w:cs="Times New Roman"/>
          <w:lang w:val="en-GB"/>
        </w:rPr>
        <w:t>our categories and results capture valuation.</w:t>
      </w:r>
      <w:r w:rsidR="00990569" w:rsidRPr="007048BA">
        <w:rPr>
          <w:rFonts w:cs="Times New Roman"/>
          <w:lang w:val="en-GB"/>
        </w:rPr>
        <w:t xml:space="preserve"> </w:t>
      </w:r>
      <w:r w:rsidR="002C675D" w:rsidRPr="007048BA">
        <w:rPr>
          <w:rFonts w:cs="Times New Roman"/>
          <w:lang w:val="en-GB"/>
        </w:rPr>
        <w:t xml:space="preserve">Our findings that PM firms have relatively higher valuations but lower abnormal returns is consistent with the </w:t>
      </w:r>
      <w:r w:rsidR="00990569" w:rsidRPr="007048BA">
        <w:rPr>
          <w:rFonts w:cs="Times New Roman"/>
          <w:lang w:val="en-GB"/>
        </w:rPr>
        <w:t>value versus grow</w:t>
      </w:r>
      <w:r w:rsidR="004C429B" w:rsidRPr="007048BA">
        <w:rPr>
          <w:rFonts w:cs="Times New Roman"/>
          <w:lang w:val="en-GB"/>
        </w:rPr>
        <w:t>th puzzle (Fama and French, 1998)</w:t>
      </w:r>
      <w:r w:rsidR="00990569" w:rsidRPr="007048BA">
        <w:rPr>
          <w:rFonts w:cs="Times New Roman"/>
          <w:lang w:val="en-GB"/>
        </w:rPr>
        <w:t>, i.e., high MTB firms or growth firms (in this case PM firms) earn lower returns than low MTB firms or value firms (in this case HE firms).</w:t>
      </w:r>
    </w:p>
    <w:p w14:paraId="6FD87BFD" w14:textId="3A076E4E" w:rsidR="00162FE6" w:rsidRPr="007048BA" w:rsidRDefault="001313D7" w:rsidP="00550EDC">
      <w:pPr>
        <w:ind w:firstLine="720"/>
        <w:rPr>
          <w:rFonts w:cs="Times New Roman"/>
          <w:lang w:val="en-GB"/>
        </w:rPr>
      </w:pPr>
      <w:r w:rsidRPr="007048BA">
        <w:rPr>
          <w:rFonts w:cs="Times New Roman"/>
          <w:lang w:val="en-GB"/>
        </w:rPr>
        <w:t xml:space="preserve">An alternative way of </w:t>
      </w:r>
      <w:r w:rsidR="000234EA" w:rsidRPr="007048BA">
        <w:rPr>
          <w:rFonts w:cs="Times New Roman"/>
          <w:lang w:val="en-GB"/>
        </w:rPr>
        <w:t>ruling out</w:t>
      </w:r>
      <w:r w:rsidRPr="007048BA">
        <w:rPr>
          <w:rFonts w:cs="Times New Roman"/>
          <w:lang w:val="en-GB"/>
        </w:rPr>
        <w:t xml:space="preserve"> the valuation argument is to explore whether our results will hold when</w:t>
      </w:r>
      <w:r w:rsidR="00162FE6" w:rsidRPr="007048BA">
        <w:rPr>
          <w:rFonts w:cs="Times New Roman"/>
          <w:lang w:val="en-GB"/>
        </w:rPr>
        <w:t xml:space="preserve"> we </w:t>
      </w:r>
      <w:r w:rsidRPr="007048BA">
        <w:rPr>
          <w:rFonts w:cs="Times New Roman"/>
          <w:lang w:val="en-GB"/>
        </w:rPr>
        <w:t>use</w:t>
      </w:r>
      <w:r w:rsidR="00162FE6" w:rsidRPr="007048BA">
        <w:rPr>
          <w:rFonts w:cs="Times New Roman"/>
          <w:lang w:val="en-GB"/>
        </w:rPr>
        <w:t xml:space="preserve"> MTB in place of AAR in the deriving our four categories. If our results simply capture valuation, then we expect to obtain similar or stronger results by using MTB in place of AAR</w:t>
      </w:r>
      <w:r w:rsidR="000234EA" w:rsidRPr="007048BA">
        <w:rPr>
          <w:rFonts w:cs="Times New Roman"/>
          <w:lang w:val="en-GB"/>
        </w:rPr>
        <w:t xml:space="preserve"> when classifying firms into the 4 categories</w:t>
      </w:r>
      <w:r w:rsidR="00162FE6" w:rsidRPr="007048BA">
        <w:rPr>
          <w:rFonts w:cs="Times New Roman"/>
          <w:lang w:val="en-GB"/>
        </w:rPr>
        <w:t>.</w:t>
      </w:r>
      <w:r w:rsidRPr="007048BA">
        <w:rPr>
          <w:rFonts w:cs="Times New Roman"/>
          <w:lang w:val="en-GB"/>
        </w:rPr>
        <w:t xml:space="preserve"> </w:t>
      </w:r>
      <w:r w:rsidR="000234EA" w:rsidRPr="007048BA">
        <w:rPr>
          <w:rFonts w:cs="Times New Roman"/>
          <w:lang w:val="en-GB"/>
        </w:rPr>
        <w:t xml:space="preserve">We use MTB in place of AAR to classify firms into the four categories, then explore whether this classification affect takeover likelihood. </w:t>
      </w:r>
      <w:r w:rsidRPr="007048BA">
        <w:rPr>
          <w:rFonts w:cs="Times New Roman"/>
          <w:lang w:val="en-GB"/>
        </w:rPr>
        <w:t>Our findings are presented in T</w:t>
      </w:r>
      <w:r w:rsidR="00162FE6" w:rsidRPr="007048BA">
        <w:rPr>
          <w:rFonts w:cs="Times New Roman"/>
          <w:lang w:val="en-GB"/>
        </w:rPr>
        <w:t>able 13.</w:t>
      </w:r>
      <w:r w:rsidRPr="007048BA">
        <w:rPr>
          <w:rFonts w:cs="Times New Roman"/>
          <w:lang w:val="en-GB"/>
        </w:rPr>
        <w:t xml:space="preserve"> </w:t>
      </w:r>
      <w:r w:rsidR="00AB7E42" w:rsidRPr="007048BA">
        <w:rPr>
          <w:rFonts w:cs="Times New Roman"/>
          <w:lang w:val="en-GB"/>
        </w:rPr>
        <w:t xml:space="preserve">Here, we suppress the coefficients of control variables to save </w:t>
      </w:r>
      <w:r w:rsidR="007D3224" w:rsidRPr="007048BA">
        <w:rPr>
          <w:rFonts w:cs="Times New Roman"/>
          <w:lang w:val="en-GB"/>
        </w:rPr>
        <w:t>space. Indeed</w:t>
      </w:r>
      <w:r w:rsidRPr="007048BA">
        <w:rPr>
          <w:rFonts w:cs="Times New Roman"/>
          <w:lang w:val="en-GB"/>
        </w:rPr>
        <w:t>, we do not find that our results are supported when we use this alternative measure. We find that the signs are consistent with our main results but the coefficients are not statistically significant.</w:t>
      </w:r>
      <w:r w:rsidR="00403300" w:rsidRPr="007048BA">
        <w:rPr>
          <w:rFonts w:cs="Times New Roman"/>
          <w:lang w:val="en-GB"/>
        </w:rPr>
        <w:t xml:space="preserve"> This further suggests that our results are not driven by misvaluation.</w:t>
      </w:r>
    </w:p>
    <w:p w14:paraId="6E99EF28" w14:textId="17D74EDF" w:rsidR="00162FE6" w:rsidRPr="007048BA" w:rsidRDefault="00162FE6" w:rsidP="00162FE6">
      <w:pPr>
        <w:ind w:firstLine="720"/>
        <w:jc w:val="center"/>
        <w:rPr>
          <w:rFonts w:cs="Times New Roman"/>
          <w:b/>
          <w:lang w:val="en-GB"/>
        </w:rPr>
      </w:pPr>
      <w:r w:rsidRPr="007048BA">
        <w:rPr>
          <w:rFonts w:cs="Times New Roman"/>
          <w:b/>
          <w:lang w:val="en-GB"/>
        </w:rPr>
        <w:t>[Insert Table 13 about here]</w:t>
      </w:r>
    </w:p>
    <w:p w14:paraId="41A6D1AF" w14:textId="5F05C64D" w:rsidR="002745E8" w:rsidRPr="007048BA" w:rsidRDefault="00A20EFD" w:rsidP="008316DE">
      <w:pPr>
        <w:ind w:firstLine="0"/>
      </w:pPr>
      <w:r w:rsidRPr="007048BA">
        <w:rPr>
          <w:rFonts w:cs="Times New Roman"/>
          <w:lang w:val="en-GB"/>
        </w:rPr>
        <w:tab/>
      </w:r>
      <w:r w:rsidR="00EF0667" w:rsidRPr="007048BA">
        <w:rPr>
          <w:rFonts w:cs="Times New Roman"/>
          <w:lang w:val="en-GB"/>
        </w:rPr>
        <w:t>The</w:t>
      </w:r>
      <w:r w:rsidRPr="007048BA">
        <w:rPr>
          <w:rFonts w:cs="Times New Roman"/>
          <w:lang w:val="en-GB"/>
        </w:rPr>
        <w:t xml:space="preserve"> </w:t>
      </w:r>
      <w:r w:rsidR="001313D7" w:rsidRPr="007048BA">
        <w:rPr>
          <w:rFonts w:cs="Times New Roman"/>
          <w:lang w:val="en-GB"/>
        </w:rPr>
        <w:t>findings in this study</w:t>
      </w:r>
      <w:r w:rsidRPr="007048BA">
        <w:rPr>
          <w:rFonts w:cs="Times New Roman"/>
          <w:lang w:val="en-GB"/>
        </w:rPr>
        <w:t xml:space="preserve"> are robust to a number of methodological choices and endogeneity issues. We have discussed these issues alongside our results. We provide a brief summary here.</w:t>
      </w:r>
      <w:r w:rsidR="005F474F" w:rsidRPr="007048BA">
        <w:rPr>
          <w:rFonts w:cs="Times New Roman"/>
          <w:lang w:val="en-GB"/>
        </w:rPr>
        <w:t xml:space="preserve"> </w:t>
      </w:r>
      <w:r w:rsidRPr="007048BA">
        <w:rPr>
          <w:rFonts w:cs="Times New Roman"/>
          <w:lang w:val="en-GB"/>
        </w:rPr>
        <w:t>Firstly, we</w:t>
      </w:r>
      <w:r w:rsidR="008316DE" w:rsidRPr="007048BA">
        <w:rPr>
          <w:rFonts w:cs="Times New Roman"/>
          <w:lang w:val="en-GB"/>
        </w:rPr>
        <w:t xml:space="preserve"> recognise that alternative proxies </w:t>
      </w:r>
      <w:r w:rsidRPr="007048BA">
        <w:rPr>
          <w:rFonts w:cs="Times New Roman"/>
          <w:lang w:val="en-GB"/>
        </w:rPr>
        <w:t xml:space="preserve">for accounting and stock market performance </w:t>
      </w:r>
      <w:r w:rsidR="008316DE" w:rsidRPr="007048BA">
        <w:rPr>
          <w:rFonts w:cs="Times New Roman"/>
          <w:lang w:val="en-GB"/>
        </w:rPr>
        <w:t>have been used in the literature</w:t>
      </w:r>
      <w:r w:rsidRPr="007048BA">
        <w:rPr>
          <w:rFonts w:cs="Times New Roman"/>
          <w:lang w:val="en-GB"/>
        </w:rPr>
        <w:t xml:space="preserve">. In our robustness checks we have explored alternative measures of accounting performance including </w:t>
      </w:r>
      <w:r w:rsidR="00610C98" w:rsidRPr="007048BA">
        <w:t xml:space="preserve">operating profit margin (OPM), return on assets (ROA) and return on equity (ROE). </w:t>
      </w:r>
      <w:r w:rsidRPr="007048BA">
        <w:t>In our main analysis, we compute AAR using the market model. In robustness checks, we have also use</w:t>
      </w:r>
      <w:r w:rsidR="007324D5" w:rsidRPr="007048BA">
        <w:t>d</w:t>
      </w:r>
      <w:r w:rsidRPr="007048BA">
        <w:t xml:space="preserve"> the single-index model,</w:t>
      </w:r>
      <w:r w:rsidR="00721765" w:rsidRPr="007048BA">
        <w:t xml:space="preserve"> where we assume each firm has an alpha of 0 and a beta of 1</w:t>
      </w:r>
      <w:r w:rsidR="00610C98" w:rsidRPr="007048BA">
        <w:t>.</w:t>
      </w:r>
      <w:r w:rsidR="00721765" w:rsidRPr="007048BA">
        <w:t xml:space="preserve"> </w:t>
      </w:r>
      <w:r w:rsidR="007324D5" w:rsidRPr="007048BA">
        <w:t xml:space="preserve">Our results remain qualitatively similar. </w:t>
      </w:r>
      <w:r w:rsidR="005F474F" w:rsidRPr="007048BA">
        <w:t>Secondly, i</w:t>
      </w:r>
      <w:r w:rsidR="00721765" w:rsidRPr="007048BA">
        <w:t xml:space="preserve">n </w:t>
      </w:r>
      <w:r w:rsidR="00D20C78" w:rsidRPr="007048BA">
        <w:t>arriving at</w:t>
      </w:r>
      <w:r w:rsidR="00721765" w:rsidRPr="007048BA">
        <w:t xml:space="preserve"> our categories, we </w:t>
      </w:r>
      <w:r w:rsidR="00D20C78" w:rsidRPr="007048BA">
        <w:t>identify</w:t>
      </w:r>
      <w:r w:rsidR="00721765" w:rsidRPr="007048BA">
        <w:t xml:space="preserve"> industry </w:t>
      </w:r>
      <w:r w:rsidR="00D20C78" w:rsidRPr="007048BA">
        <w:t xml:space="preserve">groups </w:t>
      </w:r>
      <w:r w:rsidR="00721765" w:rsidRPr="007048BA">
        <w:t xml:space="preserve">using the 2-digit SIC codes which is consistent with the literature (Botsari and Meeks, 2008; </w:t>
      </w:r>
      <w:r w:rsidR="00D20C78" w:rsidRPr="007048BA">
        <w:t>Cohen and Zarowin, 2010</w:t>
      </w:r>
      <w:r w:rsidR="00721765" w:rsidRPr="007048BA">
        <w:t>)</w:t>
      </w:r>
      <w:r w:rsidR="00D20C78" w:rsidRPr="007048BA">
        <w:t xml:space="preserve">. </w:t>
      </w:r>
      <w:r w:rsidR="00482274" w:rsidRPr="007048BA">
        <w:t xml:space="preserve">We have explored alternative industry definitions including 3- and 4-digit SIC codes. </w:t>
      </w:r>
      <w:r w:rsidR="007324D5" w:rsidRPr="007048BA">
        <w:t>When using these alternatives, w</w:t>
      </w:r>
      <w:r w:rsidR="00482274" w:rsidRPr="007048BA">
        <w:t>e obtain more extreme values and</w:t>
      </w:r>
      <w:r w:rsidR="007324D5" w:rsidRPr="007048BA">
        <w:t xml:space="preserve"> encounter</w:t>
      </w:r>
      <w:r w:rsidR="00482274" w:rsidRPr="007048BA">
        <w:t xml:space="preserve"> several missing values, particularly, when computing discretionary accruals using cross sectional regressions </w:t>
      </w:r>
      <w:r w:rsidR="007324D5" w:rsidRPr="007048BA">
        <w:t xml:space="preserve">(across </w:t>
      </w:r>
      <w:r w:rsidR="00482274" w:rsidRPr="007048BA">
        <w:t>industry-year subgroups</w:t>
      </w:r>
      <w:r w:rsidR="007324D5" w:rsidRPr="007048BA">
        <w:t>)</w:t>
      </w:r>
      <w:r w:rsidR="00482274" w:rsidRPr="007048BA">
        <w:t xml:space="preserve">. </w:t>
      </w:r>
      <w:r w:rsidR="007324D5" w:rsidRPr="007048BA">
        <w:t>Nonetheless, our main results remain qualitatively robust.</w:t>
      </w:r>
      <w:r w:rsidR="005F474F" w:rsidRPr="007048BA">
        <w:t xml:space="preserve"> </w:t>
      </w:r>
      <w:r w:rsidR="000F56CB" w:rsidRPr="007048BA">
        <w:t>Finally</w:t>
      </w:r>
      <w:r w:rsidR="005F474F" w:rsidRPr="007048BA">
        <w:t xml:space="preserve">, given that financial variables are skewed (see Table 1), we use industry medians as the benchmark to classify firms into our categories. We have explored industry means as an alternative, and the results remain robust. </w:t>
      </w:r>
      <w:r w:rsidR="00F80C3D" w:rsidRPr="007048BA">
        <w:t>These additional results are available upon request.</w:t>
      </w:r>
    </w:p>
    <w:p w14:paraId="7B9554CE" w14:textId="77777777" w:rsidR="00A91912" w:rsidRPr="007048BA" w:rsidRDefault="00A91912" w:rsidP="008316DE">
      <w:pPr>
        <w:ind w:firstLine="0"/>
        <w:rPr>
          <w:rFonts w:cs="Times New Roman"/>
          <w:lang w:val="en-GB"/>
        </w:rPr>
      </w:pPr>
    </w:p>
    <w:p w14:paraId="280A95C5" w14:textId="1782B2B2" w:rsidR="00CA299A" w:rsidRPr="007048BA" w:rsidRDefault="00CA299A" w:rsidP="00CA299A">
      <w:pPr>
        <w:pStyle w:val="Heading1"/>
        <w:keepNext w:val="0"/>
        <w:keepLines w:val="0"/>
        <w:numPr>
          <w:ilvl w:val="0"/>
          <w:numId w:val="7"/>
        </w:numPr>
        <w:autoSpaceDE w:val="0"/>
        <w:autoSpaceDN w:val="0"/>
        <w:adjustRightInd w:val="0"/>
        <w:spacing w:after="200" w:line="240" w:lineRule="auto"/>
        <w:ind w:left="544" w:hanging="544"/>
        <w:contextualSpacing/>
        <w:rPr>
          <w:lang w:val="en-GB"/>
        </w:rPr>
      </w:pPr>
      <w:r w:rsidRPr="007048BA">
        <w:rPr>
          <w:lang w:val="en-GB"/>
        </w:rPr>
        <w:lastRenderedPageBreak/>
        <w:t>Summary and conclusion</w:t>
      </w:r>
    </w:p>
    <w:p w14:paraId="392074F1" w14:textId="3200A3E3" w:rsidR="00CA299A" w:rsidRPr="007048BA" w:rsidRDefault="00CA299A" w:rsidP="00CA299A">
      <w:pPr>
        <w:ind w:firstLine="720"/>
        <w:rPr>
          <w:rFonts w:cs="Times New Roman"/>
          <w:lang w:val="en-GB"/>
        </w:rPr>
      </w:pPr>
      <w:r w:rsidRPr="007048BA">
        <w:rPr>
          <w:rFonts w:cs="Times New Roman"/>
          <w:lang w:val="en-GB"/>
        </w:rPr>
        <w:t xml:space="preserve">Performance, in the context of firms and their managers, is, perhaps, one of the most studied issues in accounting, </w:t>
      </w:r>
      <w:r w:rsidR="00D53921" w:rsidRPr="007048BA">
        <w:rPr>
          <w:rFonts w:cs="Times New Roman"/>
          <w:lang w:val="en-GB"/>
        </w:rPr>
        <w:t xml:space="preserve">corporate </w:t>
      </w:r>
      <w:r w:rsidRPr="007048BA">
        <w:rPr>
          <w:rFonts w:cs="Times New Roman"/>
          <w:lang w:val="en-GB"/>
        </w:rPr>
        <w:t xml:space="preserve">finance and business </w:t>
      </w:r>
      <w:r w:rsidR="00A12A7A" w:rsidRPr="007048BA">
        <w:rPr>
          <w:rFonts w:cs="Times New Roman"/>
          <w:lang w:val="en-GB"/>
        </w:rPr>
        <w:t xml:space="preserve">management </w:t>
      </w:r>
      <w:r w:rsidRPr="007048BA">
        <w:rPr>
          <w:rFonts w:cs="Times New Roman"/>
          <w:lang w:val="en-GB"/>
        </w:rPr>
        <w:t>research. Nonetheless, there is no comprehensive framework for assessing performance. Different studies use different measures ranging from accounting (e.g., ROA, ROE, ROCE) and stock market (e.g., abnormal returns) to hybrid measures (e.g., Tobin’s Q). In this study, we argue that these measures are complements rather than substitutes and this is supported by our finding that, in a UK sample of listed firms from 198</w:t>
      </w:r>
      <w:r w:rsidR="003954A9" w:rsidRPr="007048BA">
        <w:rPr>
          <w:rFonts w:cs="Times New Roman"/>
          <w:lang w:val="en-GB"/>
        </w:rPr>
        <w:t>8</w:t>
      </w:r>
      <w:r w:rsidRPr="007048BA">
        <w:rPr>
          <w:rFonts w:cs="Times New Roman"/>
          <w:lang w:val="en-GB"/>
        </w:rPr>
        <w:t xml:space="preserve"> to 201</w:t>
      </w:r>
      <w:r w:rsidR="00EF0667" w:rsidRPr="007048BA">
        <w:rPr>
          <w:rFonts w:cs="Times New Roman"/>
          <w:lang w:val="en-GB"/>
        </w:rPr>
        <w:t>7</w:t>
      </w:r>
      <w:r w:rsidRPr="007048BA">
        <w:rPr>
          <w:rFonts w:cs="Times New Roman"/>
          <w:lang w:val="en-GB"/>
        </w:rPr>
        <w:t xml:space="preserve">, the correlation coefficient (rho) between ROCE and AAR is </w:t>
      </w:r>
      <w:r w:rsidR="00EF0667" w:rsidRPr="007048BA">
        <w:rPr>
          <w:rFonts w:cs="Times New Roman"/>
          <w:lang w:val="en-GB"/>
        </w:rPr>
        <w:t>-</w:t>
      </w:r>
      <w:r w:rsidRPr="007048BA">
        <w:rPr>
          <w:rFonts w:cs="Times New Roman"/>
          <w:lang w:val="en-GB"/>
        </w:rPr>
        <w:t>0.0</w:t>
      </w:r>
      <w:r w:rsidR="00EF0667" w:rsidRPr="007048BA">
        <w:rPr>
          <w:rFonts w:cs="Times New Roman"/>
          <w:lang w:val="en-GB"/>
        </w:rPr>
        <w:t>5</w:t>
      </w:r>
      <w:r w:rsidRPr="007048BA">
        <w:rPr>
          <w:rFonts w:cs="Times New Roman"/>
          <w:lang w:val="en-GB"/>
        </w:rPr>
        <w:t xml:space="preserve">. It is widely agreed that accounting measures capture historical performance (e.g., over the last year), while market measures are forward looking. Assuming that these measures (accounting and market) are complements rather than substitutes, we use simple combinations to develop a performance assessment framework, which suggests that </w:t>
      </w:r>
      <w:r w:rsidR="00ED262D" w:rsidRPr="007048BA">
        <w:rPr>
          <w:rFonts w:cs="Times New Roman"/>
          <w:i/>
          <w:lang w:val="en-GB"/>
        </w:rPr>
        <w:t>myopia</w:t>
      </w:r>
      <w:r w:rsidRPr="007048BA">
        <w:rPr>
          <w:rFonts w:cs="Times New Roman"/>
          <w:lang w:val="en-GB"/>
        </w:rPr>
        <w:t xml:space="preserve"> and </w:t>
      </w:r>
      <w:r w:rsidR="00ED262D" w:rsidRPr="007048BA">
        <w:rPr>
          <w:rFonts w:cs="Times New Roman"/>
          <w:i/>
          <w:lang w:val="en-GB"/>
        </w:rPr>
        <w:t>hyperopia</w:t>
      </w:r>
      <w:r w:rsidRPr="007048BA">
        <w:rPr>
          <w:rFonts w:cs="Times New Roman"/>
          <w:lang w:val="en-GB"/>
        </w:rPr>
        <w:t xml:space="preserve"> are additional distinct </w:t>
      </w:r>
      <w:r w:rsidR="006B3320" w:rsidRPr="007048BA">
        <w:rPr>
          <w:rFonts w:cs="Times New Roman"/>
          <w:lang w:val="en-GB"/>
        </w:rPr>
        <w:t>attributes</w:t>
      </w:r>
      <w:r w:rsidRPr="007048BA">
        <w:rPr>
          <w:rFonts w:cs="Times New Roman"/>
          <w:lang w:val="en-GB"/>
        </w:rPr>
        <w:t xml:space="preserve"> of management performance besides the classic </w:t>
      </w:r>
      <w:r w:rsidR="006B3320" w:rsidRPr="007048BA">
        <w:rPr>
          <w:rFonts w:cs="Times New Roman"/>
          <w:lang w:val="en-GB"/>
        </w:rPr>
        <w:t>attributes</w:t>
      </w:r>
      <w:r w:rsidRPr="007048BA">
        <w:rPr>
          <w:rFonts w:cs="Times New Roman"/>
          <w:lang w:val="en-GB"/>
        </w:rPr>
        <w:t xml:space="preserve"> of </w:t>
      </w:r>
      <w:r w:rsidR="00ED262D" w:rsidRPr="007048BA">
        <w:rPr>
          <w:rFonts w:cs="Times New Roman"/>
          <w:i/>
          <w:lang w:val="en-GB"/>
        </w:rPr>
        <w:t>efficient</w:t>
      </w:r>
      <w:r w:rsidRPr="007048BA">
        <w:rPr>
          <w:rFonts w:cs="Times New Roman"/>
          <w:lang w:val="en-GB"/>
        </w:rPr>
        <w:t xml:space="preserve"> and </w:t>
      </w:r>
      <w:r w:rsidR="00ED262D" w:rsidRPr="007048BA">
        <w:rPr>
          <w:rFonts w:cs="Times New Roman"/>
          <w:i/>
          <w:lang w:val="en-GB"/>
        </w:rPr>
        <w:t>poor</w:t>
      </w:r>
      <w:r w:rsidRPr="007048BA">
        <w:rPr>
          <w:rFonts w:cs="Times New Roman"/>
          <w:i/>
          <w:lang w:val="en-GB"/>
        </w:rPr>
        <w:t xml:space="preserve"> </w:t>
      </w:r>
      <w:r w:rsidRPr="007048BA">
        <w:rPr>
          <w:rFonts w:cs="Times New Roman"/>
          <w:lang w:val="en-GB"/>
        </w:rPr>
        <w:t xml:space="preserve">management. We show how simple accounting and market variables can be used to operationalise these four </w:t>
      </w:r>
      <w:r w:rsidR="006B3320" w:rsidRPr="007048BA">
        <w:rPr>
          <w:rFonts w:cs="Times New Roman"/>
          <w:lang w:val="en-GB"/>
        </w:rPr>
        <w:t>attributes</w:t>
      </w:r>
      <w:r w:rsidRPr="007048BA">
        <w:rPr>
          <w:rFonts w:cs="Times New Roman"/>
          <w:lang w:val="en-GB"/>
        </w:rPr>
        <w:t xml:space="preserve">. To validate the framework, we draw on the prior literature suggesting that myopic firms are associated with declines in R&amp;D investments (a strategy for real earnings management), as well as positive discretionary accruals (accrual earnings management). We show that firms subject to </w:t>
      </w:r>
      <w:r w:rsidR="00ED262D" w:rsidRPr="007048BA">
        <w:rPr>
          <w:rFonts w:cs="Times New Roman"/>
          <w:i/>
          <w:lang w:val="en-GB"/>
        </w:rPr>
        <w:t>myopia</w:t>
      </w:r>
      <w:r w:rsidRPr="007048BA">
        <w:rPr>
          <w:rFonts w:cs="Times New Roman"/>
          <w:lang w:val="en-GB"/>
        </w:rPr>
        <w:t xml:space="preserve"> (</w:t>
      </w:r>
      <w:r w:rsidR="00ED262D" w:rsidRPr="007048BA">
        <w:rPr>
          <w:rFonts w:cs="Times New Roman"/>
          <w:i/>
          <w:lang w:val="en-GB"/>
        </w:rPr>
        <w:t>hyperopia</w:t>
      </w:r>
      <w:r w:rsidRPr="007048BA">
        <w:rPr>
          <w:rFonts w:cs="Times New Roman"/>
          <w:lang w:val="en-GB"/>
        </w:rPr>
        <w:t xml:space="preserve">), as per our framework, are substantially more likely to cut (grow) R&amp;D investments in the following period. We also show that </w:t>
      </w:r>
      <w:r w:rsidR="00421037" w:rsidRPr="007048BA">
        <w:rPr>
          <w:rFonts w:cs="Times New Roman"/>
          <w:i/>
          <w:lang w:val="en-GB"/>
        </w:rPr>
        <w:t>myopic</w:t>
      </w:r>
      <w:r w:rsidRPr="007048BA">
        <w:rPr>
          <w:rFonts w:cs="Times New Roman"/>
          <w:lang w:val="en-GB"/>
        </w:rPr>
        <w:t xml:space="preserve"> (</w:t>
      </w:r>
      <w:r w:rsidR="00ED262D" w:rsidRPr="007048BA">
        <w:rPr>
          <w:rFonts w:cs="Times New Roman"/>
          <w:i/>
          <w:lang w:val="en-GB"/>
        </w:rPr>
        <w:t>hyperopi</w:t>
      </w:r>
      <w:r w:rsidR="00421037" w:rsidRPr="007048BA">
        <w:rPr>
          <w:rFonts w:cs="Times New Roman"/>
          <w:i/>
          <w:lang w:val="en-GB"/>
        </w:rPr>
        <w:t>c</w:t>
      </w:r>
      <w:r w:rsidRPr="007048BA">
        <w:rPr>
          <w:rFonts w:cs="Times New Roman"/>
          <w:lang w:val="en-GB"/>
        </w:rPr>
        <w:t>) firms are associated with significant positive (negative) discretionary accruals. We use this new calibration to re-examine a contentious issue—the inefficient management hypothesis of takeovers.</w:t>
      </w:r>
    </w:p>
    <w:p w14:paraId="2D331B3E" w14:textId="2B1141E5" w:rsidR="00CA299A" w:rsidRPr="007048BA" w:rsidRDefault="00CA299A" w:rsidP="008E572D">
      <w:pPr>
        <w:ind w:firstLine="720"/>
        <w:rPr>
          <w:rFonts w:cs="Times New Roman"/>
          <w:lang w:val="en-GB"/>
        </w:rPr>
      </w:pPr>
      <w:r w:rsidRPr="007048BA">
        <w:rPr>
          <w:lang w:val="en-GB"/>
        </w:rPr>
        <w:t xml:space="preserve">Prior studies using either accounting or market based measures of performance provide inconsistent results with regard to whether the inefficient management hypothesis of takeovers holds (with takeover probability </w:t>
      </w:r>
      <w:r w:rsidRPr="007048BA">
        <w:rPr>
          <w:i/>
          <w:lang w:val="en-GB"/>
        </w:rPr>
        <w:t>decreasing</w:t>
      </w:r>
      <w:r w:rsidRPr="007048BA">
        <w:rPr>
          <w:lang w:val="en-GB"/>
        </w:rPr>
        <w:t xml:space="preserve"> with market performance but </w:t>
      </w:r>
      <w:r w:rsidRPr="007048BA">
        <w:rPr>
          <w:i/>
          <w:lang w:val="en-GB"/>
        </w:rPr>
        <w:t>increasing</w:t>
      </w:r>
      <w:r w:rsidRPr="007048BA">
        <w:rPr>
          <w:lang w:val="en-GB"/>
        </w:rPr>
        <w:t xml:space="preserve"> with the level of accounting earnings). Our framework, combining accounting and market based measures of performance to identify management quality</w:t>
      </w:r>
      <w:r w:rsidR="00B04C68" w:rsidRPr="007048BA">
        <w:rPr>
          <w:lang w:val="en-GB"/>
        </w:rPr>
        <w:t>,</w:t>
      </w:r>
      <w:r w:rsidRPr="007048BA">
        <w:rPr>
          <w:lang w:val="en-GB"/>
        </w:rPr>
        <w:t xml:space="preserve"> resolves this </w:t>
      </w:r>
      <w:r w:rsidR="00B92219" w:rsidRPr="007048BA">
        <w:rPr>
          <w:lang w:val="en-GB"/>
        </w:rPr>
        <w:t>conundrum</w:t>
      </w:r>
      <w:r w:rsidRPr="007048BA">
        <w:rPr>
          <w:lang w:val="en-GB"/>
        </w:rPr>
        <w:t xml:space="preserve">. </w:t>
      </w:r>
      <w:r w:rsidRPr="007048BA">
        <w:rPr>
          <w:rFonts w:cs="Times New Roman"/>
          <w:lang w:val="en-GB"/>
        </w:rPr>
        <w:t xml:space="preserve">Consistent with the inefficient management hypothesis, the results reveal that management teams which underperform in terms of both accounting profitability and stock market performance are susceptible to takeovers. </w:t>
      </w:r>
      <w:r w:rsidR="00BF0497" w:rsidRPr="007048BA">
        <w:rPr>
          <w:rFonts w:cs="Times New Roman"/>
          <w:lang w:val="en-GB"/>
        </w:rPr>
        <w:t>However</w:t>
      </w:r>
      <w:r w:rsidRPr="007048BA">
        <w:rPr>
          <w:rFonts w:cs="Times New Roman"/>
          <w:lang w:val="en-GB"/>
        </w:rPr>
        <w:t>, management teams who focus on short-term profits at the expense of long-term shareholder value (</w:t>
      </w:r>
      <w:r w:rsidR="00ED262D" w:rsidRPr="007048BA">
        <w:rPr>
          <w:rFonts w:cs="Times New Roman"/>
          <w:i/>
          <w:lang w:val="en-GB"/>
        </w:rPr>
        <w:t>myopia</w:t>
      </w:r>
      <w:r w:rsidRPr="007048BA">
        <w:rPr>
          <w:rFonts w:cs="Times New Roman"/>
          <w:lang w:val="en-GB"/>
        </w:rPr>
        <w:t>) are</w:t>
      </w:r>
      <w:r w:rsidR="00BF0497" w:rsidRPr="007048BA">
        <w:rPr>
          <w:rFonts w:cs="Times New Roman"/>
          <w:lang w:val="en-GB"/>
        </w:rPr>
        <w:t xml:space="preserve"> even</w:t>
      </w:r>
      <w:r w:rsidRPr="007048BA">
        <w:rPr>
          <w:rFonts w:cs="Times New Roman"/>
          <w:lang w:val="en-GB"/>
        </w:rPr>
        <w:t xml:space="preserve"> more likely to be disciplined by the takeover market. Nonetheless, management teams who focus on long-term value creation, even at the expense of short-term profitability (</w:t>
      </w:r>
      <w:r w:rsidR="00ED262D" w:rsidRPr="007048BA">
        <w:rPr>
          <w:rFonts w:cs="Times New Roman"/>
          <w:i/>
          <w:lang w:val="en-GB"/>
        </w:rPr>
        <w:t>hyperopia</w:t>
      </w:r>
      <w:r w:rsidRPr="007048BA">
        <w:rPr>
          <w:rFonts w:cs="Times New Roman"/>
          <w:lang w:val="en-GB"/>
        </w:rPr>
        <w:t xml:space="preserve">), are not disciplined by the takeover market.  We also find that well-performing management teams are least susceptible to takeovers. </w:t>
      </w:r>
      <w:r w:rsidR="008E572D" w:rsidRPr="007048BA">
        <w:rPr>
          <w:rFonts w:cs="Times New Roman"/>
          <w:lang w:val="en-GB"/>
        </w:rPr>
        <w:t xml:space="preserve">Additionally, we explore the extent to </w:t>
      </w:r>
      <w:r w:rsidR="008E572D" w:rsidRPr="007048BA">
        <w:rPr>
          <w:rFonts w:cs="Times New Roman"/>
          <w:lang w:val="en-GB"/>
        </w:rPr>
        <w:lastRenderedPageBreak/>
        <w:t xml:space="preserve">which firms switch from one </w:t>
      </w:r>
      <w:r w:rsidR="002E346E" w:rsidRPr="007048BA">
        <w:rPr>
          <w:rFonts w:cs="Times New Roman"/>
          <w:lang w:val="en-GB"/>
        </w:rPr>
        <w:t>attribute</w:t>
      </w:r>
      <w:r w:rsidR="008E572D" w:rsidRPr="007048BA">
        <w:rPr>
          <w:rFonts w:cs="Times New Roman"/>
          <w:lang w:val="en-GB"/>
        </w:rPr>
        <w:t xml:space="preserve"> to the other and how this impacts on their takeover likelihood. Here</w:t>
      </w:r>
      <w:r w:rsidR="00A12A7A" w:rsidRPr="007048BA">
        <w:rPr>
          <w:rFonts w:cs="Times New Roman"/>
          <w:lang w:val="en-GB"/>
        </w:rPr>
        <w:t xml:space="preserve">, </w:t>
      </w:r>
      <w:r w:rsidR="008E572D" w:rsidRPr="007048BA">
        <w:rPr>
          <w:rFonts w:cs="Times New Roman"/>
          <w:lang w:val="en-GB"/>
        </w:rPr>
        <w:t>we find</w:t>
      </w:r>
      <w:r w:rsidR="00A12A7A" w:rsidRPr="007048BA">
        <w:rPr>
          <w:rFonts w:cs="Times New Roman"/>
          <w:lang w:val="en-GB"/>
        </w:rPr>
        <w:t xml:space="preserve"> that firms that switch from underperforming to outperforming categories face lower levels of takeover risk and vice versa. </w:t>
      </w:r>
      <w:r w:rsidR="008E572D" w:rsidRPr="007048BA">
        <w:rPr>
          <w:rFonts w:cs="Times New Roman"/>
          <w:lang w:val="en-GB"/>
        </w:rPr>
        <w:t>Further</w:t>
      </w:r>
      <w:r w:rsidR="00A12A7A" w:rsidRPr="007048BA">
        <w:rPr>
          <w:rFonts w:cs="Times New Roman"/>
          <w:lang w:val="en-GB"/>
        </w:rPr>
        <w:t>, firms in underperforming categories who do not switch</w:t>
      </w:r>
      <w:r w:rsidR="008E572D" w:rsidRPr="007048BA">
        <w:rPr>
          <w:rFonts w:cs="Times New Roman"/>
          <w:lang w:val="en-GB"/>
        </w:rPr>
        <w:t xml:space="preserve"> up face higher takeover risks but </w:t>
      </w:r>
      <w:r w:rsidR="00A12A7A" w:rsidRPr="007048BA">
        <w:rPr>
          <w:rFonts w:cs="Times New Roman"/>
          <w:lang w:val="en-GB"/>
        </w:rPr>
        <w:t>their counterparts in outperforming categories who do not switch</w:t>
      </w:r>
      <w:r w:rsidR="00A16EC9" w:rsidRPr="007048BA">
        <w:rPr>
          <w:rFonts w:cs="Times New Roman"/>
          <w:lang w:val="en-GB"/>
        </w:rPr>
        <w:t xml:space="preserve"> down</w:t>
      </w:r>
      <w:r w:rsidR="00A12A7A" w:rsidRPr="007048BA">
        <w:rPr>
          <w:rFonts w:cs="Times New Roman"/>
          <w:lang w:val="en-GB"/>
        </w:rPr>
        <w:t>, experience lower takeover risks.</w:t>
      </w:r>
      <w:r w:rsidR="008E572D" w:rsidRPr="007048BA">
        <w:rPr>
          <w:rFonts w:cs="Times New Roman"/>
          <w:lang w:val="en-GB"/>
        </w:rPr>
        <w:t xml:space="preserve"> Finally, we explore whether</w:t>
      </w:r>
      <w:r w:rsidRPr="007048BA">
        <w:rPr>
          <w:rFonts w:cs="Times New Roman"/>
          <w:lang w:val="en-GB"/>
        </w:rPr>
        <w:t xml:space="preserve"> bidders play an important role in enforcing market discipline. We do not find evidence that bidders are myopic. Indeed, we find that firms we classify as </w:t>
      </w:r>
      <w:r w:rsidR="00ED262D" w:rsidRPr="007048BA">
        <w:rPr>
          <w:rFonts w:cs="Times New Roman"/>
          <w:i/>
          <w:lang w:val="en-GB"/>
        </w:rPr>
        <w:t>hyperopia</w:t>
      </w:r>
      <w:r w:rsidRPr="007048BA">
        <w:rPr>
          <w:rFonts w:cs="Times New Roman"/>
          <w:lang w:val="en-GB"/>
        </w:rPr>
        <w:t xml:space="preserve"> and </w:t>
      </w:r>
      <w:r w:rsidR="00ED262D" w:rsidRPr="007048BA">
        <w:rPr>
          <w:rFonts w:cs="Times New Roman"/>
          <w:i/>
          <w:lang w:val="en-GB"/>
        </w:rPr>
        <w:t>efficient</w:t>
      </w:r>
      <w:r w:rsidRPr="007048BA">
        <w:rPr>
          <w:rFonts w:cs="Times New Roman"/>
          <w:lang w:val="en-GB"/>
        </w:rPr>
        <w:t xml:space="preserve"> are more likely to </w:t>
      </w:r>
      <w:r w:rsidR="00B92219" w:rsidRPr="007048BA">
        <w:rPr>
          <w:rFonts w:cs="Times New Roman"/>
          <w:lang w:val="en-GB"/>
        </w:rPr>
        <w:t>initiate</w:t>
      </w:r>
      <w:r w:rsidRPr="007048BA">
        <w:rPr>
          <w:rFonts w:cs="Times New Roman"/>
          <w:lang w:val="en-GB"/>
        </w:rPr>
        <w:t xml:space="preserve"> takeover deals than their </w:t>
      </w:r>
      <w:r w:rsidR="00ED262D" w:rsidRPr="007048BA">
        <w:rPr>
          <w:rFonts w:cs="Times New Roman"/>
          <w:i/>
          <w:lang w:val="en-GB"/>
        </w:rPr>
        <w:t>poor</w:t>
      </w:r>
      <w:r w:rsidRPr="007048BA">
        <w:rPr>
          <w:rFonts w:cs="Times New Roman"/>
          <w:lang w:val="en-GB"/>
        </w:rPr>
        <w:t xml:space="preserve"> and </w:t>
      </w:r>
      <w:r w:rsidR="00ED262D" w:rsidRPr="007048BA">
        <w:rPr>
          <w:rFonts w:cs="Times New Roman"/>
          <w:i/>
          <w:lang w:val="en-GB"/>
        </w:rPr>
        <w:t>myopia</w:t>
      </w:r>
      <w:r w:rsidRPr="007048BA">
        <w:rPr>
          <w:rFonts w:cs="Times New Roman"/>
          <w:lang w:val="en-GB"/>
        </w:rPr>
        <w:t xml:space="preserve"> counterparts. </w:t>
      </w:r>
      <w:r w:rsidR="008E572D" w:rsidRPr="007048BA">
        <w:rPr>
          <w:rFonts w:cs="Times New Roman"/>
          <w:lang w:val="en-GB"/>
        </w:rPr>
        <w:t>These results provide new insights on the disciplinary role of the takeover market.</w:t>
      </w:r>
    </w:p>
    <w:p w14:paraId="21EBFE93" w14:textId="6B4F433A" w:rsidR="00151209" w:rsidRPr="007048BA" w:rsidRDefault="008E572D" w:rsidP="00CA299A">
      <w:pPr>
        <w:ind w:firstLine="720"/>
        <w:rPr>
          <w:rFonts w:cs="Times New Roman"/>
          <w:lang w:val="en-GB"/>
        </w:rPr>
      </w:pPr>
      <w:r w:rsidRPr="007048BA">
        <w:rPr>
          <w:rFonts w:cs="Times New Roman"/>
          <w:lang w:val="en-GB"/>
        </w:rPr>
        <w:t>Our</w:t>
      </w:r>
      <w:r w:rsidR="00CA299A" w:rsidRPr="007048BA">
        <w:rPr>
          <w:rFonts w:cs="Times New Roman"/>
          <w:lang w:val="en-GB"/>
        </w:rPr>
        <w:t xml:space="preserve"> </w:t>
      </w:r>
      <w:r w:rsidRPr="007048BA">
        <w:rPr>
          <w:rFonts w:cs="Times New Roman"/>
          <w:lang w:val="en-GB"/>
        </w:rPr>
        <w:t>findings have</w:t>
      </w:r>
      <w:r w:rsidR="00CA299A" w:rsidRPr="007048BA">
        <w:rPr>
          <w:rFonts w:cs="Times New Roman"/>
          <w:lang w:val="en-GB"/>
        </w:rPr>
        <w:t xml:space="preserve"> implications </w:t>
      </w:r>
      <w:r w:rsidR="00BF0497" w:rsidRPr="007048BA">
        <w:rPr>
          <w:rFonts w:cs="Times New Roman"/>
          <w:lang w:val="en-GB"/>
        </w:rPr>
        <w:t>for</w:t>
      </w:r>
      <w:r w:rsidR="00A16EC9" w:rsidRPr="007048BA">
        <w:rPr>
          <w:rFonts w:cs="Times New Roman"/>
          <w:lang w:val="en-GB"/>
        </w:rPr>
        <w:t xml:space="preserve"> the notion </w:t>
      </w:r>
      <w:r w:rsidR="00CA299A" w:rsidRPr="007048BA">
        <w:rPr>
          <w:rFonts w:cs="Times New Roman"/>
          <w:lang w:val="en-GB"/>
        </w:rPr>
        <w:t xml:space="preserve">of management or firm performance. Our results suggest that performance, at least in the context of M&amp;As, is better understood as a </w:t>
      </w:r>
      <w:r w:rsidR="00CA299A" w:rsidRPr="007048BA">
        <w:rPr>
          <w:rFonts w:cs="Times New Roman"/>
          <w:i/>
          <w:lang w:val="en-GB"/>
        </w:rPr>
        <w:t>multidimensional</w:t>
      </w:r>
      <w:r w:rsidR="00CA299A" w:rsidRPr="007048BA">
        <w:rPr>
          <w:rFonts w:cs="Times New Roman"/>
          <w:lang w:val="en-GB"/>
        </w:rPr>
        <w:t xml:space="preserve"> </w:t>
      </w:r>
      <w:r w:rsidR="00CA299A" w:rsidRPr="007048BA">
        <w:rPr>
          <w:rFonts w:cs="Times New Roman"/>
          <w:i/>
          <w:lang w:val="en-GB"/>
        </w:rPr>
        <w:t>construct</w:t>
      </w:r>
      <w:r w:rsidR="00CA299A" w:rsidRPr="007048BA">
        <w:rPr>
          <w:rFonts w:cs="Times New Roman"/>
          <w:lang w:val="en-GB"/>
        </w:rPr>
        <w:t xml:space="preserve"> with </w:t>
      </w:r>
      <w:r w:rsidR="00ED262D" w:rsidRPr="007048BA">
        <w:rPr>
          <w:rFonts w:cs="Times New Roman"/>
          <w:i/>
          <w:lang w:val="en-GB"/>
        </w:rPr>
        <w:t>poor</w:t>
      </w:r>
      <w:r w:rsidR="00CA299A" w:rsidRPr="007048BA">
        <w:rPr>
          <w:rFonts w:cs="Times New Roman"/>
          <w:i/>
          <w:lang w:val="en-GB"/>
        </w:rPr>
        <w:t xml:space="preserve">, </w:t>
      </w:r>
      <w:r w:rsidR="00ED262D" w:rsidRPr="007048BA">
        <w:rPr>
          <w:rFonts w:cs="Times New Roman"/>
          <w:i/>
          <w:lang w:val="en-GB"/>
        </w:rPr>
        <w:t>myopia</w:t>
      </w:r>
      <w:r w:rsidR="00CA299A" w:rsidRPr="007048BA">
        <w:rPr>
          <w:rFonts w:cs="Times New Roman"/>
          <w:i/>
          <w:lang w:val="en-GB"/>
        </w:rPr>
        <w:t xml:space="preserve">, </w:t>
      </w:r>
      <w:r w:rsidR="00ED262D" w:rsidRPr="007048BA">
        <w:rPr>
          <w:rFonts w:cs="Times New Roman"/>
          <w:i/>
          <w:lang w:val="en-GB"/>
        </w:rPr>
        <w:t>hyperopia</w:t>
      </w:r>
      <w:r w:rsidR="00CA299A" w:rsidRPr="007048BA">
        <w:rPr>
          <w:rFonts w:cs="Times New Roman"/>
          <w:lang w:val="en-GB"/>
        </w:rPr>
        <w:t xml:space="preserve"> and </w:t>
      </w:r>
      <w:r w:rsidR="00ED262D" w:rsidRPr="007048BA">
        <w:rPr>
          <w:rFonts w:cs="Times New Roman"/>
          <w:i/>
          <w:lang w:val="en-GB"/>
        </w:rPr>
        <w:t>efficient</w:t>
      </w:r>
      <w:r w:rsidR="00CA299A" w:rsidRPr="007048BA">
        <w:rPr>
          <w:rFonts w:cs="Times New Roman"/>
          <w:lang w:val="en-GB"/>
        </w:rPr>
        <w:t xml:space="preserve"> representing four distinct </w:t>
      </w:r>
      <w:r w:rsidR="006B3320" w:rsidRPr="007048BA">
        <w:rPr>
          <w:rFonts w:cs="Times New Roman"/>
          <w:lang w:val="en-GB"/>
        </w:rPr>
        <w:t>attributes</w:t>
      </w:r>
      <w:r w:rsidR="00CA299A" w:rsidRPr="007048BA">
        <w:rPr>
          <w:rFonts w:cs="Times New Roman"/>
          <w:lang w:val="en-GB"/>
        </w:rPr>
        <w:t xml:space="preserve"> of performance. </w:t>
      </w:r>
      <w:r w:rsidR="00C50A6A" w:rsidRPr="007048BA">
        <w:rPr>
          <w:rFonts w:cs="Times New Roman"/>
          <w:lang w:val="en-GB"/>
        </w:rPr>
        <w:t>In practice, s</w:t>
      </w:r>
      <w:r w:rsidR="00151209" w:rsidRPr="007048BA">
        <w:rPr>
          <w:rFonts w:cs="Times New Roman"/>
          <w:lang w:val="en-GB"/>
        </w:rPr>
        <w:t>uch a multidimensional framework for assessing performance could</w:t>
      </w:r>
      <w:r w:rsidR="00C50A6A" w:rsidRPr="007048BA">
        <w:rPr>
          <w:rFonts w:cs="Times New Roman"/>
          <w:lang w:val="en-GB"/>
        </w:rPr>
        <w:t xml:space="preserve"> be useful in the design of </w:t>
      </w:r>
      <w:r w:rsidR="00B813A7" w:rsidRPr="007048BA">
        <w:rPr>
          <w:rFonts w:cs="Times New Roman"/>
          <w:lang w:val="en-GB"/>
        </w:rPr>
        <w:t xml:space="preserve">optimal </w:t>
      </w:r>
      <w:r w:rsidR="00C50A6A" w:rsidRPr="007048BA">
        <w:rPr>
          <w:rFonts w:cs="Times New Roman"/>
          <w:lang w:val="en-GB"/>
        </w:rPr>
        <w:t>managerial reward systems</w:t>
      </w:r>
      <w:r w:rsidR="00B813A7" w:rsidRPr="007048BA">
        <w:rPr>
          <w:rFonts w:cs="Times New Roman"/>
          <w:lang w:val="en-GB"/>
        </w:rPr>
        <w:t xml:space="preserve"> or contracts</w:t>
      </w:r>
      <w:r w:rsidR="00C50A6A" w:rsidRPr="007048BA">
        <w:rPr>
          <w:rFonts w:cs="Times New Roman"/>
          <w:lang w:val="en-GB"/>
        </w:rPr>
        <w:t xml:space="preserve">. It also provides a simple tool for identifying firms that are most likely and least likely to manage earnings. In research, </w:t>
      </w:r>
      <w:r w:rsidR="00DD407C" w:rsidRPr="007048BA">
        <w:rPr>
          <w:rFonts w:cs="Times New Roman"/>
          <w:lang w:val="en-GB"/>
        </w:rPr>
        <w:t>several studies have explored how different variables</w:t>
      </w:r>
      <w:r w:rsidR="00ED4944" w:rsidRPr="007048BA">
        <w:rPr>
          <w:rFonts w:cs="Times New Roman"/>
          <w:lang w:val="en-GB"/>
        </w:rPr>
        <w:t xml:space="preserve"> or strategic choices</w:t>
      </w:r>
      <w:r w:rsidR="00DD407C" w:rsidRPr="007048BA">
        <w:rPr>
          <w:rFonts w:cs="Times New Roman"/>
          <w:lang w:val="en-GB"/>
        </w:rPr>
        <w:t xml:space="preserve"> (e.g., corporate governance, capital or ownership structure, corporate social responsibility, diversification</w:t>
      </w:r>
      <w:r w:rsidR="00D330FD" w:rsidRPr="007048BA">
        <w:rPr>
          <w:rFonts w:cs="Times New Roman"/>
          <w:lang w:val="en-GB"/>
        </w:rPr>
        <w:t>, executive compensation</w:t>
      </w:r>
      <w:r w:rsidR="00DD407C" w:rsidRPr="007048BA">
        <w:rPr>
          <w:rFonts w:cs="Times New Roman"/>
          <w:lang w:val="en-GB"/>
        </w:rPr>
        <w:t xml:space="preserve"> etc.) influence firm performance</w:t>
      </w:r>
      <w:r w:rsidR="00D330FD" w:rsidRPr="007048BA">
        <w:rPr>
          <w:rFonts w:cs="Times New Roman"/>
          <w:lang w:val="en-GB"/>
        </w:rPr>
        <w:t xml:space="preserve"> across different contexts</w:t>
      </w:r>
      <w:r w:rsidR="00DD407C" w:rsidRPr="007048BA">
        <w:rPr>
          <w:rFonts w:cs="Times New Roman"/>
          <w:lang w:val="en-GB"/>
        </w:rPr>
        <w:t xml:space="preserve">. A shift from a univariate to a multivariate framework for measuring performance opens up new avenues </w:t>
      </w:r>
      <w:r w:rsidR="00D330FD" w:rsidRPr="007048BA">
        <w:rPr>
          <w:rFonts w:cs="Times New Roman"/>
          <w:lang w:val="en-GB"/>
        </w:rPr>
        <w:t xml:space="preserve">to revisit and rethink these research issues. </w:t>
      </w:r>
    </w:p>
    <w:p w14:paraId="1CA8DD43" w14:textId="6C7364B9" w:rsidR="00CA299A" w:rsidRPr="007048BA" w:rsidRDefault="00CA299A" w:rsidP="00CA299A">
      <w:pPr>
        <w:ind w:firstLine="720"/>
        <w:rPr>
          <w:rFonts w:cs="Times New Roman"/>
          <w:lang w:val="en-GB"/>
        </w:rPr>
      </w:pPr>
      <w:r w:rsidRPr="007048BA">
        <w:rPr>
          <w:rFonts w:cs="Times New Roman"/>
          <w:lang w:val="en-GB"/>
        </w:rPr>
        <w:t xml:space="preserve">The study also, perhaps, has implications for the pervasive “earnings game” in which managers fixate on short-term earnings targets even at the expense of long-term value creation. The results suggest that, if managers achieve such targets by sacrificing long-term value-generating projects, then, they may </w:t>
      </w:r>
      <w:r w:rsidR="00A16EC9" w:rsidRPr="007048BA">
        <w:rPr>
          <w:rFonts w:cs="Times New Roman"/>
          <w:lang w:val="en-GB"/>
        </w:rPr>
        <w:t>be doing so at their own peril—</w:t>
      </w:r>
      <w:r w:rsidRPr="007048BA">
        <w:rPr>
          <w:rFonts w:cs="Times New Roman"/>
          <w:lang w:val="en-GB"/>
        </w:rPr>
        <w:t>increasing the probability of their firm becoming a takeover target.</w:t>
      </w:r>
    </w:p>
    <w:p w14:paraId="153D0E9C" w14:textId="5CACE109" w:rsidR="00CA299A" w:rsidRPr="007048BA" w:rsidRDefault="00CA299A" w:rsidP="00CA299A">
      <w:pPr>
        <w:ind w:firstLine="0"/>
        <w:rPr>
          <w:lang w:val="en-GB"/>
        </w:rPr>
      </w:pPr>
    </w:p>
    <w:p w14:paraId="1DBA9393" w14:textId="77777777" w:rsidR="00552061" w:rsidRPr="007048BA" w:rsidRDefault="00552061" w:rsidP="00CA299A">
      <w:pPr>
        <w:pStyle w:val="Heading1"/>
        <w:ind w:left="544" w:hanging="544"/>
        <w:rPr>
          <w:lang w:val="en-GB"/>
        </w:rPr>
        <w:sectPr w:rsidR="00552061" w:rsidRPr="007048BA" w:rsidSect="007B5ED9">
          <w:footerReference w:type="default" r:id="rId9"/>
          <w:type w:val="continuous"/>
          <w:pgSz w:w="12240" w:h="15840"/>
          <w:pgMar w:top="1304" w:right="964" w:bottom="1304" w:left="1077" w:header="720" w:footer="720" w:gutter="0"/>
          <w:cols w:space="720"/>
          <w:docGrid w:linePitch="360"/>
        </w:sectPr>
      </w:pPr>
    </w:p>
    <w:p w14:paraId="55E08450" w14:textId="77777777" w:rsidR="00A26F5E" w:rsidRPr="007048BA" w:rsidRDefault="00A26F5E" w:rsidP="00CA299A">
      <w:pPr>
        <w:pStyle w:val="Heading1"/>
        <w:ind w:left="544" w:hanging="544"/>
        <w:rPr>
          <w:lang w:val="en-GB"/>
        </w:rPr>
        <w:sectPr w:rsidR="00A26F5E" w:rsidRPr="007048BA" w:rsidSect="007B5ED9">
          <w:type w:val="continuous"/>
          <w:pgSz w:w="12240" w:h="15840"/>
          <w:pgMar w:top="1304" w:right="964" w:bottom="1304" w:left="1077" w:header="720" w:footer="720" w:gutter="0"/>
          <w:cols w:space="720"/>
          <w:docGrid w:linePitch="360"/>
        </w:sectPr>
      </w:pPr>
    </w:p>
    <w:p w14:paraId="62664425" w14:textId="29CA6DBC" w:rsidR="00CA299A" w:rsidRPr="007048BA" w:rsidRDefault="00CA299A" w:rsidP="00CA299A">
      <w:pPr>
        <w:pStyle w:val="Heading1"/>
        <w:ind w:left="544" w:hanging="544"/>
        <w:rPr>
          <w:lang w:val="en-GB"/>
        </w:rPr>
      </w:pPr>
      <w:r w:rsidRPr="007048BA">
        <w:rPr>
          <w:lang w:val="en-GB"/>
        </w:rPr>
        <w:lastRenderedPageBreak/>
        <w:t>References</w:t>
      </w:r>
    </w:p>
    <w:p w14:paraId="60C359DD" w14:textId="77777777" w:rsidR="00667EA2" w:rsidRPr="007048BA" w:rsidRDefault="00667EA2" w:rsidP="00DE254A">
      <w:pPr>
        <w:pStyle w:val="References0"/>
        <w:spacing w:line="240" w:lineRule="auto"/>
        <w:rPr>
          <w:rFonts w:cs="Times New Roman"/>
          <w:lang w:val="en-GB"/>
        </w:rPr>
      </w:pPr>
    </w:p>
    <w:p w14:paraId="415B63D4"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Agarwal, R. &amp; Gort, M. (2002), 'Firm and Product Life Cycles and Firm Survival', </w:t>
      </w:r>
      <w:r w:rsidRPr="007048BA">
        <w:rPr>
          <w:rFonts w:cs="Times New Roman"/>
          <w:i/>
          <w:iCs/>
          <w:lang w:val="en-GB"/>
        </w:rPr>
        <w:t>American Economic Review</w:t>
      </w:r>
      <w:r w:rsidRPr="007048BA">
        <w:rPr>
          <w:rFonts w:cs="Times New Roman"/>
          <w:lang w:val="en-GB"/>
        </w:rPr>
        <w:t>, Vol. 92, No. 2, pp. 184-190.</w:t>
      </w:r>
    </w:p>
    <w:p w14:paraId="6A118F1C"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Agrawal, A. &amp; Jaffe, J. F. (2003), 'Do Takeover Targets Underperform? Evidence From Operating and Stock Returns', </w:t>
      </w:r>
      <w:r w:rsidRPr="007048BA">
        <w:rPr>
          <w:rFonts w:cs="Times New Roman"/>
          <w:i/>
          <w:iCs/>
          <w:lang w:val="en-GB"/>
        </w:rPr>
        <w:t>Journal of Financial and Quantitative Analysis</w:t>
      </w:r>
      <w:r w:rsidRPr="007048BA">
        <w:rPr>
          <w:rFonts w:cs="Times New Roman"/>
          <w:lang w:val="en-GB"/>
        </w:rPr>
        <w:t>, Vol. 38, No. 04, pp. 721-746.</w:t>
      </w:r>
    </w:p>
    <w:p w14:paraId="3EAC0FDF"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Agrawal, A. &amp; Walkling, R. A. (1994), 'Executive Careers and Compensation Surrounding Takeover Bids', </w:t>
      </w:r>
      <w:r w:rsidRPr="007048BA">
        <w:rPr>
          <w:rFonts w:cs="Times New Roman"/>
          <w:i/>
          <w:iCs/>
          <w:lang w:val="en-GB"/>
        </w:rPr>
        <w:t>Journal of Finance</w:t>
      </w:r>
      <w:r w:rsidRPr="007048BA">
        <w:rPr>
          <w:rFonts w:cs="Times New Roman"/>
          <w:lang w:val="en-GB"/>
        </w:rPr>
        <w:t>, Vol. 49, No. 3, pp. 985-1014.</w:t>
      </w:r>
    </w:p>
    <w:p w14:paraId="69E9AAA9"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Ambrose, B. W. &amp; Megginson, W. L. (1992), 'The Role of Asset Structure, Ownership Structure, and Takeover Defenses in Determining Acquisition Likelihood', </w:t>
      </w:r>
      <w:r w:rsidRPr="007048BA">
        <w:rPr>
          <w:rFonts w:cs="Times New Roman"/>
          <w:i/>
          <w:iCs/>
          <w:lang w:val="en-GB"/>
        </w:rPr>
        <w:t>Journal of Financial and Quantitative Analysis</w:t>
      </w:r>
      <w:r w:rsidRPr="007048BA">
        <w:rPr>
          <w:rFonts w:cs="Times New Roman"/>
          <w:lang w:val="en-GB"/>
        </w:rPr>
        <w:t>, Vol. 27, No. 4, pp. 575-589.</w:t>
      </w:r>
    </w:p>
    <w:p w14:paraId="44450EA1"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Asquith, P. (1983), 'Merger Bids, Uncertainty, and Stockholder Returns', </w:t>
      </w:r>
      <w:r w:rsidRPr="007048BA">
        <w:rPr>
          <w:rFonts w:cs="Times New Roman"/>
          <w:i/>
          <w:iCs/>
          <w:lang w:val="en-GB"/>
        </w:rPr>
        <w:t>Journal of Financial Economics</w:t>
      </w:r>
      <w:r w:rsidRPr="007048BA">
        <w:rPr>
          <w:rFonts w:cs="Times New Roman"/>
          <w:lang w:val="en-GB"/>
        </w:rPr>
        <w:t>, Vol. 11, No. 1-4, pp. 51-83.</w:t>
      </w:r>
    </w:p>
    <w:p w14:paraId="284F0C48"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Atanassov, J. (2013), 'Do hostile takeovers stifle innovation? Evidence from Antitakeover Legislation and Corporate Patenting', </w:t>
      </w:r>
      <w:r w:rsidRPr="007048BA">
        <w:rPr>
          <w:rFonts w:cs="Times New Roman"/>
          <w:i/>
          <w:lang w:val="en-GB"/>
        </w:rPr>
        <w:t>Journal of Finance</w:t>
      </w:r>
      <w:r w:rsidRPr="007048BA">
        <w:rPr>
          <w:rFonts w:cs="Times New Roman"/>
          <w:lang w:val="en-GB"/>
        </w:rPr>
        <w:t>, Vol. 68, No. 3, pp. 1097-1131.</w:t>
      </w:r>
    </w:p>
    <w:p w14:paraId="7B96FF2B" w14:textId="77777777" w:rsidR="00667EA2" w:rsidRPr="007048BA" w:rsidRDefault="00667EA2" w:rsidP="00945B27">
      <w:pPr>
        <w:pStyle w:val="References0"/>
        <w:spacing w:line="240" w:lineRule="auto"/>
        <w:rPr>
          <w:lang w:val="en-GB"/>
        </w:rPr>
      </w:pPr>
      <w:r w:rsidRPr="007048BA">
        <w:rPr>
          <w:lang w:val="en-GB"/>
        </w:rPr>
        <w:t xml:space="preserve">Athanasakou, V., N. C. Strong, N. C. &amp; Walker, M.  (2011), </w:t>
      </w:r>
      <w:r w:rsidRPr="007048BA">
        <w:rPr>
          <w:rFonts w:cs="Times New Roman"/>
          <w:lang w:val="en-GB"/>
        </w:rPr>
        <w:t>'</w:t>
      </w:r>
      <w:r w:rsidRPr="007048BA">
        <w:rPr>
          <w:lang w:val="en-GB"/>
        </w:rPr>
        <w:t>The Market Reward for Achieving Analyst Earnings Expectations: Does Managing Expectations or Earnings Matter?</w:t>
      </w:r>
      <w:r w:rsidRPr="007048BA">
        <w:rPr>
          <w:rFonts w:cs="Times New Roman"/>
          <w:lang w:val="en-GB"/>
        </w:rPr>
        <w:t xml:space="preserve">', </w:t>
      </w:r>
      <w:r w:rsidRPr="007048BA">
        <w:rPr>
          <w:i/>
          <w:lang w:val="en-GB"/>
        </w:rPr>
        <w:t>Journal of Business Finance &amp; Accounting</w:t>
      </w:r>
      <w:r w:rsidRPr="007048BA">
        <w:rPr>
          <w:lang w:val="en-GB"/>
        </w:rPr>
        <w:t>, Vol. 38, pp. 58-94.</w:t>
      </w:r>
    </w:p>
    <w:p w14:paraId="6AC80CBB" w14:textId="77777777" w:rsidR="00667EA2" w:rsidRPr="007048BA" w:rsidRDefault="00667EA2" w:rsidP="00945B27">
      <w:pPr>
        <w:pStyle w:val="References0"/>
        <w:spacing w:line="240" w:lineRule="auto"/>
        <w:rPr>
          <w:lang w:val="en-GB"/>
        </w:rPr>
      </w:pPr>
      <w:r w:rsidRPr="007048BA">
        <w:rPr>
          <w:lang w:val="en-GB"/>
        </w:rPr>
        <w:t xml:space="preserve">Athanasakou, V., Strong, N. C. &amp; Walker, M.  (2009), </w:t>
      </w:r>
      <w:r w:rsidRPr="007048BA">
        <w:rPr>
          <w:rFonts w:cs="Times New Roman"/>
          <w:lang w:val="en-GB"/>
        </w:rPr>
        <w:t>'</w:t>
      </w:r>
      <w:r w:rsidRPr="007048BA">
        <w:rPr>
          <w:lang w:val="en-GB"/>
        </w:rPr>
        <w:t>Earnings Management or Forecast Guidance to Meet Analyst Expectations?</w:t>
      </w:r>
      <w:r w:rsidRPr="007048BA">
        <w:rPr>
          <w:rFonts w:cs="Times New Roman"/>
          <w:lang w:val="en-GB"/>
        </w:rPr>
        <w:t xml:space="preserve"> ',</w:t>
      </w:r>
      <w:r w:rsidRPr="007048BA">
        <w:rPr>
          <w:lang w:val="en-GB"/>
        </w:rPr>
        <w:t xml:space="preserve"> </w:t>
      </w:r>
      <w:r w:rsidRPr="007048BA">
        <w:rPr>
          <w:i/>
          <w:lang w:val="en-GB"/>
        </w:rPr>
        <w:t>Accounting and Business Research</w:t>
      </w:r>
      <w:r w:rsidRPr="007048BA">
        <w:rPr>
          <w:lang w:val="en-GB"/>
        </w:rPr>
        <w:t>, Vol. 39, pp. 3-35.</w:t>
      </w:r>
    </w:p>
    <w:p w14:paraId="179D425E"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Barnes, P. (1999), 'Predicting UK Takeover Targets: Some Methodological Issues and an Empirical Study', </w:t>
      </w:r>
      <w:r w:rsidRPr="007048BA">
        <w:rPr>
          <w:rFonts w:cs="Times New Roman"/>
          <w:i/>
          <w:iCs/>
          <w:lang w:val="en-GB"/>
        </w:rPr>
        <w:t>Review of Quantitative Finance and Accounting</w:t>
      </w:r>
      <w:r w:rsidRPr="007048BA">
        <w:rPr>
          <w:rFonts w:cs="Times New Roman"/>
          <w:lang w:val="en-GB"/>
        </w:rPr>
        <w:t>, Vol. 12, No. 3, pp. 283-302.</w:t>
      </w:r>
    </w:p>
    <w:p w14:paraId="0707E14D"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Bennouri, M., Chtious, T., Nagati, H. and Nekhili, M. (2018) Female board directorship and firm performance: What really matters? </w:t>
      </w:r>
      <w:r w:rsidRPr="007048BA">
        <w:rPr>
          <w:rFonts w:cs="Times New Roman"/>
          <w:i/>
          <w:lang w:val="en-GB"/>
        </w:rPr>
        <w:t>Journal of Banking and Finance,</w:t>
      </w:r>
      <w:r w:rsidRPr="007048BA">
        <w:rPr>
          <w:rFonts w:cs="Times New Roman"/>
          <w:lang w:val="en-GB"/>
        </w:rPr>
        <w:t xml:space="preserve"> Vol. 88, pp. 267-291</w:t>
      </w:r>
    </w:p>
    <w:p w14:paraId="545AEF95"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Berger, P. G. &amp; Ofek, E. (1996), 'Bustup Takeovers of Value-Destroying Diversified Firms', </w:t>
      </w:r>
      <w:r w:rsidRPr="007048BA">
        <w:rPr>
          <w:rFonts w:cs="Times New Roman"/>
          <w:i/>
          <w:iCs/>
          <w:lang w:val="en-GB"/>
        </w:rPr>
        <w:t>Journal of Finance</w:t>
      </w:r>
      <w:r w:rsidRPr="007048BA">
        <w:rPr>
          <w:rFonts w:cs="Times New Roman"/>
          <w:lang w:val="en-GB"/>
        </w:rPr>
        <w:t>, Vol. 51, No. 4, pp. 1175-1200.</w:t>
      </w:r>
    </w:p>
    <w:p w14:paraId="3FA61234"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Bhattacharjee, A., Higson, C., Holly, S., &amp; Kattuman, P. (2009), 'Macroeconomic Instability and Business Exit: Determinants of Failures and Acquisitions of UK Firms', </w:t>
      </w:r>
      <w:r w:rsidRPr="007048BA">
        <w:rPr>
          <w:rFonts w:cs="Times New Roman"/>
          <w:i/>
          <w:iCs/>
          <w:lang w:val="en-GB"/>
        </w:rPr>
        <w:t>Economica</w:t>
      </w:r>
      <w:r w:rsidRPr="007048BA">
        <w:rPr>
          <w:rFonts w:cs="Times New Roman"/>
          <w:lang w:val="en-GB"/>
        </w:rPr>
        <w:t>, Vol. 76, No. 301, pp. 108-131.</w:t>
      </w:r>
    </w:p>
    <w:p w14:paraId="61151E05" w14:textId="77777777" w:rsidR="00667EA2" w:rsidRPr="007048BA" w:rsidRDefault="00667EA2" w:rsidP="00D85BF0">
      <w:pPr>
        <w:pStyle w:val="References0"/>
        <w:spacing w:line="240" w:lineRule="auto"/>
        <w:rPr>
          <w:shd w:val="clear" w:color="auto" w:fill="FFFFFF"/>
        </w:rPr>
      </w:pPr>
      <w:r w:rsidRPr="007048BA">
        <w:rPr>
          <w:shd w:val="clear" w:color="auto" w:fill="FFFFFF"/>
        </w:rPr>
        <w:t xml:space="preserve">Botsari, A. and Meeks, G. (2008), </w:t>
      </w:r>
      <w:r w:rsidRPr="007048BA">
        <w:rPr>
          <w:rFonts w:cs="Times New Roman"/>
          <w:lang w:val="en-GB"/>
        </w:rPr>
        <w:t>'</w:t>
      </w:r>
      <w:r w:rsidRPr="007048BA">
        <w:rPr>
          <w:shd w:val="clear" w:color="auto" w:fill="FFFFFF"/>
        </w:rPr>
        <w:t>Do Acquirers Manage Earnings Prior to a Share for Share Bid?</w:t>
      </w:r>
      <w:r w:rsidRPr="007048BA">
        <w:rPr>
          <w:rFonts w:cs="Times New Roman"/>
          <w:lang w:val="en-GB"/>
        </w:rPr>
        <w:t xml:space="preserve"> '</w:t>
      </w:r>
      <w:r w:rsidRPr="007048BA">
        <w:rPr>
          <w:shd w:val="clear" w:color="auto" w:fill="FFFFFF"/>
        </w:rPr>
        <w:t xml:space="preserve">, </w:t>
      </w:r>
      <w:r w:rsidRPr="007048BA">
        <w:rPr>
          <w:i/>
          <w:iCs/>
          <w:shd w:val="clear" w:color="auto" w:fill="FFFFFF"/>
        </w:rPr>
        <w:t>Journal of Business Finance &amp; Accounting</w:t>
      </w:r>
      <w:r w:rsidRPr="007048BA">
        <w:rPr>
          <w:shd w:val="clear" w:color="auto" w:fill="FFFFFF"/>
        </w:rPr>
        <w:t xml:space="preserve">, </w:t>
      </w:r>
      <w:r w:rsidRPr="007048BA">
        <w:rPr>
          <w:rFonts w:cs="Times New Roman"/>
          <w:lang w:val="en-GB"/>
        </w:rPr>
        <w:t xml:space="preserve">Vol. </w:t>
      </w:r>
      <w:r w:rsidRPr="007048BA">
        <w:rPr>
          <w:shd w:val="clear" w:color="auto" w:fill="FFFFFF"/>
        </w:rPr>
        <w:t>35(5-6), pp.633-670.</w:t>
      </w:r>
    </w:p>
    <w:p w14:paraId="022D8A73"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Boubaker, S., Chourou, L., Saadi, S. &amp; Zhong, L. (2017), 'Does institutional investor horizon influence US corporate financing decisions?', </w:t>
      </w:r>
      <w:r w:rsidRPr="007048BA">
        <w:rPr>
          <w:rFonts w:cs="Times New Roman"/>
          <w:i/>
          <w:lang w:val="en-GB"/>
        </w:rPr>
        <w:t>Internation Review of Financial Analysis</w:t>
      </w:r>
      <w:r w:rsidRPr="007048BA">
        <w:rPr>
          <w:rFonts w:cs="Times New Roman"/>
          <w:lang w:val="en-GB"/>
        </w:rPr>
        <w:t>, In press.</w:t>
      </w:r>
    </w:p>
    <w:p w14:paraId="28250F15"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Brar, G., Giamouridis, D., &amp; Liodakis, M. (2009), 'Predicting European Takeover Targets', </w:t>
      </w:r>
      <w:r w:rsidRPr="007048BA">
        <w:rPr>
          <w:rFonts w:cs="Times New Roman"/>
          <w:i/>
          <w:iCs/>
          <w:lang w:val="en-GB"/>
        </w:rPr>
        <w:t>European Financial Management</w:t>
      </w:r>
      <w:r w:rsidRPr="007048BA">
        <w:rPr>
          <w:rFonts w:cs="Times New Roman"/>
          <w:lang w:val="en-GB"/>
        </w:rPr>
        <w:t>, Vol. 15, No. 2, pp. 430-450.</w:t>
      </w:r>
    </w:p>
    <w:p w14:paraId="30C0600A"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Brown, S. J. &amp; Warner, J.B. (1985), 'Using Daily Stock Returns: The Case of Event Studies', </w:t>
      </w:r>
      <w:r w:rsidRPr="007048BA">
        <w:rPr>
          <w:rFonts w:cs="Times New Roman"/>
          <w:i/>
          <w:lang w:val="en-GB"/>
        </w:rPr>
        <w:t>Journal of Financial Economics</w:t>
      </w:r>
      <w:r w:rsidRPr="007048BA">
        <w:rPr>
          <w:rFonts w:cs="Times New Roman"/>
          <w:lang w:val="en-GB"/>
        </w:rPr>
        <w:t>, Vol. 14, pp. 3-31.</w:t>
      </w:r>
    </w:p>
    <w:p w14:paraId="5F312E15"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Chen, Y., Rhee, G., Veerarahavan, M. &amp; Zolotoy, L. (2015), 'Stock liquidity and managerial short-termism', </w:t>
      </w:r>
      <w:r w:rsidRPr="007048BA">
        <w:rPr>
          <w:rFonts w:cs="Times New Roman"/>
          <w:i/>
          <w:lang w:val="en-GB"/>
        </w:rPr>
        <w:t>Journal of Banking &amp; Finance</w:t>
      </w:r>
      <w:r w:rsidRPr="007048BA">
        <w:rPr>
          <w:rFonts w:cs="Times New Roman"/>
          <w:lang w:val="en-GB"/>
        </w:rPr>
        <w:t>, Vol. 60, pp. 44-59.</w:t>
      </w:r>
    </w:p>
    <w:p w14:paraId="7CC1BC48"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Cohen, D. A., &amp; Zarowin, P. (2010), '</w:t>
      </w:r>
      <w:r w:rsidRPr="007048BA">
        <w:rPr>
          <w:rFonts w:cs="Times New Roman"/>
          <w:sz w:val="27"/>
          <w:szCs w:val="27"/>
          <w:lang w:val="en-GB"/>
        </w:rPr>
        <w:t>Accrual-based and real earnings management activities around seasoned equity offerings</w:t>
      </w:r>
      <w:r w:rsidRPr="007048BA">
        <w:rPr>
          <w:rFonts w:cs="Times New Roman"/>
          <w:lang w:val="en-GB"/>
        </w:rPr>
        <w:t>',</w:t>
      </w:r>
      <w:r w:rsidRPr="007048BA">
        <w:rPr>
          <w:rFonts w:cs="Times New Roman"/>
          <w:sz w:val="27"/>
          <w:szCs w:val="27"/>
          <w:lang w:val="en-GB"/>
        </w:rPr>
        <w:t xml:space="preserve"> </w:t>
      </w:r>
      <w:r w:rsidRPr="007048BA">
        <w:rPr>
          <w:rFonts w:cs="Times New Roman"/>
          <w:i/>
          <w:lang w:val="en-GB"/>
        </w:rPr>
        <w:t>Journal of Accounting and Economics,</w:t>
      </w:r>
      <w:r w:rsidRPr="007048BA">
        <w:rPr>
          <w:rFonts w:cs="Times New Roman"/>
          <w:lang w:val="en-GB"/>
        </w:rPr>
        <w:t xml:space="preserve"> Vol. 50, pp. 2-19.</w:t>
      </w:r>
    </w:p>
    <w:p w14:paraId="2F612280"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Cremers, K. J. M., Nair, V. B., &amp; John, K. (2009), 'Takeovers and the Cross-Section of Returns', </w:t>
      </w:r>
      <w:r w:rsidRPr="007048BA">
        <w:rPr>
          <w:rFonts w:cs="Times New Roman"/>
          <w:i/>
          <w:iCs/>
          <w:lang w:val="en-GB"/>
        </w:rPr>
        <w:t>The Review of Financial Studies</w:t>
      </w:r>
      <w:r w:rsidRPr="007048BA">
        <w:rPr>
          <w:rFonts w:cs="Times New Roman"/>
          <w:lang w:val="en-GB"/>
        </w:rPr>
        <w:t>, Vol. 22, No. 4, pp. 1409-1445.</w:t>
      </w:r>
    </w:p>
    <w:p w14:paraId="3C754438"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Danbolt, J. &amp; Maciver, G. (2012), 'Cross-Border Versus Domestic Acquisitions and the Impact on Shareholder Wealth', </w:t>
      </w:r>
      <w:r w:rsidRPr="007048BA">
        <w:rPr>
          <w:rFonts w:cs="Times New Roman"/>
          <w:i/>
          <w:iCs/>
          <w:lang w:val="en-GB"/>
        </w:rPr>
        <w:t>Journal of Business Finance &amp; Accounting</w:t>
      </w:r>
      <w:r w:rsidRPr="007048BA">
        <w:rPr>
          <w:rFonts w:cs="Times New Roman"/>
          <w:lang w:val="en-GB"/>
        </w:rPr>
        <w:t>, Vol. 39, No. 7-8, pp. 1028-1067.</w:t>
      </w:r>
    </w:p>
    <w:p w14:paraId="79C6E943" w14:textId="77777777" w:rsidR="00667EA2" w:rsidRPr="007048BA" w:rsidRDefault="00667EA2" w:rsidP="00CA299A">
      <w:pPr>
        <w:pStyle w:val="References0"/>
        <w:spacing w:line="240" w:lineRule="auto"/>
        <w:rPr>
          <w:rFonts w:cs="Times New Roman"/>
          <w:lang w:val="en-GB"/>
        </w:rPr>
      </w:pPr>
      <w:r w:rsidRPr="007048BA">
        <w:rPr>
          <w:rFonts w:cs="Times New Roman"/>
          <w:lang w:val="en-GB"/>
        </w:rPr>
        <w:lastRenderedPageBreak/>
        <w:t xml:space="preserve">Danbolt, J., Siganos, A. &amp; Tunyi, A. (2016), 'Abnormal Returns from Takeover Prediction Modelling: Challenges and Suggested Strategies', </w:t>
      </w:r>
      <w:r w:rsidRPr="007048BA">
        <w:rPr>
          <w:rFonts w:cs="Times New Roman"/>
          <w:i/>
          <w:lang w:val="en-GB"/>
        </w:rPr>
        <w:t>Journal of Business Finance and Accounting,</w:t>
      </w:r>
      <w:r w:rsidRPr="007048BA">
        <w:rPr>
          <w:rFonts w:cs="Times New Roman"/>
          <w:lang w:val="en-GB"/>
        </w:rPr>
        <w:t xml:space="preserve"> Vol. 43 (1-2), pp. 66-97.</w:t>
      </w:r>
    </w:p>
    <w:p w14:paraId="5EEFB622"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De, S. &amp; Jindra, J. (2012), 'Why Newly Listed Firms Become Acquisition Targets', </w:t>
      </w:r>
      <w:r w:rsidRPr="007048BA">
        <w:rPr>
          <w:rFonts w:cs="Times New Roman"/>
          <w:i/>
          <w:iCs/>
          <w:lang w:val="en-GB"/>
        </w:rPr>
        <w:t>Journal of Banking &amp; Finance</w:t>
      </w:r>
      <w:r w:rsidRPr="007048BA">
        <w:rPr>
          <w:rFonts w:cs="Times New Roman"/>
          <w:lang w:val="en-GB"/>
        </w:rPr>
        <w:t>, Vol. 36, No. 9, pp. 2616-2631.</w:t>
      </w:r>
    </w:p>
    <w:p w14:paraId="2D2B2DDD"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Dechow, P. M., Sloan, R. G., &amp; Sweeney, A. P. (1995), 'Detecting Earnings management', </w:t>
      </w:r>
      <w:r w:rsidRPr="007048BA">
        <w:rPr>
          <w:rFonts w:cs="Times New Roman"/>
          <w:i/>
          <w:lang w:val="en-GB"/>
        </w:rPr>
        <w:t>The Accounting Review,</w:t>
      </w:r>
      <w:r w:rsidRPr="007048BA">
        <w:rPr>
          <w:rFonts w:cs="Times New Roman"/>
          <w:lang w:val="en-GB"/>
        </w:rPr>
        <w:t xml:space="preserve"> Vol. 70, pp. 193-225.</w:t>
      </w:r>
    </w:p>
    <w:p w14:paraId="6C8B4642"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Dechow, P.M., Kothari, S.P., &amp; Watts, R. (1998), 'The relation between earnings and cash flows', </w:t>
      </w:r>
      <w:r w:rsidRPr="007048BA">
        <w:rPr>
          <w:rFonts w:cs="Times New Roman"/>
          <w:i/>
          <w:lang w:val="en-GB"/>
        </w:rPr>
        <w:t>Journal of Accounting and Economics,</w:t>
      </w:r>
      <w:r w:rsidRPr="007048BA">
        <w:rPr>
          <w:rFonts w:cs="Times New Roman"/>
          <w:lang w:val="en-GB"/>
        </w:rPr>
        <w:t xml:space="preserve"> Vol. 25, pp. 133–168.</w:t>
      </w:r>
    </w:p>
    <w:p w14:paraId="36133D0D" w14:textId="77777777" w:rsidR="00667EA2" w:rsidRPr="007048BA" w:rsidRDefault="00667EA2" w:rsidP="00D85BF0">
      <w:pPr>
        <w:pStyle w:val="References0"/>
        <w:spacing w:line="240" w:lineRule="auto"/>
        <w:rPr>
          <w:shd w:val="clear" w:color="auto" w:fill="FFFFFF"/>
        </w:rPr>
      </w:pPr>
      <w:r w:rsidRPr="007048BA">
        <w:rPr>
          <w:shd w:val="clear" w:color="auto" w:fill="FFFFFF"/>
        </w:rPr>
        <w:t xml:space="preserve">Dong, M., Hirshleifer, D., Richardson, S. &amp; Teoh, S. (2006), </w:t>
      </w:r>
      <w:r w:rsidRPr="007048BA">
        <w:rPr>
          <w:rFonts w:cs="Times New Roman"/>
          <w:lang w:val="en-GB"/>
        </w:rPr>
        <w:t>'</w:t>
      </w:r>
      <w:r w:rsidRPr="007048BA">
        <w:rPr>
          <w:shd w:val="clear" w:color="auto" w:fill="FFFFFF"/>
        </w:rPr>
        <w:t>Does Investor Misvaluation Drive the Takeover Market?</w:t>
      </w:r>
      <w:r w:rsidRPr="007048BA">
        <w:rPr>
          <w:rFonts w:cs="Times New Roman"/>
          <w:lang w:val="en-GB"/>
        </w:rPr>
        <w:t xml:space="preserve"> '</w:t>
      </w:r>
      <w:r w:rsidRPr="007048BA">
        <w:rPr>
          <w:shd w:val="clear" w:color="auto" w:fill="FFFFFF"/>
        </w:rPr>
        <w:t>, </w:t>
      </w:r>
      <w:r w:rsidRPr="007048BA">
        <w:rPr>
          <w:i/>
          <w:iCs/>
          <w:shd w:val="clear" w:color="auto" w:fill="FFFFFF"/>
        </w:rPr>
        <w:t>The Journal of Finance</w:t>
      </w:r>
      <w:r w:rsidRPr="007048BA">
        <w:rPr>
          <w:shd w:val="clear" w:color="auto" w:fill="FFFFFF"/>
        </w:rPr>
        <w:t xml:space="preserve">, </w:t>
      </w:r>
      <w:r w:rsidRPr="007048BA">
        <w:rPr>
          <w:rFonts w:cs="Times New Roman"/>
          <w:lang w:val="en-GB"/>
        </w:rPr>
        <w:t xml:space="preserve">Vol. </w:t>
      </w:r>
      <w:r w:rsidRPr="007048BA">
        <w:rPr>
          <w:shd w:val="clear" w:color="auto" w:fill="FFFFFF"/>
        </w:rPr>
        <w:t>6, No.2, pp.725-762.</w:t>
      </w:r>
    </w:p>
    <w:p w14:paraId="1B19E4EE" w14:textId="77777777" w:rsidR="00667EA2" w:rsidRPr="007048BA" w:rsidRDefault="00667EA2" w:rsidP="002E128D">
      <w:pPr>
        <w:pStyle w:val="References0"/>
        <w:spacing w:line="240" w:lineRule="auto"/>
        <w:rPr>
          <w:rFonts w:cs="Times New Roman"/>
          <w:lang w:val="en-GB"/>
        </w:rPr>
      </w:pPr>
      <w:r w:rsidRPr="007048BA">
        <w:rPr>
          <w:rFonts w:cs="Times New Roman"/>
          <w:lang w:val="en-GB"/>
        </w:rPr>
        <w:t xml:space="preserve">Dong, M., Hirshleifer, D., Richardson, S., &amp; Teoh, S.H. (2006), 'Does Investor Misevaluation Drive The Takeover Market?', </w:t>
      </w:r>
      <w:r w:rsidRPr="007048BA">
        <w:rPr>
          <w:rFonts w:cs="Times New Roman"/>
          <w:i/>
          <w:lang w:val="en-GB"/>
        </w:rPr>
        <w:t>Journal of Finance</w:t>
      </w:r>
      <w:r w:rsidRPr="007048BA">
        <w:rPr>
          <w:rFonts w:cs="Times New Roman"/>
          <w:lang w:val="en-GB"/>
        </w:rPr>
        <w:t>, Vol. 61, No. 2, pp. 725-762.</w:t>
      </w:r>
    </w:p>
    <w:p w14:paraId="4B7043B2" w14:textId="77777777" w:rsidR="00667EA2" w:rsidRPr="007048BA" w:rsidRDefault="00667EA2" w:rsidP="00D85BF0">
      <w:pPr>
        <w:spacing w:line="240" w:lineRule="auto"/>
        <w:rPr>
          <w:lang w:val="en-GB" w:eastAsia="en-GB"/>
        </w:rPr>
      </w:pPr>
      <w:r w:rsidRPr="007048BA">
        <w:rPr>
          <w:lang w:val="en-GB" w:eastAsia="en-GB"/>
        </w:rPr>
        <w:t xml:space="preserve">Dunn, O. J. (1964), </w:t>
      </w:r>
      <w:r w:rsidRPr="007048BA">
        <w:rPr>
          <w:rFonts w:cs="Times New Roman"/>
          <w:lang w:val="en-GB"/>
        </w:rPr>
        <w:t>'</w:t>
      </w:r>
      <w:r w:rsidRPr="007048BA">
        <w:rPr>
          <w:lang w:val="en-GB" w:eastAsia="en-GB"/>
        </w:rPr>
        <w:t>Multiple comparisons using rank sums.  Technometrics</w:t>
      </w:r>
      <w:r w:rsidRPr="007048BA">
        <w:rPr>
          <w:rFonts w:cs="Times New Roman"/>
          <w:lang w:val="en-GB"/>
        </w:rPr>
        <w:t>',</w:t>
      </w:r>
      <w:r w:rsidRPr="007048BA">
        <w:rPr>
          <w:lang w:val="en-GB" w:eastAsia="en-GB"/>
        </w:rPr>
        <w:t xml:space="preserve"> Vol 6, pp. 241-252.</w:t>
      </w:r>
    </w:p>
    <w:p w14:paraId="2CE1D736" w14:textId="77777777" w:rsidR="00667EA2" w:rsidRPr="007048BA" w:rsidRDefault="00667EA2" w:rsidP="002E128D">
      <w:pPr>
        <w:pStyle w:val="References0"/>
        <w:spacing w:line="240" w:lineRule="auto"/>
        <w:rPr>
          <w:lang w:val="en-GB"/>
        </w:rPr>
      </w:pPr>
      <w:r w:rsidRPr="007048BA">
        <w:rPr>
          <w:lang w:val="en-GB"/>
        </w:rPr>
        <w:t xml:space="preserve">Duru, A., Iyengar, R &amp; Zampelli, E. (2012), 'Performance choice, executive bonuses and corporate leverage', </w:t>
      </w:r>
      <w:r w:rsidRPr="007048BA">
        <w:rPr>
          <w:i/>
          <w:lang w:val="en-GB"/>
        </w:rPr>
        <w:t>Journal of Corporate Finance</w:t>
      </w:r>
      <w:r w:rsidRPr="007048BA">
        <w:rPr>
          <w:lang w:val="en-GB"/>
        </w:rPr>
        <w:t>, Vol. 18, pp. 1286-1305.</w:t>
      </w:r>
    </w:p>
    <w:p w14:paraId="6F09FA65" w14:textId="77777777" w:rsidR="00667EA2" w:rsidRPr="007048BA" w:rsidRDefault="00667EA2" w:rsidP="00CA299A">
      <w:pPr>
        <w:pStyle w:val="References0"/>
        <w:spacing w:line="240" w:lineRule="auto"/>
        <w:rPr>
          <w:rFonts w:cs="Times New Roman"/>
          <w:i/>
          <w:lang w:val="en-GB"/>
        </w:rPr>
      </w:pPr>
      <w:r w:rsidRPr="007048BA">
        <w:rPr>
          <w:rFonts w:cs="Times New Roman"/>
          <w:lang w:val="en-GB"/>
        </w:rPr>
        <w:t xml:space="preserve">Dybvig, P. H. &amp; Warachka, M. (2015), 'Tobin's q Does Not Measure Firm Performance: Theory, Empirics, and Alternatives', </w:t>
      </w:r>
      <w:r w:rsidRPr="007048BA">
        <w:rPr>
          <w:rFonts w:cs="Times New Roman"/>
          <w:i/>
          <w:lang w:val="en-GB"/>
        </w:rPr>
        <w:t xml:space="preserve">Working paper. Available at SSRN: </w:t>
      </w:r>
      <w:hyperlink r:id="rId10" w:history="1">
        <w:r w:rsidRPr="007048BA">
          <w:rPr>
            <w:rStyle w:val="Hyperlink"/>
            <w:rFonts w:cs="Times New Roman"/>
            <w:i/>
            <w:lang w:val="en-GB"/>
          </w:rPr>
          <w:t>http://ssrn.com/abstract=1562444</w:t>
        </w:r>
      </w:hyperlink>
      <w:r w:rsidRPr="007048BA">
        <w:rPr>
          <w:rFonts w:cs="Times New Roman"/>
          <w:i/>
          <w:lang w:val="en-GB"/>
        </w:rPr>
        <w:t>.</w:t>
      </w:r>
    </w:p>
    <w:p w14:paraId="6CD7F557"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Espahbodi, H. &amp; Espahbodi, P. (2003), 'Binary Choice Models and Corporate Takeover', </w:t>
      </w:r>
      <w:r w:rsidRPr="007048BA">
        <w:rPr>
          <w:rFonts w:cs="Times New Roman"/>
          <w:i/>
          <w:iCs/>
          <w:lang w:val="en-GB"/>
        </w:rPr>
        <w:t>Journal of Banking &amp; Finance</w:t>
      </w:r>
      <w:r w:rsidRPr="007048BA">
        <w:rPr>
          <w:rFonts w:cs="Times New Roman"/>
          <w:lang w:val="en-GB"/>
        </w:rPr>
        <w:t>, Vol. 27, No. 4, pp. 549-574.</w:t>
      </w:r>
    </w:p>
    <w:p w14:paraId="33EC062A" w14:textId="3DB265D3" w:rsidR="00667EA2" w:rsidRPr="007048BA" w:rsidRDefault="00667EA2" w:rsidP="00CA299A">
      <w:pPr>
        <w:pStyle w:val="References0"/>
        <w:spacing w:line="240" w:lineRule="auto"/>
        <w:rPr>
          <w:rFonts w:cs="Times New Roman"/>
          <w:lang w:val="en-GB"/>
        </w:rPr>
      </w:pPr>
      <w:r w:rsidRPr="007048BA">
        <w:rPr>
          <w:rFonts w:cs="Times New Roman"/>
          <w:lang w:val="en-GB"/>
        </w:rPr>
        <w:t>Faleye, O. (2007), 'Classified boards, firm value,</w:t>
      </w:r>
      <w:r w:rsidR="00226E68" w:rsidRPr="007048BA">
        <w:rPr>
          <w:rFonts w:cs="Times New Roman"/>
          <w:lang w:val="en-GB"/>
        </w:rPr>
        <w:t xml:space="preserve"> and managerial entrenchment', </w:t>
      </w:r>
      <w:r w:rsidRPr="007048BA">
        <w:rPr>
          <w:rFonts w:cs="Times New Roman"/>
          <w:i/>
          <w:lang w:val="en-GB"/>
        </w:rPr>
        <w:t>Journal of Financial Economics</w:t>
      </w:r>
      <w:r w:rsidRPr="007048BA">
        <w:rPr>
          <w:rFonts w:cs="Times New Roman"/>
          <w:lang w:val="en-GB"/>
        </w:rPr>
        <w:t>, 83(2), 501-529.</w:t>
      </w:r>
    </w:p>
    <w:p w14:paraId="00B540F8" w14:textId="77777777" w:rsidR="00667EA2" w:rsidRPr="007048BA" w:rsidRDefault="00667EA2" w:rsidP="00D85BF0">
      <w:pPr>
        <w:spacing w:line="240" w:lineRule="auto"/>
        <w:rPr>
          <w:lang w:val="en-GB"/>
        </w:rPr>
      </w:pPr>
      <w:r w:rsidRPr="007048BA">
        <w:rPr>
          <w:rFonts w:cs="Times New Roman"/>
          <w:lang w:val="en-GB"/>
        </w:rPr>
        <w:t>Fama, E. &amp; French, K. (1998),</w:t>
      </w:r>
      <w:r w:rsidRPr="007048BA">
        <w:t xml:space="preserve"> </w:t>
      </w:r>
      <w:r w:rsidRPr="007048BA">
        <w:rPr>
          <w:rFonts w:cs="Times New Roman"/>
          <w:lang w:val="en-GB"/>
        </w:rPr>
        <w:t xml:space="preserve">'Value versus Growth: The International Evidence', </w:t>
      </w:r>
      <w:r w:rsidRPr="007048BA">
        <w:rPr>
          <w:i/>
          <w:iCs/>
          <w:shd w:val="clear" w:color="auto" w:fill="FFFFFF"/>
        </w:rPr>
        <w:t>The Journal of Finance</w:t>
      </w:r>
      <w:r w:rsidRPr="007048BA">
        <w:rPr>
          <w:shd w:val="clear" w:color="auto" w:fill="FFFFFF"/>
        </w:rPr>
        <w:t xml:space="preserve">, </w:t>
      </w:r>
      <w:r w:rsidRPr="007048BA">
        <w:rPr>
          <w:rFonts w:cs="Times New Roman"/>
          <w:lang w:val="en-GB"/>
        </w:rPr>
        <w:t>Vol. 53, pp. 1975-1999.</w:t>
      </w:r>
    </w:p>
    <w:p w14:paraId="448A170D" w14:textId="77777777" w:rsidR="00667EA2" w:rsidRPr="007048BA" w:rsidRDefault="00667EA2" w:rsidP="002E128D">
      <w:pPr>
        <w:pStyle w:val="References0"/>
        <w:spacing w:line="240" w:lineRule="auto"/>
        <w:rPr>
          <w:rFonts w:cs="Times New Roman"/>
          <w:lang w:val="en-GB"/>
        </w:rPr>
      </w:pPr>
      <w:r w:rsidRPr="007048BA">
        <w:rPr>
          <w:rFonts w:cs="Times New Roman"/>
          <w:lang w:val="en-GB"/>
        </w:rPr>
        <w:t xml:space="preserve">Franks, J. &amp; Mayer, C. (1996), 'Hostile Takeovers and the Correction of Managerial Failure', </w:t>
      </w:r>
      <w:r w:rsidRPr="007048BA">
        <w:rPr>
          <w:rFonts w:cs="Times New Roman"/>
          <w:i/>
          <w:iCs/>
          <w:lang w:val="en-GB"/>
        </w:rPr>
        <w:t>Journal of Financial Economics</w:t>
      </w:r>
      <w:r w:rsidRPr="007048BA">
        <w:rPr>
          <w:rFonts w:cs="Times New Roman"/>
          <w:lang w:val="en-GB"/>
        </w:rPr>
        <w:t>, Vol. 40, No. 1, pp. 163-181.</w:t>
      </w:r>
    </w:p>
    <w:p w14:paraId="00A326F8" w14:textId="77777777" w:rsidR="00667EA2" w:rsidRPr="007048BA" w:rsidRDefault="00667EA2" w:rsidP="002E128D">
      <w:pPr>
        <w:pStyle w:val="References0"/>
        <w:spacing w:line="240" w:lineRule="auto"/>
        <w:rPr>
          <w:lang w:val="en-GB"/>
        </w:rPr>
      </w:pPr>
      <w:r w:rsidRPr="007048BA">
        <w:rPr>
          <w:lang w:val="en-GB"/>
        </w:rPr>
        <w:t xml:space="preserve">Franks, J. R. &amp; Harris, R. S. (1989), 'Shareholder Wealth Effects of Corporate Takeovers: The U.K. Experience 1955-1985', </w:t>
      </w:r>
      <w:r w:rsidRPr="007048BA">
        <w:rPr>
          <w:i/>
          <w:iCs/>
          <w:lang w:val="en-GB"/>
        </w:rPr>
        <w:t>Journal of Financial Economics</w:t>
      </w:r>
      <w:r w:rsidRPr="007048BA">
        <w:rPr>
          <w:lang w:val="en-GB"/>
        </w:rPr>
        <w:t>, Vol. 23, No. 2, pp. 225-249.</w:t>
      </w:r>
    </w:p>
    <w:p w14:paraId="0E1A9D7D"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Graham, J., Harvey, C. &amp; Rajgopal, S. (2006), 'Value Destruction and Financial Reporting Decisions', </w:t>
      </w:r>
      <w:r w:rsidRPr="007048BA">
        <w:rPr>
          <w:rFonts w:cs="Times New Roman"/>
          <w:i/>
          <w:lang w:val="en-GB"/>
        </w:rPr>
        <w:t>Financial Analysts Journal</w:t>
      </w:r>
      <w:r w:rsidRPr="007048BA">
        <w:rPr>
          <w:rFonts w:cs="Times New Roman"/>
          <w:lang w:val="en-GB"/>
        </w:rPr>
        <w:t>, Vol. 62, No. 5, pp. 27-39.</w:t>
      </w:r>
    </w:p>
    <w:p w14:paraId="2E186A07"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Grossman, S. J. &amp; Hart, O. D. (1980), 'Takeover Bids, the Free-Rider Problem, and the Theory of the Corporation', </w:t>
      </w:r>
      <w:r w:rsidRPr="007048BA">
        <w:rPr>
          <w:rFonts w:cs="Times New Roman"/>
          <w:i/>
          <w:iCs/>
          <w:lang w:val="en-GB"/>
        </w:rPr>
        <w:t>Bell Journal of Economics</w:t>
      </w:r>
      <w:r w:rsidRPr="007048BA">
        <w:rPr>
          <w:rFonts w:cs="Times New Roman"/>
          <w:lang w:val="en-GB"/>
        </w:rPr>
        <w:t>, Vol. 11, No. 1, pp. 42-64.</w:t>
      </w:r>
    </w:p>
    <w:p w14:paraId="79A8548F"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Healy, P. &amp; Wahlen, J. (1999), 'A review of the earnings management literature and its implications for standard setting', </w:t>
      </w:r>
      <w:r w:rsidRPr="007048BA">
        <w:rPr>
          <w:rFonts w:cs="Times New Roman"/>
          <w:i/>
          <w:lang w:val="en-GB"/>
        </w:rPr>
        <w:t>Accounting Horizons</w:t>
      </w:r>
      <w:r w:rsidRPr="007048BA">
        <w:rPr>
          <w:rFonts w:cs="Times New Roman"/>
          <w:lang w:val="en-GB"/>
        </w:rPr>
        <w:t>, Vol 13. No. 4, pp. 365-383.</w:t>
      </w:r>
    </w:p>
    <w:p w14:paraId="49C0FB7B" w14:textId="77777777" w:rsidR="00667EA2" w:rsidRPr="007048BA" w:rsidRDefault="00667EA2" w:rsidP="00CA299A">
      <w:pPr>
        <w:pStyle w:val="References0"/>
        <w:spacing w:line="240" w:lineRule="auto"/>
        <w:rPr>
          <w:lang w:val="en-GB"/>
        </w:rPr>
      </w:pPr>
      <w:r w:rsidRPr="007048BA">
        <w:rPr>
          <w:lang w:val="en-GB"/>
        </w:rPr>
        <w:t xml:space="preserve">Heckman, J. (1979), </w:t>
      </w:r>
      <w:r w:rsidRPr="007048BA">
        <w:rPr>
          <w:rFonts w:cs="Times New Roman"/>
          <w:lang w:val="en-GB"/>
        </w:rPr>
        <w:t>'</w:t>
      </w:r>
      <w:r w:rsidRPr="007048BA">
        <w:rPr>
          <w:lang w:val="en-GB"/>
        </w:rPr>
        <w:t>Sample selection bias as a specification error</w:t>
      </w:r>
      <w:r w:rsidRPr="007048BA">
        <w:rPr>
          <w:rFonts w:cs="Times New Roman"/>
          <w:lang w:val="en-GB"/>
        </w:rPr>
        <w:t>'</w:t>
      </w:r>
      <w:r w:rsidRPr="007048BA">
        <w:rPr>
          <w:lang w:val="en-GB"/>
        </w:rPr>
        <w:t xml:space="preserve">, </w:t>
      </w:r>
      <w:r w:rsidRPr="007048BA">
        <w:rPr>
          <w:i/>
          <w:lang w:val="en-GB"/>
        </w:rPr>
        <w:t>Econometrica</w:t>
      </w:r>
      <w:r w:rsidRPr="007048BA">
        <w:rPr>
          <w:lang w:val="en-GB"/>
        </w:rPr>
        <w:t>. Vol. 47 No. 1, pp. 153–61.</w:t>
      </w:r>
    </w:p>
    <w:p w14:paraId="0B7C73C8"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Herzel, L. &amp; Shepro, R. (1990), </w:t>
      </w:r>
      <w:r w:rsidRPr="007048BA">
        <w:rPr>
          <w:rFonts w:cs="Times New Roman"/>
          <w:i/>
          <w:lang w:val="en-GB"/>
        </w:rPr>
        <w:t>Bidders and Targets: Mergers and Acquisitions in the U.S</w:t>
      </w:r>
      <w:r w:rsidRPr="007048BA">
        <w:rPr>
          <w:rFonts w:cs="Times New Roman"/>
          <w:lang w:val="en-GB"/>
        </w:rPr>
        <w:t>, Blackwell, Oxford.</w:t>
      </w:r>
    </w:p>
    <w:p w14:paraId="407267D1"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Holden, C. &amp; Lundstrum, L. (2009), 'Costly trade, managerial myopia, and long-term investment'</w:t>
      </w:r>
      <w:r w:rsidRPr="007048BA">
        <w:rPr>
          <w:rFonts w:cs="Times New Roman"/>
          <w:i/>
          <w:lang w:val="en-GB"/>
        </w:rPr>
        <w:t>, Journal of Empirical Finance</w:t>
      </w:r>
      <w:r w:rsidRPr="007048BA">
        <w:rPr>
          <w:rFonts w:cs="Times New Roman"/>
          <w:lang w:val="en-GB"/>
        </w:rPr>
        <w:t>, 16, 126-135.</w:t>
      </w:r>
    </w:p>
    <w:p w14:paraId="0005A48E"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Jensen, M. C. &amp; Meckling, W. H. (1976), 'Theory of the Firm: Managerial Behavior, Agency Costs and Ownership Structure', </w:t>
      </w:r>
      <w:r w:rsidRPr="007048BA">
        <w:rPr>
          <w:rFonts w:cs="Times New Roman"/>
          <w:i/>
          <w:iCs/>
          <w:lang w:val="en-GB"/>
        </w:rPr>
        <w:t>Journal of Financial Economics</w:t>
      </w:r>
      <w:r w:rsidRPr="007048BA">
        <w:rPr>
          <w:rFonts w:cs="Times New Roman"/>
          <w:lang w:val="en-GB"/>
        </w:rPr>
        <w:t>, Vol. 3, No. 4, pp. 305-360.</w:t>
      </w:r>
    </w:p>
    <w:p w14:paraId="73869714"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Jensen, M. C. &amp; Ruback, R. S. (1983), 'The Market for Corporate Control: The Scientific Evidence', </w:t>
      </w:r>
      <w:r w:rsidRPr="007048BA">
        <w:rPr>
          <w:rFonts w:cs="Times New Roman"/>
          <w:i/>
          <w:iCs/>
          <w:lang w:val="en-GB"/>
        </w:rPr>
        <w:t>Journal of Financial Economics</w:t>
      </w:r>
      <w:r w:rsidRPr="007048BA">
        <w:rPr>
          <w:rFonts w:cs="Times New Roman"/>
          <w:lang w:val="en-GB"/>
        </w:rPr>
        <w:t>, Vol. 11, No. 1-4, pp. 5-50.</w:t>
      </w:r>
    </w:p>
    <w:p w14:paraId="0D5EBCA7"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Jones, J. (1991), 'Earnings management during import relief investigations', </w:t>
      </w:r>
      <w:r w:rsidRPr="007048BA">
        <w:rPr>
          <w:rFonts w:cs="Times New Roman"/>
          <w:i/>
          <w:lang w:val="en-GB"/>
        </w:rPr>
        <w:t>Journal of Accounting Research</w:t>
      </w:r>
      <w:r w:rsidRPr="007048BA">
        <w:rPr>
          <w:rFonts w:cs="Times New Roman"/>
          <w:lang w:val="en-GB"/>
        </w:rPr>
        <w:t>, Vol. 29, pp. 193–228.</w:t>
      </w:r>
    </w:p>
    <w:p w14:paraId="0678009A" w14:textId="77777777" w:rsidR="00667EA2" w:rsidRPr="007048BA" w:rsidRDefault="00667EA2" w:rsidP="00CA299A">
      <w:pPr>
        <w:pStyle w:val="References0"/>
        <w:spacing w:line="240" w:lineRule="auto"/>
        <w:rPr>
          <w:rFonts w:cs="Times New Roman"/>
          <w:lang w:val="en-GB"/>
        </w:rPr>
      </w:pPr>
      <w:r w:rsidRPr="007048BA">
        <w:rPr>
          <w:rFonts w:cs="Times New Roman"/>
          <w:lang w:val="en-GB"/>
        </w:rPr>
        <w:lastRenderedPageBreak/>
        <w:t xml:space="preserve">Lambert, R. A. &amp; Larcker, D. F. (1987), 'An Analysis of the Use of Accounting and Market Measures of Performance in Executive Compensation Contracts', </w:t>
      </w:r>
      <w:r w:rsidRPr="007048BA">
        <w:rPr>
          <w:rFonts w:cs="Times New Roman"/>
          <w:i/>
          <w:iCs/>
          <w:lang w:val="en-GB"/>
        </w:rPr>
        <w:t>Journal of Accounting Research</w:t>
      </w:r>
      <w:r w:rsidRPr="007048BA">
        <w:rPr>
          <w:rFonts w:cs="Times New Roman"/>
          <w:lang w:val="en-GB"/>
        </w:rPr>
        <w:t>, Vol. 25, pp. 85-125.</w:t>
      </w:r>
    </w:p>
    <w:p w14:paraId="44BBD4AF"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Lang, L. H. P., Stulz, R. M., &amp; Walkling, R. A. (1989), 'Managerial Performance, Tobin's Q, and the Gains From Successful Tender Offers', </w:t>
      </w:r>
      <w:r w:rsidRPr="007048BA">
        <w:rPr>
          <w:rFonts w:cs="Times New Roman"/>
          <w:i/>
          <w:iCs/>
          <w:lang w:val="en-GB"/>
        </w:rPr>
        <w:t>Journal of Financial Economics</w:t>
      </w:r>
      <w:r w:rsidRPr="007048BA">
        <w:rPr>
          <w:rFonts w:cs="Times New Roman"/>
          <w:lang w:val="en-GB"/>
        </w:rPr>
        <w:t>, Vol. 24, No. 1, pp. 137-154.</w:t>
      </w:r>
    </w:p>
    <w:p w14:paraId="74DB1503"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Li, K., Qiu, B. and Shen, R. (2018), 'Organisational Capital and Mergers and Acquisitions', </w:t>
      </w:r>
      <w:r w:rsidRPr="007048BA">
        <w:rPr>
          <w:rFonts w:cs="Times New Roman"/>
          <w:i/>
          <w:lang w:val="en-GB"/>
        </w:rPr>
        <w:t>Journal of Financial and Quantitative Analysis</w:t>
      </w:r>
      <w:r w:rsidRPr="007048BA">
        <w:rPr>
          <w:rFonts w:cs="Times New Roman"/>
          <w:lang w:val="en-GB"/>
        </w:rPr>
        <w:t>, Forthcoming</w:t>
      </w:r>
    </w:p>
    <w:p w14:paraId="13C21352"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Manne, H. G. (1965), 'Mergers and the Market for Corporate Control', </w:t>
      </w:r>
      <w:r w:rsidRPr="007048BA">
        <w:rPr>
          <w:rFonts w:cs="Times New Roman"/>
          <w:i/>
          <w:iCs/>
          <w:lang w:val="en-GB"/>
        </w:rPr>
        <w:t>Journal of Political Economy</w:t>
      </w:r>
      <w:r w:rsidRPr="007048BA">
        <w:rPr>
          <w:rFonts w:cs="Times New Roman"/>
          <w:lang w:val="en-GB"/>
        </w:rPr>
        <w:t>, Vol. 73, No. 2, pp. 110-120.</w:t>
      </w:r>
    </w:p>
    <w:p w14:paraId="176BF4C0"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Meulbroek, L. K., Mitchell, M. L., Mulherin, J. H., Netter, J. M., &amp; Poulsen, A. B. (1990), 'Shark repellents and managerial myopia: An empirical test', </w:t>
      </w:r>
      <w:r w:rsidRPr="007048BA">
        <w:rPr>
          <w:rFonts w:cs="Times New Roman"/>
          <w:i/>
          <w:lang w:val="en-GB"/>
        </w:rPr>
        <w:t>Journal of Political Economy</w:t>
      </w:r>
      <w:r w:rsidRPr="007048BA">
        <w:rPr>
          <w:rFonts w:cs="Times New Roman"/>
          <w:lang w:val="en-GB"/>
        </w:rPr>
        <w:t>, 98, No.5, 1108-1117.</w:t>
      </w:r>
    </w:p>
    <w:p w14:paraId="239939ED" w14:textId="77777777" w:rsidR="00667EA2" w:rsidRPr="007048BA" w:rsidRDefault="00667EA2" w:rsidP="00CA299A">
      <w:pPr>
        <w:pStyle w:val="References0"/>
        <w:spacing w:line="240" w:lineRule="auto"/>
        <w:rPr>
          <w:rFonts w:cs="Times New Roman"/>
          <w:lang w:val="en-GB"/>
        </w:rPr>
      </w:pPr>
      <w:r w:rsidRPr="007048BA">
        <w:rPr>
          <w:rFonts w:cs="Times New Roman"/>
          <w:lang w:val="de-DE"/>
        </w:rPr>
        <w:t xml:space="preserve">Miller, C., Washburn, N., &amp; Glick. </w:t>
      </w:r>
      <w:r w:rsidRPr="007048BA">
        <w:rPr>
          <w:rFonts w:cs="Times New Roman"/>
          <w:lang w:val="en-GB"/>
        </w:rPr>
        <w:t xml:space="preserve">W. (2013), 'The Myth of Firm Performance', </w:t>
      </w:r>
      <w:r w:rsidRPr="007048BA">
        <w:rPr>
          <w:rFonts w:cs="Times New Roman"/>
          <w:i/>
          <w:lang w:val="en-GB"/>
        </w:rPr>
        <w:t>Organisational Science</w:t>
      </w:r>
      <w:r w:rsidRPr="007048BA">
        <w:rPr>
          <w:rFonts w:cs="Times New Roman"/>
          <w:lang w:val="en-GB"/>
        </w:rPr>
        <w:t>, Vol. 24, No. 3, pp. 948-964.</w:t>
      </w:r>
    </w:p>
    <w:p w14:paraId="484FFA36" w14:textId="77777777" w:rsidR="00667EA2" w:rsidRPr="007048BA" w:rsidRDefault="00667EA2" w:rsidP="00CA299A">
      <w:pPr>
        <w:pStyle w:val="References0"/>
        <w:spacing w:line="240" w:lineRule="auto"/>
        <w:rPr>
          <w:lang w:val="en-GB"/>
        </w:rPr>
      </w:pPr>
      <w:r w:rsidRPr="007048BA">
        <w:rPr>
          <w:lang w:val="en-GB"/>
        </w:rPr>
        <w:t xml:space="preserve">Newey, W. (1987), </w:t>
      </w:r>
      <w:r w:rsidRPr="007048BA">
        <w:rPr>
          <w:rFonts w:cs="Times New Roman"/>
          <w:lang w:val="en-GB"/>
        </w:rPr>
        <w:t>'</w:t>
      </w:r>
      <w:r w:rsidRPr="007048BA">
        <w:rPr>
          <w:lang w:val="en-GB"/>
        </w:rPr>
        <w:t>Efficient estimation of limited dependent variable models with endogenous explanatory variables</w:t>
      </w:r>
      <w:r w:rsidRPr="007048BA">
        <w:rPr>
          <w:rFonts w:cs="Times New Roman"/>
          <w:lang w:val="en-GB"/>
        </w:rPr>
        <w:t>'</w:t>
      </w:r>
      <w:r w:rsidRPr="007048BA">
        <w:rPr>
          <w:lang w:val="en-GB"/>
        </w:rPr>
        <w:t xml:space="preserve">, </w:t>
      </w:r>
      <w:r w:rsidRPr="007048BA">
        <w:rPr>
          <w:i/>
          <w:lang w:val="en-GB"/>
        </w:rPr>
        <w:t>Journal of Econometrics</w:t>
      </w:r>
      <w:r w:rsidRPr="007048BA">
        <w:rPr>
          <w:lang w:val="en-GB"/>
        </w:rPr>
        <w:t>, Vol. 36, No 3, pp. 231–250.</w:t>
      </w:r>
    </w:p>
    <w:p w14:paraId="3F3EBD8A"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Ouzounis, G., Gaganis, C., &amp; Zopounidis, C. (2009), 'Prediction of Acquisitions and Portfolio Returns', </w:t>
      </w:r>
      <w:r w:rsidRPr="007048BA">
        <w:rPr>
          <w:rFonts w:cs="Times New Roman"/>
          <w:i/>
          <w:iCs/>
          <w:lang w:val="en-GB"/>
        </w:rPr>
        <w:t>International Journal of Banking, Accounting and Finance</w:t>
      </w:r>
      <w:r w:rsidRPr="007048BA">
        <w:rPr>
          <w:rFonts w:cs="Times New Roman"/>
          <w:lang w:val="en-GB"/>
        </w:rPr>
        <w:t>, Vol. 1, No. 4, pp. 381-406.</w:t>
      </w:r>
    </w:p>
    <w:p w14:paraId="64FA1B64"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Owen, A. and Temesvary, J. (2018), 'The performance effects of gender diversity on bank boards'. </w:t>
      </w:r>
      <w:r w:rsidRPr="007048BA">
        <w:rPr>
          <w:rFonts w:cs="Times New Roman"/>
          <w:i/>
          <w:lang w:val="en-GB"/>
        </w:rPr>
        <w:t>Journal of Banking and Finance</w:t>
      </w:r>
      <w:r w:rsidRPr="007048BA">
        <w:rPr>
          <w:rFonts w:cs="Times New Roman"/>
          <w:lang w:val="en-GB"/>
        </w:rPr>
        <w:t>, Vol. 90, pp. 50-63</w:t>
      </w:r>
    </w:p>
    <w:p w14:paraId="69F9B75F"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Pakes, A. &amp; Ericson, R. (1998), 'Empirical Implications of Alternative Models of Firm Dynamics', </w:t>
      </w:r>
      <w:r w:rsidRPr="007048BA">
        <w:rPr>
          <w:rFonts w:cs="Times New Roman"/>
          <w:i/>
          <w:iCs/>
          <w:lang w:val="en-GB"/>
        </w:rPr>
        <w:t>Journal of Economic Theory</w:t>
      </w:r>
      <w:r w:rsidRPr="007048BA">
        <w:rPr>
          <w:rFonts w:cs="Times New Roman"/>
          <w:lang w:val="en-GB"/>
        </w:rPr>
        <w:t>, Vol. 79, No. 1, pp. 1-45.</w:t>
      </w:r>
    </w:p>
    <w:p w14:paraId="2BFCB4DE"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Palepu, K. G. (1986), 'Predicting Takeover Targets. A Methodological and Empirical Analysis', </w:t>
      </w:r>
      <w:r w:rsidRPr="007048BA">
        <w:rPr>
          <w:rFonts w:cs="Times New Roman"/>
          <w:i/>
          <w:iCs/>
          <w:lang w:val="en-GB"/>
        </w:rPr>
        <w:t>Journal of Accounting and Economics</w:t>
      </w:r>
      <w:r w:rsidRPr="007048BA">
        <w:rPr>
          <w:rFonts w:cs="Times New Roman"/>
          <w:lang w:val="en-GB"/>
        </w:rPr>
        <w:t>, Vol. 8, No. 1, pp. 3-35.</w:t>
      </w:r>
    </w:p>
    <w:p w14:paraId="18B37E12"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Paniagua, J., Rivelles, R. and Sapena, J. (2018), 'Corporate governance and financial performance: The role of ownership and board structure', </w:t>
      </w:r>
      <w:r w:rsidRPr="007048BA">
        <w:rPr>
          <w:rFonts w:cs="Times New Roman"/>
          <w:i/>
          <w:lang w:val="en-GB"/>
        </w:rPr>
        <w:t>Journal of Business Research</w:t>
      </w:r>
      <w:r w:rsidRPr="007048BA">
        <w:rPr>
          <w:rFonts w:cs="Times New Roman"/>
          <w:lang w:val="en-GB"/>
        </w:rPr>
        <w:t>, Forthcoming</w:t>
      </w:r>
    </w:p>
    <w:p w14:paraId="38F82EB7"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Powell, R. G. &amp; Yawson, A. (2007), 'Are Corporate Restructuring Events Driven by Common Factors? Implications for Takeover Prediction', </w:t>
      </w:r>
      <w:r w:rsidRPr="007048BA">
        <w:rPr>
          <w:rFonts w:cs="Times New Roman"/>
          <w:i/>
          <w:iCs/>
          <w:lang w:val="en-GB"/>
        </w:rPr>
        <w:t>Journal of Business Finance &amp; Accounting</w:t>
      </w:r>
      <w:r w:rsidRPr="007048BA">
        <w:rPr>
          <w:rFonts w:cs="Times New Roman"/>
          <w:lang w:val="en-GB"/>
        </w:rPr>
        <w:t>, Vol. 34, No. 7-8, pp. 1169-1192.</w:t>
      </w:r>
    </w:p>
    <w:p w14:paraId="2424E279"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Powell, R. G. (1997), 'Modelling Takeover Likelihood', </w:t>
      </w:r>
      <w:r w:rsidRPr="007048BA">
        <w:rPr>
          <w:rFonts w:cs="Times New Roman"/>
          <w:i/>
          <w:iCs/>
          <w:lang w:val="en-GB"/>
        </w:rPr>
        <w:t>Journal of Business Finance &amp; Accounting</w:t>
      </w:r>
      <w:r w:rsidRPr="007048BA">
        <w:rPr>
          <w:rFonts w:cs="Times New Roman"/>
          <w:lang w:val="en-GB"/>
        </w:rPr>
        <w:t>, Vol. 24, No. 7-8, pp. 1009-1030.</w:t>
      </w:r>
    </w:p>
    <w:p w14:paraId="3610F414"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Powell, R. G. (2001), 'Takeover Prediction and Portfolio Performance: A Note', </w:t>
      </w:r>
      <w:r w:rsidRPr="007048BA">
        <w:rPr>
          <w:rFonts w:cs="Times New Roman"/>
          <w:i/>
          <w:iCs/>
          <w:lang w:val="en-GB"/>
        </w:rPr>
        <w:t>Journal of Business Finance &amp; Accounting</w:t>
      </w:r>
      <w:r w:rsidRPr="007048BA">
        <w:rPr>
          <w:rFonts w:cs="Times New Roman"/>
          <w:lang w:val="en-GB"/>
        </w:rPr>
        <w:t>, Vol. 28, No. 7-8, pp. 993-1011.</w:t>
      </w:r>
    </w:p>
    <w:p w14:paraId="43707EFA"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Rappaport, A. (1986), </w:t>
      </w:r>
      <w:r w:rsidRPr="007048BA">
        <w:rPr>
          <w:rFonts w:cs="Times New Roman"/>
          <w:i/>
          <w:iCs/>
          <w:lang w:val="en-GB"/>
        </w:rPr>
        <w:t>Creating shareholder value: the new standard for business performance</w:t>
      </w:r>
      <w:r w:rsidRPr="007048BA">
        <w:rPr>
          <w:rFonts w:cs="Times New Roman"/>
          <w:lang w:val="en-GB"/>
        </w:rPr>
        <w:t>, Free Press.</w:t>
      </w:r>
    </w:p>
    <w:p w14:paraId="4DC4233F" w14:textId="77777777" w:rsidR="00667EA2" w:rsidRPr="007048BA" w:rsidRDefault="00667EA2" w:rsidP="00CA299A">
      <w:pPr>
        <w:pStyle w:val="References0"/>
        <w:spacing w:line="240" w:lineRule="auto"/>
        <w:rPr>
          <w:rFonts w:cs="Times New Roman"/>
          <w:i/>
          <w:lang w:val="en-GB"/>
        </w:rPr>
      </w:pPr>
      <w:r w:rsidRPr="007048BA">
        <w:rPr>
          <w:rFonts w:cs="Times New Roman"/>
          <w:lang w:val="en-GB"/>
        </w:rPr>
        <w:t xml:space="preserve">Rappaport, A. (2005), 'The economics of short-term performance obsession', </w:t>
      </w:r>
      <w:r w:rsidRPr="007048BA">
        <w:rPr>
          <w:rFonts w:cs="Times New Roman"/>
          <w:i/>
          <w:lang w:val="en-GB"/>
        </w:rPr>
        <w:t xml:space="preserve">Financial Analyst Journal, </w:t>
      </w:r>
      <w:r w:rsidRPr="007048BA">
        <w:rPr>
          <w:rFonts w:cs="Times New Roman"/>
          <w:lang w:val="en-GB"/>
        </w:rPr>
        <w:t>Vol. 61, No. 3, pp. 65-79.</w:t>
      </w:r>
    </w:p>
    <w:p w14:paraId="78890D56" w14:textId="77777777" w:rsidR="00667EA2" w:rsidRPr="007048BA" w:rsidRDefault="00667EA2" w:rsidP="00D85BF0">
      <w:pPr>
        <w:pStyle w:val="References0"/>
        <w:spacing w:line="240" w:lineRule="auto"/>
        <w:rPr>
          <w:shd w:val="clear" w:color="auto" w:fill="FFFFFF"/>
        </w:rPr>
      </w:pPr>
      <w:r w:rsidRPr="007048BA">
        <w:rPr>
          <w:shd w:val="clear" w:color="auto" w:fill="FFFFFF"/>
        </w:rPr>
        <w:t xml:space="preserve">Rhodes–Kropf, M., Robinson, D. &amp; Viswanathan, S. (2005), </w:t>
      </w:r>
      <w:r w:rsidRPr="007048BA">
        <w:rPr>
          <w:rFonts w:cs="Times New Roman"/>
          <w:lang w:val="en-GB"/>
        </w:rPr>
        <w:t>'</w:t>
      </w:r>
      <w:r w:rsidRPr="007048BA">
        <w:rPr>
          <w:shd w:val="clear" w:color="auto" w:fill="FFFFFF"/>
        </w:rPr>
        <w:t>Valuation waves and merger activity: The empirical evidence</w:t>
      </w:r>
      <w:r w:rsidRPr="007048BA">
        <w:rPr>
          <w:rFonts w:cs="Times New Roman"/>
          <w:lang w:val="en-GB"/>
        </w:rPr>
        <w:t>'</w:t>
      </w:r>
      <w:r w:rsidRPr="007048BA">
        <w:rPr>
          <w:shd w:val="clear" w:color="auto" w:fill="FFFFFF"/>
        </w:rPr>
        <w:t>, </w:t>
      </w:r>
      <w:r w:rsidRPr="007048BA">
        <w:rPr>
          <w:i/>
          <w:iCs/>
          <w:shd w:val="clear" w:color="auto" w:fill="FFFFFF"/>
        </w:rPr>
        <w:t>Journal of Financial Economics</w:t>
      </w:r>
      <w:r w:rsidRPr="007048BA">
        <w:rPr>
          <w:shd w:val="clear" w:color="auto" w:fill="FFFFFF"/>
        </w:rPr>
        <w:t xml:space="preserve">, </w:t>
      </w:r>
      <w:r w:rsidRPr="007048BA">
        <w:rPr>
          <w:rFonts w:cs="Times New Roman"/>
          <w:lang w:val="en-GB"/>
        </w:rPr>
        <w:t xml:space="preserve">Vol. </w:t>
      </w:r>
      <w:r w:rsidRPr="007048BA">
        <w:rPr>
          <w:shd w:val="clear" w:color="auto" w:fill="FFFFFF"/>
        </w:rPr>
        <w:t>77, No. 3, pp.561-603.</w:t>
      </w:r>
    </w:p>
    <w:p w14:paraId="3CD19A32"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Roychowdhury, S. (2006), 'Earnings management through real activities manipulation', </w:t>
      </w:r>
      <w:r w:rsidRPr="007048BA">
        <w:rPr>
          <w:rFonts w:cs="Times New Roman"/>
          <w:i/>
          <w:lang w:val="en-GB"/>
        </w:rPr>
        <w:t>Journal of Accounting and Economics</w:t>
      </w:r>
      <w:r w:rsidRPr="007048BA">
        <w:rPr>
          <w:rFonts w:cs="Times New Roman"/>
          <w:lang w:val="en-GB"/>
        </w:rPr>
        <w:t>, Vol. 42, pp. 335–370.</w:t>
      </w:r>
    </w:p>
    <w:p w14:paraId="5015570A" w14:textId="77777777" w:rsidR="00667EA2" w:rsidRPr="007048BA" w:rsidRDefault="00667EA2" w:rsidP="00D85BF0">
      <w:pPr>
        <w:pStyle w:val="References0"/>
        <w:spacing w:line="240" w:lineRule="auto"/>
        <w:rPr>
          <w:lang w:val="en-GB"/>
        </w:rPr>
      </w:pPr>
      <w:r w:rsidRPr="007048BA">
        <w:rPr>
          <w:shd w:val="clear" w:color="auto" w:fill="FFFFFF"/>
        </w:rPr>
        <w:t xml:space="preserve">Shleifer, A. &amp; Vishny, R. (2003), </w:t>
      </w:r>
      <w:r w:rsidRPr="007048BA">
        <w:rPr>
          <w:rFonts w:cs="Times New Roman"/>
          <w:lang w:val="en-GB"/>
        </w:rPr>
        <w:t>'</w:t>
      </w:r>
      <w:r w:rsidRPr="007048BA">
        <w:rPr>
          <w:shd w:val="clear" w:color="auto" w:fill="FFFFFF"/>
        </w:rPr>
        <w:t>Stock market driven acquisitions</w:t>
      </w:r>
      <w:r w:rsidRPr="007048BA">
        <w:rPr>
          <w:rFonts w:cs="Times New Roman"/>
          <w:lang w:val="en-GB"/>
        </w:rPr>
        <w:t>'</w:t>
      </w:r>
      <w:r w:rsidRPr="007048BA">
        <w:rPr>
          <w:shd w:val="clear" w:color="auto" w:fill="FFFFFF"/>
        </w:rPr>
        <w:t>, </w:t>
      </w:r>
      <w:r w:rsidRPr="007048BA">
        <w:rPr>
          <w:i/>
          <w:iCs/>
          <w:shd w:val="clear" w:color="auto" w:fill="FFFFFF"/>
        </w:rPr>
        <w:t>Journal of Financial Economics</w:t>
      </w:r>
      <w:r w:rsidRPr="007048BA">
        <w:rPr>
          <w:shd w:val="clear" w:color="auto" w:fill="FFFFFF"/>
        </w:rPr>
        <w:t xml:space="preserve">, </w:t>
      </w:r>
      <w:r w:rsidRPr="007048BA">
        <w:rPr>
          <w:rFonts w:cs="Times New Roman"/>
          <w:lang w:val="en-GB"/>
        </w:rPr>
        <w:t xml:space="preserve">Vol. </w:t>
      </w:r>
      <w:r w:rsidRPr="007048BA">
        <w:rPr>
          <w:shd w:val="clear" w:color="auto" w:fill="FFFFFF"/>
        </w:rPr>
        <w:t>70, No. 3, pp.295-311.</w:t>
      </w:r>
    </w:p>
    <w:p w14:paraId="5DB90388"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Shrieves, R. E. &amp; Stevens, D. L. (1979), 'Bankruptcy Avoidance as a Motive for Merger', </w:t>
      </w:r>
      <w:r w:rsidRPr="007048BA">
        <w:rPr>
          <w:rFonts w:cs="Times New Roman"/>
          <w:i/>
          <w:iCs/>
          <w:lang w:val="en-GB"/>
        </w:rPr>
        <w:t>Journal of Financial and Quantitative Analysis</w:t>
      </w:r>
      <w:r w:rsidRPr="007048BA">
        <w:rPr>
          <w:rFonts w:cs="Times New Roman"/>
          <w:lang w:val="en-GB"/>
        </w:rPr>
        <w:t>, Vol. 14, No. 3, pp. 501-515.</w:t>
      </w:r>
    </w:p>
    <w:p w14:paraId="1DC95DA3" w14:textId="77777777" w:rsidR="00667EA2" w:rsidRPr="007048BA" w:rsidRDefault="00667EA2" w:rsidP="00CA299A">
      <w:pPr>
        <w:pStyle w:val="References0"/>
        <w:spacing w:line="240" w:lineRule="auto"/>
        <w:rPr>
          <w:rFonts w:cs="Times New Roman"/>
          <w:lang w:val="en-GB"/>
        </w:rPr>
      </w:pPr>
      <w:r w:rsidRPr="007048BA">
        <w:rPr>
          <w:rFonts w:cs="Times New Roman"/>
          <w:lang w:val="en-GB"/>
        </w:rPr>
        <w:t xml:space="preserve">Soares, N. &amp; Stark, A. W. (2009), 'The Accruals Anomaly: Can Implementable Portfolio Strategies Be Developed That Are Profitable Net of Transactions Costs in the UK?', </w:t>
      </w:r>
      <w:r w:rsidRPr="007048BA">
        <w:rPr>
          <w:rFonts w:cs="Times New Roman"/>
          <w:i/>
          <w:iCs/>
          <w:lang w:val="en-GB"/>
        </w:rPr>
        <w:t>Accounting and Business Research</w:t>
      </w:r>
      <w:r w:rsidRPr="007048BA">
        <w:rPr>
          <w:rFonts w:cs="Times New Roman"/>
          <w:lang w:val="en-GB"/>
        </w:rPr>
        <w:t>, Vol. 39, No. 4, pp. 321-345.</w:t>
      </w:r>
    </w:p>
    <w:p w14:paraId="5119F8E6" w14:textId="77777777" w:rsidR="00667EA2" w:rsidRPr="007048BA" w:rsidRDefault="00667EA2" w:rsidP="00CA299A">
      <w:pPr>
        <w:pStyle w:val="References0"/>
        <w:spacing w:line="240" w:lineRule="auto"/>
        <w:rPr>
          <w:rFonts w:cs="Times New Roman"/>
          <w:lang w:val="en-GB"/>
        </w:rPr>
      </w:pPr>
      <w:r w:rsidRPr="007048BA">
        <w:rPr>
          <w:rFonts w:cs="Times New Roman"/>
          <w:lang w:val="en-GB"/>
        </w:rPr>
        <w:lastRenderedPageBreak/>
        <w:t xml:space="preserve">Tunyi, A. &amp; Ntim, C. (2016), 'National governance quality, economic growth, stock market development and firm characteristics as antecedents of African M&amp;As', </w:t>
      </w:r>
      <w:r w:rsidRPr="007048BA">
        <w:rPr>
          <w:rFonts w:cs="Times New Roman"/>
          <w:i/>
          <w:lang w:val="en-GB"/>
        </w:rPr>
        <w:t>Journal of International Management,</w:t>
      </w:r>
      <w:r w:rsidRPr="007048BA">
        <w:rPr>
          <w:rFonts w:cs="Times New Roman"/>
          <w:lang w:val="en-GB"/>
        </w:rPr>
        <w:t xml:space="preserve"> Vol. 22 (2), pp 147-167.</w:t>
      </w:r>
    </w:p>
    <w:p w14:paraId="6C6E82B8" w14:textId="77777777" w:rsidR="00667EA2" w:rsidRPr="007048BA" w:rsidRDefault="00667EA2" w:rsidP="00DE254A">
      <w:pPr>
        <w:pStyle w:val="References0"/>
        <w:spacing w:line="240" w:lineRule="auto"/>
        <w:rPr>
          <w:rFonts w:cs="Times New Roman"/>
          <w:lang w:val="en-GB"/>
        </w:rPr>
      </w:pPr>
      <w:r w:rsidRPr="007048BA">
        <w:rPr>
          <w:rFonts w:cs="Times New Roman"/>
          <w:lang w:val="en-GB"/>
        </w:rPr>
        <w:t xml:space="preserve">Wahal, S. &amp; McConnell, J. (2000), 'Do institutional investors exacerbate managerial myopia?', </w:t>
      </w:r>
      <w:r w:rsidRPr="007048BA">
        <w:rPr>
          <w:rFonts w:cs="Times New Roman"/>
          <w:i/>
          <w:lang w:val="en-GB"/>
        </w:rPr>
        <w:t>Journal of Corporate Finance</w:t>
      </w:r>
      <w:r w:rsidRPr="007048BA">
        <w:rPr>
          <w:rFonts w:cs="Times New Roman"/>
          <w:lang w:val="en-GB"/>
        </w:rPr>
        <w:t>, Vol. 6, pp. 307–329</w:t>
      </w:r>
    </w:p>
    <w:p w14:paraId="6699ADA6" w14:textId="77777777" w:rsidR="00667EA2" w:rsidRPr="007048BA" w:rsidRDefault="00667EA2" w:rsidP="00DE254A">
      <w:pPr>
        <w:pStyle w:val="References0"/>
        <w:spacing w:line="240" w:lineRule="auto"/>
        <w:rPr>
          <w:rFonts w:cs="Times New Roman"/>
          <w:lang w:val="en-GB"/>
        </w:rPr>
      </w:pPr>
      <w:r w:rsidRPr="007048BA">
        <w:rPr>
          <w:rFonts w:cs="Times New Roman"/>
          <w:lang w:val="en-GB"/>
        </w:rPr>
        <w:t xml:space="preserve">Weirsma, E., (2017), 'How and when do firms translate slack into better performance?' </w:t>
      </w:r>
      <w:r w:rsidRPr="007048BA">
        <w:rPr>
          <w:rFonts w:cs="Times New Roman"/>
          <w:i/>
          <w:lang w:val="en-GB"/>
        </w:rPr>
        <w:t>The British Accounting Review</w:t>
      </w:r>
      <w:r w:rsidRPr="007048BA">
        <w:rPr>
          <w:rFonts w:cs="Times New Roman"/>
          <w:lang w:val="en-GB"/>
        </w:rPr>
        <w:t>, Vol. 49, pp. 445-459</w:t>
      </w:r>
    </w:p>
    <w:p w14:paraId="579E00A9" w14:textId="5144973B" w:rsidR="00DE254A" w:rsidRPr="007048BA" w:rsidRDefault="00DE254A" w:rsidP="00DE254A">
      <w:pPr>
        <w:pStyle w:val="References0"/>
        <w:spacing w:line="240" w:lineRule="auto"/>
        <w:rPr>
          <w:rFonts w:cs="Times New Roman"/>
          <w:lang w:val="en-GB"/>
        </w:rPr>
      </w:pPr>
    </w:p>
    <w:p w14:paraId="14590073" w14:textId="456939AF" w:rsidR="00DE254A" w:rsidRPr="007048BA" w:rsidRDefault="00DE254A" w:rsidP="00DE254A">
      <w:pPr>
        <w:pStyle w:val="References0"/>
        <w:spacing w:line="240" w:lineRule="auto"/>
        <w:rPr>
          <w:lang w:val="en-GB"/>
        </w:rPr>
      </w:pPr>
    </w:p>
    <w:p w14:paraId="70D6C603" w14:textId="52F8383B" w:rsidR="00C079BF" w:rsidRPr="007048BA" w:rsidRDefault="00C079BF" w:rsidP="00DE254A">
      <w:pPr>
        <w:pStyle w:val="References0"/>
        <w:spacing w:line="240" w:lineRule="auto"/>
        <w:rPr>
          <w:lang w:val="en-GB"/>
        </w:rPr>
      </w:pPr>
    </w:p>
    <w:p w14:paraId="179207ED" w14:textId="23093390" w:rsidR="00C079BF" w:rsidRPr="007048BA" w:rsidRDefault="00C079BF" w:rsidP="00DE254A">
      <w:pPr>
        <w:pStyle w:val="References0"/>
        <w:spacing w:line="240" w:lineRule="auto"/>
        <w:rPr>
          <w:lang w:val="en-GB"/>
        </w:rPr>
      </w:pPr>
    </w:p>
    <w:p w14:paraId="29B75D8C" w14:textId="77777777" w:rsidR="00C079BF" w:rsidRPr="007048BA" w:rsidRDefault="00C079BF" w:rsidP="00C079BF">
      <w:pPr>
        <w:autoSpaceDE w:val="0"/>
        <w:autoSpaceDN w:val="0"/>
        <w:adjustRightInd w:val="0"/>
        <w:spacing w:after="0" w:line="240" w:lineRule="auto"/>
        <w:ind w:firstLine="227"/>
        <w:jc w:val="center"/>
        <w:rPr>
          <w:rFonts w:eastAsia="PMingLiU" w:cs="Times New Roman"/>
          <w:b/>
          <w:sz w:val="28"/>
          <w:lang w:val="en-GB" w:eastAsia="zh-TW"/>
        </w:rPr>
        <w:sectPr w:rsidR="00C079BF" w:rsidRPr="007048BA" w:rsidSect="00A26F5E">
          <w:pgSz w:w="12240" w:h="15840"/>
          <w:pgMar w:top="1304" w:right="964" w:bottom="1304" w:left="1077" w:header="720" w:footer="720" w:gutter="0"/>
          <w:cols w:space="720"/>
          <w:docGrid w:linePitch="360"/>
        </w:sectPr>
      </w:pPr>
    </w:p>
    <w:p w14:paraId="27CD7F1D" w14:textId="77777777" w:rsidR="00C079BF" w:rsidRPr="007048BA" w:rsidRDefault="00C079BF" w:rsidP="00C079BF">
      <w:pPr>
        <w:autoSpaceDE w:val="0"/>
        <w:autoSpaceDN w:val="0"/>
        <w:adjustRightInd w:val="0"/>
        <w:spacing w:after="0" w:line="240" w:lineRule="auto"/>
        <w:ind w:firstLine="227"/>
        <w:jc w:val="center"/>
        <w:rPr>
          <w:rFonts w:eastAsia="PMingLiU" w:cs="Times New Roman"/>
          <w:b/>
          <w:sz w:val="28"/>
          <w:lang w:val="en-GB" w:eastAsia="zh-TW"/>
        </w:rPr>
        <w:sectPr w:rsidR="00C079BF" w:rsidRPr="007048BA" w:rsidSect="007B5ED9">
          <w:type w:val="continuous"/>
          <w:pgSz w:w="12240" w:h="15840"/>
          <w:pgMar w:top="1304" w:right="964" w:bottom="1304" w:left="1077" w:header="720" w:footer="720" w:gutter="0"/>
          <w:cols w:space="720"/>
          <w:docGrid w:linePitch="360"/>
        </w:sectPr>
      </w:pPr>
    </w:p>
    <w:p w14:paraId="764E1D9F" w14:textId="733A8A03" w:rsidR="00C079BF" w:rsidRPr="007048BA" w:rsidRDefault="00C079BF" w:rsidP="00C079BF">
      <w:pPr>
        <w:autoSpaceDE w:val="0"/>
        <w:autoSpaceDN w:val="0"/>
        <w:adjustRightInd w:val="0"/>
        <w:spacing w:after="0" w:line="240" w:lineRule="auto"/>
        <w:ind w:firstLine="227"/>
        <w:jc w:val="center"/>
        <w:rPr>
          <w:rFonts w:eastAsia="PMingLiU" w:cs="Times New Roman"/>
          <w:b/>
          <w:sz w:val="28"/>
          <w:lang w:val="en-GB" w:eastAsia="zh-TW"/>
        </w:rPr>
      </w:pPr>
      <w:r w:rsidRPr="007048BA">
        <w:rPr>
          <w:rFonts w:eastAsia="PMingLiU" w:cs="Times New Roman"/>
          <w:b/>
          <w:sz w:val="28"/>
          <w:lang w:val="en-GB" w:eastAsia="zh-TW"/>
        </w:rPr>
        <w:lastRenderedPageBreak/>
        <w:t>Appendix 1</w:t>
      </w:r>
    </w:p>
    <w:p w14:paraId="330BE545" w14:textId="18B6B5FD" w:rsidR="00C079BF" w:rsidRPr="007048BA" w:rsidRDefault="00D56064" w:rsidP="00C079BF">
      <w:pPr>
        <w:pStyle w:val="References0"/>
        <w:spacing w:line="240" w:lineRule="auto"/>
        <w:jc w:val="center"/>
        <w:rPr>
          <w:rFonts w:eastAsia="PMingLiU" w:cs="Times New Roman"/>
          <w:b/>
          <w:sz w:val="28"/>
          <w:lang w:val="en-GB"/>
        </w:rPr>
      </w:pPr>
      <w:r w:rsidRPr="007048BA">
        <w:rPr>
          <w:rFonts w:eastAsia="PMingLiU" w:cs="Times New Roman"/>
          <w:b/>
          <w:sz w:val="28"/>
          <w:lang w:val="en-GB"/>
        </w:rPr>
        <w:t>V</w:t>
      </w:r>
      <w:r w:rsidR="00C079BF" w:rsidRPr="007048BA">
        <w:rPr>
          <w:rFonts w:eastAsia="PMingLiU" w:cs="Times New Roman"/>
          <w:b/>
          <w:sz w:val="28"/>
          <w:lang w:val="en-GB"/>
        </w:rPr>
        <w:t>ariables in the regression models</w:t>
      </w:r>
    </w:p>
    <w:p w14:paraId="47179110" w14:textId="2C9C21A9" w:rsidR="00650959" w:rsidRPr="007048BA" w:rsidRDefault="00650959" w:rsidP="00DE254A">
      <w:pPr>
        <w:autoSpaceDE w:val="0"/>
        <w:autoSpaceDN w:val="0"/>
        <w:adjustRightInd w:val="0"/>
        <w:spacing w:after="0" w:line="240" w:lineRule="auto"/>
        <w:ind w:firstLine="227"/>
        <w:jc w:val="center"/>
        <w:rPr>
          <w:rFonts w:eastAsia="PMingLiU" w:cs="Times New Roman"/>
          <w:b/>
          <w:sz w:val="28"/>
          <w:lang w:val="en-GB" w:eastAsia="zh-T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3468"/>
        <w:gridCol w:w="3827"/>
        <w:gridCol w:w="1263"/>
      </w:tblGrid>
      <w:tr w:rsidR="00DE254A" w:rsidRPr="007048BA" w14:paraId="55251C41" w14:textId="77777777" w:rsidTr="005B049D">
        <w:tc>
          <w:tcPr>
            <w:tcW w:w="800" w:type="pct"/>
            <w:tcBorders>
              <w:top w:val="single" w:sz="4" w:space="0" w:color="auto"/>
            </w:tcBorders>
          </w:tcPr>
          <w:p w14:paraId="7ABDB357" w14:textId="77777777" w:rsidR="00DE254A" w:rsidRPr="007048BA" w:rsidRDefault="00DE254A" w:rsidP="002435DE">
            <w:pPr>
              <w:autoSpaceDE w:val="0"/>
              <w:autoSpaceDN w:val="0"/>
              <w:adjustRightInd w:val="0"/>
              <w:spacing w:after="0" w:line="240" w:lineRule="auto"/>
              <w:ind w:firstLine="0"/>
              <w:jc w:val="center"/>
              <w:rPr>
                <w:rFonts w:eastAsia="PMingLiU" w:cs="Times New Roman"/>
                <w:b/>
                <w:i/>
                <w:sz w:val="22"/>
                <w:lang w:val="en-GB" w:eastAsia="zh-TW"/>
              </w:rPr>
            </w:pPr>
            <w:r w:rsidRPr="007048BA">
              <w:rPr>
                <w:rFonts w:eastAsia="PMingLiU" w:cs="Times New Roman"/>
                <w:b/>
                <w:i/>
                <w:sz w:val="22"/>
                <w:lang w:val="en-GB" w:eastAsia="zh-TW"/>
              </w:rPr>
              <w:t>Prediction hypotheses</w:t>
            </w:r>
          </w:p>
        </w:tc>
        <w:tc>
          <w:tcPr>
            <w:tcW w:w="1702" w:type="pct"/>
            <w:tcBorders>
              <w:top w:val="single" w:sz="4" w:space="0" w:color="auto"/>
            </w:tcBorders>
          </w:tcPr>
          <w:p w14:paraId="5A961707" w14:textId="5C5BAF18" w:rsidR="00DE254A" w:rsidRPr="007048BA" w:rsidRDefault="00DE254A" w:rsidP="004115EA">
            <w:pPr>
              <w:autoSpaceDE w:val="0"/>
              <w:autoSpaceDN w:val="0"/>
              <w:adjustRightInd w:val="0"/>
              <w:spacing w:after="0" w:line="240" w:lineRule="auto"/>
              <w:ind w:firstLine="227"/>
              <w:jc w:val="center"/>
              <w:rPr>
                <w:rFonts w:eastAsia="PMingLiU" w:cs="Times New Roman"/>
                <w:b/>
                <w:i/>
                <w:sz w:val="22"/>
                <w:lang w:val="en-GB" w:eastAsia="zh-TW"/>
              </w:rPr>
            </w:pPr>
            <w:r w:rsidRPr="007048BA">
              <w:rPr>
                <w:rFonts w:eastAsia="PMingLiU" w:cs="Times New Roman"/>
                <w:b/>
                <w:i/>
                <w:sz w:val="22"/>
                <w:lang w:val="en-GB" w:eastAsia="zh-TW"/>
              </w:rPr>
              <w:t>Rationale</w:t>
            </w:r>
            <w:r w:rsidR="002435DE" w:rsidRPr="007048BA">
              <w:rPr>
                <w:rFonts w:eastAsia="PMingLiU" w:cs="Times New Roman"/>
                <w:b/>
                <w:i/>
                <w:sz w:val="22"/>
                <w:lang w:val="en-GB" w:eastAsia="zh-TW"/>
              </w:rPr>
              <w:t xml:space="preserve"> for use</w:t>
            </w:r>
            <w:r w:rsidR="004115EA" w:rsidRPr="007048BA">
              <w:rPr>
                <w:rFonts w:eastAsia="PMingLiU" w:cs="Times New Roman"/>
                <w:b/>
                <w:i/>
                <w:sz w:val="22"/>
                <w:lang w:val="en-GB" w:eastAsia="zh-TW"/>
              </w:rPr>
              <w:t xml:space="preserve"> in takeover likelihood modelling</w:t>
            </w:r>
          </w:p>
        </w:tc>
        <w:tc>
          <w:tcPr>
            <w:tcW w:w="1878" w:type="pct"/>
            <w:tcBorders>
              <w:top w:val="single" w:sz="4" w:space="0" w:color="auto"/>
            </w:tcBorders>
          </w:tcPr>
          <w:p w14:paraId="4AFE3C49" w14:textId="74B347E5" w:rsidR="00DE254A" w:rsidRPr="007048BA" w:rsidRDefault="00DE254A" w:rsidP="002435DE">
            <w:pPr>
              <w:autoSpaceDE w:val="0"/>
              <w:autoSpaceDN w:val="0"/>
              <w:adjustRightInd w:val="0"/>
              <w:spacing w:after="0" w:line="240" w:lineRule="auto"/>
              <w:ind w:firstLine="227"/>
              <w:jc w:val="center"/>
              <w:rPr>
                <w:rFonts w:eastAsia="PMingLiU" w:cs="Times New Roman"/>
                <w:b/>
                <w:i/>
                <w:sz w:val="22"/>
                <w:lang w:val="en-GB" w:eastAsia="zh-TW"/>
              </w:rPr>
            </w:pPr>
            <w:r w:rsidRPr="007048BA">
              <w:rPr>
                <w:rFonts w:eastAsia="PMingLiU" w:cs="Times New Roman"/>
                <w:b/>
                <w:i/>
                <w:sz w:val="22"/>
                <w:lang w:val="en-GB" w:eastAsia="zh-TW"/>
              </w:rPr>
              <w:t>Proxy (sign)</w:t>
            </w:r>
            <w:r w:rsidR="002435DE" w:rsidRPr="007048BA">
              <w:rPr>
                <w:rFonts w:eastAsia="PMingLiU" w:cs="Times New Roman"/>
                <w:b/>
                <w:i/>
                <w:sz w:val="22"/>
                <w:lang w:val="en-GB" w:eastAsia="zh-TW"/>
              </w:rPr>
              <w:t xml:space="preserve"> &amp; DataStream codes</w:t>
            </w:r>
          </w:p>
        </w:tc>
        <w:tc>
          <w:tcPr>
            <w:tcW w:w="620" w:type="pct"/>
            <w:tcBorders>
              <w:top w:val="single" w:sz="4" w:space="0" w:color="auto"/>
            </w:tcBorders>
          </w:tcPr>
          <w:p w14:paraId="165BA712" w14:textId="6EC8C575" w:rsidR="00DE254A" w:rsidRPr="007048BA" w:rsidRDefault="002435DE" w:rsidP="002435DE">
            <w:pPr>
              <w:autoSpaceDE w:val="0"/>
              <w:autoSpaceDN w:val="0"/>
              <w:adjustRightInd w:val="0"/>
              <w:spacing w:after="0" w:line="240" w:lineRule="auto"/>
              <w:ind w:firstLine="0"/>
              <w:jc w:val="center"/>
              <w:rPr>
                <w:rFonts w:eastAsia="PMingLiU" w:cs="Times New Roman"/>
                <w:b/>
                <w:i/>
                <w:sz w:val="22"/>
                <w:lang w:val="en-GB" w:eastAsia="zh-TW"/>
              </w:rPr>
            </w:pPr>
            <w:r w:rsidRPr="007048BA">
              <w:rPr>
                <w:rFonts w:eastAsia="PMingLiU" w:cs="Times New Roman"/>
                <w:b/>
                <w:i/>
                <w:sz w:val="22"/>
                <w:lang w:val="en-GB" w:eastAsia="zh-TW"/>
              </w:rPr>
              <w:t xml:space="preserve">Relevant </w:t>
            </w:r>
            <w:r w:rsidR="00DE254A" w:rsidRPr="007048BA">
              <w:rPr>
                <w:rFonts w:eastAsia="PMingLiU" w:cs="Times New Roman"/>
                <w:b/>
                <w:i/>
                <w:sz w:val="22"/>
                <w:lang w:val="en-GB" w:eastAsia="zh-TW"/>
              </w:rPr>
              <w:t>References</w:t>
            </w:r>
          </w:p>
        </w:tc>
      </w:tr>
      <w:tr w:rsidR="00DE254A" w:rsidRPr="007048BA" w14:paraId="69E24750" w14:textId="77777777" w:rsidTr="005B049D">
        <w:tc>
          <w:tcPr>
            <w:tcW w:w="800" w:type="pct"/>
          </w:tcPr>
          <w:p w14:paraId="0BB9C4BB" w14:textId="77777777" w:rsidR="00DE254A" w:rsidRPr="007048BA" w:rsidRDefault="00DE254A" w:rsidP="00DE254A">
            <w:pPr>
              <w:autoSpaceDE w:val="0"/>
              <w:autoSpaceDN w:val="0"/>
              <w:adjustRightInd w:val="0"/>
              <w:spacing w:after="0" w:line="240" w:lineRule="auto"/>
              <w:ind w:firstLine="0"/>
              <w:rPr>
                <w:rFonts w:eastAsia="PMingLiU" w:cs="Times New Roman"/>
                <w:sz w:val="22"/>
                <w:lang w:val="en-GB" w:eastAsia="zh-TW"/>
              </w:rPr>
            </w:pPr>
            <w:r w:rsidRPr="007048BA">
              <w:rPr>
                <w:rFonts w:eastAsia="PMingLiU" w:cs="Times New Roman"/>
                <w:sz w:val="22"/>
                <w:lang w:val="en-GB" w:eastAsia="zh-TW"/>
              </w:rPr>
              <w:t>Misvaluation</w:t>
            </w:r>
          </w:p>
          <w:p w14:paraId="70BCE89C" w14:textId="77777777" w:rsidR="00DE254A" w:rsidRPr="007048BA" w:rsidRDefault="00DE254A" w:rsidP="00DE254A">
            <w:pPr>
              <w:autoSpaceDE w:val="0"/>
              <w:autoSpaceDN w:val="0"/>
              <w:adjustRightInd w:val="0"/>
              <w:spacing w:after="0" w:line="240" w:lineRule="auto"/>
              <w:ind w:firstLine="227"/>
              <w:rPr>
                <w:rFonts w:eastAsia="PMingLiU" w:cs="Times New Roman"/>
                <w:sz w:val="22"/>
                <w:lang w:val="en-GB" w:eastAsia="zh-TW"/>
              </w:rPr>
            </w:pPr>
          </w:p>
          <w:p w14:paraId="1A34AF19" w14:textId="77777777" w:rsidR="00DE254A" w:rsidRPr="007048BA" w:rsidRDefault="00DE254A" w:rsidP="00DE254A">
            <w:pPr>
              <w:autoSpaceDE w:val="0"/>
              <w:autoSpaceDN w:val="0"/>
              <w:adjustRightInd w:val="0"/>
              <w:spacing w:after="0" w:line="240" w:lineRule="auto"/>
              <w:ind w:firstLine="227"/>
              <w:rPr>
                <w:rFonts w:eastAsia="PMingLiU" w:cs="Times New Roman"/>
                <w:sz w:val="22"/>
                <w:lang w:val="en-GB" w:eastAsia="zh-TW"/>
              </w:rPr>
            </w:pPr>
          </w:p>
        </w:tc>
        <w:tc>
          <w:tcPr>
            <w:tcW w:w="1702" w:type="pct"/>
          </w:tcPr>
          <w:p w14:paraId="722E0076" w14:textId="77777777" w:rsidR="00DE254A" w:rsidRPr="007048BA" w:rsidRDefault="00DE254A" w:rsidP="00DE254A">
            <w:pPr>
              <w:autoSpaceDE w:val="0"/>
              <w:autoSpaceDN w:val="0"/>
              <w:adjustRightInd w:val="0"/>
              <w:spacing w:before="120" w:line="240" w:lineRule="auto"/>
              <w:ind w:firstLine="0"/>
              <w:jc w:val="left"/>
              <w:rPr>
                <w:rFonts w:eastAsia="PMingLiU" w:cs="Times New Roman"/>
                <w:sz w:val="22"/>
                <w:lang w:val="en-GB" w:eastAsia="zh-TW"/>
              </w:rPr>
            </w:pPr>
            <w:r w:rsidRPr="007048BA">
              <w:rPr>
                <w:rFonts w:eastAsia="PMingLiU" w:cs="Times New Roman"/>
                <w:sz w:val="22"/>
                <w:lang w:val="en-GB" w:eastAsia="zh-TW"/>
              </w:rPr>
              <w:t>Bidders seek to profit from takeovers by buying undervalued targets for cash at a price below fundamental value, or by paying equity for targets that, even if overvalued, are less overvalued than the bidder.</w:t>
            </w:r>
          </w:p>
        </w:tc>
        <w:tc>
          <w:tcPr>
            <w:tcW w:w="1878" w:type="pct"/>
          </w:tcPr>
          <w:p w14:paraId="1A085535" w14:textId="77777777" w:rsidR="005619E0" w:rsidRPr="007048BA" w:rsidRDefault="005619E0" w:rsidP="005619E0">
            <w:pPr>
              <w:autoSpaceDE w:val="0"/>
              <w:autoSpaceDN w:val="0"/>
              <w:adjustRightInd w:val="0"/>
              <w:spacing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t xml:space="preserve">Tobin’s Q </w:t>
            </w:r>
          </w:p>
          <w:p w14:paraId="321CCE3B" w14:textId="44E28A68" w:rsidR="009E5747" w:rsidRPr="007048BA" w:rsidRDefault="00DE254A" w:rsidP="005619E0">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TBQ</w:t>
            </w:r>
            <w:r w:rsidR="005619E0" w:rsidRPr="007048BA">
              <w:rPr>
                <w:rFonts w:eastAsia="PMingLiU" w:cs="Times New Roman"/>
                <w:sz w:val="22"/>
                <w:lang w:val="en-GB" w:eastAsia="zh-TW"/>
              </w:rPr>
              <w:t xml:space="preserve"> </w:t>
            </w:r>
            <w:r w:rsidRPr="007048BA">
              <w:rPr>
                <w:rFonts w:eastAsia="PMingLiU" w:cs="Times New Roman"/>
                <w:sz w:val="22"/>
                <w:lang w:val="en-GB" w:eastAsia="zh-TW"/>
              </w:rPr>
              <w:t>(-):</w:t>
            </w:r>
            <w:r w:rsidR="009E5747" w:rsidRPr="007048BA">
              <w:rPr>
                <w:rFonts w:eastAsia="PMingLiU" w:cs="Times New Roman"/>
                <w:sz w:val="22"/>
                <w:lang w:val="en-GB" w:eastAsia="zh-TW"/>
              </w:rPr>
              <w:t xml:space="preserve"> </w:t>
            </w:r>
            <w:r w:rsidR="0059694D" w:rsidRPr="007048BA">
              <w:rPr>
                <w:rFonts w:eastAsia="PMingLiU" w:cs="Times New Roman"/>
                <w:sz w:val="22"/>
                <w:lang w:val="en-GB" w:eastAsia="zh-TW"/>
              </w:rPr>
              <w:t>M</w:t>
            </w:r>
            <w:r w:rsidRPr="007048BA">
              <w:rPr>
                <w:rFonts w:eastAsia="PMingLiU" w:cs="Times New Roman"/>
                <w:sz w:val="22"/>
                <w:lang w:val="en-GB" w:eastAsia="zh-TW"/>
              </w:rPr>
              <w:t xml:space="preserve">arket value </w:t>
            </w:r>
            <w:r w:rsidR="000578F8" w:rsidRPr="007048BA">
              <w:rPr>
                <w:rFonts w:eastAsia="PMingLiU" w:cs="Times New Roman"/>
                <w:sz w:val="22"/>
                <w:lang w:val="en-GB" w:eastAsia="zh-TW"/>
              </w:rPr>
              <w:t>of assets</w:t>
            </w:r>
            <w:r w:rsidR="005619E0" w:rsidRPr="007048BA">
              <w:rPr>
                <w:rFonts w:eastAsia="PMingLiU" w:cs="Times New Roman"/>
                <w:sz w:val="22"/>
                <w:lang w:val="en-GB" w:eastAsia="zh-TW"/>
              </w:rPr>
              <w:t xml:space="preserve"> (MVA)</w:t>
            </w:r>
            <w:r w:rsidR="000578F8" w:rsidRPr="007048BA">
              <w:rPr>
                <w:rFonts w:eastAsia="PMingLiU" w:cs="Times New Roman"/>
                <w:sz w:val="22"/>
                <w:lang w:val="en-GB" w:eastAsia="zh-TW"/>
              </w:rPr>
              <w:t xml:space="preserve"> </w:t>
            </w:r>
            <w:r w:rsidRPr="007048BA">
              <w:rPr>
                <w:rFonts w:eastAsia="PMingLiU" w:cs="Times New Roman"/>
                <w:sz w:val="22"/>
                <w:lang w:val="en-GB" w:eastAsia="zh-TW"/>
              </w:rPr>
              <w:t>to replacement cost of assets</w:t>
            </w:r>
            <w:r w:rsidR="005619E0" w:rsidRPr="007048BA">
              <w:rPr>
                <w:rFonts w:eastAsia="PMingLiU" w:cs="Times New Roman"/>
                <w:sz w:val="22"/>
                <w:lang w:val="en-GB" w:eastAsia="zh-TW"/>
              </w:rPr>
              <w:t xml:space="preserve"> (RCA)</w:t>
            </w:r>
            <w:r w:rsidR="00E36AF7" w:rsidRPr="007048BA">
              <w:rPr>
                <w:rFonts w:eastAsia="PMingLiU" w:cs="Times New Roman"/>
                <w:sz w:val="22"/>
                <w:lang w:val="en-GB" w:eastAsia="zh-TW"/>
              </w:rPr>
              <w:t xml:space="preserve"> where </w:t>
            </w:r>
            <w:r w:rsidR="009E5747" w:rsidRPr="007048BA">
              <w:rPr>
                <w:rFonts w:eastAsia="PMingLiU" w:cs="Times New Roman"/>
                <w:sz w:val="22"/>
                <w:lang w:val="en-GB" w:eastAsia="zh-TW"/>
              </w:rPr>
              <w:t>MVA</w:t>
            </w:r>
            <w:r w:rsidR="00E36AF7" w:rsidRPr="007048BA">
              <w:rPr>
                <w:rFonts w:eastAsia="PMingLiU" w:cs="Times New Roman"/>
                <w:sz w:val="22"/>
                <w:lang w:val="en-GB" w:eastAsia="zh-TW"/>
              </w:rPr>
              <w:t xml:space="preserve"> is the sum of book value of debt (BVD) and market value of equity (MVE).</w:t>
            </w:r>
          </w:p>
          <w:p w14:paraId="0A0E9B7E" w14:textId="77777777" w:rsidR="00E36AF7" w:rsidRPr="007048BA" w:rsidRDefault="00E36AF7" w:rsidP="005619E0">
            <w:pPr>
              <w:autoSpaceDE w:val="0"/>
              <w:autoSpaceDN w:val="0"/>
              <w:adjustRightInd w:val="0"/>
              <w:spacing w:after="0" w:line="240" w:lineRule="auto"/>
              <w:ind w:firstLine="0"/>
              <w:jc w:val="left"/>
              <w:rPr>
                <w:rFonts w:eastAsia="PMingLiU" w:cs="Times New Roman"/>
                <w:sz w:val="22"/>
                <w:lang w:val="en-GB" w:eastAsia="zh-TW"/>
              </w:rPr>
            </w:pPr>
          </w:p>
          <w:p w14:paraId="64692617" w14:textId="17208528" w:rsidR="00E36AF7" w:rsidRPr="007048BA" w:rsidRDefault="00E36AF7" w:rsidP="005619E0">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BVD is total assets (</w:t>
            </w:r>
            <w:r w:rsidR="00253269" w:rsidRPr="007048BA">
              <w:rPr>
                <w:rFonts w:eastAsia="PMingLiU" w:cs="Times New Roman"/>
                <w:sz w:val="22"/>
                <w:lang w:val="en-GB" w:eastAsia="zh-TW"/>
              </w:rPr>
              <w:t>WC02999</w:t>
            </w:r>
            <w:r w:rsidRPr="007048BA">
              <w:rPr>
                <w:rFonts w:eastAsia="PMingLiU" w:cs="Times New Roman"/>
                <w:sz w:val="22"/>
                <w:lang w:val="en-GB" w:eastAsia="zh-TW"/>
              </w:rPr>
              <w:t>) minus shareholder equity (</w:t>
            </w:r>
            <w:r w:rsidR="00253269" w:rsidRPr="007048BA">
              <w:rPr>
                <w:rFonts w:eastAsia="PMingLiU" w:cs="Times New Roman"/>
                <w:sz w:val="22"/>
                <w:lang w:val="en-GB" w:eastAsia="zh-TW"/>
              </w:rPr>
              <w:t>WC03995</w:t>
            </w:r>
            <w:r w:rsidRPr="007048BA">
              <w:rPr>
                <w:rFonts w:eastAsia="PMingLiU" w:cs="Times New Roman"/>
                <w:sz w:val="22"/>
                <w:lang w:val="en-GB" w:eastAsia="zh-TW"/>
              </w:rPr>
              <w:t>).</w:t>
            </w:r>
          </w:p>
          <w:p w14:paraId="3B90163B" w14:textId="77777777" w:rsidR="00E36AF7" w:rsidRPr="007048BA" w:rsidRDefault="00E36AF7" w:rsidP="005619E0">
            <w:pPr>
              <w:autoSpaceDE w:val="0"/>
              <w:autoSpaceDN w:val="0"/>
              <w:adjustRightInd w:val="0"/>
              <w:spacing w:after="0" w:line="240" w:lineRule="auto"/>
              <w:ind w:firstLine="0"/>
              <w:jc w:val="left"/>
              <w:rPr>
                <w:rFonts w:eastAsia="PMingLiU" w:cs="Times New Roman"/>
                <w:sz w:val="22"/>
                <w:lang w:val="en-GB" w:eastAsia="zh-TW"/>
              </w:rPr>
            </w:pPr>
          </w:p>
          <w:p w14:paraId="28ABD4F6" w14:textId="5241C0FD" w:rsidR="00E36AF7" w:rsidRPr="007048BA" w:rsidRDefault="00E36AF7" w:rsidP="005619E0">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MVE is number of shares outstanding (NOSH) multiplied by share price in pounds (UP/100).</w:t>
            </w:r>
          </w:p>
          <w:p w14:paraId="3F958300" w14:textId="77777777" w:rsidR="00E36AF7" w:rsidRPr="007048BA" w:rsidRDefault="00E36AF7" w:rsidP="005619E0">
            <w:pPr>
              <w:autoSpaceDE w:val="0"/>
              <w:autoSpaceDN w:val="0"/>
              <w:adjustRightInd w:val="0"/>
              <w:spacing w:after="0" w:line="240" w:lineRule="auto"/>
              <w:ind w:firstLine="0"/>
              <w:jc w:val="left"/>
              <w:rPr>
                <w:rFonts w:eastAsia="PMingLiU" w:cs="Times New Roman"/>
                <w:sz w:val="22"/>
                <w:lang w:val="en-GB" w:eastAsia="zh-TW"/>
              </w:rPr>
            </w:pPr>
          </w:p>
          <w:p w14:paraId="0C9EC8C6" w14:textId="0F7198EB" w:rsidR="00E36AF7" w:rsidRPr="007048BA" w:rsidRDefault="00E36AF7" w:rsidP="005619E0">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RCA is proxied by the book value of total assets (</w:t>
            </w:r>
            <w:r w:rsidR="00793A2D" w:rsidRPr="007048BA">
              <w:rPr>
                <w:rFonts w:eastAsia="PMingLiU" w:cs="Times New Roman"/>
                <w:sz w:val="22"/>
                <w:lang w:val="en-GB" w:eastAsia="zh-TW"/>
              </w:rPr>
              <w:t>WC02999</w:t>
            </w:r>
            <w:r w:rsidRPr="007048BA">
              <w:rPr>
                <w:rFonts w:eastAsia="PMingLiU" w:cs="Times New Roman"/>
                <w:sz w:val="22"/>
                <w:lang w:val="en-GB" w:eastAsia="zh-TW"/>
              </w:rPr>
              <w:t>).</w:t>
            </w:r>
          </w:p>
          <w:p w14:paraId="14042639" w14:textId="650C8E2E" w:rsidR="00E86E32" w:rsidRPr="007048BA" w:rsidRDefault="00E86E32" w:rsidP="005619E0">
            <w:pPr>
              <w:autoSpaceDE w:val="0"/>
              <w:autoSpaceDN w:val="0"/>
              <w:adjustRightInd w:val="0"/>
              <w:spacing w:after="0" w:line="240" w:lineRule="auto"/>
              <w:ind w:firstLine="0"/>
              <w:jc w:val="left"/>
              <w:rPr>
                <w:rFonts w:eastAsia="PMingLiU" w:cs="Times New Roman"/>
                <w:sz w:val="22"/>
                <w:lang w:val="en-GB" w:eastAsia="zh-TW"/>
              </w:rPr>
            </w:pPr>
          </w:p>
          <w:p w14:paraId="2DB77243" w14:textId="199EB64F" w:rsidR="005866D6" w:rsidRPr="007048BA" w:rsidRDefault="005866D6" w:rsidP="005619E0">
            <w:pPr>
              <w:autoSpaceDE w:val="0"/>
              <w:autoSpaceDN w:val="0"/>
              <w:adjustRightInd w:val="0"/>
              <w:spacing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t>Market to book value</w:t>
            </w:r>
          </w:p>
          <w:p w14:paraId="2B867ED2" w14:textId="77777777" w:rsidR="005866D6" w:rsidRPr="007048BA" w:rsidRDefault="00E86E32" w:rsidP="005619E0">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 xml:space="preserve">In additional tests, we have used the market to book (MTB) value as an alternative proxy. </w:t>
            </w:r>
          </w:p>
          <w:p w14:paraId="5E382786" w14:textId="77777777" w:rsidR="005866D6" w:rsidRPr="007048BA" w:rsidRDefault="005866D6" w:rsidP="005619E0">
            <w:pPr>
              <w:autoSpaceDE w:val="0"/>
              <w:autoSpaceDN w:val="0"/>
              <w:adjustRightInd w:val="0"/>
              <w:spacing w:after="0" w:line="240" w:lineRule="auto"/>
              <w:ind w:firstLine="0"/>
              <w:jc w:val="left"/>
              <w:rPr>
                <w:rFonts w:eastAsia="PMingLiU" w:cs="Times New Roman"/>
                <w:sz w:val="22"/>
                <w:lang w:val="en-GB" w:eastAsia="zh-TW"/>
              </w:rPr>
            </w:pPr>
          </w:p>
          <w:p w14:paraId="2CBF2381" w14:textId="56B7A4BF" w:rsidR="00E86E32" w:rsidRPr="007048BA" w:rsidRDefault="00E86E32" w:rsidP="005619E0">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 xml:space="preserve">It is defined as </w:t>
            </w:r>
            <w:r w:rsidR="005866D6" w:rsidRPr="007048BA">
              <w:rPr>
                <w:rFonts w:eastAsia="PMingLiU" w:cs="Times New Roman"/>
                <w:sz w:val="22"/>
                <w:lang w:val="en-GB" w:eastAsia="zh-TW"/>
              </w:rPr>
              <w:t>market value of equity</w:t>
            </w:r>
            <w:r w:rsidRPr="007048BA">
              <w:rPr>
                <w:rFonts w:eastAsia="PMingLiU" w:cs="Times New Roman"/>
                <w:sz w:val="22"/>
                <w:lang w:val="en-GB" w:eastAsia="zh-TW"/>
              </w:rPr>
              <w:t xml:space="preserve"> </w:t>
            </w:r>
            <w:r w:rsidR="005866D6" w:rsidRPr="007048BA">
              <w:rPr>
                <w:rFonts w:eastAsia="PMingLiU" w:cs="Times New Roman"/>
                <w:sz w:val="22"/>
                <w:lang w:val="en-GB" w:eastAsia="zh-TW"/>
              </w:rPr>
              <w:t>MVE</w:t>
            </w:r>
            <w:r w:rsidRPr="007048BA">
              <w:rPr>
                <w:rFonts w:eastAsia="PMingLiU" w:cs="Times New Roman"/>
                <w:sz w:val="22"/>
                <w:lang w:val="en-GB" w:eastAsia="zh-TW"/>
              </w:rPr>
              <w:t xml:space="preserve">) divided by book value of </w:t>
            </w:r>
            <w:r w:rsidR="005866D6" w:rsidRPr="007048BA">
              <w:rPr>
                <w:rFonts w:eastAsia="PMingLiU" w:cs="Times New Roman"/>
                <w:sz w:val="22"/>
                <w:lang w:val="en-GB" w:eastAsia="zh-TW"/>
              </w:rPr>
              <w:t>equity</w:t>
            </w:r>
            <w:r w:rsidRPr="007048BA">
              <w:rPr>
                <w:rFonts w:eastAsia="PMingLiU" w:cs="Times New Roman"/>
                <w:sz w:val="22"/>
                <w:lang w:val="en-GB" w:eastAsia="zh-TW"/>
              </w:rPr>
              <w:t xml:space="preserve"> (WC02999</w:t>
            </w:r>
            <w:r w:rsidR="005866D6" w:rsidRPr="007048BA">
              <w:rPr>
                <w:rFonts w:eastAsia="PMingLiU" w:cs="Times New Roman"/>
                <w:sz w:val="22"/>
                <w:lang w:val="en-GB" w:eastAsia="zh-TW"/>
              </w:rPr>
              <w:t>-WC03255</w:t>
            </w:r>
            <w:r w:rsidRPr="007048BA">
              <w:rPr>
                <w:rFonts w:eastAsia="PMingLiU" w:cs="Times New Roman"/>
                <w:sz w:val="22"/>
                <w:lang w:val="en-GB" w:eastAsia="zh-TW"/>
              </w:rPr>
              <w:t>).</w:t>
            </w:r>
          </w:p>
          <w:p w14:paraId="1C0E5CBD" w14:textId="5D6BD387" w:rsidR="00E36AF7" w:rsidRPr="007048BA" w:rsidRDefault="00E36AF7" w:rsidP="005619E0">
            <w:pPr>
              <w:autoSpaceDE w:val="0"/>
              <w:autoSpaceDN w:val="0"/>
              <w:adjustRightInd w:val="0"/>
              <w:spacing w:after="0" w:line="240" w:lineRule="auto"/>
              <w:ind w:firstLine="0"/>
              <w:jc w:val="left"/>
              <w:rPr>
                <w:rFonts w:eastAsia="PMingLiU" w:cs="Times New Roman"/>
                <w:sz w:val="22"/>
                <w:lang w:val="en-GB" w:eastAsia="zh-TW"/>
              </w:rPr>
            </w:pPr>
          </w:p>
        </w:tc>
        <w:tc>
          <w:tcPr>
            <w:tcW w:w="620" w:type="pct"/>
          </w:tcPr>
          <w:p w14:paraId="6E088158" w14:textId="77777777" w:rsidR="00DE254A" w:rsidRPr="007048BA" w:rsidRDefault="00DE254A" w:rsidP="00DE254A">
            <w:pPr>
              <w:autoSpaceDE w:val="0"/>
              <w:autoSpaceDN w:val="0"/>
              <w:adjustRightInd w:val="0"/>
              <w:spacing w:before="120" w:line="240" w:lineRule="auto"/>
              <w:ind w:firstLine="0"/>
              <w:jc w:val="left"/>
              <w:rPr>
                <w:rFonts w:eastAsia="PMingLiU" w:cs="Times New Roman"/>
                <w:sz w:val="22"/>
                <w:lang w:val="fr-FR" w:eastAsia="zh-TW"/>
              </w:rPr>
            </w:pPr>
            <w:r w:rsidRPr="007048BA">
              <w:rPr>
                <w:rFonts w:eastAsia="PMingLiU" w:cs="Times New Roman"/>
                <w:sz w:val="22"/>
                <w:lang w:val="fr-FR" w:eastAsia="zh-TW"/>
              </w:rPr>
              <w:t>Danbolt et al. (2016);</w:t>
            </w:r>
          </w:p>
          <w:p w14:paraId="57570022" w14:textId="77777777" w:rsidR="00DE254A" w:rsidRPr="007048BA" w:rsidRDefault="00DE254A" w:rsidP="00DE254A">
            <w:pPr>
              <w:autoSpaceDE w:val="0"/>
              <w:autoSpaceDN w:val="0"/>
              <w:adjustRightInd w:val="0"/>
              <w:spacing w:before="120" w:line="240" w:lineRule="auto"/>
              <w:ind w:firstLine="0"/>
              <w:jc w:val="left"/>
              <w:rPr>
                <w:rFonts w:eastAsia="PMingLiU" w:cs="Times New Roman"/>
                <w:sz w:val="22"/>
                <w:lang w:val="fr-FR" w:eastAsia="zh-TW"/>
              </w:rPr>
            </w:pPr>
            <w:r w:rsidRPr="007048BA">
              <w:rPr>
                <w:rFonts w:eastAsia="PMingLiU" w:cs="Times New Roman"/>
                <w:sz w:val="22"/>
                <w:lang w:val="fr-FR" w:eastAsia="zh-TW"/>
              </w:rPr>
              <w:t>Dong et al. (2006).</w:t>
            </w:r>
          </w:p>
          <w:p w14:paraId="3FACF93C" w14:textId="77777777" w:rsidR="00DE254A" w:rsidRPr="007048BA" w:rsidRDefault="00DE254A" w:rsidP="00DE254A">
            <w:pPr>
              <w:autoSpaceDE w:val="0"/>
              <w:autoSpaceDN w:val="0"/>
              <w:adjustRightInd w:val="0"/>
              <w:spacing w:before="120" w:line="240" w:lineRule="auto"/>
              <w:ind w:firstLine="227"/>
              <w:jc w:val="left"/>
              <w:rPr>
                <w:rFonts w:eastAsia="PMingLiU" w:cs="Times New Roman"/>
                <w:sz w:val="22"/>
                <w:lang w:val="fr-FR" w:eastAsia="zh-TW"/>
              </w:rPr>
            </w:pPr>
          </w:p>
        </w:tc>
      </w:tr>
      <w:tr w:rsidR="00DE254A" w:rsidRPr="007048BA" w14:paraId="3F16F20B" w14:textId="77777777" w:rsidTr="005B049D">
        <w:tc>
          <w:tcPr>
            <w:tcW w:w="800" w:type="pct"/>
          </w:tcPr>
          <w:p w14:paraId="28D6C412" w14:textId="609463A8" w:rsidR="00DE254A" w:rsidRPr="007048BA" w:rsidRDefault="00DE254A" w:rsidP="00DE254A">
            <w:pPr>
              <w:autoSpaceDE w:val="0"/>
              <w:autoSpaceDN w:val="0"/>
              <w:adjustRightInd w:val="0"/>
              <w:spacing w:after="0" w:line="240" w:lineRule="auto"/>
              <w:ind w:firstLine="0"/>
              <w:rPr>
                <w:rFonts w:eastAsia="PMingLiU" w:cs="Times New Roman"/>
                <w:sz w:val="22"/>
                <w:lang w:val="en-GB" w:eastAsia="zh-TW"/>
              </w:rPr>
            </w:pPr>
            <w:r w:rsidRPr="007048BA">
              <w:rPr>
                <w:rFonts w:eastAsia="PMingLiU" w:cs="Times New Roman"/>
                <w:sz w:val="22"/>
                <w:lang w:val="en-GB" w:eastAsia="zh-TW"/>
              </w:rPr>
              <w:t xml:space="preserve">Growth-resource mismatch </w:t>
            </w:r>
          </w:p>
          <w:p w14:paraId="37BFFBD9" w14:textId="77777777" w:rsidR="005619E0" w:rsidRPr="007048BA" w:rsidRDefault="005619E0" w:rsidP="00DE254A">
            <w:pPr>
              <w:autoSpaceDE w:val="0"/>
              <w:autoSpaceDN w:val="0"/>
              <w:adjustRightInd w:val="0"/>
              <w:spacing w:after="0" w:line="240" w:lineRule="auto"/>
              <w:ind w:firstLine="0"/>
              <w:rPr>
                <w:rFonts w:eastAsia="PMingLiU" w:cs="Times New Roman"/>
                <w:sz w:val="22"/>
                <w:lang w:val="en-GB" w:eastAsia="zh-TW"/>
              </w:rPr>
            </w:pPr>
          </w:p>
          <w:p w14:paraId="41899A96" w14:textId="00DB5DD1" w:rsidR="005619E0" w:rsidRPr="007048BA" w:rsidRDefault="005619E0" w:rsidP="00DE254A">
            <w:pPr>
              <w:autoSpaceDE w:val="0"/>
              <w:autoSpaceDN w:val="0"/>
              <w:adjustRightInd w:val="0"/>
              <w:spacing w:after="0" w:line="240" w:lineRule="auto"/>
              <w:ind w:firstLine="0"/>
              <w:rPr>
                <w:rFonts w:eastAsia="PMingLiU" w:cs="Times New Roman"/>
                <w:sz w:val="22"/>
                <w:lang w:val="en-GB" w:eastAsia="zh-TW"/>
              </w:rPr>
            </w:pPr>
            <w:r w:rsidRPr="007048BA">
              <w:rPr>
                <w:rFonts w:eastAsia="PMingLiU" w:cs="Times New Roman"/>
                <w:sz w:val="22"/>
                <w:lang w:val="en-GB" w:eastAsia="zh-TW"/>
              </w:rPr>
              <w:t>(Sales growth,</w:t>
            </w:r>
          </w:p>
          <w:p w14:paraId="0CC2CDA6" w14:textId="3682587E" w:rsidR="005619E0" w:rsidRPr="007048BA" w:rsidRDefault="005619E0" w:rsidP="00DE254A">
            <w:pPr>
              <w:autoSpaceDE w:val="0"/>
              <w:autoSpaceDN w:val="0"/>
              <w:adjustRightInd w:val="0"/>
              <w:spacing w:after="0" w:line="240" w:lineRule="auto"/>
              <w:ind w:firstLine="0"/>
              <w:rPr>
                <w:rFonts w:eastAsia="PMingLiU" w:cs="Times New Roman"/>
                <w:sz w:val="22"/>
                <w:lang w:val="en-GB" w:eastAsia="zh-TW"/>
              </w:rPr>
            </w:pPr>
            <w:r w:rsidRPr="007048BA">
              <w:rPr>
                <w:rFonts w:eastAsia="PMingLiU" w:cs="Times New Roman"/>
                <w:sz w:val="22"/>
                <w:lang w:val="en-GB" w:eastAsia="zh-TW"/>
              </w:rPr>
              <w:t>Liquidity and Leverage)</w:t>
            </w:r>
          </w:p>
          <w:p w14:paraId="522CB19E" w14:textId="77777777" w:rsidR="00DE254A" w:rsidRPr="007048BA" w:rsidRDefault="00DE254A" w:rsidP="00DE254A">
            <w:pPr>
              <w:autoSpaceDE w:val="0"/>
              <w:autoSpaceDN w:val="0"/>
              <w:adjustRightInd w:val="0"/>
              <w:spacing w:after="0" w:line="240" w:lineRule="auto"/>
              <w:ind w:firstLine="227"/>
              <w:rPr>
                <w:rFonts w:eastAsia="PMingLiU" w:cs="Times New Roman"/>
                <w:sz w:val="22"/>
                <w:lang w:val="en-GB" w:eastAsia="zh-TW"/>
              </w:rPr>
            </w:pPr>
          </w:p>
          <w:p w14:paraId="17A6D464" w14:textId="77777777" w:rsidR="00DE254A" w:rsidRPr="007048BA" w:rsidRDefault="00DE254A" w:rsidP="00DE254A">
            <w:pPr>
              <w:autoSpaceDE w:val="0"/>
              <w:autoSpaceDN w:val="0"/>
              <w:adjustRightInd w:val="0"/>
              <w:spacing w:before="120" w:line="240" w:lineRule="auto"/>
              <w:ind w:firstLine="227"/>
              <w:rPr>
                <w:rFonts w:eastAsia="PMingLiU" w:cs="Times New Roman"/>
                <w:sz w:val="22"/>
                <w:lang w:val="en-GB" w:eastAsia="zh-TW"/>
              </w:rPr>
            </w:pPr>
          </w:p>
        </w:tc>
        <w:tc>
          <w:tcPr>
            <w:tcW w:w="1702" w:type="pct"/>
          </w:tcPr>
          <w:p w14:paraId="762EB992" w14:textId="1C2BB9E9" w:rsidR="00DE254A" w:rsidRPr="007048BA" w:rsidRDefault="00DE254A" w:rsidP="00DE254A">
            <w:pPr>
              <w:autoSpaceDE w:val="0"/>
              <w:autoSpaceDN w:val="0"/>
              <w:adjustRightInd w:val="0"/>
              <w:spacing w:before="120" w:line="240" w:lineRule="auto"/>
              <w:ind w:firstLine="0"/>
              <w:jc w:val="left"/>
              <w:rPr>
                <w:rFonts w:eastAsia="PMingLiU" w:cs="Times New Roman"/>
                <w:sz w:val="22"/>
                <w:lang w:val="en-GB" w:eastAsia="zh-TW"/>
              </w:rPr>
            </w:pPr>
            <w:r w:rsidRPr="007048BA">
              <w:rPr>
                <w:rFonts w:eastAsia="PMingLiU" w:cs="Times New Roman"/>
                <w:sz w:val="22"/>
                <w:lang w:val="en-GB" w:eastAsia="zh-TW"/>
              </w:rPr>
              <w:t xml:space="preserve">Takeovers are pursued to generate synergies by correcting for mismatches between a firm’s growth opportunities </w:t>
            </w:r>
            <w:r w:rsidR="005619E0" w:rsidRPr="007048BA">
              <w:rPr>
                <w:rFonts w:eastAsia="PMingLiU" w:cs="Times New Roman"/>
                <w:sz w:val="22"/>
                <w:lang w:val="en-GB" w:eastAsia="zh-TW"/>
              </w:rPr>
              <w:t xml:space="preserve">(measured by sales growth) </w:t>
            </w:r>
            <w:r w:rsidRPr="007048BA">
              <w:rPr>
                <w:rFonts w:eastAsia="PMingLiU" w:cs="Times New Roman"/>
                <w:sz w:val="22"/>
                <w:lang w:val="en-GB" w:eastAsia="zh-TW"/>
              </w:rPr>
              <w:t>and its available resources</w:t>
            </w:r>
            <w:r w:rsidR="005619E0" w:rsidRPr="007048BA">
              <w:rPr>
                <w:rFonts w:eastAsia="PMingLiU" w:cs="Times New Roman"/>
                <w:sz w:val="22"/>
                <w:lang w:val="en-GB" w:eastAsia="zh-TW"/>
              </w:rPr>
              <w:t xml:space="preserve"> (measured by the firm’s leverage versus liquidity positions)</w:t>
            </w:r>
            <w:r w:rsidRPr="007048BA">
              <w:rPr>
                <w:rFonts w:eastAsia="PMingLiU" w:cs="Times New Roman"/>
                <w:sz w:val="22"/>
                <w:lang w:val="en-GB" w:eastAsia="zh-TW"/>
              </w:rPr>
              <w:t>.</w:t>
            </w:r>
          </w:p>
          <w:p w14:paraId="79920D8C" w14:textId="77777777" w:rsidR="00DE254A" w:rsidRPr="007048BA" w:rsidRDefault="00DE254A" w:rsidP="00DE254A">
            <w:pPr>
              <w:autoSpaceDE w:val="0"/>
              <w:autoSpaceDN w:val="0"/>
              <w:adjustRightInd w:val="0"/>
              <w:spacing w:before="120" w:line="240" w:lineRule="auto"/>
              <w:ind w:firstLine="0"/>
              <w:jc w:val="left"/>
              <w:rPr>
                <w:rFonts w:eastAsia="PMingLiU" w:cs="Times New Roman"/>
                <w:sz w:val="22"/>
                <w:lang w:val="en-GB" w:eastAsia="zh-TW"/>
              </w:rPr>
            </w:pPr>
            <w:r w:rsidRPr="007048BA">
              <w:rPr>
                <w:rFonts w:eastAsia="PMingLiU" w:cs="Times New Roman"/>
                <w:sz w:val="22"/>
                <w:lang w:val="en-GB" w:eastAsia="zh-TW"/>
              </w:rPr>
              <w:t>As in Palepu (1986), four variables are used to proxy this hypothesis.</w:t>
            </w:r>
          </w:p>
          <w:p w14:paraId="731EA945" w14:textId="77777777" w:rsidR="00DE254A" w:rsidRPr="007048BA" w:rsidRDefault="00DE254A" w:rsidP="00DE254A">
            <w:pPr>
              <w:autoSpaceDE w:val="0"/>
              <w:autoSpaceDN w:val="0"/>
              <w:adjustRightInd w:val="0"/>
              <w:spacing w:before="120" w:line="240" w:lineRule="auto"/>
              <w:ind w:firstLine="227"/>
              <w:jc w:val="left"/>
              <w:rPr>
                <w:rFonts w:eastAsia="PMingLiU" w:cs="Times New Roman"/>
                <w:sz w:val="22"/>
                <w:lang w:val="en-GB" w:eastAsia="zh-TW"/>
              </w:rPr>
            </w:pPr>
          </w:p>
        </w:tc>
        <w:tc>
          <w:tcPr>
            <w:tcW w:w="1878" w:type="pct"/>
          </w:tcPr>
          <w:p w14:paraId="21443FC3" w14:textId="77777777" w:rsidR="005619E0" w:rsidRPr="007048BA" w:rsidRDefault="005619E0" w:rsidP="00DE254A">
            <w:pPr>
              <w:autoSpaceDE w:val="0"/>
              <w:autoSpaceDN w:val="0"/>
              <w:adjustRightInd w:val="0"/>
              <w:spacing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t xml:space="preserve">Liquidity </w:t>
            </w:r>
          </w:p>
          <w:p w14:paraId="7A50AE2E" w14:textId="50915665"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LIQ</w:t>
            </w:r>
            <w:r w:rsidR="005619E0" w:rsidRPr="007048BA">
              <w:rPr>
                <w:rFonts w:eastAsia="PMingLiU" w:cs="Times New Roman"/>
                <w:sz w:val="22"/>
                <w:lang w:val="en-GB" w:eastAsia="zh-TW"/>
              </w:rPr>
              <w:t xml:space="preserve"> </w:t>
            </w:r>
            <w:r w:rsidRPr="007048BA">
              <w:rPr>
                <w:rFonts w:eastAsia="PMingLiU" w:cs="Times New Roman"/>
                <w:sz w:val="22"/>
                <w:lang w:val="en-GB" w:eastAsia="zh-TW"/>
              </w:rPr>
              <w:t xml:space="preserve">(+/-): </w:t>
            </w:r>
            <w:r w:rsidR="0059694D" w:rsidRPr="007048BA">
              <w:rPr>
                <w:rFonts w:eastAsia="PMingLiU" w:cs="Times New Roman"/>
                <w:sz w:val="22"/>
                <w:lang w:val="en-GB" w:eastAsia="zh-TW"/>
              </w:rPr>
              <w:t>C</w:t>
            </w:r>
            <w:r w:rsidRPr="007048BA">
              <w:rPr>
                <w:rFonts w:eastAsia="PMingLiU" w:cs="Times New Roman"/>
                <w:sz w:val="22"/>
                <w:lang w:val="en-GB" w:eastAsia="zh-TW"/>
              </w:rPr>
              <w:t>ash</w:t>
            </w:r>
            <w:r w:rsidR="005619E0" w:rsidRPr="007048BA">
              <w:rPr>
                <w:rFonts w:eastAsia="PMingLiU" w:cs="Times New Roman"/>
                <w:sz w:val="22"/>
                <w:lang w:val="en-GB" w:eastAsia="zh-TW"/>
              </w:rPr>
              <w:t xml:space="preserve"> and short term investments (</w:t>
            </w:r>
            <w:r w:rsidR="006273FF" w:rsidRPr="007048BA">
              <w:rPr>
                <w:rFonts w:eastAsia="PMingLiU" w:cs="Times New Roman"/>
                <w:sz w:val="22"/>
                <w:lang w:val="en-GB" w:eastAsia="zh-TW"/>
              </w:rPr>
              <w:t>WC02001</w:t>
            </w:r>
            <w:r w:rsidR="005619E0" w:rsidRPr="007048BA">
              <w:rPr>
                <w:rFonts w:eastAsia="PMingLiU" w:cs="Times New Roman"/>
                <w:sz w:val="22"/>
                <w:lang w:val="en-GB" w:eastAsia="zh-TW"/>
              </w:rPr>
              <w:t>)</w:t>
            </w:r>
            <w:r w:rsidRPr="007048BA">
              <w:rPr>
                <w:rFonts w:eastAsia="PMingLiU" w:cs="Times New Roman"/>
                <w:sz w:val="22"/>
                <w:lang w:val="en-GB" w:eastAsia="zh-TW"/>
              </w:rPr>
              <w:t xml:space="preserve"> to total asset</w:t>
            </w:r>
            <w:r w:rsidR="005619E0" w:rsidRPr="007048BA">
              <w:rPr>
                <w:rFonts w:eastAsia="PMingLiU" w:cs="Times New Roman"/>
                <w:sz w:val="22"/>
                <w:lang w:val="en-GB" w:eastAsia="zh-TW"/>
              </w:rPr>
              <w:t>s (</w:t>
            </w:r>
            <w:r w:rsidR="00793A2D" w:rsidRPr="007048BA">
              <w:rPr>
                <w:rFonts w:eastAsia="PMingLiU" w:cs="Times New Roman"/>
                <w:sz w:val="22"/>
                <w:lang w:val="en-GB" w:eastAsia="zh-TW"/>
              </w:rPr>
              <w:t>WC02999</w:t>
            </w:r>
            <w:r w:rsidR="005619E0" w:rsidRPr="007048BA">
              <w:rPr>
                <w:rFonts w:eastAsia="PMingLiU" w:cs="Times New Roman"/>
                <w:sz w:val="22"/>
                <w:lang w:val="en-GB" w:eastAsia="zh-TW"/>
              </w:rPr>
              <w:t>).</w:t>
            </w:r>
          </w:p>
          <w:p w14:paraId="72AC2F70" w14:textId="77777777" w:rsidR="005B049D" w:rsidRPr="007048BA" w:rsidRDefault="005B049D" w:rsidP="00DE254A">
            <w:pPr>
              <w:autoSpaceDE w:val="0"/>
              <w:autoSpaceDN w:val="0"/>
              <w:adjustRightInd w:val="0"/>
              <w:spacing w:after="0" w:line="240" w:lineRule="auto"/>
              <w:ind w:firstLine="0"/>
              <w:jc w:val="left"/>
              <w:rPr>
                <w:rFonts w:eastAsia="PMingLiU" w:cs="Times New Roman"/>
                <w:sz w:val="22"/>
                <w:lang w:val="en-GB" w:eastAsia="zh-TW"/>
              </w:rPr>
            </w:pPr>
          </w:p>
          <w:p w14:paraId="19088A24" w14:textId="77777777" w:rsidR="005619E0" w:rsidRPr="007048BA" w:rsidRDefault="005619E0" w:rsidP="005B049D">
            <w:pPr>
              <w:autoSpaceDE w:val="0"/>
              <w:autoSpaceDN w:val="0"/>
              <w:adjustRightInd w:val="0"/>
              <w:spacing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t>Leverage</w:t>
            </w:r>
          </w:p>
          <w:p w14:paraId="04370D21" w14:textId="7E798E32" w:rsidR="00DE254A" w:rsidRPr="007048BA" w:rsidRDefault="00D56064" w:rsidP="005B049D">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LEV</w:t>
            </w:r>
            <w:r w:rsidR="005619E0" w:rsidRPr="007048BA">
              <w:rPr>
                <w:rFonts w:eastAsia="PMingLiU" w:cs="Times New Roman"/>
                <w:sz w:val="22"/>
                <w:lang w:val="en-GB" w:eastAsia="zh-TW"/>
              </w:rPr>
              <w:t xml:space="preserve"> </w:t>
            </w:r>
            <w:r w:rsidRPr="007048BA">
              <w:rPr>
                <w:rFonts w:eastAsia="PMingLiU" w:cs="Times New Roman"/>
                <w:sz w:val="22"/>
                <w:lang w:val="en-GB" w:eastAsia="zh-TW"/>
              </w:rPr>
              <w:t>(+/-):</w:t>
            </w:r>
            <w:r w:rsidR="005619E0" w:rsidRPr="007048BA">
              <w:rPr>
                <w:rFonts w:eastAsia="PMingLiU" w:cs="Times New Roman"/>
                <w:sz w:val="22"/>
                <w:lang w:val="en-GB" w:eastAsia="zh-TW"/>
              </w:rPr>
              <w:t xml:space="preserve"> </w:t>
            </w:r>
            <w:r w:rsidR="0059694D" w:rsidRPr="007048BA">
              <w:rPr>
                <w:rFonts w:eastAsia="PMingLiU" w:cs="Times New Roman"/>
                <w:sz w:val="22"/>
                <w:lang w:val="en-GB" w:eastAsia="zh-TW"/>
              </w:rPr>
              <w:t>T</w:t>
            </w:r>
            <w:r w:rsidRPr="007048BA">
              <w:rPr>
                <w:rFonts w:eastAsia="PMingLiU" w:cs="Times New Roman"/>
                <w:sz w:val="22"/>
                <w:lang w:val="en-GB" w:eastAsia="zh-TW"/>
              </w:rPr>
              <w:t xml:space="preserve">otal </w:t>
            </w:r>
            <w:r w:rsidR="00DE254A" w:rsidRPr="007048BA">
              <w:rPr>
                <w:rFonts w:eastAsia="PMingLiU" w:cs="Times New Roman"/>
                <w:sz w:val="22"/>
                <w:lang w:val="en-GB" w:eastAsia="zh-TW"/>
              </w:rPr>
              <w:t>debt</w:t>
            </w:r>
            <w:r w:rsidRPr="007048BA">
              <w:rPr>
                <w:rFonts w:eastAsia="PMingLiU" w:cs="Times New Roman"/>
                <w:sz w:val="22"/>
                <w:lang w:val="en-GB" w:eastAsia="zh-TW"/>
              </w:rPr>
              <w:t xml:space="preserve"> (WC03255)</w:t>
            </w:r>
            <w:r w:rsidR="00DE254A" w:rsidRPr="007048BA">
              <w:rPr>
                <w:rFonts w:eastAsia="PMingLiU" w:cs="Times New Roman"/>
                <w:sz w:val="22"/>
                <w:lang w:val="en-GB" w:eastAsia="zh-TW"/>
              </w:rPr>
              <w:t xml:space="preserve"> to </w:t>
            </w:r>
            <w:r w:rsidR="00E36AF7" w:rsidRPr="007048BA">
              <w:rPr>
                <w:rFonts w:eastAsia="PMingLiU" w:cs="Times New Roman"/>
                <w:sz w:val="22"/>
                <w:lang w:val="en-GB" w:eastAsia="zh-TW"/>
              </w:rPr>
              <w:t>total assets</w:t>
            </w:r>
            <w:r w:rsidR="005619E0" w:rsidRPr="007048BA">
              <w:rPr>
                <w:rFonts w:eastAsia="PMingLiU" w:cs="Times New Roman"/>
                <w:sz w:val="22"/>
                <w:lang w:val="en-GB" w:eastAsia="zh-TW"/>
              </w:rPr>
              <w:t xml:space="preserve"> (</w:t>
            </w:r>
            <w:r w:rsidR="00793A2D" w:rsidRPr="007048BA">
              <w:rPr>
                <w:rFonts w:eastAsia="PMingLiU" w:cs="Times New Roman"/>
                <w:sz w:val="22"/>
                <w:lang w:val="en-GB" w:eastAsia="zh-TW"/>
              </w:rPr>
              <w:t>WC02999</w:t>
            </w:r>
            <w:r w:rsidR="00DE254A" w:rsidRPr="007048BA">
              <w:rPr>
                <w:rFonts w:eastAsia="PMingLiU" w:cs="Times New Roman"/>
                <w:sz w:val="22"/>
                <w:lang w:val="en-GB" w:eastAsia="zh-TW"/>
              </w:rPr>
              <w:t>)</w:t>
            </w:r>
            <w:r w:rsidR="005619E0" w:rsidRPr="007048BA">
              <w:rPr>
                <w:rFonts w:eastAsia="PMingLiU" w:cs="Times New Roman"/>
                <w:sz w:val="22"/>
                <w:lang w:val="en-GB" w:eastAsia="zh-TW"/>
              </w:rPr>
              <w:t>.</w:t>
            </w:r>
          </w:p>
          <w:p w14:paraId="18511A23" w14:textId="77777777" w:rsidR="005B049D" w:rsidRPr="007048BA" w:rsidRDefault="005B049D" w:rsidP="005B049D">
            <w:pPr>
              <w:autoSpaceDE w:val="0"/>
              <w:autoSpaceDN w:val="0"/>
              <w:adjustRightInd w:val="0"/>
              <w:spacing w:after="0" w:line="240" w:lineRule="auto"/>
              <w:ind w:firstLine="0"/>
              <w:jc w:val="left"/>
              <w:rPr>
                <w:rFonts w:eastAsia="PMingLiU" w:cs="Times New Roman"/>
                <w:sz w:val="22"/>
                <w:lang w:val="en-GB" w:eastAsia="zh-TW"/>
              </w:rPr>
            </w:pPr>
          </w:p>
          <w:p w14:paraId="1214BB92" w14:textId="4977E2EF" w:rsidR="005619E0" w:rsidRPr="007048BA" w:rsidRDefault="005619E0" w:rsidP="004F5251">
            <w:pPr>
              <w:autoSpaceDE w:val="0"/>
              <w:autoSpaceDN w:val="0"/>
              <w:adjustRightInd w:val="0"/>
              <w:spacing w:before="120"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t>Sales growth</w:t>
            </w:r>
          </w:p>
          <w:p w14:paraId="407EFD1B" w14:textId="2F9B70F8" w:rsidR="005619E0" w:rsidRPr="007048BA" w:rsidRDefault="00DE254A" w:rsidP="004F5251">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SGW</w:t>
            </w:r>
            <w:r w:rsidR="005619E0" w:rsidRPr="007048BA">
              <w:rPr>
                <w:rFonts w:eastAsia="PMingLiU" w:cs="Times New Roman"/>
                <w:sz w:val="22"/>
                <w:lang w:val="en-GB" w:eastAsia="zh-TW"/>
              </w:rPr>
              <w:t xml:space="preserve"> </w:t>
            </w:r>
            <w:r w:rsidRPr="007048BA">
              <w:rPr>
                <w:rFonts w:eastAsia="PMingLiU" w:cs="Times New Roman"/>
                <w:sz w:val="22"/>
                <w:lang w:val="en-GB" w:eastAsia="zh-TW"/>
              </w:rPr>
              <w:t>(+/-):</w:t>
            </w:r>
            <w:r w:rsidR="0059694D" w:rsidRPr="007048BA">
              <w:rPr>
                <w:rFonts w:eastAsia="PMingLiU" w:cs="Times New Roman"/>
                <w:sz w:val="22"/>
                <w:lang w:val="en-GB" w:eastAsia="zh-TW"/>
              </w:rPr>
              <w:t xml:space="preserve"> C</w:t>
            </w:r>
            <w:r w:rsidR="005619E0" w:rsidRPr="007048BA">
              <w:rPr>
                <w:rFonts w:eastAsia="PMingLiU" w:cs="Times New Roman"/>
                <w:sz w:val="22"/>
                <w:lang w:val="en-GB" w:eastAsia="zh-TW"/>
              </w:rPr>
              <w:t>hange in total revenues (</w:t>
            </w:r>
            <w:r w:rsidR="00253269" w:rsidRPr="007048BA">
              <w:rPr>
                <w:rFonts w:eastAsia="PMingLiU" w:cs="Times New Roman"/>
                <w:sz w:val="22"/>
                <w:lang w:val="en-GB" w:eastAsia="zh-TW"/>
              </w:rPr>
              <w:t>WC01001</w:t>
            </w:r>
            <w:r w:rsidR="005619E0" w:rsidRPr="007048BA">
              <w:rPr>
                <w:rFonts w:eastAsia="PMingLiU" w:cs="Times New Roman"/>
                <w:sz w:val="22"/>
                <w:lang w:val="en-GB" w:eastAsia="zh-TW"/>
              </w:rPr>
              <w:t>)</w:t>
            </w:r>
            <w:r w:rsidR="0059694D" w:rsidRPr="007048BA">
              <w:rPr>
                <w:rFonts w:eastAsia="PMingLiU" w:cs="Times New Roman"/>
                <w:sz w:val="22"/>
                <w:lang w:val="en-GB" w:eastAsia="zh-TW"/>
              </w:rPr>
              <w:t xml:space="preserve"> as a ratio of previous year total revenues (</w:t>
            </w:r>
            <w:r w:rsidR="00253269" w:rsidRPr="007048BA">
              <w:rPr>
                <w:rFonts w:eastAsia="PMingLiU" w:cs="Times New Roman"/>
                <w:sz w:val="22"/>
                <w:lang w:val="en-GB" w:eastAsia="zh-TW"/>
              </w:rPr>
              <w:t>WC01001</w:t>
            </w:r>
            <w:r w:rsidR="0059694D" w:rsidRPr="007048BA">
              <w:rPr>
                <w:rFonts w:eastAsia="PMingLiU" w:cs="Times New Roman"/>
                <w:sz w:val="22"/>
                <w:lang w:val="en-GB" w:eastAsia="zh-TW"/>
              </w:rPr>
              <w:t>)</w:t>
            </w:r>
            <w:r w:rsidR="005619E0" w:rsidRPr="007048BA">
              <w:rPr>
                <w:rFonts w:eastAsia="PMingLiU" w:cs="Times New Roman"/>
                <w:sz w:val="22"/>
                <w:lang w:val="en-GB" w:eastAsia="zh-TW"/>
              </w:rPr>
              <w:t>.</w:t>
            </w:r>
          </w:p>
          <w:p w14:paraId="4EFF6C8D" w14:textId="62C9C12C"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 xml:space="preserve"> </w:t>
            </w:r>
          </w:p>
          <w:p w14:paraId="71048EAC" w14:textId="09375669" w:rsidR="006273FF" w:rsidRPr="007048BA" w:rsidRDefault="006273FF" w:rsidP="00DE254A">
            <w:pPr>
              <w:autoSpaceDE w:val="0"/>
              <w:autoSpaceDN w:val="0"/>
              <w:adjustRightInd w:val="0"/>
              <w:spacing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t>Growth-Resource dummy</w:t>
            </w:r>
          </w:p>
          <w:p w14:paraId="37F43497" w14:textId="534A6E6E"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GRD</w:t>
            </w:r>
            <w:r w:rsidR="005619E0" w:rsidRPr="007048BA">
              <w:rPr>
                <w:rFonts w:eastAsia="PMingLiU" w:cs="Times New Roman"/>
                <w:sz w:val="22"/>
                <w:lang w:val="en-GB" w:eastAsia="zh-TW"/>
              </w:rPr>
              <w:t xml:space="preserve"> </w:t>
            </w:r>
            <w:r w:rsidRPr="007048BA">
              <w:rPr>
                <w:rFonts w:eastAsia="PMingLiU" w:cs="Times New Roman"/>
                <w:sz w:val="22"/>
                <w:lang w:val="en-GB" w:eastAsia="zh-TW"/>
              </w:rPr>
              <w:t>(+): Dummy that takes a value of 1 if a firm has high growth and low resources or vice versa, and a value of 0 otherwise.</w:t>
            </w:r>
          </w:p>
        </w:tc>
        <w:tc>
          <w:tcPr>
            <w:tcW w:w="620" w:type="pct"/>
          </w:tcPr>
          <w:p w14:paraId="2E9256C1" w14:textId="77777777"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Palepu (1986).</w:t>
            </w:r>
          </w:p>
        </w:tc>
      </w:tr>
      <w:tr w:rsidR="00DE254A" w:rsidRPr="007048BA" w14:paraId="44C01D02" w14:textId="77777777" w:rsidTr="005B049D">
        <w:tc>
          <w:tcPr>
            <w:tcW w:w="800" w:type="pct"/>
          </w:tcPr>
          <w:p w14:paraId="6E507838" w14:textId="77777777" w:rsidR="00DE254A" w:rsidRPr="007048BA" w:rsidRDefault="00DE254A" w:rsidP="00DE254A">
            <w:pPr>
              <w:autoSpaceDE w:val="0"/>
              <w:autoSpaceDN w:val="0"/>
              <w:adjustRightInd w:val="0"/>
              <w:spacing w:after="0" w:line="240" w:lineRule="auto"/>
              <w:ind w:firstLine="0"/>
              <w:rPr>
                <w:rFonts w:eastAsia="PMingLiU" w:cs="Times New Roman"/>
                <w:sz w:val="22"/>
                <w:lang w:val="en-GB" w:eastAsia="zh-TW"/>
              </w:rPr>
            </w:pPr>
            <w:r w:rsidRPr="007048BA">
              <w:rPr>
                <w:rFonts w:eastAsia="PMingLiU" w:cs="Times New Roman"/>
                <w:sz w:val="22"/>
                <w:lang w:val="en-GB" w:eastAsia="zh-TW"/>
              </w:rPr>
              <w:lastRenderedPageBreak/>
              <w:t>Industry disturbance</w:t>
            </w:r>
          </w:p>
          <w:p w14:paraId="2020EF96" w14:textId="77777777" w:rsidR="00DE254A" w:rsidRPr="007048BA" w:rsidRDefault="00DE254A" w:rsidP="00DE254A">
            <w:pPr>
              <w:autoSpaceDE w:val="0"/>
              <w:autoSpaceDN w:val="0"/>
              <w:adjustRightInd w:val="0"/>
              <w:spacing w:after="0" w:line="240" w:lineRule="auto"/>
              <w:ind w:firstLine="227"/>
              <w:rPr>
                <w:rFonts w:eastAsia="PMingLiU" w:cs="Times New Roman"/>
                <w:sz w:val="22"/>
                <w:lang w:val="en-GB" w:eastAsia="zh-TW"/>
              </w:rPr>
            </w:pPr>
          </w:p>
          <w:p w14:paraId="2A940F0E" w14:textId="77777777" w:rsidR="00DE254A" w:rsidRPr="007048BA" w:rsidRDefault="00DE254A" w:rsidP="00DE254A">
            <w:pPr>
              <w:autoSpaceDE w:val="0"/>
              <w:autoSpaceDN w:val="0"/>
              <w:adjustRightInd w:val="0"/>
              <w:spacing w:after="0" w:line="240" w:lineRule="auto"/>
              <w:ind w:firstLine="227"/>
              <w:rPr>
                <w:rFonts w:eastAsia="PMingLiU" w:cs="Times New Roman"/>
                <w:sz w:val="22"/>
                <w:lang w:val="en-GB" w:eastAsia="zh-TW"/>
              </w:rPr>
            </w:pPr>
          </w:p>
        </w:tc>
        <w:tc>
          <w:tcPr>
            <w:tcW w:w="1702" w:type="pct"/>
          </w:tcPr>
          <w:p w14:paraId="0D126375" w14:textId="77777777" w:rsidR="00DE254A" w:rsidRPr="007048BA" w:rsidRDefault="00DE254A" w:rsidP="00DE254A">
            <w:pPr>
              <w:autoSpaceDE w:val="0"/>
              <w:autoSpaceDN w:val="0"/>
              <w:adjustRightInd w:val="0"/>
              <w:spacing w:before="120" w:line="240" w:lineRule="auto"/>
              <w:ind w:firstLine="0"/>
              <w:jc w:val="left"/>
              <w:rPr>
                <w:rFonts w:eastAsia="PMingLiU" w:cs="Times New Roman"/>
                <w:sz w:val="22"/>
                <w:lang w:val="en-GB" w:eastAsia="zh-TW"/>
              </w:rPr>
            </w:pPr>
            <w:r w:rsidRPr="007048BA">
              <w:rPr>
                <w:rFonts w:eastAsia="PMingLiU" w:cs="Times New Roman"/>
                <w:bCs/>
                <w:sz w:val="22"/>
                <w:lang w:val="en-GB" w:eastAsia="zh-TW"/>
              </w:rPr>
              <w:t>A firm’s takeover likelihood will increase with the announcement of a merger bid in that industry as other industry players seek to consolidate in order to compete effectively.</w:t>
            </w:r>
          </w:p>
        </w:tc>
        <w:tc>
          <w:tcPr>
            <w:tcW w:w="1878" w:type="pct"/>
          </w:tcPr>
          <w:p w14:paraId="70BDD249" w14:textId="77777777" w:rsidR="001D1709" w:rsidRPr="007048BA" w:rsidRDefault="001D1709" w:rsidP="005619E0">
            <w:pPr>
              <w:autoSpaceDE w:val="0"/>
              <w:autoSpaceDN w:val="0"/>
              <w:adjustRightInd w:val="0"/>
              <w:spacing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t>Industry disturbance dummy</w:t>
            </w:r>
          </w:p>
          <w:p w14:paraId="157E2B0A" w14:textId="2EFBED04" w:rsidR="00DE254A" w:rsidRPr="007048BA" w:rsidRDefault="00DE254A" w:rsidP="005619E0">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IDD</w:t>
            </w:r>
            <w:r w:rsidR="005619E0" w:rsidRPr="007048BA">
              <w:rPr>
                <w:rFonts w:eastAsia="PMingLiU" w:cs="Times New Roman"/>
                <w:sz w:val="22"/>
                <w:lang w:val="en-GB" w:eastAsia="zh-TW"/>
              </w:rPr>
              <w:t xml:space="preserve"> </w:t>
            </w:r>
            <w:r w:rsidR="0059694D" w:rsidRPr="007048BA">
              <w:rPr>
                <w:rFonts w:eastAsia="PMingLiU" w:cs="Times New Roman"/>
                <w:sz w:val="22"/>
                <w:lang w:val="en-GB" w:eastAsia="zh-TW"/>
              </w:rPr>
              <w:t>(+): D</w:t>
            </w:r>
            <w:r w:rsidRPr="007048BA">
              <w:rPr>
                <w:rFonts w:eastAsia="PMingLiU" w:cs="Times New Roman"/>
                <w:sz w:val="22"/>
                <w:lang w:val="en-GB" w:eastAsia="zh-TW"/>
              </w:rPr>
              <w:t xml:space="preserve">ummy is 1 if any merger is completed within a firm’s </w:t>
            </w:r>
            <w:r w:rsidR="005619E0" w:rsidRPr="007048BA">
              <w:rPr>
                <w:rFonts w:eastAsia="PMingLiU" w:cs="Times New Roman"/>
                <w:sz w:val="22"/>
                <w:lang w:val="en-GB" w:eastAsia="zh-TW"/>
              </w:rPr>
              <w:t>2</w:t>
            </w:r>
            <w:r w:rsidRPr="007048BA">
              <w:rPr>
                <w:rFonts w:eastAsia="PMingLiU" w:cs="Times New Roman"/>
                <w:sz w:val="22"/>
                <w:lang w:val="en-GB" w:eastAsia="zh-TW"/>
              </w:rPr>
              <w:t xml:space="preserve">-digit SIC industry in the year prior to the bid and a value of 0, otherwise. </w:t>
            </w:r>
          </w:p>
        </w:tc>
        <w:tc>
          <w:tcPr>
            <w:tcW w:w="620" w:type="pct"/>
          </w:tcPr>
          <w:p w14:paraId="2445E691" w14:textId="7AD94FDF"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P</w:t>
            </w:r>
            <w:r w:rsidR="009E5747" w:rsidRPr="007048BA">
              <w:rPr>
                <w:rFonts w:eastAsia="PMingLiU" w:cs="Times New Roman"/>
                <w:sz w:val="22"/>
                <w:lang w:val="en-GB" w:eastAsia="zh-TW"/>
              </w:rPr>
              <w:t>alepu (1986)</w:t>
            </w:r>
          </w:p>
          <w:p w14:paraId="28AB0A8A" w14:textId="77777777"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p>
        </w:tc>
      </w:tr>
      <w:tr w:rsidR="00DE254A" w:rsidRPr="007048BA" w14:paraId="56C87D29" w14:textId="77777777" w:rsidTr="005B049D">
        <w:tc>
          <w:tcPr>
            <w:tcW w:w="800" w:type="pct"/>
          </w:tcPr>
          <w:p w14:paraId="1925BD81" w14:textId="77777777" w:rsidR="00DE254A" w:rsidRPr="007048BA" w:rsidRDefault="00DE254A" w:rsidP="00DE254A">
            <w:pPr>
              <w:autoSpaceDE w:val="0"/>
              <w:autoSpaceDN w:val="0"/>
              <w:adjustRightInd w:val="0"/>
              <w:spacing w:after="0" w:line="240" w:lineRule="auto"/>
              <w:ind w:firstLine="0"/>
              <w:rPr>
                <w:rFonts w:eastAsia="PMingLiU" w:cs="Times New Roman"/>
                <w:sz w:val="22"/>
                <w:lang w:val="en-GB" w:eastAsia="zh-TW"/>
              </w:rPr>
            </w:pPr>
            <w:r w:rsidRPr="007048BA">
              <w:rPr>
                <w:rFonts w:eastAsia="PMingLiU" w:cs="Times New Roman"/>
                <w:sz w:val="22"/>
                <w:lang w:val="en-GB" w:eastAsia="zh-TW"/>
              </w:rPr>
              <w:t>Free cash flow</w:t>
            </w:r>
          </w:p>
          <w:p w14:paraId="57E3C74B" w14:textId="77777777" w:rsidR="00DE254A" w:rsidRPr="007048BA" w:rsidRDefault="00DE254A" w:rsidP="00DE254A">
            <w:pPr>
              <w:autoSpaceDE w:val="0"/>
              <w:autoSpaceDN w:val="0"/>
              <w:adjustRightInd w:val="0"/>
              <w:spacing w:after="0" w:line="240" w:lineRule="auto"/>
              <w:ind w:firstLine="227"/>
              <w:rPr>
                <w:rFonts w:eastAsia="PMingLiU" w:cs="Times New Roman"/>
                <w:sz w:val="22"/>
                <w:lang w:val="en-GB" w:eastAsia="zh-TW"/>
              </w:rPr>
            </w:pPr>
          </w:p>
          <w:p w14:paraId="58616262" w14:textId="77777777" w:rsidR="00DE254A" w:rsidRPr="007048BA" w:rsidRDefault="00DE254A" w:rsidP="00DE254A">
            <w:pPr>
              <w:autoSpaceDE w:val="0"/>
              <w:autoSpaceDN w:val="0"/>
              <w:adjustRightInd w:val="0"/>
              <w:spacing w:after="0" w:line="240" w:lineRule="auto"/>
              <w:ind w:firstLine="227"/>
              <w:rPr>
                <w:rFonts w:eastAsia="PMingLiU" w:cs="Times New Roman"/>
                <w:sz w:val="22"/>
                <w:lang w:val="en-GB" w:eastAsia="zh-TW"/>
              </w:rPr>
            </w:pPr>
          </w:p>
          <w:p w14:paraId="2B083726" w14:textId="77777777" w:rsidR="00DE254A" w:rsidRPr="007048BA" w:rsidRDefault="00DE254A" w:rsidP="00DE254A">
            <w:pPr>
              <w:autoSpaceDE w:val="0"/>
              <w:autoSpaceDN w:val="0"/>
              <w:adjustRightInd w:val="0"/>
              <w:spacing w:after="0" w:line="240" w:lineRule="auto"/>
              <w:ind w:firstLine="227"/>
              <w:rPr>
                <w:rFonts w:eastAsia="PMingLiU" w:cs="Times New Roman"/>
                <w:sz w:val="22"/>
                <w:lang w:val="en-GB" w:eastAsia="zh-TW"/>
              </w:rPr>
            </w:pPr>
          </w:p>
        </w:tc>
        <w:tc>
          <w:tcPr>
            <w:tcW w:w="1702" w:type="pct"/>
          </w:tcPr>
          <w:p w14:paraId="753875B5" w14:textId="77777777"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 xml:space="preserve">Management which hoards or misappropriates excess free cash flows are likely to face a challenge for corporate control. Besides the opportunity to correct management inefficiency, the bidding firm is attracted by the excess free cash flow in the target firm as this free cash flow can be used to reduce the net cost of acquisition. </w:t>
            </w:r>
          </w:p>
        </w:tc>
        <w:tc>
          <w:tcPr>
            <w:tcW w:w="1878" w:type="pct"/>
          </w:tcPr>
          <w:p w14:paraId="0BD649AF" w14:textId="77777777" w:rsidR="00E36AF7" w:rsidRPr="007048BA" w:rsidRDefault="00E36AF7" w:rsidP="00DE254A">
            <w:pPr>
              <w:autoSpaceDE w:val="0"/>
              <w:autoSpaceDN w:val="0"/>
              <w:adjustRightInd w:val="0"/>
              <w:spacing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t>Free cash flow</w:t>
            </w:r>
          </w:p>
          <w:p w14:paraId="120896D8" w14:textId="1E6F0710" w:rsidR="00DE254A" w:rsidRPr="007048BA" w:rsidRDefault="00DE254A" w:rsidP="00E36AF7">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FCF</w:t>
            </w:r>
            <w:r w:rsidR="00E36AF7" w:rsidRPr="007048BA">
              <w:rPr>
                <w:rFonts w:eastAsia="PMingLiU" w:cs="Times New Roman"/>
                <w:sz w:val="22"/>
                <w:lang w:val="en-GB" w:eastAsia="zh-TW"/>
              </w:rPr>
              <w:t xml:space="preserve"> </w:t>
            </w:r>
            <w:r w:rsidRPr="007048BA">
              <w:rPr>
                <w:rFonts w:eastAsia="PMingLiU" w:cs="Times New Roman"/>
                <w:sz w:val="22"/>
                <w:lang w:val="en-GB" w:eastAsia="zh-TW"/>
              </w:rPr>
              <w:t>(+): Ratio of net cash flow from operating activities</w:t>
            </w:r>
            <w:r w:rsidR="00E36AF7" w:rsidRPr="007048BA">
              <w:rPr>
                <w:rFonts w:eastAsia="PMingLiU" w:cs="Times New Roman"/>
                <w:sz w:val="22"/>
                <w:lang w:val="en-GB" w:eastAsia="zh-TW"/>
              </w:rPr>
              <w:t xml:space="preserve"> (</w:t>
            </w:r>
            <w:r w:rsidR="00152F91" w:rsidRPr="007048BA">
              <w:rPr>
                <w:rFonts w:eastAsia="PMingLiU" w:cs="Times New Roman"/>
                <w:sz w:val="22"/>
                <w:lang w:val="en-GB" w:eastAsia="zh-TW"/>
              </w:rPr>
              <w:t>WC04860</w:t>
            </w:r>
            <w:r w:rsidR="00E36AF7" w:rsidRPr="007048BA">
              <w:rPr>
                <w:rFonts w:eastAsia="PMingLiU" w:cs="Times New Roman"/>
                <w:sz w:val="22"/>
                <w:lang w:val="en-GB" w:eastAsia="zh-TW"/>
              </w:rPr>
              <w:t>)</w:t>
            </w:r>
            <w:r w:rsidRPr="007048BA">
              <w:rPr>
                <w:rFonts w:eastAsia="PMingLiU" w:cs="Times New Roman"/>
                <w:sz w:val="22"/>
                <w:lang w:val="en-GB" w:eastAsia="zh-TW"/>
              </w:rPr>
              <w:t xml:space="preserve"> </w:t>
            </w:r>
            <w:r w:rsidR="00E36AF7" w:rsidRPr="007048BA">
              <w:rPr>
                <w:rFonts w:eastAsia="PMingLiU" w:cs="Times New Roman"/>
                <w:sz w:val="22"/>
                <w:lang w:val="en-GB" w:eastAsia="zh-TW"/>
              </w:rPr>
              <w:t>minus</w:t>
            </w:r>
            <w:r w:rsidRPr="007048BA">
              <w:rPr>
                <w:rFonts w:eastAsia="PMingLiU" w:cs="Times New Roman"/>
                <w:sz w:val="22"/>
                <w:lang w:val="en-GB" w:eastAsia="zh-TW"/>
              </w:rPr>
              <w:t xml:space="preserve"> capital expenditures </w:t>
            </w:r>
            <w:r w:rsidR="00E36AF7" w:rsidRPr="007048BA">
              <w:rPr>
                <w:rFonts w:eastAsia="PMingLiU" w:cs="Times New Roman"/>
                <w:sz w:val="22"/>
                <w:lang w:val="en-GB" w:eastAsia="zh-TW"/>
              </w:rPr>
              <w:t>(</w:t>
            </w:r>
            <w:r w:rsidR="00152F91" w:rsidRPr="007048BA">
              <w:rPr>
                <w:rFonts w:eastAsia="PMingLiU" w:cs="Times New Roman"/>
                <w:sz w:val="22"/>
                <w:lang w:val="en-GB" w:eastAsia="zh-TW"/>
              </w:rPr>
              <w:t>WC04601</w:t>
            </w:r>
            <w:r w:rsidR="00E36AF7" w:rsidRPr="007048BA">
              <w:rPr>
                <w:rFonts w:eastAsia="PMingLiU" w:cs="Times New Roman"/>
                <w:sz w:val="22"/>
                <w:lang w:val="en-GB" w:eastAsia="zh-TW"/>
              </w:rPr>
              <w:t xml:space="preserve">) </w:t>
            </w:r>
            <w:r w:rsidRPr="007048BA">
              <w:rPr>
                <w:rFonts w:eastAsia="PMingLiU" w:cs="Times New Roman"/>
                <w:sz w:val="22"/>
                <w:lang w:val="en-GB" w:eastAsia="zh-TW"/>
              </w:rPr>
              <w:t>scaled by total assets</w:t>
            </w:r>
            <w:r w:rsidR="00E36AF7" w:rsidRPr="007048BA">
              <w:rPr>
                <w:rFonts w:eastAsia="PMingLiU" w:cs="Times New Roman"/>
                <w:sz w:val="22"/>
                <w:lang w:val="en-GB" w:eastAsia="zh-TW"/>
              </w:rPr>
              <w:t xml:space="preserve"> (</w:t>
            </w:r>
            <w:r w:rsidR="00793A2D" w:rsidRPr="007048BA">
              <w:rPr>
                <w:rFonts w:eastAsia="PMingLiU" w:cs="Times New Roman"/>
                <w:sz w:val="22"/>
                <w:lang w:val="en-GB" w:eastAsia="zh-TW"/>
              </w:rPr>
              <w:t>WC02999</w:t>
            </w:r>
            <w:r w:rsidR="00E36AF7" w:rsidRPr="007048BA">
              <w:rPr>
                <w:rFonts w:eastAsia="PMingLiU" w:cs="Times New Roman"/>
                <w:sz w:val="22"/>
                <w:lang w:val="en-GB" w:eastAsia="zh-TW"/>
              </w:rPr>
              <w:t>)</w:t>
            </w:r>
            <w:r w:rsidRPr="007048BA">
              <w:rPr>
                <w:rFonts w:eastAsia="PMingLiU" w:cs="Times New Roman"/>
                <w:sz w:val="22"/>
                <w:lang w:val="en-GB" w:eastAsia="zh-TW"/>
              </w:rPr>
              <w:t>.</w:t>
            </w:r>
          </w:p>
        </w:tc>
        <w:tc>
          <w:tcPr>
            <w:tcW w:w="620" w:type="pct"/>
          </w:tcPr>
          <w:p w14:paraId="6E8F9A22" w14:textId="77777777"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Powell and Yawson (2007);</w:t>
            </w:r>
          </w:p>
          <w:p w14:paraId="1618F700" w14:textId="77777777"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Powell (1997).</w:t>
            </w:r>
          </w:p>
        </w:tc>
      </w:tr>
      <w:tr w:rsidR="00DE254A" w:rsidRPr="007048BA" w14:paraId="78256FBA" w14:textId="77777777" w:rsidTr="005B049D">
        <w:tc>
          <w:tcPr>
            <w:tcW w:w="800" w:type="pct"/>
          </w:tcPr>
          <w:p w14:paraId="647676A4" w14:textId="77777777" w:rsidR="00DE254A" w:rsidRPr="007048BA" w:rsidRDefault="00DE254A" w:rsidP="00DE254A">
            <w:pPr>
              <w:autoSpaceDE w:val="0"/>
              <w:autoSpaceDN w:val="0"/>
              <w:adjustRightInd w:val="0"/>
              <w:spacing w:after="0" w:line="240" w:lineRule="auto"/>
              <w:ind w:firstLine="0"/>
              <w:rPr>
                <w:rFonts w:eastAsia="PMingLiU" w:cs="Times New Roman"/>
                <w:sz w:val="22"/>
                <w:lang w:val="en-GB" w:eastAsia="zh-TW"/>
              </w:rPr>
            </w:pPr>
            <w:r w:rsidRPr="007048BA">
              <w:rPr>
                <w:rFonts w:eastAsia="PMingLiU" w:cs="Times New Roman"/>
                <w:sz w:val="22"/>
                <w:lang w:val="en-GB" w:eastAsia="zh-TW"/>
              </w:rPr>
              <w:t xml:space="preserve">Real property </w:t>
            </w:r>
          </w:p>
          <w:p w14:paraId="2FB26F3C" w14:textId="77777777" w:rsidR="00DE254A" w:rsidRPr="007048BA" w:rsidRDefault="00DE254A" w:rsidP="00DE254A">
            <w:pPr>
              <w:autoSpaceDE w:val="0"/>
              <w:autoSpaceDN w:val="0"/>
              <w:adjustRightInd w:val="0"/>
              <w:spacing w:after="0" w:line="240" w:lineRule="auto"/>
              <w:ind w:firstLine="227"/>
              <w:rPr>
                <w:rFonts w:eastAsia="PMingLiU" w:cs="Times New Roman"/>
                <w:sz w:val="22"/>
                <w:lang w:val="en-GB" w:eastAsia="zh-TW"/>
              </w:rPr>
            </w:pPr>
          </w:p>
          <w:p w14:paraId="6B621BB9" w14:textId="77777777" w:rsidR="00DE254A" w:rsidRPr="007048BA" w:rsidRDefault="00DE254A" w:rsidP="00DE254A">
            <w:pPr>
              <w:autoSpaceDE w:val="0"/>
              <w:autoSpaceDN w:val="0"/>
              <w:adjustRightInd w:val="0"/>
              <w:spacing w:after="0" w:line="240" w:lineRule="auto"/>
              <w:ind w:firstLine="227"/>
              <w:rPr>
                <w:rFonts w:eastAsia="PMingLiU" w:cs="Times New Roman"/>
                <w:sz w:val="22"/>
                <w:lang w:val="en-GB" w:eastAsia="zh-TW"/>
              </w:rPr>
            </w:pPr>
          </w:p>
        </w:tc>
        <w:tc>
          <w:tcPr>
            <w:tcW w:w="1702" w:type="pct"/>
          </w:tcPr>
          <w:p w14:paraId="2DCE7AA0" w14:textId="77777777" w:rsidR="00DE254A" w:rsidRPr="007048BA" w:rsidRDefault="00DE254A" w:rsidP="00DE254A">
            <w:pPr>
              <w:autoSpaceDE w:val="0"/>
              <w:autoSpaceDN w:val="0"/>
              <w:adjustRightInd w:val="0"/>
              <w:spacing w:before="120" w:line="240" w:lineRule="auto"/>
              <w:ind w:firstLine="0"/>
              <w:jc w:val="left"/>
              <w:rPr>
                <w:rFonts w:eastAsia="PMingLiU" w:cs="Times New Roman"/>
                <w:sz w:val="22"/>
                <w:lang w:val="en-GB" w:eastAsia="zh-TW"/>
              </w:rPr>
            </w:pPr>
            <w:r w:rsidRPr="007048BA">
              <w:rPr>
                <w:rFonts w:eastAsia="PMingLiU" w:cs="Times New Roman"/>
                <w:sz w:val="22"/>
                <w:lang w:val="en-GB" w:eastAsia="zh-TW"/>
              </w:rPr>
              <w:t xml:space="preserve">Tangible fixed assets proxy for debt capacity and provide financial slack to enable a firm to raise debt capital in times of need. These assets can reduce a bidder’s implicit takeover cost as they can be divested to raise finance needed to complete the transaction. </w:t>
            </w:r>
          </w:p>
        </w:tc>
        <w:tc>
          <w:tcPr>
            <w:tcW w:w="1878" w:type="pct"/>
          </w:tcPr>
          <w:p w14:paraId="1A5DE733" w14:textId="77777777" w:rsidR="00E36AF7" w:rsidRPr="007048BA" w:rsidRDefault="00E36AF7" w:rsidP="005B049D">
            <w:pPr>
              <w:autoSpaceDE w:val="0"/>
              <w:autoSpaceDN w:val="0"/>
              <w:adjustRightInd w:val="0"/>
              <w:spacing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t>Tangible assets</w:t>
            </w:r>
          </w:p>
          <w:p w14:paraId="65430DAF" w14:textId="45B33841" w:rsidR="00DE254A" w:rsidRPr="007048BA" w:rsidRDefault="00DE254A" w:rsidP="005B049D">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TANG</w:t>
            </w:r>
            <w:r w:rsidR="00E36AF7" w:rsidRPr="007048BA">
              <w:rPr>
                <w:rFonts w:eastAsia="PMingLiU" w:cs="Times New Roman"/>
                <w:sz w:val="22"/>
                <w:lang w:val="en-GB" w:eastAsia="zh-TW"/>
              </w:rPr>
              <w:t xml:space="preserve"> </w:t>
            </w:r>
            <w:r w:rsidRPr="007048BA">
              <w:rPr>
                <w:rFonts w:eastAsia="PMingLiU" w:cs="Times New Roman"/>
                <w:sz w:val="22"/>
                <w:lang w:val="en-GB" w:eastAsia="zh-TW"/>
              </w:rPr>
              <w:t>(+): Ratio of property, plant and equipment</w:t>
            </w:r>
            <w:r w:rsidR="00E36AF7" w:rsidRPr="007048BA">
              <w:rPr>
                <w:rFonts w:eastAsia="PMingLiU" w:cs="Times New Roman"/>
                <w:sz w:val="22"/>
                <w:lang w:val="en-GB" w:eastAsia="zh-TW"/>
              </w:rPr>
              <w:t xml:space="preserve"> (</w:t>
            </w:r>
            <w:r w:rsidR="00160B3E" w:rsidRPr="007048BA">
              <w:rPr>
                <w:rFonts w:eastAsia="PMingLiU" w:cs="Times New Roman"/>
                <w:sz w:val="22"/>
                <w:lang w:val="en-GB" w:eastAsia="zh-TW"/>
              </w:rPr>
              <w:t>WC02501</w:t>
            </w:r>
            <w:r w:rsidR="00E36AF7" w:rsidRPr="007048BA">
              <w:rPr>
                <w:rFonts w:eastAsia="PMingLiU" w:cs="Times New Roman"/>
                <w:sz w:val="22"/>
                <w:lang w:val="en-GB" w:eastAsia="zh-TW"/>
              </w:rPr>
              <w:t>)</w:t>
            </w:r>
            <w:r w:rsidRPr="007048BA">
              <w:rPr>
                <w:rFonts w:eastAsia="PMingLiU" w:cs="Times New Roman"/>
                <w:sz w:val="22"/>
                <w:lang w:val="en-GB" w:eastAsia="zh-TW"/>
              </w:rPr>
              <w:t xml:space="preserve"> to total assets </w:t>
            </w:r>
            <w:r w:rsidR="00E36AF7" w:rsidRPr="007048BA">
              <w:rPr>
                <w:rFonts w:eastAsia="PMingLiU" w:cs="Times New Roman"/>
                <w:sz w:val="22"/>
                <w:lang w:val="en-GB" w:eastAsia="zh-TW"/>
              </w:rPr>
              <w:t>(</w:t>
            </w:r>
            <w:r w:rsidR="00793A2D" w:rsidRPr="007048BA">
              <w:rPr>
                <w:rFonts w:eastAsia="PMingLiU" w:cs="Times New Roman"/>
                <w:sz w:val="22"/>
                <w:lang w:val="en-GB" w:eastAsia="zh-TW"/>
              </w:rPr>
              <w:t>WC02999</w:t>
            </w:r>
            <w:r w:rsidR="00E36AF7" w:rsidRPr="007048BA">
              <w:rPr>
                <w:rFonts w:eastAsia="PMingLiU" w:cs="Times New Roman"/>
                <w:sz w:val="22"/>
                <w:lang w:val="en-GB" w:eastAsia="zh-TW"/>
              </w:rPr>
              <w:t>).</w:t>
            </w:r>
          </w:p>
          <w:p w14:paraId="5870F04D" w14:textId="77777777" w:rsidR="00DE254A" w:rsidRPr="007048BA" w:rsidRDefault="00DE254A" w:rsidP="00DE254A">
            <w:pPr>
              <w:autoSpaceDE w:val="0"/>
              <w:autoSpaceDN w:val="0"/>
              <w:adjustRightInd w:val="0"/>
              <w:spacing w:after="0" w:line="240" w:lineRule="auto"/>
              <w:ind w:firstLine="227"/>
              <w:jc w:val="left"/>
              <w:rPr>
                <w:rFonts w:eastAsia="PMingLiU" w:cs="Times New Roman"/>
                <w:sz w:val="22"/>
                <w:lang w:val="en-GB" w:eastAsia="zh-TW"/>
              </w:rPr>
            </w:pPr>
          </w:p>
        </w:tc>
        <w:tc>
          <w:tcPr>
            <w:tcW w:w="620" w:type="pct"/>
          </w:tcPr>
          <w:p w14:paraId="7FBFB23B" w14:textId="77777777" w:rsidR="00DE254A" w:rsidRPr="007048BA" w:rsidRDefault="00DE254A" w:rsidP="00DE254A">
            <w:pPr>
              <w:autoSpaceDE w:val="0"/>
              <w:autoSpaceDN w:val="0"/>
              <w:adjustRightInd w:val="0"/>
              <w:spacing w:before="120" w:line="240" w:lineRule="auto"/>
              <w:ind w:firstLine="0"/>
              <w:jc w:val="left"/>
              <w:rPr>
                <w:rFonts w:eastAsia="PMingLiU" w:cs="Times New Roman"/>
                <w:sz w:val="22"/>
                <w:lang w:val="en-GB" w:eastAsia="zh-TW"/>
              </w:rPr>
            </w:pPr>
            <w:r w:rsidRPr="007048BA">
              <w:rPr>
                <w:rFonts w:eastAsia="PMingLiU" w:cs="Times New Roman"/>
                <w:sz w:val="22"/>
                <w:lang w:val="en-GB" w:eastAsia="zh-TW"/>
              </w:rPr>
              <w:t>Powell (1997); Ambrose and Megginson (1992).</w:t>
            </w:r>
          </w:p>
        </w:tc>
      </w:tr>
      <w:tr w:rsidR="00DE254A" w:rsidRPr="007048BA" w14:paraId="3B47FD06" w14:textId="77777777" w:rsidTr="005B049D">
        <w:tc>
          <w:tcPr>
            <w:tcW w:w="800" w:type="pct"/>
          </w:tcPr>
          <w:p w14:paraId="4F3C1ACC" w14:textId="77777777" w:rsidR="00DE254A" w:rsidRPr="007048BA" w:rsidRDefault="00DE254A" w:rsidP="00DE254A">
            <w:pPr>
              <w:autoSpaceDE w:val="0"/>
              <w:autoSpaceDN w:val="0"/>
              <w:adjustRightInd w:val="0"/>
              <w:spacing w:after="0" w:line="240" w:lineRule="auto"/>
              <w:ind w:firstLine="0"/>
              <w:rPr>
                <w:rFonts w:eastAsia="PMingLiU" w:cs="Times New Roman"/>
                <w:sz w:val="22"/>
                <w:lang w:val="en-GB" w:eastAsia="zh-TW"/>
              </w:rPr>
            </w:pPr>
            <w:r w:rsidRPr="007048BA">
              <w:rPr>
                <w:rFonts w:eastAsia="PMingLiU" w:cs="Times New Roman"/>
                <w:sz w:val="22"/>
                <w:lang w:val="en-GB" w:eastAsia="zh-TW"/>
              </w:rPr>
              <w:t>Firm size</w:t>
            </w:r>
          </w:p>
          <w:p w14:paraId="4FDCD10F" w14:textId="77777777" w:rsidR="00DE254A" w:rsidRPr="007048BA" w:rsidRDefault="00DE254A" w:rsidP="00DE254A">
            <w:pPr>
              <w:autoSpaceDE w:val="0"/>
              <w:autoSpaceDN w:val="0"/>
              <w:adjustRightInd w:val="0"/>
              <w:spacing w:after="0" w:line="240" w:lineRule="auto"/>
              <w:ind w:firstLine="227"/>
              <w:rPr>
                <w:rFonts w:eastAsia="PMingLiU" w:cs="Times New Roman"/>
                <w:sz w:val="22"/>
                <w:lang w:val="en-GB" w:eastAsia="zh-TW"/>
              </w:rPr>
            </w:pPr>
          </w:p>
          <w:p w14:paraId="654D1B31" w14:textId="77777777" w:rsidR="00DE254A" w:rsidRPr="007048BA" w:rsidRDefault="00DE254A" w:rsidP="00DE254A">
            <w:pPr>
              <w:autoSpaceDE w:val="0"/>
              <w:autoSpaceDN w:val="0"/>
              <w:adjustRightInd w:val="0"/>
              <w:spacing w:after="0" w:line="240" w:lineRule="auto"/>
              <w:ind w:firstLine="227"/>
              <w:rPr>
                <w:rFonts w:eastAsia="PMingLiU" w:cs="Times New Roman"/>
                <w:sz w:val="22"/>
                <w:lang w:val="en-GB" w:eastAsia="zh-TW"/>
              </w:rPr>
            </w:pPr>
          </w:p>
          <w:p w14:paraId="5A191279" w14:textId="77777777" w:rsidR="00DE254A" w:rsidRPr="007048BA" w:rsidRDefault="00DE254A" w:rsidP="00DE254A">
            <w:pPr>
              <w:autoSpaceDE w:val="0"/>
              <w:autoSpaceDN w:val="0"/>
              <w:adjustRightInd w:val="0"/>
              <w:spacing w:after="0" w:line="240" w:lineRule="auto"/>
              <w:ind w:firstLine="227"/>
              <w:rPr>
                <w:rFonts w:eastAsia="PMingLiU" w:cs="Times New Roman"/>
                <w:sz w:val="22"/>
                <w:lang w:val="en-GB" w:eastAsia="zh-TW"/>
              </w:rPr>
            </w:pPr>
          </w:p>
        </w:tc>
        <w:tc>
          <w:tcPr>
            <w:tcW w:w="1702" w:type="pct"/>
          </w:tcPr>
          <w:p w14:paraId="0EE68679" w14:textId="77777777" w:rsidR="00DE254A" w:rsidRPr="007048BA" w:rsidRDefault="00DE254A" w:rsidP="00DE254A">
            <w:pPr>
              <w:autoSpaceDE w:val="0"/>
              <w:autoSpaceDN w:val="0"/>
              <w:adjustRightInd w:val="0"/>
              <w:spacing w:before="120" w:line="240" w:lineRule="auto"/>
              <w:ind w:firstLine="0"/>
              <w:jc w:val="left"/>
              <w:rPr>
                <w:rFonts w:eastAsia="PMingLiU" w:cs="Times New Roman"/>
                <w:sz w:val="22"/>
                <w:lang w:val="en-GB" w:eastAsia="zh-TW"/>
              </w:rPr>
            </w:pPr>
            <w:r w:rsidRPr="007048BA">
              <w:rPr>
                <w:rFonts w:eastAsia="PMingLiU" w:cs="Times New Roman"/>
                <w:sz w:val="22"/>
                <w:lang w:val="en-GB" w:eastAsia="zh-TW"/>
              </w:rPr>
              <w:t xml:space="preserve">Several size-related transaction costs are associated with acquiring a target and, therefore, the number of viable bidders for a target decreases as its size increases </w:t>
            </w:r>
          </w:p>
        </w:tc>
        <w:tc>
          <w:tcPr>
            <w:tcW w:w="1878" w:type="pct"/>
          </w:tcPr>
          <w:p w14:paraId="658064E3" w14:textId="6D6B938D" w:rsidR="00E36AF7" w:rsidRPr="007048BA" w:rsidRDefault="00E36AF7" w:rsidP="00DE254A">
            <w:pPr>
              <w:autoSpaceDE w:val="0"/>
              <w:autoSpaceDN w:val="0"/>
              <w:adjustRightInd w:val="0"/>
              <w:spacing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t>Size</w:t>
            </w:r>
          </w:p>
          <w:p w14:paraId="3CC1939E" w14:textId="7DE02E37"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SIZE</w:t>
            </w:r>
            <w:r w:rsidR="00E36AF7" w:rsidRPr="007048BA">
              <w:rPr>
                <w:rFonts w:eastAsia="PMingLiU" w:cs="Times New Roman"/>
                <w:sz w:val="22"/>
                <w:lang w:val="en-GB" w:eastAsia="zh-TW"/>
              </w:rPr>
              <w:t xml:space="preserve"> </w:t>
            </w:r>
            <w:r w:rsidRPr="007048BA">
              <w:rPr>
                <w:rFonts w:eastAsia="PMingLiU" w:cs="Times New Roman"/>
                <w:sz w:val="22"/>
                <w:lang w:val="en-GB" w:eastAsia="zh-TW"/>
              </w:rPr>
              <w:t xml:space="preserve">(-): </w:t>
            </w:r>
            <w:r w:rsidR="0059694D" w:rsidRPr="007048BA">
              <w:rPr>
                <w:rFonts w:eastAsia="PMingLiU" w:cs="Times New Roman"/>
                <w:sz w:val="22"/>
                <w:lang w:val="en-GB" w:eastAsia="zh-TW"/>
              </w:rPr>
              <w:t>N</w:t>
            </w:r>
            <w:r w:rsidRPr="007048BA">
              <w:rPr>
                <w:rFonts w:eastAsia="PMingLiU" w:cs="Times New Roman"/>
                <w:sz w:val="22"/>
                <w:lang w:val="en-GB" w:eastAsia="zh-TW"/>
              </w:rPr>
              <w:t>atural log of total assets</w:t>
            </w:r>
            <w:r w:rsidR="00E36AF7" w:rsidRPr="007048BA">
              <w:rPr>
                <w:rFonts w:eastAsia="PMingLiU" w:cs="Times New Roman"/>
                <w:sz w:val="22"/>
                <w:lang w:val="en-GB" w:eastAsia="zh-TW"/>
              </w:rPr>
              <w:t xml:space="preserve"> (</w:t>
            </w:r>
            <w:r w:rsidR="00793A2D" w:rsidRPr="007048BA">
              <w:rPr>
                <w:rFonts w:eastAsia="PMingLiU" w:cs="Times New Roman"/>
                <w:sz w:val="22"/>
                <w:lang w:val="en-GB" w:eastAsia="zh-TW"/>
              </w:rPr>
              <w:t>WC02999</w:t>
            </w:r>
            <w:r w:rsidR="00E36AF7" w:rsidRPr="007048BA">
              <w:rPr>
                <w:rFonts w:eastAsia="PMingLiU" w:cs="Times New Roman"/>
                <w:sz w:val="22"/>
                <w:lang w:val="en-GB" w:eastAsia="zh-TW"/>
              </w:rPr>
              <w:t>)</w:t>
            </w:r>
            <w:r w:rsidRPr="007048BA">
              <w:rPr>
                <w:rFonts w:eastAsia="PMingLiU" w:cs="Times New Roman"/>
                <w:sz w:val="22"/>
                <w:lang w:val="en-GB" w:eastAsia="zh-TW"/>
              </w:rPr>
              <w:t>.</w:t>
            </w:r>
          </w:p>
          <w:p w14:paraId="6948EF0F" w14:textId="77777777" w:rsidR="00DE254A" w:rsidRPr="007048BA" w:rsidRDefault="00DE254A" w:rsidP="00DE254A">
            <w:pPr>
              <w:autoSpaceDE w:val="0"/>
              <w:autoSpaceDN w:val="0"/>
              <w:adjustRightInd w:val="0"/>
              <w:spacing w:after="0" w:line="240" w:lineRule="auto"/>
              <w:ind w:firstLine="227"/>
              <w:jc w:val="left"/>
              <w:rPr>
                <w:rFonts w:eastAsia="PMingLiU" w:cs="Times New Roman"/>
                <w:sz w:val="22"/>
                <w:lang w:val="en-GB" w:eastAsia="zh-TW"/>
              </w:rPr>
            </w:pPr>
          </w:p>
        </w:tc>
        <w:tc>
          <w:tcPr>
            <w:tcW w:w="620" w:type="pct"/>
          </w:tcPr>
          <w:p w14:paraId="2E080A69" w14:textId="77777777"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Powell (1997);</w:t>
            </w:r>
          </w:p>
          <w:p w14:paraId="05843092" w14:textId="77777777"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Powell and Yawson (2007).</w:t>
            </w:r>
          </w:p>
        </w:tc>
      </w:tr>
      <w:tr w:rsidR="00DE254A" w:rsidRPr="007048BA" w14:paraId="03C2179B" w14:textId="77777777" w:rsidTr="005B049D">
        <w:tc>
          <w:tcPr>
            <w:tcW w:w="800" w:type="pct"/>
          </w:tcPr>
          <w:p w14:paraId="53C29A8F" w14:textId="77777777" w:rsidR="00DE254A" w:rsidRPr="007048BA" w:rsidRDefault="00DE254A" w:rsidP="00DE254A">
            <w:pPr>
              <w:autoSpaceDE w:val="0"/>
              <w:autoSpaceDN w:val="0"/>
              <w:adjustRightInd w:val="0"/>
              <w:spacing w:after="0" w:line="240" w:lineRule="auto"/>
              <w:ind w:firstLine="0"/>
              <w:rPr>
                <w:rFonts w:eastAsia="PMingLiU" w:cs="Times New Roman"/>
                <w:sz w:val="22"/>
                <w:lang w:val="en-GB" w:eastAsia="zh-TW"/>
              </w:rPr>
            </w:pPr>
            <w:r w:rsidRPr="007048BA">
              <w:rPr>
                <w:rFonts w:eastAsia="PMingLiU" w:cs="Times New Roman"/>
                <w:sz w:val="22"/>
                <w:lang w:val="en-GB" w:eastAsia="zh-TW"/>
              </w:rPr>
              <w:t>Firm age</w:t>
            </w:r>
          </w:p>
          <w:p w14:paraId="6BB02F72" w14:textId="77777777" w:rsidR="00DE254A" w:rsidRPr="007048BA" w:rsidRDefault="00DE254A" w:rsidP="00DE254A">
            <w:pPr>
              <w:autoSpaceDE w:val="0"/>
              <w:autoSpaceDN w:val="0"/>
              <w:adjustRightInd w:val="0"/>
              <w:spacing w:after="0" w:line="240" w:lineRule="auto"/>
              <w:ind w:firstLine="227"/>
              <w:rPr>
                <w:rFonts w:eastAsia="PMingLiU" w:cs="Times New Roman"/>
                <w:sz w:val="22"/>
                <w:lang w:val="en-GB" w:eastAsia="zh-TW"/>
              </w:rPr>
            </w:pPr>
          </w:p>
        </w:tc>
        <w:tc>
          <w:tcPr>
            <w:tcW w:w="1702" w:type="pct"/>
          </w:tcPr>
          <w:p w14:paraId="61191DE6" w14:textId="77777777" w:rsidR="00DE254A" w:rsidRPr="007048BA" w:rsidRDefault="00DE254A" w:rsidP="00DE254A">
            <w:pPr>
              <w:autoSpaceDE w:val="0"/>
              <w:autoSpaceDN w:val="0"/>
              <w:adjustRightInd w:val="0"/>
              <w:spacing w:before="120" w:line="240" w:lineRule="auto"/>
              <w:ind w:firstLine="0"/>
              <w:jc w:val="left"/>
              <w:rPr>
                <w:rFonts w:eastAsia="PMingLiU" w:cs="Times New Roman"/>
                <w:sz w:val="22"/>
                <w:lang w:val="en-GB" w:eastAsia="zh-TW"/>
              </w:rPr>
            </w:pPr>
            <w:r w:rsidRPr="007048BA">
              <w:rPr>
                <w:rFonts w:eastAsia="PMingLiU" w:cs="Times New Roman"/>
                <w:sz w:val="22"/>
                <w:lang w:val="en-GB" w:eastAsia="zh-TW"/>
              </w:rPr>
              <w:t xml:space="preserve">Firm endowments are generally low when firms are born, but increase over time as firms invest in research and development. Older firms are more endowed and knowledgeable about themselves. Hence, the probability of firm survival (takeover) within an industry increases (decreases) as firms grow older. </w:t>
            </w:r>
          </w:p>
        </w:tc>
        <w:tc>
          <w:tcPr>
            <w:tcW w:w="1878" w:type="pct"/>
          </w:tcPr>
          <w:p w14:paraId="514C0602" w14:textId="77777777" w:rsidR="00E36AF7" w:rsidRPr="007048BA" w:rsidRDefault="00E36AF7" w:rsidP="005B049D">
            <w:pPr>
              <w:autoSpaceDE w:val="0"/>
              <w:autoSpaceDN w:val="0"/>
              <w:adjustRightInd w:val="0"/>
              <w:spacing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t xml:space="preserve">Firm age </w:t>
            </w:r>
          </w:p>
          <w:p w14:paraId="1B9CF991" w14:textId="3FF78537" w:rsidR="00DE254A" w:rsidRPr="007048BA" w:rsidRDefault="00DE254A" w:rsidP="005B049D">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AGE</w:t>
            </w:r>
            <w:r w:rsidR="00E36AF7" w:rsidRPr="007048BA">
              <w:rPr>
                <w:rFonts w:eastAsia="PMingLiU" w:cs="Times New Roman"/>
                <w:sz w:val="22"/>
                <w:lang w:val="en-GB" w:eastAsia="zh-TW"/>
              </w:rPr>
              <w:t xml:space="preserve"> </w:t>
            </w:r>
            <w:r w:rsidRPr="007048BA">
              <w:rPr>
                <w:rFonts w:eastAsia="PMingLiU" w:cs="Times New Roman"/>
                <w:sz w:val="22"/>
                <w:lang w:val="en-GB" w:eastAsia="zh-TW"/>
              </w:rPr>
              <w:t>(+):</w:t>
            </w:r>
            <w:r w:rsidR="00E36AF7" w:rsidRPr="007048BA">
              <w:rPr>
                <w:rFonts w:eastAsia="PMingLiU" w:cs="Times New Roman"/>
                <w:sz w:val="22"/>
                <w:lang w:val="en-GB" w:eastAsia="zh-TW"/>
              </w:rPr>
              <w:t xml:space="preserve"> N</w:t>
            </w:r>
            <w:r w:rsidRPr="007048BA">
              <w:rPr>
                <w:rFonts w:eastAsia="PMingLiU" w:cs="Times New Roman"/>
                <w:sz w:val="22"/>
                <w:lang w:val="en-GB" w:eastAsia="zh-TW"/>
              </w:rPr>
              <w:t xml:space="preserve">umber of years since </w:t>
            </w:r>
            <w:r w:rsidR="00E36AF7" w:rsidRPr="007048BA">
              <w:rPr>
                <w:rFonts w:eastAsia="PMingLiU" w:cs="Times New Roman"/>
                <w:sz w:val="22"/>
                <w:lang w:val="en-GB" w:eastAsia="zh-TW"/>
              </w:rPr>
              <w:t>date of incorporation is (</w:t>
            </w:r>
            <w:r w:rsidR="00152F91" w:rsidRPr="007048BA">
              <w:rPr>
                <w:rFonts w:eastAsia="PMingLiU" w:cs="Times New Roman"/>
                <w:sz w:val="22"/>
                <w:lang w:val="en-GB" w:eastAsia="zh-TW"/>
              </w:rPr>
              <w:t>WC18273</w:t>
            </w:r>
            <w:r w:rsidR="00E36AF7" w:rsidRPr="007048BA">
              <w:rPr>
                <w:rFonts w:eastAsia="PMingLiU" w:cs="Times New Roman"/>
                <w:sz w:val="22"/>
                <w:lang w:val="en-GB" w:eastAsia="zh-TW"/>
              </w:rPr>
              <w:t>)</w:t>
            </w:r>
            <w:r w:rsidRPr="007048BA">
              <w:rPr>
                <w:rFonts w:eastAsia="PMingLiU" w:cs="Times New Roman"/>
                <w:sz w:val="22"/>
                <w:lang w:val="en-GB" w:eastAsia="zh-TW"/>
              </w:rPr>
              <w:t xml:space="preserve"> </w:t>
            </w:r>
          </w:p>
          <w:p w14:paraId="701EF090" w14:textId="77777777" w:rsidR="00DE254A" w:rsidRPr="007048BA" w:rsidRDefault="00DE254A" w:rsidP="00DE254A">
            <w:pPr>
              <w:autoSpaceDE w:val="0"/>
              <w:autoSpaceDN w:val="0"/>
              <w:adjustRightInd w:val="0"/>
              <w:spacing w:after="0" w:line="240" w:lineRule="auto"/>
              <w:ind w:firstLine="227"/>
              <w:jc w:val="left"/>
              <w:rPr>
                <w:rFonts w:eastAsia="PMingLiU" w:cs="Times New Roman"/>
                <w:sz w:val="22"/>
                <w:lang w:val="en-GB" w:eastAsia="zh-TW"/>
              </w:rPr>
            </w:pPr>
          </w:p>
        </w:tc>
        <w:tc>
          <w:tcPr>
            <w:tcW w:w="620" w:type="pct"/>
          </w:tcPr>
          <w:p w14:paraId="6DFFA9B0" w14:textId="77777777" w:rsidR="00DE254A" w:rsidRPr="007048BA" w:rsidRDefault="00DE254A" w:rsidP="00DE254A">
            <w:pPr>
              <w:autoSpaceDE w:val="0"/>
              <w:autoSpaceDN w:val="0"/>
              <w:adjustRightInd w:val="0"/>
              <w:spacing w:before="120" w:line="240" w:lineRule="auto"/>
              <w:ind w:firstLine="0"/>
              <w:jc w:val="left"/>
              <w:rPr>
                <w:rFonts w:eastAsia="PMingLiU" w:cs="Times New Roman"/>
                <w:sz w:val="22"/>
                <w:lang w:val="en-GB" w:eastAsia="zh-TW"/>
              </w:rPr>
            </w:pPr>
            <w:r w:rsidRPr="007048BA">
              <w:rPr>
                <w:rFonts w:eastAsia="PMingLiU" w:cs="Times New Roman"/>
                <w:sz w:val="22"/>
                <w:lang w:val="en-GB" w:eastAsia="zh-TW"/>
              </w:rPr>
              <w:t>Pakes and Ericson (1998); Agarwal and Gort (2002);</w:t>
            </w:r>
          </w:p>
          <w:p w14:paraId="041DBC01" w14:textId="77777777" w:rsidR="00DE254A" w:rsidRPr="007048BA" w:rsidRDefault="00DE254A" w:rsidP="00DE254A">
            <w:pPr>
              <w:autoSpaceDE w:val="0"/>
              <w:autoSpaceDN w:val="0"/>
              <w:adjustRightInd w:val="0"/>
              <w:spacing w:before="120" w:line="240" w:lineRule="auto"/>
              <w:ind w:firstLine="0"/>
              <w:jc w:val="left"/>
              <w:rPr>
                <w:rFonts w:eastAsia="PMingLiU" w:cs="Times New Roman"/>
                <w:sz w:val="22"/>
                <w:lang w:val="en-GB" w:eastAsia="zh-TW"/>
              </w:rPr>
            </w:pPr>
            <w:r w:rsidRPr="007048BA">
              <w:rPr>
                <w:rFonts w:eastAsia="PMingLiU" w:cs="Times New Roman"/>
                <w:sz w:val="22"/>
                <w:lang w:val="en-GB" w:eastAsia="zh-TW"/>
              </w:rPr>
              <w:t xml:space="preserve">Bhattacharjee et al. (2009). </w:t>
            </w:r>
          </w:p>
        </w:tc>
      </w:tr>
      <w:tr w:rsidR="00DE254A" w:rsidRPr="007048BA" w14:paraId="6BD3CCE4" w14:textId="77777777" w:rsidTr="005B049D">
        <w:tc>
          <w:tcPr>
            <w:tcW w:w="800" w:type="pct"/>
          </w:tcPr>
          <w:p w14:paraId="48105359" w14:textId="77777777" w:rsidR="00DE254A" w:rsidRPr="007048BA" w:rsidRDefault="00DE254A" w:rsidP="00DE254A">
            <w:pPr>
              <w:autoSpaceDE w:val="0"/>
              <w:autoSpaceDN w:val="0"/>
              <w:adjustRightInd w:val="0"/>
              <w:spacing w:after="0" w:line="240" w:lineRule="auto"/>
              <w:ind w:firstLine="0"/>
              <w:rPr>
                <w:rFonts w:eastAsia="PMingLiU" w:cs="Times New Roman"/>
                <w:sz w:val="22"/>
                <w:lang w:val="en-GB" w:eastAsia="zh-TW"/>
              </w:rPr>
            </w:pPr>
            <w:r w:rsidRPr="007048BA">
              <w:rPr>
                <w:rFonts w:eastAsia="PMingLiU" w:cs="Times New Roman"/>
                <w:sz w:val="22"/>
                <w:lang w:val="en-GB" w:eastAsia="zh-TW"/>
              </w:rPr>
              <w:t>Industry concentration</w:t>
            </w:r>
          </w:p>
        </w:tc>
        <w:tc>
          <w:tcPr>
            <w:tcW w:w="1702" w:type="pct"/>
          </w:tcPr>
          <w:p w14:paraId="355A6675" w14:textId="77777777"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Competition in product markets (i.e., low industry concentration) is especially costly for inefficiently managed firms as it leads to the elimination, possibly through takeovers.</w:t>
            </w:r>
          </w:p>
        </w:tc>
        <w:tc>
          <w:tcPr>
            <w:tcW w:w="1878" w:type="pct"/>
          </w:tcPr>
          <w:p w14:paraId="5DFA9C63" w14:textId="77777777" w:rsidR="009B4144" w:rsidRPr="007048BA" w:rsidRDefault="00680038" w:rsidP="00680038">
            <w:pPr>
              <w:autoSpaceDE w:val="0"/>
              <w:autoSpaceDN w:val="0"/>
              <w:adjustRightInd w:val="0"/>
              <w:spacing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t xml:space="preserve">Herfindahl-Hirschman index </w:t>
            </w:r>
          </w:p>
          <w:p w14:paraId="68196A46" w14:textId="3BFF91DC" w:rsidR="00DE254A" w:rsidRPr="007048BA" w:rsidRDefault="00DE254A" w:rsidP="00680038">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HHI</w:t>
            </w:r>
            <w:r w:rsidR="009B4144" w:rsidRPr="007048BA">
              <w:rPr>
                <w:rFonts w:eastAsia="PMingLiU" w:cs="Times New Roman"/>
                <w:sz w:val="22"/>
                <w:lang w:val="en-GB" w:eastAsia="zh-TW"/>
              </w:rPr>
              <w:t xml:space="preserve"> </w:t>
            </w:r>
            <w:r w:rsidRPr="007048BA">
              <w:rPr>
                <w:rFonts w:eastAsia="PMingLiU" w:cs="Times New Roman"/>
                <w:sz w:val="22"/>
                <w:lang w:val="en-GB" w:eastAsia="zh-TW"/>
              </w:rPr>
              <w:t xml:space="preserve">(-): sum of the squared market shares </w:t>
            </w:r>
            <w:r w:rsidR="00680038" w:rsidRPr="007048BA">
              <w:rPr>
                <w:rFonts w:eastAsia="PMingLiU" w:cs="Times New Roman"/>
                <w:sz w:val="22"/>
                <w:lang w:val="en-GB" w:eastAsia="zh-TW"/>
              </w:rPr>
              <w:t>derived from total revenues (</w:t>
            </w:r>
            <w:r w:rsidR="00253269" w:rsidRPr="007048BA">
              <w:rPr>
                <w:rFonts w:eastAsia="PMingLiU" w:cs="Times New Roman"/>
                <w:sz w:val="22"/>
                <w:lang w:val="en-GB" w:eastAsia="zh-TW"/>
              </w:rPr>
              <w:t>WC01001</w:t>
            </w:r>
            <w:r w:rsidR="00680038" w:rsidRPr="007048BA">
              <w:rPr>
                <w:rFonts w:eastAsia="PMingLiU" w:cs="Times New Roman"/>
                <w:sz w:val="22"/>
                <w:lang w:val="en-GB" w:eastAsia="zh-TW"/>
              </w:rPr>
              <w:t xml:space="preserve">) </w:t>
            </w:r>
            <w:r w:rsidRPr="007048BA">
              <w:rPr>
                <w:rFonts w:eastAsia="PMingLiU" w:cs="Times New Roman"/>
                <w:sz w:val="22"/>
                <w:lang w:val="en-GB" w:eastAsia="zh-TW"/>
              </w:rPr>
              <w:t xml:space="preserve">of all listed firms in the </w:t>
            </w:r>
            <w:r w:rsidR="00680038" w:rsidRPr="007048BA">
              <w:rPr>
                <w:rFonts w:eastAsia="PMingLiU" w:cs="Times New Roman"/>
                <w:sz w:val="22"/>
                <w:lang w:val="en-GB" w:eastAsia="zh-TW"/>
              </w:rPr>
              <w:t>2</w:t>
            </w:r>
            <w:r w:rsidRPr="007048BA">
              <w:rPr>
                <w:rFonts w:eastAsia="PMingLiU" w:cs="Times New Roman"/>
                <w:sz w:val="22"/>
                <w:lang w:val="en-GB" w:eastAsia="zh-TW"/>
              </w:rPr>
              <w:t>-digit SIC industry.</w:t>
            </w:r>
          </w:p>
        </w:tc>
        <w:tc>
          <w:tcPr>
            <w:tcW w:w="620" w:type="pct"/>
          </w:tcPr>
          <w:p w14:paraId="320EDC1E" w14:textId="77777777"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Danbolt et al. (2016);</w:t>
            </w:r>
          </w:p>
          <w:p w14:paraId="7F1F38D2" w14:textId="77777777"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Powell and Yawson (2007).</w:t>
            </w:r>
          </w:p>
        </w:tc>
      </w:tr>
      <w:tr w:rsidR="00DE254A" w:rsidRPr="007048BA" w14:paraId="4184B748" w14:textId="77777777" w:rsidTr="005B049D">
        <w:tc>
          <w:tcPr>
            <w:tcW w:w="800" w:type="pct"/>
          </w:tcPr>
          <w:p w14:paraId="376849BB" w14:textId="77777777" w:rsidR="00DE254A" w:rsidRPr="007048BA" w:rsidRDefault="00DE254A" w:rsidP="00DE254A">
            <w:pPr>
              <w:autoSpaceDE w:val="0"/>
              <w:autoSpaceDN w:val="0"/>
              <w:adjustRightInd w:val="0"/>
              <w:spacing w:after="0" w:line="240" w:lineRule="auto"/>
              <w:ind w:firstLine="0"/>
              <w:rPr>
                <w:rFonts w:eastAsia="PMingLiU" w:cs="Times New Roman"/>
                <w:sz w:val="22"/>
                <w:lang w:val="en-GB" w:eastAsia="zh-TW"/>
              </w:rPr>
            </w:pPr>
            <w:r w:rsidRPr="007048BA">
              <w:rPr>
                <w:rFonts w:eastAsia="PMingLiU" w:cs="Times New Roman"/>
                <w:sz w:val="22"/>
                <w:lang w:val="en-GB" w:eastAsia="zh-TW"/>
              </w:rPr>
              <w:t>Block holders</w:t>
            </w:r>
          </w:p>
        </w:tc>
        <w:tc>
          <w:tcPr>
            <w:tcW w:w="1702" w:type="pct"/>
          </w:tcPr>
          <w:p w14:paraId="36E14B00" w14:textId="16B76A1E"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The presence of large shareholders facilitate takeovers as they can reduce the bidder</w:t>
            </w:r>
            <w:r w:rsidR="008555D3" w:rsidRPr="007048BA">
              <w:rPr>
                <w:rFonts w:eastAsia="PMingLiU" w:cs="Times New Roman"/>
                <w:sz w:val="22"/>
                <w:lang w:val="en-GB" w:eastAsia="zh-TW"/>
              </w:rPr>
              <w:t>’</w:t>
            </w:r>
            <w:r w:rsidRPr="007048BA">
              <w:rPr>
                <w:rFonts w:eastAsia="PMingLiU" w:cs="Times New Roman"/>
                <w:sz w:val="22"/>
                <w:lang w:val="en-GB" w:eastAsia="zh-TW"/>
              </w:rPr>
              <w:t xml:space="preserve">s takeover costs </w:t>
            </w:r>
            <w:r w:rsidRPr="007048BA">
              <w:rPr>
                <w:rFonts w:eastAsia="PMingLiU" w:cs="Times New Roman"/>
                <w:sz w:val="22"/>
                <w:lang w:val="en-GB" w:eastAsia="zh-TW"/>
              </w:rPr>
              <w:lastRenderedPageBreak/>
              <w:t>by splitting the gains on their own shares with the bidder.</w:t>
            </w:r>
          </w:p>
          <w:p w14:paraId="7C06FE16" w14:textId="77777777" w:rsidR="00DE254A" w:rsidRPr="007048BA" w:rsidRDefault="00DE254A" w:rsidP="00DE254A">
            <w:pPr>
              <w:autoSpaceDE w:val="0"/>
              <w:autoSpaceDN w:val="0"/>
              <w:adjustRightInd w:val="0"/>
              <w:spacing w:after="0" w:line="240" w:lineRule="auto"/>
              <w:ind w:firstLine="227"/>
              <w:jc w:val="left"/>
              <w:rPr>
                <w:rFonts w:eastAsia="PMingLiU" w:cs="Times New Roman"/>
                <w:sz w:val="22"/>
                <w:lang w:val="en-GB" w:eastAsia="zh-TW"/>
              </w:rPr>
            </w:pPr>
          </w:p>
        </w:tc>
        <w:tc>
          <w:tcPr>
            <w:tcW w:w="1878" w:type="pct"/>
          </w:tcPr>
          <w:p w14:paraId="3AEA1F34" w14:textId="1E154B1B" w:rsidR="009B4144" w:rsidRPr="007048BA" w:rsidRDefault="0015412A" w:rsidP="00DE254A">
            <w:pPr>
              <w:autoSpaceDE w:val="0"/>
              <w:autoSpaceDN w:val="0"/>
              <w:adjustRightInd w:val="0"/>
              <w:spacing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lastRenderedPageBreak/>
              <w:t>Presence of b</w:t>
            </w:r>
            <w:r w:rsidR="009B4144" w:rsidRPr="007048BA">
              <w:rPr>
                <w:rFonts w:eastAsia="PMingLiU" w:cs="Times New Roman"/>
                <w:b/>
                <w:i/>
                <w:sz w:val="22"/>
                <w:lang w:val="en-GB" w:eastAsia="zh-TW"/>
              </w:rPr>
              <w:t>lock holders</w:t>
            </w:r>
          </w:p>
          <w:p w14:paraId="334E8FF3" w14:textId="4D634883" w:rsidR="00DE254A" w:rsidRPr="007048BA" w:rsidRDefault="00EF63A8" w:rsidP="004E0D54">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BLOC</w:t>
            </w:r>
            <w:r w:rsidR="009B4144" w:rsidRPr="007048BA">
              <w:rPr>
                <w:rFonts w:eastAsia="PMingLiU" w:cs="Times New Roman"/>
                <w:sz w:val="22"/>
                <w:lang w:val="en-GB" w:eastAsia="zh-TW"/>
              </w:rPr>
              <w:t xml:space="preserve"> </w:t>
            </w:r>
            <w:r w:rsidR="0059694D" w:rsidRPr="007048BA">
              <w:rPr>
                <w:rFonts w:eastAsia="PMingLiU" w:cs="Times New Roman"/>
                <w:sz w:val="22"/>
                <w:lang w:val="en-GB" w:eastAsia="zh-TW"/>
              </w:rPr>
              <w:t>(+): D</w:t>
            </w:r>
            <w:r w:rsidR="00DE254A" w:rsidRPr="007048BA">
              <w:rPr>
                <w:rFonts w:eastAsia="PMingLiU" w:cs="Times New Roman"/>
                <w:sz w:val="22"/>
                <w:lang w:val="en-GB" w:eastAsia="zh-TW"/>
              </w:rPr>
              <w:t xml:space="preserve">ummy is 1 if a firm has a significant </w:t>
            </w:r>
            <w:r w:rsidR="00A21A51" w:rsidRPr="007048BA">
              <w:rPr>
                <w:rFonts w:eastAsia="PMingLiU" w:cs="Times New Roman"/>
                <w:sz w:val="22"/>
                <w:lang w:val="en-GB" w:eastAsia="zh-TW"/>
              </w:rPr>
              <w:t xml:space="preserve">(i.e., at least 5 percent) </w:t>
            </w:r>
            <w:r w:rsidR="009B4144" w:rsidRPr="007048BA">
              <w:rPr>
                <w:rFonts w:eastAsia="PMingLiU" w:cs="Times New Roman"/>
                <w:sz w:val="22"/>
                <w:lang w:val="en-GB" w:eastAsia="zh-TW"/>
              </w:rPr>
              <w:lastRenderedPageBreak/>
              <w:t xml:space="preserve">strategic </w:t>
            </w:r>
            <w:r w:rsidR="00DE254A" w:rsidRPr="007048BA">
              <w:rPr>
                <w:rFonts w:eastAsia="PMingLiU" w:cs="Times New Roman"/>
                <w:sz w:val="22"/>
                <w:lang w:val="en-GB" w:eastAsia="zh-TW"/>
              </w:rPr>
              <w:t xml:space="preserve">shareholder </w:t>
            </w:r>
            <w:r w:rsidR="009B4144" w:rsidRPr="007048BA">
              <w:rPr>
                <w:rFonts w:eastAsia="PMingLiU" w:cs="Times New Roman"/>
                <w:sz w:val="22"/>
                <w:lang w:val="en-GB" w:eastAsia="zh-TW"/>
              </w:rPr>
              <w:t>(</w:t>
            </w:r>
            <w:r w:rsidR="00253269" w:rsidRPr="007048BA">
              <w:rPr>
                <w:rFonts w:eastAsia="PMingLiU" w:cs="Times New Roman"/>
                <w:sz w:val="22"/>
                <w:lang w:val="en-GB" w:eastAsia="zh-TW"/>
              </w:rPr>
              <w:t>NOSHST</w:t>
            </w:r>
            <w:r w:rsidR="009B4144" w:rsidRPr="007048BA">
              <w:rPr>
                <w:rFonts w:eastAsia="PMingLiU" w:cs="Times New Roman"/>
                <w:sz w:val="22"/>
                <w:lang w:val="en-GB" w:eastAsia="zh-TW"/>
              </w:rPr>
              <w:t xml:space="preserve">), and a value of </w:t>
            </w:r>
            <w:r w:rsidR="004E0D54" w:rsidRPr="007048BA">
              <w:rPr>
                <w:rFonts w:eastAsia="PMingLiU" w:cs="Times New Roman"/>
                <w:sz w:val="22"/>
                <w:lang w:val="en-GB" w:eastAsia="zh-TW"/>
              </w:rPr>
              <w:t>0</w:t>
            </w:r>
            <w:r w:rsidR="009B4144" w:rsidRPr="007048BA">
              <w:rPr>
                <w:rFonts w:eastAsia="PMingLiU" w:cs="Times New Roman"/>
                <w:sz w:val="22"/>
                <w:lang w:val="en-GB" w:eastAsia="zh-TW"/>
              </w:rPr>
              <w:t xml:space="preserve"> otherwise. </w:t>
            </w:r>
          </w:p>
        </w:tc>
        <w:tc>
          <w:tcPr>
            <w:tcW w:w="620" w:type="pct"/>
          </w:tcPr>
          <w:p w14:paraId="67F51DCA" w14:textId="77777777" w:rsidR="00DE254A" w:rsidRPr="007048BA" w:rsidRDefault="00DE254A"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lastRenderedPageBreak/>
              <w:t>Cremers et al., (2009).</w:t>
            </w:r>
          </w:p>
        </w:tc>
      </w:tr>
      <w:tr w:rsidR="00790749" w:rsidRPr="007048BA" w14:paraId="176E080B" w14:textId="77777777" w:rsidTr="005B049D">
        <w:tc>
          <w:tcPr>
            <w:tcW w:w="800" w:type="pct"/>
          </w:tcPr>
          <w:p w14:paraId="378109EE" w14:textId="58234D05" w:rsidR="004115EA" w:rsidRPr="007048BA" w:rsidRDefault="004115EA" w:rsidP="00DE254A">
            <w:pPr>
              <w:autoSpaceDE w:val="0"/>
              <w:autoSpaceDN w:val="0"/>
              <w:adjustRightInd w:val="0"/>
              <w:spacing w:after="0" w:line="240" w:lineRule="auto"/>
              <w:ind w:firstLine="0"/>
              <w:rPr>
                <w:rFonts w:eastAsia="PMingLiU" w:cs="Times New Roman"/>
                <w:sz w:val="22"/>
                <w:lang w:val="en-GB" w:eastAsia="zh-TW"/>
              </w:rPr>
            </w:pPr>
            <w:r w:rsidRPr="007048BA">
              <w:rPr>
                <w:rFonts w:eastAsia="PMingLiU" w:cs="Times New Roman"/>
                <w:sz w:val="22"/>
                <w:lang w:val="en-GB" w:eastAsia="zh-TW"/>
              </w:rPr>
              <w:t>Merger rumours</w:t>
            </w:r>
          </w:p>
        </w:tc>
        <w:tc>
          <w:tcPr>
            <w:tcW w:w="1702" w:type="pct"/>
          </w:tcPr>
          <w:p w14:paraId="6C66AE06" w14:textId="24EBFFD9" w:rsidR="004115EA" w:rsidRPr="007048BA" w:rsidRDefault="00F461DB"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Several takeovers are preceded by M&amp;A rumours.</w:t>
            </w:r>
          </w:p>
        </w:tc>
        <w:tc>
          <w:tcPr>
            <w:tcW w:w="1878" w:type="pct"/>
          </w:tcPr>
          <w:p w14:paraId="440BE201" w14:textId="32CD6E4F" w:rsidR="00E36AF7" w:rsidRPr="007048BA" w:rsidRDefault="00E36AF7" w:rsidP="00DE254A">
            <w:pPr>
              <w:autoSpaceDE w:val="0"/>
              <w:autoSpaceDN w:val="0"/>
              <w:adjustRightInd w:val="0"/>
              <w:spacing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t>Rumours</w:t>
            </w:r>
          </w:p>
          <w:p w14:paraId="3A2F0FB8" w14:textId="1E75EF8D" w:rsidR="004115EA" w:rsidRPr="007048BA" w:rsidRDefault="008838C5" w:rsidP="004E0D54">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RUM</w:t>
            </w:r>
            <w:r w:rsidR="004270DF" w:rsidRPr="007048BA">
              <w:rPr>
                <w:rFonts w:eastAsia="PMingLiU" w:cs="Times New Roman"/>
                <w:sz w:val="22"/>
                <w:lang w:val="en-GB" w:eastAsia="zh-TW"/>
              </w:rPr>
              <w:t xml:space="preserve"> </w:t>
            </w:r>
            <w:r w:rsidRPr="007048BA">
              <w:rPr>
                <w:rFonts w:eastAsia="PMingLiU" w:cs="Times New Roman"/>
                <w:sz w:val="22"/>
                <w:lang w:val="en-GB" w:eastAsia="zh-TW"/>
              </w:rPr>
              <w:t>(+)</w:t>
            </w:r>
            <w:r w:rsidR="00E36AF7" w:rsidRPr="007048BA">
              <w:rPr>
                <w:rFonts w:eastAsia="PMingLiU" w:cs="Times New Roman"/>
                <w:sz w:val="22"/>
                <w:lang w:val="en-GB" w:eastAsia="zh-TW"/>
              </w:rPr>
              <w:t xml:space="preserve">: </w:t>
            </w:r>
            <w:r w:rsidR="004E0D54" w:rsidRPr="007048BA">
              <w:rPr>
                <w:rFonts w:eastAsia="PMingLiU" w:cs="Times New Roman"/>
                <w:sz w:val="22"/>
                <w:lang w:val="en-GB" w:eastAsia="zh-TW"/>
              </w:rPr>
              <w:t>Dummy</w:t>
            </w:r>
            <w:r w:rsidR="00F461DB" w:rsidRPr="007048BA">
              <w:rPr>
                <w:rFonts w:eastAsia="PMingLiU" w:cs="Times New Roman"/>
                <w:sz w:val="22"/>
                <w:lang w:val="en-GB" w:eastAsia="zh-TW"/>
              </w:rPr>
              <w:t xml:space="preserve"> is 1 if a firm is a rumoured target in a specific year</w:t>
            </w:r>
            <w:r w:rsidR="004E0D54" w:rsidRPr="007048BA">
              <w:rPr>
                <w:rFonts w:eastAsia="PMingLiU" w:cs="Times New Roman"/>
                <w:sz w:val="22"/>
                <w:lang w:val="en-GB" w:eastAsia="zh-TW"/>
              </w:rPr>
              <w:t xml:space="preserve"> (as recorded in Thomson One)</w:t>
            </w:r>
            <w:r w:rsidR="00F461DB" w:rsidRPr="007048BA">
              <w:rPr>
                <w:rFonts w:eastAsia="PMingLiU" w:cs="Times New Roman"/>
                <w:sz w:val="22"/>
                <w:lang w:val="en-GB" w:eastAsia="zh-TW"/>
              </w:rPr>
              <w:t xml:space="preserve">, and a value of </w:t>
            </w:r>
            <w:r w:rsidR="004E0D54" w:rsidRPr="007048BA">
              <w:rPr>
                <w:rFonts w:eastAsia="PMingLiU" w:cs="Times New Roman"/>
                <w:sz w:val="22"/>
                <w:lang w:val="en-GB" w:eastAsia="zh-TW"/>
              </w:rPr>
              <w:t>0 otherwise.</w:t>
            </w:r>
          </w:p>
        </w:tc>
        <w:tc>
          <w:tcPr>
            <w:tcW w:w="620" w:type="pct"/>
          </w:tcPr>
          <w:p w14:paraId="4870AB74" w14:textId="4B508D5F" w:rsidR="00A63065" w:rsidRPr="007048BA" w:rsidRDefault="00A63065" w:rsidP="00A63065">
            <w:pPr>
              <w:autoSpaceDE w:val="0"/>
              <w:autoSpaceDN w:val="0"/>
              <w:adjustRightInd w:val="0"/>
              <w:spacing w:before="120" w:line="240" w:lineRule="auto"/>
              <w:ind w:firstLine="0"/>
              <w:jc w:val="left"/>
              <w:rPr>
                <w:rFonts w:eastAsia="PMingLiU" w:cs="Times New Roman"/>
                <w:sz w:val="22"/>
                <w:lang w:val="en-GB" w:eastAsia="zh-TW"/>
              </w:rPr>
            </w:pPr>
            <w:r w:rsidRPr="007048BA">
              <w:rPr>
                <w:rFonts w:eastAsia="PMingLiU" w:cs="Times New Roman"/>
                <w:sz w:val="22"/>
                <w:lang w:val="en-GB" w:eastAsia="zh-TW"/>
              </w:rPr>
              <w:t>Danbolt et al. (2016)</w:t>
            </w:r>
          </w:p>
          <w:p w14:paraId="3A7AE348" w14:textId="77777777" w:rsidR="004115EA" w:rsidRPr="007048BA" w:rsidRDefault="004115EA" w:rsidP="00DE254A">
            <w:pPr>
              <w:autoSpaceDE w:val="0"/>
              <w:autoSpaceDN w:val="0"/>
              <w:adjustRightInd w:val="0"/>
              <w:spacing w:after="0" w:line="240" w:lineRule="auto"/>
              <w:ind w:firstLine="0"/>
              <w:jc w:val="left"/>
              <w:rPr>
                <w:rFonts w:eastAsia="PMingLiU" w:cs="Times New Roman"/>
                <w:sz w:val="22"/>
                <w:lang w:val="en-GB" w:eastAsia="zh-TW"/>
              </w:rPr>
            </w:pPr>
          </w:p>
        </w:tc>
      </w:tr>
      <w:tr w:rsidR="00790749" w:rsidRPr="007048BA" w14:paraId="701228CC" w14:textId="77777777" w:rsidTr="005B049D">
        <w:tc>
          <w:tcPr>
            <w:tcW w:w="800" w:type="pct"/>
          </w:tcPr>
          <w:p w14:paraId="3F85AF21" w14:textId="384293E1" w:rsidR="004115EA" w:rsidRPr="007048BA" w:rsidRDefault="004115EA" w:rsidP="00DE254A">
            <w:pPr>
              <w:autoSpaceDE w:val="0"/>
              <w:autoSpaceDN w:val="0"/>
              <w:adjustRightInd w:val="0"/>
              <w:spacing w:after="0" w:line="240" w:lineRule="auto"/>
              <w:ind w:firstLine="0"/>
              <w:rPr>
                <w:rFonts w:eastAsia="PMingLiU" w:cs="Times New Roman"/>
                <w:sz w:val="22"/>
                <w:lang w:val="en-GB" w:eastAsia="zh-TW"/>
              </w:rPr>
            </w:pPr>
            <w:r w:rsidRPr="007048BA">
              <w:rPr>
                <w:rFonts w:eastAsia="PMingLiU" w:cs="Times New Roman"/>
                <w:sz w:val="22"/>
                <w:lang w:val="en-GB" w:eastAsia="zh-TW"/>
              </w:rPr>
              <w:t>Price momentum</w:t>
            </w:r>
            <w:r w:rsidR="00F461DB" w:rsidRPr="007048BA">
              <w:rPr>
                <w:rFonts w:eastAsia="PMingLiU" w:cs="Times New Roman"/>
                <w:sz w:val="22"/>
                <w:lang w:val="en-GB" w:eastAsia="zh-TW"/>
              </w:rPr>
              <w:t xml:space="preserve"> and Trading volume</w:t>
            </w:r>
          </w:p>
        </w:tc>
        <w:tc>
          <w:tcPr>
            <w:tcW w:w="1702" w:type="pct"/>
          </w:tcPr>
          <w:p w14:paraId="069C65E0" w14:textId="187B76B5" w:rsidR="004115EA" w:rsidRPr="007048BA" w:rsidRDefault="00F461DB" w:rsidP="00F461DB">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Market anticipation and merger rumours can lead to active trading in firms with high likelihood of receiving takeover bids. Active trading is evident through price momentum (rapid increase in share prices of a short space of time) and an increase in the volume of shares traded.</w:t>
            </w:r>
          </w:p>
        </w:tc>
        <w:tc>
          <w:tcPr>
            <w:tcW w:w="1878" w:type="pct"/>
          </w:tcPr>
          <w:p w14:paraId="73CC5C22" w14:textId="0A0D3A30" w:rsidR="00E36AF7" w:rsidRPr="007048BA" w:rsidRDefault="00E36AF7" w:rsidP="00DE254A">
            <w:pPr>
              <w:autoSpaceDE w:val="0"/>
              <w:autoSpaceDN w:val="0"/>
              <w:adjustRightInd w:val="0"/>
              <w:spacing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t>Price momentum</w:t>
            </w:r>
          </w:p>
          <w:p w14:paraId="606DCC7B" w14:textId="77777777" w:rsidR="004115EA" w:rsidRPr="007048BA" w:rsidRDefault="008838C5"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MOM</w:t>
            </w:r>
            <w:r w:rsidR="00E36AF7" w:rsidRPr="007048BA">
              <w:rPr>
                <w:rFonts w:eastAsia="PMingLiU" w:cs="Times New Roman"/>
                <w:sz w:val="22"/>
                <w:lang w:val="en-GB" w:eastAsia="zh-TW"/>
              </w:rPr>
              <w:t xml:space="preserve"> </w:t>
            </w:r>
            <w:r w:rsidRPr="007048BA">
              <w:rPr>
                <w:rFonts w:eastAsia="PMingLiU" w:cs="Times New Roman"/>
                <w:sz w:val="22"/>
                <w:lang w:val="en-GB" w:eastAsia="zh-TW"/>
              </w:rPr>
              <w:t>(+)</w:t>
            </w:r>
            <w:r w:rsidR="00E36AF7" w:rsidRPr="007048BA">
              <w:rPr>
                <w:rFonts w:eastAsia="PMingLiU" w:cs="Times New Roman"/>
                <w:sz w:val="22"/>
                <w:lang w:val="en-GB" w:eastAsia="zh-TW"/>
              </w:rPr>
              <w:t>:</w:t>
            </w:r>
            <w:r w:rsidR="004270DF" w:rsidRPr="007048BA">
              <w:rPr>
                <w:rFonts w:eastAsia="PMingLiU" w:cs="Times New Roman"/>
                <w:sz w:val="22"/>
                <w:lang w:val="en-GB" w:eastAsia="zh-TW"/>
              </w:rPr>
              <w:t xml:space="preserve"> t-</w:t>
            </w:r>
            <w:r w:rsidR="00E36AF7" w:rsidRPr="007048BA">
              <w:rPr>
                <w:rFonts w:eastAsia="PMingLiU" w:cs="Times New Roman"/>
                <w:sz w:val="22"/>
                <w:lang w:val="en-GB" w:eastAsia="zh-TW"/>
              </w:rPr>
              <w:t>statistic of the trend line on daily share prices (</w:t>
            </w:r>
            <w:r w:rsidR="0059694D" w:rsidRPr="007048BA">
              <w:rPr>
                <w:rFonts w:eastAsia="PMingLiU" w:cs="Times New Roman"/>
                <w:sz w:val="22"/>
                <w:lang w:val="en-GB" w:eastAsia="zh-TW"/>
              </w:rPr>
              <w:t>UP</w:t>
            </w:r>
            <w:r w:rsidR="00E36AF7" w:rsidRPr="007048BA">
              <w:rPr>
                <w:rFonts w:eastAsia="PMingLiU" w:cs="Times New Roman"/>
                <w:sz w:val="22"/>
                <w:lang w:val="en-GB" w:eastAsia="zh-TW"/>
              </w:rPr>
              <w:t>) for the 90 days to June 30 each year.</w:t>
            </w:r>
          </w:p>
          <w:p w14:paraId="5A8C119E" w14:textId="77777777" w:rsidR="00F461DB" w:rsidRPr="007048BA" w:rsidRDefault="00F461DB" w:rsidP="00DE254A">
            <w:pPr>
              <w:autoSpaceDE w:val="0"/>
              <w:autoSpaceDN w:val="0"/>
              <w:adjustRightInd w:val="0"/>
              <w:spacing w:after="0" w:line="240" w:lineRule="auto"/>
              <w:ind w:firstLine="0"/>
              <w:jc w:val="left"/>
              <w:rPr>
                <w:rFonts w:eastAsia="PMingLiU" w:cs="Times New Roman"/>
                <w:sz w:val="22"/>
                <w:lang w:val="en-GB" w:eastAsia="zh-TW"/>
              </w:rPr>
            </w:pPr>
          </w:p>
          <w:p w14:paraId="641C1708" w14:textId="77777777" w:rsidR="00F461DB" w:rsidRPr="007048BA" w:rsidRDefault="00F461DB" w:rsidP="00F461DB">
            <w:pPr>
              <w:autoSpaceDE w:val="0"/>
              <w:autoSpaceDN w:val="0"/>
              <w:adjustRightInd w:val="0"/>
              <w:spacing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t>Trading volume</w:t>
            </w:r>
          </w:p>
          <w:p w14:paraId="38FCF088" w14:textId="080BB9EC" w:rsidR="00F461DB" w:rsidRPr="007048BA" w:rsidRDefault="00F461DB" w:rsidP="00F461DB">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TVOL(+): Total number of shares traded daily (VO) in the 90- days to June 30 each year as a ratio of</w:t>
            </w:r>
          </w:p>
        </w:tc>
        <w:tc>
          <w:tcPr>
            <w:tcW w:w="620" w:type="pct"/>
          </w:tcPr>
          <w:p w14:paraId="063BE11C" w14:textId="77777777" w:rsidR="00A63065" w:rsidRPr="007048BA" w:rsidRDefault="00A63065" w:rsidP="00A63065">
            <w:pPr>
              <w:autoSpaceDE w:val="0"/>
              <w:autoSpaceDN w:val="0"/>
              <w:adjustRightInd w:val="0"/>
              <w:spacing w:before="120" w:line="240" w:lineRule="auto"/>
              <w:ind w:firstLine="0"/>
              <w:jc w:val="left"/>
              <w:rPr>
                <w:rFonts w:eastAsia="PMingLiU" w:cs="Times New Roman"/>
                <w:sz w:val="22"/>
                <w:lang w:val="en-GB" w:eastAsia="zh-TW"/>
              </w:rPr>
            </w:pPr>
            <w:r w:rsidRPr="007048BA">
              <w:rPr>
                <w:rFonts w:eastAsia="PMingLiU" w:cs="Times New Roman"/>
                <w:sz w:val="22"/>
                <w:lang w:val="fr-FR" w:eastAsia="zh-TW"/>
              </w:rPr>
              <w:t xml:space="preserve">Brar et al. (2009); Danbolt et al. </w:t>
            </w:r>
            <w:r w:rsidRPr="007048BA">
              <w:rPr>
                <w:rFonts w:eastAsia="PMingLiU" w:cs="Times New Roman"/>
                <w:sz w:val="22"/>
                <w:lang w:val="en-GB" w:eastAsia="zh-TW"/>
              </w:rPr>
              <w:t>(2016)</w:t>
            </w:r>
          </w:p>
          <w:p w14:paraId="5AA4670C" w14:textId="77777777" w:rsidR="004115EA" w:rsidRPr="007048BA" w:rsidRDefault="004115EA" w:rsidP="00DE254A">
            <w:pPr>
              <w:autoSpaceDE w:val="0"/>
              <w:autoSpaceDN w:val="0"/>
              <w:adjustRightInd w:val="0"/>
              <w:spacing w:after="0" w:line="240" w:lineRule="auto"/>
              <w:ind w:firstLine="0"/>
              <w:jc w:val="left"/>
              <w:rPr>
                <w:rFonts w:eastAsia="PMingLiU" w:cs="Times New Roman"/>
                <w:sz w:val="22"/>
                <w:lang w:val="en-GB" w:eastAsia="zh-TW"/>
              </w:rPr>
            </w:pPr>
          </w:p>
        </w:tc>
      </w:tr>
      <w:tr w:rsidR="00790749" w:rsidRPr="007048BA" w14:paraId="1AAD4EA3" w14:textId="77777777" w:rsidTr="005B049D">
        <w:tc>
          <w:tcPr>
            <w:tcW w:w="800" w:type="pct"/>
          </w:tcPr>
          <w:p w14:paraId="110F6969" w14:textId="09C2AB68" w:rsidR="004115EA" w:rsidRPr="007048BA" w:rsidRDefault="004115EA" w:rsidP="00DE254A">
            <w:pPr>
              <w:autoSpaceDE w:val="0"/>
              <w:autoSpaceDN w:val="0"/>
              <w:adjustRightInd w:val="0"/>
              <w:spacing w:after="0" w:line="240" w:lineRule="auto"/>
              <w:ind w:firstLine="0"/>
              <w:rPr>
                <w:rFonts w:eastAsia="PMingLiU" w:cs="Times New Roman"/>
                <w:sz w:val="22"/>
                <w:lang w:val="en-GB" w:eastAsia="zh-TW"/>
              </w:rPr>
            </w:pPr>
            <w:r w:rsidRPr="007048BA">
              <w:rPr>
                <w:rFonts w:eastAsia="PMingLiU" w:cs="Times New Roman"/>
                <w:sz w:val="22"/>
                <w:lang w:val="en-GB" w:eastAsia="zh-TW"/>
              </w:rPr>
              <w:t>Market sentiment</w:t>
            </w:r>
          </w:p>
        </w:tc>
        <w:tc>
          <w:tcPr>
            <w:tcW w:w="1702" w:type="pct"/>
          </w:tcPr>
          <w:p w14:paraId="174BADB9" w14:textId="73E6CB20" w:rsidR="004115EA" w:rsidRPr="007048BA" w:rsidRDefault="00F461DB" w:rsidP="00DE254A">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Market conditions shape the timing of acquisitions. Takeovers are more likely to be initiated in periods of overall market growth.</w:t>
            </w:r>
          </w:p>
        </w:tc>
        <w:tc>
          <w:tcPr>
            <w:tcW w:w="1878" w:type="pct"/>
          </w:tcPr>
          <w:p w14:paraId="35A5D97B" w14:textId="14853A90" w:rsidR="0059694D" w:rsidRPr="007048BA" w:rsidRDefault="0059694D" w:rsidP="00DE254A">
            <w:pPr>
              <w:autoSpaceDE w:val="0"/>
              <w:autoSpaceDN w:val="0"/>
              <w:adjustRightInd w:val="0"/>
              <w:spacing w:after="0" w:line="240" w:lineRule="auto"/>
              <w:ind w:firstLine="0"/>
              <w:jc w:val="left"/>
              <w:rPr>
                <w:rFonts w:eastAsia="PMingLiU" w:cs="Times New Roman"/>
                <w:b/>
                <w:i/>
                <w:sz w:val="22"/>
                <w:lang w:val="en-GB" w:eastAsia="zh-TW"/>
              </w:rPr>
            </w:pPr>
            <w:r w:rsidRPr="007048BA">
              <w:rPr>
                <w:rFonts w:eastAsia="PMingLiU" w:cs="Times New Roman"/>
                <w:b/>
                <w:i/>
                <w:sz w:val="22"/>
                <w:lang w:val="en-GB" w:eastAsia="zh-TW"/>
              </w:rPr>
              <w:t>Market sentiment</w:t>
            </w:r>
          </w:p>
          <w:p w14:paraId="4D545E1C" w14:textId="2E246391" w:rsidR="004115EA" w:rsidRPr="007048BA" w:rsidRDefault="008838C5" w:rsidP="004E0D54">
            <w:pPr>
              <w:autoSpaceDE w:val="0"/>
              <w:autoSpaceDN w:val="0"/>
              <w:adjustRightInd w:val="0"/>
              <w:spacing w:after="0" w:line="240" w:lineRule="auto"/>
              <w:ind w:firstLine="0"/>
              <w:jc w:val="left"/>
              <w:rPr>
                <w:rFonts w:eastAsia="PMingLiU" w:cs="Times New Roman"/>
                <w:sz w:val="22"/>
                <w:lang w:val="en-GB" w:eastAsia="zh-TW"/>
              </w:rPr>
            </w:pPr>
            <w:r w:rsidRPr="007048BA">
              <w:rPr>
                <w:rFonts w:eastAsia="PMingLiU" w:cs="Times New Roman"/>
                <w:sz w:val="22"/>
                <w:lang w:val="en-GB" w:eastAsia="zh-TW"/>
              </w:rPr>
              <w:t>SENT (+)</w:t>
            </w:r>
            <w:r w:rsidR="0059694D" w:rsidRPr="007048BA">
              <w:rPr>
                <w:rFonts w:eastAsia="PMingLiU" w:cs="Times New Roman"/>
                <w:sz w:val="22"/>
                <w:lang w:val="en-GB" w:eastAsia="zh-TW"/>
              </w:rPr>
              <w:t xml:space="preserve">: </w:t>
            </w:r>
            <w:r w:rsidR="00F461DB" w:rsidRPr="007048BA">
              <w:rPr>
                <w:rFonts w:eastAsia="PMingLiU" w:cs="Times New Roman"/>
                <w:sz w:val="22"/>
                <w:lang w:val="en-GB" w:eastAsia="zh-TW"/>
              </w:rPr>
              <w:t xml:space="preserve">Dummy is 1 if FTSE All-Share index </w:t>
            </w:r>
            <w:r w:rsidR="004E0D54" w:rsidRPr="007048BA">
              <w:rPr>
                <w:rFonts w:eastAsia="PMingLiU" w:cs="Times New Roman"/>
                <w:sz w:val="22"/>
                <w:lang w:val="en-GB" w:eastAsia="zh-TW"/>
              </w:rPr>
              <w:t xml:space="preserve">(RI) </w:t>
            </w:r>
            <w:r w:rsidR="00F461DB" w:rsidRPr="007048BA">
              <w:rPr>
                <w:rFonts w:eastAsia="PMingLiU" w:cs="Times New Roman"/>
                <w:sz w:val="22"/>
                <w:lang w:val="en-GB" w:eastAsia="zh-TW"/>
              </w:rPr>
              <w:t xml:space="preserve">reports a positive return in the year, and a value of </w:t>
            </w:r>
            <w:r w:rsidR="004E0D54" w:rsidRPr="007048BA">
              <w:rPr>
                <w:rFonts w:eastAsia="PMingLiU" w:cs="Times New Roman"/>
                <w:sz w:val="22"/>
                <w:lang w:val="en-GB" w:eastAsia="zh-TW"/>
              </w:rPr>
              <w:t>0</w:t>
            </w:r>
            <w:r w:rsidR="00F461DB" w:rsidRPr="007048BA">
              <w:rPr>
                <w:rFonts w:eastAsia="PMingLiU" w:cs="Times New Roman"/>
                <w:sz w:val="22"/>
                <w:lang w:val="en-GB" w:eastAsia="zh-TW"/>
              </w:rPr>
              <w:t xml:space="preserve"> otherwise.</w:t>
            </w:r>
          </w:p>
        </w:tc>
        <w:tc>
          <w:tcPr>
            <w:tcW w:w="620" w:type="pct"/>
          </w:tcPr>
          <w:p w14:paraId="5530E6D3" w14:textId="77777777" w:rsidR="00A63065" w:rsidRPr="007048BA" w:rsidRDefault="00A63065" w:rsidP="00A63065">
            <w:pPr>
              <w:autoSpaceDE w:val="0"/>
              <w:autoSpaceDN w:val="0"/>
              <w:adjustRightInd w:val="0"/>
              <w:spacing w:before="120" w:line="240" w:lineRule="auto"/>
              <w:ind w:firstLine="0"/>
              <w:jc w:val="left"/>
              <w:rPr>
                <w:rFonts w:eastAsia="PMingLiU" w:cs="Times New Roman"/>
                <w:sz w:val="22"/>
                <w:lang w:val="en-GB" w:eastAsia="zh-TW"/>
              </w:rPr>
            </w:pPr>
            <w:r w:rsidRPr="007048BA">
              <w:rPr>
                <w:rFonts w:eastAsia="PMingLiU" w:cs="Times New Roman"/>
                <w:sz w:val="22"/>
                <w:lang w:val="fr-FR" w:eastAsia="zh-TW"/>
              </w:rPr>
              <w:t xml:space="preserve">Brar et al. (2009); Danbolt et al. </w:t>
            </w:r>
            <w:r w:rsidRPr="007048BA">
              <w:rPr>
                <w:rFonts w:eastAsia="PMingLiU" w:cs="Times New Roman"/>
                <w:sz w:val="22"/>
                <w:lang w:val="en-GB" w:eastAsia="zh-TW"/>
              </w:rPr>
              <w:t>(2016)</w:t>
            </w:r>
          </w:p>
          <w:p w14:paraId="38AB3216" w14:textId="77777777" w:rsidR="004115EA" w:rsidRPr="007048BA" w:rsidRDefault="004115EA" w:rsidP="00DE254A">
            <w:pPr>
              <w:autoSpaceDE w:val="0"/>
              <w:autoSpaceDN w:val="0"/>
              <w:adjustRightInd w:val="0"/>
              <w:spacing w:after="0" w:line="240" w:lineRule="auto"/>
              <w:ind w:firstLine="0"/>
              <w:jc w:val="left"/>
              <w:rPr>
                <w:rFonts w:eastAsia="PMingLiU" w:cs="Times New Roman"/>
                <w:sz w:val="22"/>
                <w:lang w:val="en-GB" w:eastAsia="zh-TW"/>
              </w:rPr>
            </w:pPr>
          </w:p>
        </w:tc>
      </w:tr>
    </w:tbl>
    <w:p w14:paraId="5A0609AA" w14:textId="77777777" w:rsidR="00DE254A" w:rsidRPr="007048BA" w:rsidRDefault="00DE254A" w:rsidP="00DE254A">
      <w:pPr>
        <w:pStyle w:val="References0"/>
        <w:spacing w:line="240" w:lineRule="auto"/>
        <w:rPr>
          <w:lang w:val="en-GB"/>
        </w:rPr>
        <w:sectPr w:rsidR="00DE254A" w:rsidRPr="007048BA" w:rsidSect="007B5ED9">
          <w:pgSz w:w="12240" w:h="15840"/>
          <w:pgMar w:top="1304" w:right="964" w:bottom="1304" w:left="1077" w:header="720" w:footer="720" w:gutter="0"/>
          <w:cols w:space="720"/>
          <w:docGrid w:linePitch="360"/>
        </w:sectPr>
      </w:pPr>
    </w:p>
    <w:p w14:paraId="4492EAEC" w14:textId="47738CD8" w:rsidR="00D873CF" w:rsidRPr="007048BA" w:rsidRDefault="00D873CF" w:rsidP="00D8280C">
      <w:pPr>
        <w:rPr>
          <w:b/>
          <w:sz w:val="28"/>
          <w:lang w:val="en-GB" w:eastAsia="zh-TW"/>
        </w:rPr>
      </w:pPr>
    </w:p>
    <w:p w14:paraId="4D460737" w14:textId="77777777" w:rsidR="00D873CF" w:rsidRPr="007048BA" w:rsidRDefault="00D873CF" w:rsidP="00D873CF">
      <w:pPr>
        <w:tabs>
          <w:tab w:val="left" w:pos="2850"/>
        </w:tabs>
        <w:rPr>
          <w:sz w:val="28"/>
          <w:lang w:val="en-GB" w:eastAsia="zh-TW"/>
        </w:rPr>
        <w:sectPr w:rsidR="00D873CF" w:rsidRPr="007048BA" w:rsidSect="007B5ED9">
          <w:type w:val="continuous"/>
          <w:pgSz w:w="12240" w:h="15840"/>
          <w:pgMar w:top="1304" w:right="964" w:bottom="1304" w:left="1077" w:header="720" w:footer="720" w:gutter="0"/>
          <w:cols w:space="720"/>
          <w:docGrid w:linePitch="360"/>
        </w:sectPr>
      </w:pPr>
      <w:r w:rsidRPr="007048BA">
        <w:rPr>
          <w:sz w:val="28"/>
          <w:lang w:val="en-GB" w:eastAsia="zh-TW"/>
        </w:rPr>
        <w:tab/>
      </w:r>
    </w:p>
    <w:p w14:paraId="1520CEE7" w14:textId="38E50238" w:rsidR="00DE254A" w:rsidRPr="007048BA" w:rsidRDefault="00DE254A" w:rsidP="00D8280C">
      <w:pPr>
        <w:rPr>
          <w:rFonts w:eastAsia="Times New Roman" w:cs="Times New Roman"/>
          <w:b/>
          <w:sz w:val="28"/>
          <w:szCs w:val="24"/>
          <w:lang w:val="en-GB" w:eastAsia="zh-TW"/>
        </w:rPr>
      </w:pPr>
      <w:r w:rsidRPr="007048BA">
        <w:rPr>
          <w:b/>
          <w:sz w:val="28"/>
          <w:lang w:val="en-GB" w:eastAsia="zh-TW"/>
        </w:rPr>
        <w:lastRenderedPageBreak/>
        <w:t>Table 1</w:t>
      </w:r>
      <w:r w:rsidR="00D8280C" w:rsidRPr="007048BA">
        <w:rPr>
          <w:b/>
          <w:sz w:val="28"/>
          <w:lang w:val="en-GB" w:eastAsia="zh-TW"/>
        </w:rPr>
        <w:t xml:space="preserve">: </w:t>
      </w:r>
      <w:r w:rsidRPr="007048BA">
        <w:rPr>
          <w:rFonts w:eastAsia="Times New Roman" w:cs="Times New Roman"/>
          <w:b/>
          <w:sz w:val="28"/>
          <w:szCs w:val="24"/>
          <w:lang w:val="en-GB" w:eastAsia="zh-TW"/>
        </w:rPr>
        <w:t>Descriptive statistics of variables</w:t>
      </w:r>
    </w:p>
    <w:p w14:paraId="26AE3362" w14:textId="39608E8C" w:rsidR="00DE254A" w:rsidRPr="007048BA" w:rsidRDefault="00DE254A" w:rsidP="00DE254A">
      <w:pPr>
        <w:autoSpaceDE w:val="0"/>
        <w:autoSpaceDN w:val="0"/>
        <w:adjustRightInd w:val="0"/>
        <w:spacing w:after="0" w:line="240" w:lineRule="auto"/>
        <w:ind w:firstLine="0"/>
        <w:rPr>
          <w:rFonts w:eastAsia="PMingLiU" w:cs="cmr12"/>
          <w:sz w:val="20"/>
          <w:szCs w:val="24"/>
          <w:lang w:val="en-GB" w:eastAsia="zh-TW"/>
        </w:rPr>
      </w:pPr>
      <w:r w:rsidRPr="007048BA">
        <w:rPr>
          <w:rFonts w:eastAsia="PMingLiU" w:cs="cmr12"/>
          <w:sz w:val="20"/>
          <w:szCs w:val="24"/>
          <w:lang w:val="en-GB" w:eastAsia="zh-TW"/>
        </w:rPr>
        <w:t xml:space="preserve">The table reports summary statistics for variables used in the study. </w:t>
      </w:r>
      <w:r w:rsidR="003942A8" w:rsidRPr="007048BA">
        <w:rPr>
          <w:rFonts w:eastAsia="PMingLiU" w:cs="cmr12"/>
          <w:sz w:val="20"/>
          <w:szCs w:val="24"/>
          <w:lang w:val="en-GB" w:eastAsia="zh-TW"/>
        </w:rPr>
        <w:t xml:space="preserve">The main dependent variables include </w:t>
      </w:r>
      <w:r w:rsidR="003942A8" w:rsidRPr="007048BA">
        <w:rPr>
          <w:rFonts w:eastAsia="PMingLiU" w:cs="cmr12"/>
          <w:i/>
          <w:sz w:val="20"/>
          <w:szCs w:val="24"/>
          <w:lang w:val="en-GB" w:eastAsia="zh-TW"/>
        </w:rPr>
        <w:t>Target</w:t>
      </w:r>
      <w:r w:rsidR="003942A8" w:rsidRPr="007048BA">
        <w:rPr>
          <w:rFonts w:eastAsia="PMingLiU" w:cs="cmr12"/>
          <w:sz w:val="20"/>
          <w:szCs w:val="24"/>
          <w:lang w:val="en-GB" w:eastAsia="zh-TW"/>
        </w:rPr>
        <w:t xml:space="preserve"> (a dummy variable identifying firms subject to takeover bids), research &amp; development to total asset ratio (</w:t>
      </w:r>
      <w:r w:rsidR="003942A8" w:rsidRPr="007048BA">
        <w:rPr>
          <w:rFonts w:eastAsia="PMingLiU" w:cs="cmr12"/>
          <w:i/>
          <w:sz w:val="20"/>
          <w:szCs w:val="24"/>
          <w:lang w:val="en-GB" w:eastAsia="zh-TW"/>
        </w:rPr>
        <w:t>RDI)</w:t>
      </w:r>
      <w:r w:rsidR="003942A8" w:rsidRPr="007048BA">
        <w:rPr>
          <w:rFonts w:eastAsia="PMingLiU" w:cs="cmr12"/>
          <w:sz w:val="20"/>
          <w:szCs w:val="24"/>
          <w:lang w:val="en-GB" w:eastAsia="zh-TW"/>
        </w:rPr>
        <w:t xml:space="preserve">, abnormal discretionary expenses </w:t>
      </w:r>
      <w:r w:rsidR="003942A8" w:rsidRPr="007048BA">
        <w:rPr>
          <w:rFonts w:eastAsia="PMingLiU" w:cs="cmr12"/>
          <w:i/>
          <w:sz w:val="20"/>
          <w:szCs w:val="24"/>
          <w:lang w:val="en-GB" w:eastAsia="zh-TW"/>
        </w:rPr>
        <w:t>(abDISX),</w:t>
      </w:r>
      <w:r w:rsidR="003942A8" w:rsidRPr="007048BA">
        <w:rPr>
          <w:rFonts w:eastAsia="PMingLiU" w:cs="cmr12"/>
          <w:sz w:val="20"/>
          <w:szCs w:val="24"/>
          <w:lang w:val="en-GB" w:eastAsia="zh-TW"/>
        </w:rPr>
        <w:t xml:space="preserve"> </w:t>
      </w:r>
      <w:r w:rsidR="00FF7D12" w:rsidRPr="007048BA">
        <w:rPr>
          <w:rFonts w:eastAsia="PMingLiU" w:cs="cmr12"/>
          <w:sz w:val="20"/>
          <w:szCs w:val="24"/>
          <w:lang w:val="en-GB" w:eastAsia="zh-TW"/>
        </w:rPr>
        <w:t xml:space="preserve">current </w:t>
      </w:r>
      <w:r w:rsidR="003942A8" w:rsidRPr="007048BA">
        <w:rPr>
          <w:rFonts w:eastAsia="PMingLiU" w:cs="cmr12"/>
          <w:sz w:val="20"/>
          <w:szCs w:val="24"/>
          <w:lang w:val="en-GB" w:eastAsia="zh-TW"/>
        </w:rPr>
        <w:t xml:space="preserve">discretionary accruals </w:t>
      </w:r>
      <w:r w:rsidR="003942A8" w:rsidRPr="007048BA">
        <w:rPr>
          <w:rFonts w:eastAsia="PMingLiU" w:cs="cmr12"/>
          <w:i/>
          <w:sz w:val="20"/>
          <w:szCs w:val="24"/>
          <w:lang w:val="en-GB" w:eastAsia="zh-TW"/>
        </w:rPr>
        <w:t>(dCACC)</w:t>
      </w:r>
      <w:r w:rsidR="003942A8" w:rsidRPr="007048BA">
        <w:rPr>
          <w:rFonts w:eastAsia="PMingLiU" w:cs="cmr12"/>
          <w:sz w:val="20"/>
          <w:szCs w:val="24"/>
          <w:lang w:val="en-GB" w:eastAsia="zh-TW"/>
        </w:rPr>
        <w:t xml:space="preserve"> and </w:t>
      </w:r>
      <w:r w:rsidR="00FF7D12" w:rsidRPr="007048BA">
        <w:rPr>
          <w:rFonts w:eastAsia="PMingLiU" w:cs="cmr12"/>
          <w:sz w:val="20"/>
          <w:szCs w:val="24"/>
          <w:lang w:val="en-GB" w:eastAsia="zh-TW"/>
        </w:rPr>
        <w:t xml:space="preserve">total </w:t>
      </w:r>
      <w:r w:rsidR="003942A8" w:rsidRPr="007048BA">
        <w:rPr>
          <w:rFonts w:eastAsia="PMingLiU" w:cs="cmr12"/>
          <w:sz w:val="20"/>
          <w:szCs w:val="24"/>
          <w:lang w:val="en-GB" w:eastAsia="zh-TW"/>
        </w:rPr>
        <w:t xml:space="preserve">discretionary accruals </w:t>
      </w:r>
      <w:r w:rsidR="003942A8" w:rsidRPr="007048BA">
        <w:rPr>
          <w:rFonts w:eastAsia="PMingLiU" w:cs="cmr12"/>
          <w:i/>
          <w:sz w:val="20"/>
          <w:szCs w:val="24"/>
          <w:lang w:val="en-GB" w:eastAsia="zh-TW"/>
        </w:rPr>
        <w:t>(dTACC).</w:t>
      </w:r>
      <w:r w:rsidRPr="007048BA">
        <w:rPr>
          <w:rFonts w:eastAsia="PMingLiU" w:cs="cmr12"/>
          <w:sz w:val="20"/>
          <w:szCs w:val="24"/>
          <w:lang w:val="en-GB" w:eastAsia="zh-TW"/>
        </w:rPr>
        <w:t xml:space="preserve"> </w:t>
      </w:r>
      <w:r w:rsidR="003942A8" w:rsidRPr="007048BA">
        <w:rPr>
          <w:rFonts w:eastAsia="PMingLiU" w:cs="cmr12"/>
          <w:sz w:val="20"/>
          <w:szCs w:val="24"/>
          <w:lang w:val="en-GB" w:eastAsia="zh-TW"/>
        </w:rPr>
        <w:t>The independent variables</w:t>
      </w:r>
      <w:r w:rsidRPr="007048BA">
        <w:rPr>
          <w:rFonts w:eastAsia="PMingLiU" w:cs="cmr12"/>
          <w:sz w:val="20"/>
          <w:szCs w:val="24"/>
          <w:lang w:val="en-GB" w:eastAsia="zh-TW"/>
        </w:rPr>
        <w:t xml:space="preserve"> include the return on capital employed (ROCE), average abnormal returns (</w:t>
      </w:r>
      <w:r w:rsidRPr="007048BA">
        <w:rPr>
          <w:rFonts w:eastAsia="PMingLiU" w:cs="cmr12"/>
          <w:i/>
          <w:sz w:val="20"/>
          <w:szCs w:val="24"/>
          <w:lang w:val="en-GB" w:eastAsia="zh-TW"/>
        </w:rPr>
        <w:t>AAR</w:t>
      </w:r>
      <w:r w:rsidRPr="007048BA">
        <w:rPr>
          <w:rFonts w:eastAsia="PMingLiU" w:cs="cmr12"/>
          <w:sz w:val="20"/>
          <w:szCs w:val="24"/>
          <w:lang w:val="en-GB" w:eastAsia="zh-TW"/>
        </w:rPr>
        <w:t>), Tobin’s Q (</w:t>
      </w:r>
      <w:r w:rsidRPr="007048BA">
        <w:rPr>
          <w:rFonts w:eastAsia="PMingLiU" w:cs="cmr12"/>
          <w:i/>
          <w:sz w:val="20"/>
          <w:szCs w:val="24"/>
          <w:lang w:val="en-GB" w:eastAsia="zh-TW"/>
        </w:rPr>
        <w:t>TBQ</w:t>
      </w:r>
      <w:r w:rsidRPr="007048BA">
        <w:rPr>
          <w:rFonts w:eastAsia="PMingLiU" w:cs="cmr12"/>
          <w:sz w:val="20"/>
          <w:szCs w:val="24"/>
          <w:lang w:val="en-GB" w:eastAsia="zh-TW"/>
        </w:rPr>
        <w:t>), liquidity (</w:t>
      </w:r>
      <w:r w:rsidRPr="007048BA">
        <w:rPr>
          <w:rFonts w:eastAsia="PMingLiU" w:cs="cmr12"/>
          <w:i/>
          <w:sz w:val="20"/>
          <w:szCs w:val="24"/>
          <w:lang w:val="en-GB" w:eastAsia="zh-TW"/>
        </w:rPr>
        <w:t>LIQ</w:t>
      </w:r>
      <w:r w:rsidRPr="007048BA">
        <w:rPr>
          <w:rFonts w:eastAsia="PMingLiU" w:cs="cmr12"/>
          <w:sz w:val="20"/>
          <w:szCs w:val="24"/>
          <w:lang w:val="en-GB" w:eastAsia="zh-TW"/>
        </w:rPr>
        <w:t>), leverage (</w:t>
      </w:r>
      <w:r w:rsidRPr="007048BA">
        <w:rPr>
          <w:rFonts w:eastAsia="PMingLiU" w:cs="cmr12"/>
          <w:i/>
          <w:sz w:val="20"/>
          <w:szCs w:val="24"/>
          <w:lang w:val="en-GB" w:eastAsia="zh-TW"/>
        </w:rPr>
        <w:t>LEV</w:t>
      </w:r>
      <w:r w:rsidRPr="007048BA">
        <w:rPr>
          <w:rFonts w:eastAsia="PMingLiU" w:cs="cmr12"/>
          <w:sz w:val="20"/>
          <w:szCs w:val="24"/>
          <w:lang w:val="en-GB" w:eastAsia="zh-TW"/>
        </w:rPr>
        <w:t>), sales growth (</w:t>
      </w:r>
      <w:r w:rsidRPr="007048BA">
        <w:rPr>
          <w:rFonts w:eastAsia="PMingLiU" w:cs="cmr12"/>
          <w:i/>
          <w:sz w:val="20"/>
          <w:szCs w:val="24"/>
          <w:lang w:val="en-GB" w:eastAsia="zh-TW"/>
        </w:rPr>
        <w:t>SGW</w:t>
      </w:r>
      <w:r w:rsidRPr="007048BA">
        <w:rPr>
          <w:rFonts w:eastAsia="PMingLiU" w:cs="cmr12"/>
          <w:sz w:val="20"/>
          <w:szCs w:val="24"/>
          <w:lang w:val="en-GB" w:eastAsia="zh-TW"/>
        </w:rPr>
        <w:t>), growth-resource mismatch dummy (</w:t>
      </w:r>
      <w:r w:rsidRPr="007048BA">
        <w:rPr>
          <w:rFonts w:eastAsia="PMingLiU" w:cs="cmr12"/>
          <w:i/>
          <w:sz w:val="20"/>
          <w:szCs w:val="24"/>
          <w:lang w:val="en-GB" w:eastAsia="zh-TW"/>
        </w:rPr>
        <w:t>GRD</w:t>
      </w:r>
      <w:r w:rsidRPr="007048BA">
        <w:rPr>
          <w:rFonts w:eastAsia="PMingLiU" w:cs="cmr12"/>
          <w:sz w:val="20"/>
          <w:szCs w:val="24"/>
          <w:lang w:val="en-GB" w:eastAsia="zh-TW"/>
        </w:rPr>
        <w:t>), industry disturbance dummy (</w:t>
      </w:r>
      <w:r w:rsidRPr="007048BA">
        <w:rPr>
          <w:rFonts w:eastAsia="PMingLiU" w:cs="cmr12"/>
          <w:i/>
          <w:sz w:val="20"/>
          <w:szCs w:val="24"/>
          <w:lang w:val="en-GB" w:eastAsia="zh-TW"/>
        </w:rPr>
        <w:t>IDD</w:t>
      </w:r>
      <w:r w:rsidRPr="007048BA">
        <w:rPr>
          <w:rFonts w:eastAsia="PMingLiU" w:cs="cmr12"/>
          <w:sz w:val="20"/>
          <w:szCs w:val="24"/>
          <w:lang w:val="en-GB" w:eastAsia="zh-TW"/>
        </w:rPr>
        <w:t>), free cash flow (</w:t>
      </w:r>
      <w:r w:rsidRPr="007048BA">
        <w:rPr>
          <w:rFonts w:eastAsia="PMingLiU" w:cs="cmr12"/>
          <w:i/>
          <w:sz w:val="20"/>
          <w:szCs w:val="24"/>
          <w:lang w:val="en-GB" w:eastAsia="zh-TW"/>
        </w:rPr>
        <w:t>FCF</w:t>
      </w:r>
      <w:r w:rsidRPr="007048BA">
        <w:rPr>
          <w:rFonts w:eastAsia="PMingLiU" w:cs="cmr12"/>
          <w:sz w:val="20"/>
          <w:szCs w:val="24"/>
          <w:lang w:val="en-GB" w:eastAsia="zh-TW"/>
        </w:rPr>
        <w:t>), proportion of tangible assets (</w:t>
      </w:r>
      <w:r w:rsidRPr="007048BA">
        <w:rPr>
          <w:rFonts w:eastAsia="PMingLiU" w:cs="cmr12"/>
          <w:i/>
          <w:sz w:val="20"/>
          <w:szCs w:val="24"/>
          <w:lang w:val="en-GB" w:eastAsia="zh-TW"/>
        </w:rPr>
        <w:t>TANG</w:t>
      </w:r>
      <w:r w:rsidRPr="007048BA">
        <w:rPr>
          <w:rFonts w:eastAsia="PMingLiU" w:cs="cmr12"/>
          <w:sz w:val="20"/>
          <w:szCs w:val="24"/>
          <w:lang w:val="en-GB" w:eastAsia="zh-TW"/>
        </w:rPr>
        <w:t>), firm size (</w:t>
      </w:r>
      <w:r w:rsidRPr="007048BA">
        <w:rPr>
          <w:rFonts w:eastAsia="PMingLiU" w:cs="cmr12"/>
          <w:i/>
          <w:sz w:val="20"/>
          <w:szCs w:val="24"/>
          <w:lang w:val="en-GB" w:eastAsia="zh-TW"/>
        </w:rPr>
        <w:t>SIZE</w:t>
      </w:r>
      <w:r w:rsidRPr="007048BA">
        <w:rPr>
          <w:rFonts w:eastAsia="PMingLiU" w:cs="cmr12"/>
          <w:sz w:val="20"/>
          <w:szCs w:val="24"/>
          <w:lang w:val="en-GB" w:eastAsia="zh-TW"/>
        </w:rPr>
        <w:t>), firm age (</w:t>
      </w:r>
      <w:r w:rsidRPr="007048BA">
        <w:rPr>
          <w:rFonts w:eastAsia="PMingLiU" w:cs="cmr12"/>
          <w:i/>
          <w:sz w:val="20"/>
          <w:szCs w:val="24"/>
          <w:lang w:val="en-GB" w:eastAsia="zh-TW"/>
        </w:rPr>
        <w:t>AGE</w:t>
      </w:r>
      <w:r w:rsidRPr="007048BA">
        <w:rPr>
          <w:rFonts w:eastAsia="PMingLiU" w:cs="cmr12"/>
          <w:sz w:val="20"/>
          <w:szCs w:val="24"/>
          <w:lang w:val="en-GB" w:eastAsia="zh-TW"/>
        </w:rPr>
        <w:t>), Herfindahl-Hirschman Index (</w:t>
      </w:r>
      <w:r w:rsidRPr="007048BA">
        <w:rPr>
          <w:rFonts w:eastAsia="PMingLiU" w:cs="cmr12"/>
          <w:i/>
          <w:sz w:val="20"/>
          <w:szCs w:val="24"/>
          <w:lang w:val="en-GB" w:eastAsia="zh-TW"/>
        </w:rPr>
        <w:t>HHI</w:t>
      </w:r>
      <w:r w:rsidRPr="007048BA">
        <w:rPr>
          <w:rFonts w:eastAsia="PMingLiU" w:cs="cmr12"/>
          <w:sz w:val="20"/>
          <w:szCs w:val="24"/>
          <w:lang w:val="en-GB" w:eastAsia="zh-TW"/>
        </w:rPr>
        <w:t>), block</w:t>
      </w:r>
      <w:r w:rsidR="00083F4D" w:rsidRPr="007048BA">
        <w:rPr>
          <w:rFonts w:eastAsia="PMingLiU" w:cs="cmr12"/>
          <w:sz w:val="20"/>
          <w:szCs w:val="24"/>
          <w:lang w:val="en-GB" w:eastAsia="zh-TW"/>
        </w:rPr>
        <w:t xml:space="preserve"> </w:t>
      </w:r>
      <w:r w:rsidRPr="007048BA">
        <w:rPr>
          <w:rFonts w:eastAsia="PMingLiU" w:cs="cmr12"/>
          <w:sz w:val="20"/>
          <w:szCs w:val="24"/>
          <w:lang w:val="en-GB" w:eastAsia="zh-TW"/>
        </w:rPr>
        <w:t>holders dummy (</w:t>
      </w:r>
      <w:r w:rsidR="00EF63A8" w:rsidRPr="007048BA">
        <w:rPr>
          <w:rFonts w:eastAsia="PMingLiU" w:cs="cmr12"/>
          <w:i/>
          <w:sz w:val="20"/>
          <w:szCs w:val="24"/>
          <w:lang w:val="en-GB" w:eastAsia="zh-TW"/>
        </w:rPr>
        <w:t>BLOC</w:t>
      </w:r>
      <w:r w:rsidRPr="007048BA">
        <w:rPr>
          <w:rFonts w:eastAsia="PMingLiU" w:cs="cmr12"/>
          <w:sz w:val="20"/>
          <w:szCs w:val="24"/>
          <w:lang w:val="en-GB" w:eastAsia="zh-TW"/>
        </w:rPr>
        <w:t>)</w:t>
      </w:r>
      <w:r w:rsidR="003942A8" w:rsidRPr="007048BA">
        <w:rPr>
          <w:rFonts w:eastAsia="PMingLiU" w:cs="cmr12"/>
          <w:sz w:val="20"/>
          <w:szCs w:val="24"/>
          <w:lang w:val="en-GB" w:eastAsia="zh-TW"/>
        </w:rPr>
        <w:t>, rumour dummy (</w:t>
      </w:r>
      <w:r w:rsidR="003942A8" w:rsidRPr="007048BA">
        <w:rPr>
          <w:rFonts w:eastAsia="PMingLiU" w:cs="cmr12"/>
          <w:i/>
          <w:sz w:val="20"/>
          <w:szCs w:val="24"/>
          <w:lang w:val="en-GB" w:eastAsia="zh-TW"/>
        </w:rPr>
        <w:t>RUM</w:t>
      </w:r>
      <w:r w:rsidR="003942A8" w:rsidRPr="007048BA">
        <w:rPr>
          <w:rFonts w:eastAsia="PMingLiU" w:cs="cmr12"/>
          <w:sz w:val="20"/>
          <w:szCs w:val="24"/>
          <w:lang w:val="en-GB" w:eastAsia="zh-TW"/>
        </w:rPr>
        <w:t>), price momentum (</w:t>
      </w:r>
      <w:r w:rsidR="003942A8" w:rsidRPr="007048BA">
        <w:rPr>
          <w:rFonts w:eastAsia="PMingLiU" w:cs="cmr12"/>
          <w:i/>
          <w:sz w:val="20"/>
          <w:szCs w:val="24"/>
          <w:lang w:val="en-GB" w:eastAsia="zh-TW"/>
        </w:rPr>
        <w:t>MOM</w:t>
      </w:r>
      <w:r w:rsidR="003942A8" w:rsidRPr="007048BA">
        <w:rPr>
          <w:rFonts w:eastAsia="PMingLiU" w:cs="cmr12"/>
          <w:sz w:val="20"/>
          <w:szCs w:val="24"/>
          <w:lang w:val="en-GB" w:eastAsia="zh-TW"/>
        </w:rPr>
        <w:t>), trading volume (</w:t>
      </w:r>
      <w:r w:rsidR="003942A8" w:rsidRPr="007048BA">
        <w:rPr>
          <w:rFonts w:eastAsia="PMingLiU" w:cs="cmr12"/>
          <w:i/>
          <w:sz w:val="20"/>
          <w:szCs w:val="24"/>
          <w:lang w:val="en-GB" w:eastAsia="zh-TW"/>
        </w:rPr>
        <w:t>TVOL</w:t>
      </w:r>
      <w:r w:rsidR="003942A8" w:rsidRPr="007048BA">
        <w:rPr>
          <w:rFonts w:eastAsia="PMingLiU" w:cs="cmr12"/>
          <w:sz w:val="20"/>
          <w:szCs w:val="24"/>
          <w:lang w:val="en-GB" w:eastAsia="zh-TW"/>
        </w:rPr>
        <w:t>) and market sentiment (</w:t>
      </w:r>
      <w:r w:rsidR="003942A8" w:rsidRPr="007048BA">
        <w:rPr>
          <w:rFonts w:eastAsia="PMingLiU" w:cs="cmr12"/>
          <w:i/>
          <w:sz w:val="20"/>
          <w:szCs w:val="24"/>
          <w:lang w:val="en-GB" w:eastAsia="zh-TW"/>
        </w:rPr>
        <w:t>SENT</w:t>
      </w:r>
      <w:r w:rsidR="003942A8" w:rsidRPr="007048BA">
        <w:rPr>
          <w:rFonts w:eastAsia="PMingLiU" w:cs="cmr12"/>
          <w:sz w:val="20"/>
          <w:szCs w:val="24"/>
          <w:lang w:val="en-GB" w:eastAsia="zh-TW"/>
        </w:rPr>
        <w:t>)</w:t>
      </w:r>
      <w:r w:rsidRPr="007048BA">
        <w:rPr>
          <w:rFonts w:eastAsia="PMingLiU" w:cs="cmr12"/>
          <w:sz w:val="20"/>
          <w:szCs w:val="24"/>
          <w:lang w:val="en-GB" w:eastAsia="zh-TW"/>
        </w:rPr>
        <w:t>. The variables are fully defined in Appendix 1.</w:t>
      </w:r>
    </w:p>
    <w:p w14:paraId="04AD7373" w14:textId="77777777" w:rsidR="008B7257" w:rsidRPr="007048BA" w:rsidRDefault="008B7257" w:rsidP="00DE254A">
      <w:pPr>
        <w:autoSpaceDE w:val="0"/>
        <w:autoSpaceDN w:val="0"/>
        <w:adjustRightInd w:val="0"/>
        <w:spacing w:after="0" w:line="240" w:lineRule="auto"/>
        <w:ind w:firstLine="0"/>
        <w:rPr>
          <w:rFonts w:eastAsia="PMingLiU" w:cs="Times New Roman"/>
          <w:szCs w:val="24"/>
          <w:lang w:val="en-GB" w:eastAsia="zh-TW"/>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217"/>
        <w:gridCol w:w="1416"/>
        <w:gridCol w:w="876"/>
        <w:gridCol w:w="977"/>
        <w:gridCol w:w="1176"/>
        <w:gridCol w:w="1163"/>
        <w:gridCol w:w="1216"/>
        <w:gridCol w:w="1216"/>
      </w:tblGrid>
      <w:tr w:rsidR="00C77DB5" w:rsidRPr="007048BA" w14:paraId="3213C38A" w14:textId="77777777" w:rsidTr="00D45718">
        <w:trPr>
          <w:trHeight w:val="300"/>
          <w:jc w:val="center"/>
        </w:trPr>
        <w:tc>
          <w:tcPr>
            <w:tcW w:w="1217" w:type="dxa"/>
            <w:tcBorders>
              <w:bottom w:val="single" w:sz="4" w:space="0" w:color="auto"/>
            </w:tcBorders>
            <w:shd w:val="clear" w:color="auto" w:fill="auto"/>
            <w:noWrap/>
            <w:vAlign w:val="bottom"/>
            <w:hideMark/>
          </w:tcPr>
          <w:p w14:paraId="116FCBFE" w14:textId="77777777" w:rsidR="00C77DB5" w:rsidRPr="007048BA" w:rsidRDefault="00C77DB5" w:rsidP="00C77DB5">
            <w:pPr>
              <w:spacing w:after="0" w:line="240" w:lineRule="auto"/>
              <w:ind w:firstLine="0"/>
              <w:jc w:val="left"/>
              <w:rPr>
                <w:rFonts w:eastAsia="Times New Roman" w:cs="Times New Roman"/>
                <w:b/>
                <w:szCs w:val="24"/>
                <w:lang w:val="en-GB" w:eastAsia="en-GB"/>
              </w:rPr>
            </w:pPr>
          </w:p>
        </w:tc>
        <w:tc>
          <w:tcPr>
            <w:tcW w:w="0" w:type="auto"/>
            <w:tcBorders>
              <w:bottom w:val="single" w:sz="4" w:space="0" w:color="auto"/>
            </w:tcBorders>
            <w:shd w:val="clear" w:color="auto" w:fill="auto"/>
            <w:noWrap/>
            <w:vAlign w:val="bottom"/>
            <w:hideMark/>
          </w:tcPr>
          <w:p w14:paraId="08F17C9C" w14:textId="56F6DC59" w:rsidR="00C77DB5" w:rsidRPr="007048BA" w:rsidRDefault="00C77DB5" w:rsidP="00C77DB5">
            <w:pPr>
              <w:spacing w:after="0" w:line="240" w:lineRule="auto"/>
              <w:ind w:firstLine="0"/>
              <w:jc w:val="left"/>
              <w:rPr>
                <w:rFonts w:eastAsia="Times New Roman" w:cs="Times New Roman"/>
                <w:b/>
                <w:szCs w:val="24"/>
                <w:lang w:val="en-GB" w:eastAsia="en-GB"/>
              </w:rPr>
            </w:pPr>
            <w:r w:rsidRPr="007048BA">
              <w:rPr>
                <w:rFonts w:eastAsia="Times New Roman" w:cs="Times New Roman"/>
                <w:b/>
                <w:i/>
                <w:color w:val="000000"/>
                <w:szCs w:val="24"/>
                <w:lang w:val="en-GB" w:eastAsia="en-GB"/>
              </w:rPr>
              <w:t>N</w:t>
            </w:r>
          </w:p>
        </w:tc>
        <w:tc>
          <w:tcPr>
            <w:tcW w:w="0" w:type="auto"/>
            <w:tcBorders>
              <w:bottom w:val="single" w:sz="4" w:space="0" w:color="auto"/>
            </w:tcBorders>
            <w:shd w:val="clear" w:color="auto" w:fill="auto"/>
            <w:noWrap/>
            <w:vAlign w:val="bottom"/>
            <w:hideMark/>
          </w:tcPr>
          <w:p w14:paraId="33461C07" w14:textId="57702888" w:rsidR="00C77DB5" w:rsidRPr="007048BA" w:rsidRDefault="00C77DB5" w:rsidP="00C77DB5">
            <w:pPr>
              <w:spacing w:after="0" w:line="240" w:lineRule="auto"/>
              <w:ind w:firstLine="0"/>
              <w:jc w:val="left"/>
              <w:rPr>
                <w:rFonts w:eastAsia="Times New Roman" w:cs="Times New Roman"/>
                <w:b/>
                <w:szCs w:val="24"/>
                <w:lang w:val="en-GB" w:eastAsia="en-GB"/>
              </w:rPr>
            </w:pPr>
            <w:r w:rsidRPr="007048BA">
              <w:rPr>
                <w:rFonts w:eastAsia="Times New Roman" w:cs="Times New Roman"/>
                <w:b/>
                <w:i/>
                <w:color w:val="000000"/>
                <w:szCs w:val="24"/>
                <w:lang w:val="en-GB" w:eastAsia="en-GB"/>
              </w:rPr>
              <w:t>Mean</w:t>
            </w:r>
          </w:p>
        </w:tc>
        <w:tc>
          <w:tcPr>
            <w:tcW w:w="0" w:type="auto"/>
            <w:tcBorders>
              <w:bottom w:val="single" w:sz="4" w:space="0" w:color="auto"/>
            </w:tcBorders>
            <w:shd w:val="clear" w:color="auto" w:fill="auto"/>
            <w:noWrap/>
            <w:vAlign w:val="bottom"/>
            <w:hideMark/>
          </w:tcPr>
          <w:p w14:paraId="23AE0A97" w14:textId="04CFE052" w:rsidR="00C77DB5" w:rsidRPr="007048BA" w:rsidRDefault="00C77DB5" w:rsidP="00C77DB5">
            <w:pPr>
              <w:spacing w:after="0" w:line="240" w:lineRule="auto"/>
              <w:ind w:firstLine="0"/>
              <w:jc w:val="left"/>
              <w:rPr>
                <w:rFonts w:eastAsia="Times New Roman" w:cs="Times New Roman"/>
                <w:b/>
                <w:szCs w:val="24"/>
                <w:lang w:val="en-GB" w:eastAsia="en-GB"/>
              </w:rPr>
            </w:pPr>
            <w:r w:rsidRPr="007048BA">
              <w:rPr>
                <w:rFonts w:eastAsia="Times New Roman" w:cs="Times New Roman"/>
                <w:b/>
                <w:i/>
                <w:color w:val="000000"/>
                <w:szCs w:val="24"/>
                <w:lang w:val="en-GB" w:eastAsia="en-GB"/>
              </w:rPr>
              <w:t>Median</w:t>
            </w:r>
          </w:p>
        </w:tc>
        <w:tc>
          <w:tcPr>
            <w:tcW w:w="0" w:type="auto"/>
            <w:tcBorders>
              <w:bottom w:val="single" w:sz="4" w:space="0" w:color="auto"/>
            </w:tcBorders>
            <w:shd w:val="clear" w:color="auto" w:fill="auto"/>
            <w:noWrap/>
            <w:vAlign w:val="bottom"/>
            <w:hideMark/>
          </w:tcPr>
          <w:p w14:paraId="66D918B9" w14:textId="35DD6762" w:rsidR="00C77DB5" w:rsidRPr="007048BA" w:rsidRDefault="00C77DB5" w:rsidP="00C77DB5">
            <w:pPr>
              <w:spacing w:after="0" w:line="240" w:lineRule="auto"/>
              <w:ind w:firstLine="0"/>
              <w:jc w:val="left"/>
              <w:rPr>
                <w:rFonts w:eastAsia="Times New Roman" w:cs="Times New Roman"/>
                <w:b/>
                <w:szCs w:val="24"/>
                <w:lang w:val="en-GB" w:eastAsia="en-GB"/>
              </w:rPr>
            </w:pPr>
            <w:r w:rsidRPr="007048BA">
              <w:rPr>
                <w:rFonts w:eastAsia="Times New Roman" w:cs="Times New Roman"/>
                <w:b/>
                <w:i/>
                <w:color w:val="000000"/>
                <w:szCs w:val="24"/>
                <w:lang w:val="en-GB" w:eastAsia="en-GB"/>
              </w:rPr>
              <w:t>Standard</w:t>
            </w:r>
            <w:r w:rsidRPr="007048BA">
              <w:rPr>
                <w:rFonts w:eastAsia="Times New Roman" w:cs="Times New Roman"/>
                <w:b/>
                <w:i/>
                <w:color w:val="000000"/>
                <w:szCs w:val="24"/>
                <w:lang w:val="en-GB" w:eastAsia="en-GB"/>
              </w:rPr>
              <w:br/>
              <w:t>Deviation</w:t>
            </w:r>
          </w:p>
        </w:tc>
        <w:tc>
          <w:tcPr>
            <w:tcW w:w="0" w:type="auto"/>
            <w:tcBorders>
              <w:bottom w:val="single" w:sz="4" w:space="0" w:color="auto"/>
            </w:tcBorders>
            <w:shd w:val="clear" w:color="auto" w:fill="auto"/>
            <w:noWrap/>
            <w:vAlign w:val="bottom"/>
            <w:hideMark/>
          </w:tcPr>
          <w:p w14:paraId="31965131" w14:textId="09D3D9EB" w:rsidR="00C77DB5" w:rsidRPr="007048BA" w:rsidRDefault="00C77DB5" w:rsidP="00C77DB5">
            <w:pPr>
              <w:spacing w:after="0" w:line="240" w:lineRule="auto"/>
              <w:ind w:firstLine="0"/>
              <w:jc w:val="left"/>
              <w:rPr>
                <w:rFonts w:eastAsia="Times New Roman" w:cs="Times New Roman"/>
                <w:b/>
                <w:szCs w:val="24"/>
                <w:lang w:val="en-GB" w:eastAsia="en-GB"/>
              </w:rPr>
            </w:pPr>
            <w:r w:rsidRPr="007048BA">
              <w:rPr>
                <w:rFonts w:eastAsia="Times New Roman" w:cs="Times New Roman"/>
                <w:b/>
                <w:i/>
                <w:color w:val="000000"/>
                <w:szCs w:val="24"/>
                <w:lang w:val="en-GB" w:eastAsia="en-GB"/>
              </w:rPr>
              <w:t>Skewness</w:t>
            </w:r>
          </w:p>
        </w:tc>
        <w:tc>
          <w:tcPr>
            <w:tcW w:w="0" w:type="auto"/>
            <w:tcBorders>
              <w:bottom w:val="single" w:sz="4" w:space="0" w:color="auto"/>
            </w:tcBorders>
            <w:shd w:val="clear" w:color="auto" w:fill="auto"/>
            <w:noWrap/>
            <w:vAlign w:val="bottom"/>
            <w:hideMark/>
          </w:tcPr>
          <w:p w14:paraId="6EB5926D" w14:textId="1F5BD282" w:rsidR="00C77DB5" w:rsidRPr="007048BA" w:rsidRDefault="00C77DB5" w:rsidP="00C77DB5">
            <w:pPr>
              <w:spacing w:after="0" w:line="240" w:lineRule="auto"/>
              <w:ind w:firstLine="0"/>
              <w:jc w:val="left"/>
              <w:rPr>
                <w:rFonts w:eastAsia="Times New Roman" w:cs="Times New Roman"/>
                <w:b/>
                <w:szCs w:val="24"/>
                <w:lang w:val="en-GB" w:eastAsia="en-GB"/>
              </w:rPr>
            </w:pPr>
            <w:r w:rsidRPr="007048BA">
              <w:rPr>
                <w:rFonts w:eastAsia="Times New Roman" w:cs="Times New Roman"/>
                <w:b/>
                <w:i/>
                <w:color w:val="000000"/>
                <w:szCs w:val="24"/>
                <w:lang w:val="en-GB" w:eastAsia="en-GB"/>
              </w:rPr>
              <w:t>25th</w:t>
            </w:r>
            <w:r w:rsidRPr="007048BA">
              <w:rPr>
                <w:rFonts w:eastAsia="Times New Roman" w:cs="Times New Roman"/>
                <w:b/>
                <w:i/>
                <w:color w:val="000000"/>
                <w:szCs w:val="24"/>
                <w:lang w:val="en-GB" w:eastAsia="en-GB"/>
              </w:rPr>
              <w:br/>
              <w:t>Percentile</w:t>
            </w:r>
          </w:p>
        </w:tc>
        <w:tc>
          <w:tcPr>
            <w:tcW w:w="0" w:type="auto"/>
            <w:tcBorders>
              <w:bottom w:val="single" w:sz="4" w:space="0" w:color="auto"/>
            </w:tcBorders>
            <w:shd w:val="clear" w:color="auto" w:fill="auto"/>
            <w:noWrap/>
            <w:vAlign w:val="bottom"/>
            <w:hideMark/>
          </w:tcPr>
          <w:p w14:paraId="46BF4054" w14:textId="20A7794E" w:rsidR="00C77DB5" w:rsidRPr="007048BA" w:rsidRDefault="00C77DB5" w:rsidP="00C77DB5">
            <w:pPr>
              <w:spacing w:after="0" w:line="240" w:lineRule="auto"/>
              <w:ind w:firstLine="0"/>
              <w:jc w:val="left"/>
              <w:rPr>
                <w:rFonts w:eastAsia="Times New Roman" w:cs="Times New Roman"/>
                <w:b/>
                <w:szCs w:val="24"/>
                <w:lang w:val="en-GB" w:eastAsia="en-GB"/>
              </w:rPr>
            </w:pPr>
            <w:r w:rsidRPr="007048BA">
              <w:rPr>
                <w:rFonts w:eastAsia="Times New Roman" w:cs="Times New Roman"/>
                <w:b/>
                <w:i/>
                <w:color w:val="000000"/>
                <w:szCs w:val="24"/>
                <w:lang w:val="en-GB" w:eastAsia="en-GB"/>
              </w:rPr>
              <w:t>75th</w:t>
            </w:r>
            <w:r w:rsidRPr="007048BA">
              <w:rPr>
                <w:rFonts w:eastAsia="Times New Roman" w:cs="Times New Roman"/>
                <w:b/>
                <w:i/>
                <w:color w:val="000000"/>
                <w:szCs w:val="24"/>
                <w:lang w:val="en-GB" w:eastAsia="en-GB"/>
              </w:rPr>
              <w:br/>
              <w:t>Percentile</w:t>
            </w:r>
          </w:p>
        </w:tc>
      </w:tr>
      <w:tr w:rsidR="00C77DB5" w:rsidRPr="007048BA" w14:paraId="4966F2D0" w14:textId="77777777" w:rsidTr="00D45718">
        <w:trPr>
          <w:trHeight w:val="300"/>
          <w:jc w:val="center"/>
        </w:trPr>
        <w:tc>
          <w:tcPr>
            <w:tcW w:w="1217" w:type="dxa"/>
            <w:tcBorders>
              <w:top w:val="single" w:sz="4" w:space="0" w:color="auto"/>
              <w:bottom w:val="nil"/>
            </w:tcBorders>
            <w:shd w:val="clear" w:color="auto" w:fill="auto"/>
            <w:noWrap/>
            <w:vAlign w:val="bottom"/>
            <w:hideMark/>
          </w:tcPr>
          <w:p w14:paraId="3B4143A0" w14:textId="1CCC88D9" w:rsidR="00C77DB5" w:rsidRPr="007048BA" w:rsidRDefault="00C77DB5" w:rsidP="00083F4D">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T</w:t>
            </w:r>
            <w:r w:rsidR="00083F4D" w:rsidRPr="007048BA">
              <w:rPr>
                <w:rFonts w:eastAsia="Times New Roman" w:cs="Times New Roman"/>
                <w:i/>
                <w:color w:val="000000"/>
                <w:szCs w:val="24"/>
                <w:lang w:val="en-GB" w:eastAsia="en-GB"/>
              </w:rPr>
              <w:t>arget</w:t>
            </w:r>
          </w:p>
        </w:tc>
        <w:tc>
          <w:tcPr>
            <w:tcW w:w="0" w:type="auto"/>
            <w:tcBorders>
              <w:top w:val="single" w:sz="4" w:space="0" w:color="auto"/>
              <w:bottom w:val="nil"/>
            </w:tcBorders>
            <w:shd w:val="clear" w:color="auto" w:fill="auto"/>
            <w:noWrap/>
            <w:vAlign w:val="bottom"/>
            <w:hideMark/>
          </w:tcPr>
          <w:p w14:paraId="51CC1755"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38,246 </w:t>
            </w:r>
          </w:p>
        </w:tc>
        <w:tc>
          <w:tcPr>
            <w:tcW w:w="0" w:type="auto"/>
            <w:tcBorders>
              <w:top w:val="single" w:sz="4" w:space="0" w:color="auto"/>
              <w:bottom w:val="nil"/>
            </w:tcBorders>
            <w:shd w:val="clear" w:color="auto" w:fill="auto"/>
            <w:noWrap/>
            <w:vAlign w:val="bottom"/>
            <w:hideMark/>
          </w:tcPr>
          <w:p w14:paraId="1DA7F94A"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0.048</w:t>
            </w:r>
          </w:p>
        </w:tc>
        <w:tc>
          <w:tcPr>
            <w:tcW w:w="0" w:type="auto"/>
            <w:tcBorders>
              <w:top w:val="single" w:sz="4" w:space="0" w:color="auto"/>
              <w:bottom w:val="nil"/>
            </w:tcBorders>
            <w:shd w:val="clear" w:color="auto" w:fill="auto"/>
            <w:noWrap/>
            <w:vAlign w:val="bottom"/>
            <w:hideMark/>
          </w:tcPr>
          <w:p w14:paraId="50134474"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0" w:type="auto"/>
            <w:tcBorders>
              <w:top w:val="single" w:sz="4" w:space="0" w:color="auto"/>
              <w:bottom w:val="nil"/>
            </w:tcBorders>
            <w:shd w:val="clear" w:color="auto" w:fill="auto"/>
            <w:noWrap/>
            <w:vAlign w:val="bottom"/>
            <w:hideMark/>
          </w:tcPr>
          <w:p w14:paraId="0E35F54E"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0.214</w:t>
            </w:r>
          </w:p>
        </w:tc>
        <w:tc>
          <w:tcPr>
            <w:tcW w:w="0" w:type="auto"/>
            <w:tcBorders>
              <w:top w:val="single" w:sz="4" w:space="0" w:color="auto"/>
              <w:bottom w:val="nil"/>
            </w:tcBorders>
            <w:shd w:val="clear" w:color="auto" w:fill="auto"/>
            <w:noWrap/>
            <w:vAlign w:val="bottom"/>
            <w:hideMark/>
          </w:tcPr>
          <w:p w14:paraId="471058AC"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4.217</w:t>
            </w:r>
          </w:p>
        </w:tc>
        <w:tc>
          <w:tcPr>
            <w:tcW w:w="0" w:type="auto"/>
            <w:tcBorders>
              <w:top w:val="single" w:sz="4" w:space="0" w:color="auto"/>
              <w:bottom w:val="nil"/>
            </w:tcBorders>
            <w:shd w:val="clear" w:color="auto" w:fill="auto"/>
            <w:noWrap/>
            <w:vAlign w:val="bottom"/>
            <w:hideMark/>
          </w:tcPr>
          <w:p w14:paraId="5926A62F"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0" w:type="auto"/>
            <w:tcBorders>
              <w:top w:val="single" w:sz="4" w:space="0" w:color="auto"/>
              <w:bottom w:val="nil"/>
            </w:tcBorders>
            <w:shd w:val="clear" w:color="auto" w:fill="auto"/>
            <w:noWrap/>
            <w:vAlign w:val="bottom"/>
            <w:hideMark/>
          </w:tcPr>
          <w:p w14:paraId="3AC241E6"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r>
      <w:tr w:rsidR="00C77DB5" w:rsidRPr="007048BA" w14:paraId="70F8243E" w14:textId="77777777" w:rsidTr="00D45718">
        <w:trPr>
          <w:trHeight w:val="300"/>
          <w:jc w:val="center"/>
        </w:trPr>
        <w:tc>
          <w:tcPr>
            <w:tcW w:w="1217" w:type="dxa"/>
            <w:tcBorders>
              <w:top w:val="nil"/>
            </w:tcBorders>
            <w:shd w:val="clear" w:color="auto" w:fill="auto"/>
            <w:noWrap/>
            <w:vAlign w:val="bottom"/>
            <w:hideMark/>
          </w:tcPr>
          <w:p w14:paraId="0D7E02BD"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RDI</w:t>
            </w:r>
          </w:p>
        </w:tc>
        <w:tc>
          <w:tcPr>
            <w:tcW w:w="0" w:type="auto"/>
            <w:tcBorders>
              <w:top w:val="nil"/>
            </w:tcBorders>
            <w:shd w:val="clear" w:color="auto" w:fill="auto"/>
            <w:noWrap/>
            <w:vAlign w:val="bottom"/>
            <w:hideMark/>
          </w:tcPr>
          <w:p w14:paraId="363BB2BA"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11,896 </w:t>
            </w:r>
          </w:p>
        </w:tc>
        <w:tc>
          <w:tcPr>
            <w:tcW w:w="0" w:type="auto"/>
            <w:tcBorders>
              <w:top w:val="nil"/>
            </w:tcBorders>
            <w:shd w:val="clear" w:color="auto" w:fill="auto"/>
            <w:noWrap/>
            <w:vAlign w:val="bottom"/>
            <w:hideMark/>
          </w:tcPr>
          <w:p w14:paraId="2B44478A"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0.071</w:t>
            </w:r>
          </w:p>
        </w:tc>
        <w:tc>
          <w:tcPr>
            <w:tcW w:w="0" w:type="auto"/>
            <w:tcBorders>
              <w:top w:val="nil"/>
            </w:tcBorders>
            <w:shd w:val="clear" w:color="auto" w:fill="auto"/>
            <w:noWrap/>
            <w:vAlign w:val="bottom"/>
            <w:hideMark/>
          </w:tcPr>
          <w:p w14:paraId="757934EC"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0.020</w:t>
            </w:r>
          </w:p>
        </w:tc>
        <w:tc>
          <w:tcPr>
            <w:tcW w:w="0" w:type="auto"/>
            <w:tcBorders>
              <w:top w:val="nil"/>
            </w:tcBorders>
            <w:shd w:val="clear" w:color="auto" w:fill="auto"/>
            <w:noWrap/>
            <w:vAlign w:val="bottom"/>
            <w:hideMark/>
          </w:tcPr>
          <w:p w14:paraId="45F03FFD"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0.191</w:t>
            </w:r>
          </w:p>
        </w:tc>
        <w:tc>
          <w:tcPr>
            <w:tcW w:w="0" w:type="auto"/>
            <w:tcBorders>
              <w:top w:val="nil"/>
            </w:tcBorders>
            <w:shd w:val="clear" w:color="auto" w:fill="auto"/>
            <w:noWrap/>
            <w:vAlign w:val="bottom"/>
            <w:hideMark/>
          </w:tcPr>
          <w:p w14:paraId="2CD3A94C"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20.370</w:t>
            </w:r>
          </w:p>
        </w:tc>
        <w:tc>
          <w:tcPr>
            <w:tcW w:w="0" w:type="auto"/>
            <w:tcBorders>
              <w:top w:val="nil"/>
            </w:tcBorders>
            <w:shd w:val="clear" w:color="auto" w:fill="auto"/>
            <w:noWrap/>
            <w:vAlign w:val="bottom"/>
            <w:hideMark/>
          </w:tcPr>
          <w:p w14:paraId="4F12A106"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0.004</w:t>
            </w:r>
          </w:p>
        </w:tc>
        <w:tc>
          <w:tcPr>
            <w:tcW w:w="0" w:type="auto"/>
            <w:tcBorders>
              <w:top w:val="nil"/>
            </w:tcBorders>
            <w:shd w:val="clear" w:color="auto" w:fill="auto"/>
            <w:noWrap/>
            <w:vAlign w:val="bottom"/>
            <w:hideMark/>
          </w:tcPr>
          <w:p w14:paraId="18B849E9"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0.070</w:t>
            </w:r>
          </w:p>
        </w:tc>
      </w:tr>
      <w:tr w:rsidR="00C77DB5" w:rsidRPr="007048BA" w14:paraId="1BC6452B" w14:textId="77777777" w:rsidTr="00D45718">
        <w:trPr>
          <w:trHeight w:val="300"/>
          <w:jc w:val="center"/>
        </w:trPr>
        <w:tc>
          <w:tcPr>
            <w:tcW w:w="1217" w:type="dxa"/>
            <w:shd w:val="clear" w:color="auto" w:fill="auto"/>
            <w:noWrap/>
            <w:vAlign w:val="bottom"/>
            <w:hideMark/>
          </w:tcPr>
          <w:p w14:paraId="7A934BFE" w14:textId="26FB1E38" w:rsidR="00C77DB5" w:rsidRPr="007048BA" w:rsidRDefault="00352400"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abDISX</w:t>
            </w:r>
          </w:p>
        </w:tc>
        <w:tc>
          <w:tcPr>
            <w:tcW w:w="0" w:type="auto"/>
            <w:shd w:val="clear" w:color="auto" w:fill="auto"/>
            <w:noWrap/>
            <w:vAlign w:val="bottom"/>
            <w:hideMark/>
          </w:tcPr>
          <w:p w14:paraId="7FD737A5"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32,527 </w:t>
            </w:r>
          </w:p>
        </w:tc>
        <w:tc>
          <w:tcPr>
            <w:tcW w:w="0" w:type="auto"/>
            <w:shd w:val="clear" w:color="auto" w:fill="auto"/>
            <w:noWrap/>
            <w:vAlign w:val="bottom"/>
            <w:hideMark/>
          </w:tcPr>
          <w:p w14:paraId="7E7EB630"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-0.002</w:t>
            </w:r>
          </w:p>
        </w:tc>
        <w:tc>
          <w:tcPr>
            <w:tcW w:w="0" w:type="auto"/>
            <w:shd w:val="clear" w:color="auto" w:fill="auto"/>
            <w:noWrap/>
            <w:vAlign w:val="bottom"/>
            <w:hideMark/>
          </w:tcPr>
          <w:p w14:paraId="5E205C60"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-0.017</w:t>
            </w:r>
          </w:p>
        </w:tc>
        <w:tc>
          <w:tcPr>
            <w:tcW w:w="0" w:type="auto"/>
            <w:shd w:val="clear" w:color="auto" w:fill="auto"/>
            <w:noWrap/>
            <w:vAlign w:val="bottom"/>
            <w:hideMark/>
          </w:tcPr>
          <w:p w14:paraId="1A84C258"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1.698</w:t>
            </w:r>
          </w:p>
        </w:tc>
        <w:tc>
          <w:tcPr>
            <w:tcW w:w="0" w:type="auto"/>
            <w:shd w:val="clear" w:color="auto" w:fill="auto"/>
            <w:noWrap/>
            <w:vAlign w:val="bottom"/>
            <w:hideMark/>
          </w:tcPr>
          <w:p w14:paraId="722059EC"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-4.149</w:t>
            </w:r>
          </w:p>
        </w:tc>
        <w:tc>
          <w:tcPr>
            <w:tcW w:w="0" w:type="auto"/>
            <w:shd w:val="clear" w:color="auto" w:fill="auto"/>
            <w:noWrap/>
            <w:vAlign w:val="bottom"/>
            <w:hideMark/>
          </w:tcPr>
          <w:p w14:paraId="5E26962A"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-0.152</w:t>
            </w:r>
          </w:p>
        </w:tc>
        <w:tc>
          <w:tcPr>
            <w:tcW w:w="0" w:type="auto"/>
            <w:shd w:val="clear" w:color="auto" w:fill="auto"/>
            <w:noWrap/>
            <w:vAlign w:val="bottom"/>
            <w:hideMark/>
          </w:tcPr>
          <w:p w14:paraId="095BA499"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0.106</w:t>
            </w:r>
          </w:p>
        </w:tc>
      </w:tr>
      <w:tr w:rsidR="00C77DB5" w:rsidRPr="007048BA" w14:paraId="43EBF97D" w14:textId="77777777" w:rsidTr="00D45718">
        <w:trPr>
          <w:trHeight w:val="300"/>
          <w:jc w:val="center"/>
        </w:trPr>
        <w:tc>
          <w:tcPr>
            <w:tcW w:w="1217" w:type="dxa"/>
            <w:shd w:val="clear" w:color="auto" w:fill="auto"/>
            <w:noWrap/>
            <w:vAlign w:val="bottom"/>
            <w:hideMark/>
          </w:tcPr>
          <w:p w14:paraId="20585651" w14:textId="6602594B" w:rsidR="00C77DB5" w:rsidRPr="007048BA" w:rsidRDefault="003942A8"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d</w:t>
            </w:r>
            <w:r w:rsidR="00C77DB5" w:rsidRPr="007048BA">
              <w:rPr>
                <w:rFonts w:eastAsia="Times New Roman" w:cs="Times New Roman"/>
                <w:i/>
                <w:color w:val="000000"/>
                <w:szCs w:val="24"/>
                <w:lang w:val="en-GB" w:eastAsia="en-GB"/>
              </w:rPr>
              <w:t>CACC</w:t>
            </w:r>
          </w:p>
        </w:tc>
        <w:tc>
          <w:tcPr>
            <w:tcW w:w="0" w:type="auto"/>
            <w:shd w:val="clear" w:color="auto" w:fill="auto"/>
            <w:noWrap/>
            <w:vAlign w:val="bottom"/>
            <w:hideMark/>
          </w:tcPr>
          <w:p w14:paraId="77F43724"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30,385 </w:t>
            </w:r>
          </w:p>
        </w:tc>
        <w:tc>
          <w:tcPr>
            <w:tcW w:w="0" w:type="auto"/>
            <w:shd w:val="clear" w:color="auto" w:fill="auto"/>
            <w:noWrap/>
            <w:vAlign w:val="bottom"/>
            <w:hideMark/>
          </w:tcPr>
          <w:p w14:paraId="6EF4587C"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0" w:type="auto"/>
            <w:shd w:val="clear" w:color="auto" w:fill="auto"/>
            <w:noWrap/>
            <w:vAlign w:val="bottom"/>
            <w:hideMark/>
          </w:tcPr>
          <w:p w14:paraId="2EF3895B"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-0.001</w:t>
            </w:r>
          </w:p>
        </w:tc>
        <w:tc>
          <w:tcPr>
            <w:tcW w:w="0" w:type="auto"/>
            <w:shd w:val="clear" w:color="auto" w:fill="auto"/>
            <w:noWrap/>
            <w:vAlign w:val="bottom"/>
            <w:hideMark/>
          </w:tcPr>
          <w:p w14:paraId="4FE928B9"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1.816</w:t>
            </w:r>
          </w:p>
        </w:tc>
        <w:tc>
          <w:tcPr>
            <w:tcW w:w="0" w:type="auto"/>
            <w:shd w:val="clear" w:color="auto" w:fill="auto"/>
            <w:noWrap/>
            <w:vAlign w:val="bottom"/>
            <w:hideMark/>
          </w:tcPr>
          <w:p w14:paraId="3ECC11AE"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-61.436</w:t>
            </w:r>
          </w:p>
        </w:tc>
        <w:tc>
          <w:tcPr>
            <w:tcW w:w="0" w:type="auto"/>
            <w:shd w:val="clear" w:color="auto" w:fill="auto"/>
            <w:noWrap/>
            <w:vAlign w:val="bottom"/>
            <w:hideMark/>
          </w:tcPr>
          <w:p w14:paraId="35CF1D33"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-0.059</w:t>
            </w:r>
          </w:p>
        </w:tc>
        <w:tc>
          <w:tcPr>
            <w:tcW w:w="0" w:type="auto"/>
            <w:shd w:val="clear" w:color="auto" w:fill="auto"/>
            <w:noWrap/>
            <w:vAlign w:val="bottom"/>
            <w:hideMark/>
          </w:tcPr>
          <w:p w14:paraId="659FF0F6"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0.053</w:t>
            </w:r>
          </w:p>
        </w:tc>
      </w:tr>
      <w:tr w:rsidR="00C77DB5" w:rsidRPr="007048BA" w14:paraId="3B1B958E" w14:textId="77777777" w:rsidTr="00D45718">
        <w:trPr>
          <w:trHeight w:val="300"/>
          <w:jc w:val="center"/>
        </w:trPr>
        <w:tc>
          <w:tcPr>
            <w:tcW w:w="1217" w:type="dxa"/>
            <w:shd w:val="clear" w:color="auto" w:fill="auto"/>
            <w:noWrap/>
            <w:vAlign w:val="bottom"/>
            <w:hideMark/>
          </w:tcPr>
          <w:p w14:paraId="4ECF0E5F" w14:textId="253C97DF" w:rsidR="00C77DB5" w:rsidRPr="007048BA" w:rsidRDefault="003942A8"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d</w:t>
            </w:r>
            <w:r w:rsidR="00C77DB5" w:rsidRPr="007048BA">
              <w:rPr>
                <w:rFonts w:eastAsia="Times New Roman" w:cs="Times New Roman"/>
                <w:i/>
                <w:color w:val="000000"/>
                <w:szCs w:val="24"/>
                <w:lang w:val="en-GB" w:eastAsia="en-GB"/>
              </w:rPr>
              <w:t>TACC</w:t>
            </w:r>
          </w:p>
        </w:tc>
        <w:tc>
          <w:tcPr>
            <w:tcW w:w="0" w:type="auto"/>
            <w:shd w:val="clear" w:color="auto" w:fill="auto"/>
            <w:noWrap/>
            <w:vAlign w:val="bottom"/>
            <w:hideMark/>
          </w:tcPr>
          <w:p w14:paraId="786723CE"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30,156 </w:t>
            </w:r>
          </w:p>
        </w:tc>
        <w:tc>
          <w:tcPr>
            <w:tcW w:w="0" w:type="auto"/>
            <w:shd w:val="clear" w:color="auto" w:fill="auto"/>
            <w:noWrap/>
            <w:vAlign w:val="bottom"/>
            <w:hideMark/>
          </w:tcPr>
          <w:p w14:paraId="27D5991D"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0.002</w:t>
            </w:r>
          </w:p>
        </w:tc>
        <w:tc>
          <w:tcPr>
            <w:tcW w:w="0" w:type="auto"/>
            <w:shd w:val="clear" w:color="auto" w:fill="auto"/>
            <w:noWrap/>
            <w:vAlign w:val="bottom"/>
            <w:hideMark/>
          </w:tcPr>
          <w:p w14:paraId="485FAA01"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0" w:type="auto"/>
            <w:shd w:val="clear" w:color="auto" w:fill="auto"/>
            <w:noWrap/>
            <w:vAlign w:val="bottom"/>
            <w:hideMark/>
          </w:tcPr>
          <w:p w14:paraId="1909B23F"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1.703</w:t>
            </w:r>
          </w:p>
        </w:tc>
        <w:tc>
          <w:tcPr>
            <w:tcW w:w="0" w:type="auto"/>
            <w:shd w:val="clear" w:color="auto" w:fill="auto"/>
            <w:noWrap/>
            <w:vAlign w:val="bottom"/>
            <w:hideMark/>
          </w:tcPr>
          <w:p w14:paraId="2407D21C"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-61.331</w:t>
            </w:r>
          </w:p>
        </w:tc>
        <w:tc>
          <w:tcPr>
            <w:tcW w:w="0" w:type="auto"/>
            <w:shd w:val="clear" w:color="auto" w:fill="auto"/>
            <w:noWrap/>
            <w:vAlign w:val="bottom"/>
            <w:hideMark/>
          </w:tcPr>
          <w:p w14:paraId="5B1450FD"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-0.054</w:t>
            </w:r>
          </w:p>
        </w:tc>
        <w:tc>
          <w:tcPr>
            <w:tcW w:w="0" w:type="auto"/>
            <w:shd w:val="clear" w:color="auto" w:fill="auto"/>
            <w:noWrap/>
            <w:vAlign w:val="bottom"/>
            <w:hideMark/>
          </w:tcPr>
          <w:p w14:paraId="3573EB6D"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0.057</w:t>
            </w:r>
          </w:p>
        </w:tc>
      </w:tr>
      <w:tr w:rsidR="00C77DB5" w:rsidRPr="007048BA" w14:paraId="55CB8FBB" w14:textId="77777777" w:rsidTr="00D45718">
        <w:trPr>
          <w:trHeight w:val="300"/>
          <w:jc w:val="center"/>
        </w:trPr>
        <w:tc>
          <w:tcPr>
            <w:tcW w:w="1217" w:type="dxa"/>
            <w:shd w:val="clear" w:color="auto" w:fill="auto"/>
            <w:noWrap/>
            <w:vAlign w:val="bottom"/>
            <w:hideMark/>
          </w:tcPr>
          <w:p w14:paraId="2C454413"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ROCE</w:t>
            </w:r>
          </w:p>
        </w:tc>
        <w:tc>
          <w:tcPr>
            <w:tcW w:w="0" w:type="auto"/>
            <w:shd w:val="clear" w:color="auto" w:fill="auto"/>
            <w:noWrap/>
            <w:vAlign w:val="bottom"/>
            <w:hideMark/>
          </w:tcPr>
          <w:p w14:paraId="78515E6C"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39,468 </w:t>
            </w:r>
          </w:p>
        </w:tc>
        <w:tc>
          <w:tcPr>
            <w:tcW w:w="0" w:type="auto"/>
            <w:shd w:val="clear" w:color="auto" w:fill="auto"/>
            <w:noWrap/>
            <w:vAlign w:val="bottom"/>
            <w:hideMark/>
          </w:tcPr>
          <w:p w14:paraId="64A0470C"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0.033</w:t>
            </w:r>
          </w:p>
        </w:tc>
        <w:tc>
          <w:tcPr>
            <w:tcW w:w="0" w:type="auto"/>
            <w:shd w:val="clear" w:color="auto" w:fill="auto"/>
            <w:noWrap/>
            <w:vAlign w:val="bottom"/>
            <w:hideMark/>
          </w:tcPr>
          <w:p w14:paraId="73D29443"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0.108</w:t>
            </w:r>
          </w:p>
        </w:tc>
        <w:tc>
          <w:tcPr>
            <w:tcW w:w="0" w:type="auto"/>
            <w:shd w:val="clear" w:color="auto" w:fill="auto"/>
            <w:noWrap/>
            <w:vAlign w:val="bottom"/>
            <w:hideMark/>
          </w:tcPr>
          <w:p w14:paraId="708EC6AC"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0.746</w:t>
            </w:r>
          </w:p>
        </w:tc>
        <w:tc>
          <w:tcPr>
            <w:tcW w:w="0" w:type="auto"/>
            <w:shd w:val="clear" w:color="auto" w:fill="auto"/>
            <w:noWrap/>
            <w:vAlign w:val="bottom"/>
            <w:hideMark/>
          </w:tcPr>
          <w:p w14:paraId="3068A9E6"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-3.614</w:t>
            </w:r>
          </w:p>
        </w:tc>
        <w:tc>
          <w:tcPr>
            <w:tcW w:w="0" w:type="auto"/>
            <w:shd w:val="clear" w:color="auto" w:fill="auto"/>
            <w:noWrap/>
            <w:vAlign w:val="bottom"/>
            <w:hideMark/>
          </w:tcPr>
          <w:p w14:paraId="3A4AA84F"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-0.019</w:t>
            </w:r>
          </w:p>
        </w:tc>
        <w:tc>
          <w:tcPr>
            <w:tcW w:w="0" w:type="auto"/>
            <w:shd w:val="clear" w:color="auto" w:fill="auto"/>
            <w:noWrap/>
            <w:vAlign w:val="bottom"/>
            <w:hideMark/>
          </w:tcPr>
          <w:p w14:paraId="5D27AAAD"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0.220</w:t>
            </w:r>
          </w:p>
        </w:tc>
      </w:tr>
      <w:tr w:rsidR="00C77DB5" w:rsidRPr="007048BA" w14:paraId="284EB7A9" w14:textId="77777777" w:rsidTr="00D45718">
        <w:trPr>
          <w:trHeight w:val="300"/>
          <w:jc w:val="center"/>
        </w:trPr>
        <w:tc>
          <w:tcPr>
            <w:tcW w:w="1217" w:type="dxa"/>
            <w:shd w:val="clear" w:color="auto" w:fill="auto"/>
            <w:noWrap/>
            <w:vAlign w:val="bottom"/>
            <w:hideMark/>
          </w:tcPr>
          <w:p w14:paraId="7D55CD73"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AAR</w:t>
            </w:r>
          </w:p>
        </w:tc>
        <w:tc>
          <w:tcPr>
            <w:tcW w:w="0" w:type="auto"/>
            <w:shd w:val="clear" w:color="auto" w:fill="auto"/>
            <w:noWrap/>
            <w:vAlign w:val="bottom"/>
            <w:hideMark/>
          </w:tcPr>
          <w:p w14:paraId="5FB7B0C8"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34,066 </w:t>
            </w:r>
          </w:p>
        </w:tc>
        <w:tc>
          <w:tcPr>
            <w:tcW w:w="0" w:type="auto"/>
            <w:shd w:val="clear" w:color="auto" w:fill="auto"/>
            <w:noWrap/>
            <w:vAlign w:val="bottom"/>
            <w:hideMark/>
          </w:tcPr>
          <w:p w14:paraId="2505DA2D"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0" w:type="auto"/>
            <w:shd w:val="clear" w:color="auto" w:fill="auto"/>
            <w:noWrap/>
            <w:vAlign w:val="bottom"/>
            <w:hideMark/>
          </w:tcPr>
          <w:p w14:paraId="6C8FAAF0"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0" w:type="auto"/>
            <w:shd w:val="clear" w:color="auto" w:fill="auto"/>
            <w:noWrap/>
            <w:vAlign w:val="bottom"/>
            <w:hideMark/>
          </w:tcPr>
          <w:p w14:paraId="5E9DBB09"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0.003</w:t>
            </w:r>
          </w:p>
        </w:tc>
        <w:tc>
          <w:tcPr>
            <w:tcW w:w="0" w:type="auto"/>
            <w:shd w:val="clear" w:color="auto" w:fill="auto"/>
            <w:noWrap/>
            <w:vAlign w:val="bottom"/>
            <w:hideMark/>
          </w:tcPr>
          <w:p w14:paraId="641D403A"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0.028</w:t>
            </w:r>
          </w:p>
        </w:tc>
        <w:tc>
          <w:tcPr>
            <w:tcW w:w="0" w:type="auto"/>
            <w:shd w:val="clear" w:color="auto" w:fill="auto"/>
            <w:noWrap/>
            <w:vAlign w:val="bottom"/>
            <w:hideMark/>
          </w:tcPr>
          <w:p w14:paraId="5135E9DB"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-0.001</w:t>
            </w:r>
          </w:p>
        </w:tc>
        <w:tc>
          <w:tcPr>
            <w:tcW w:w="0" w:type="auto"/>
            <w:shd w:val="clear" w:color="auto" w:fill="auto"/>
            <w:noWrap/>
            <w:vAlign w:val="bottom"/>
            <w:hideMark/>
          </w:tcPr>
          <w:p w14:paraId="1C5948E8"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0.001</w:t>
            </w:r>
          </w:p>
        </w:tc>
      </w:tr>
      <w:tr w:rsidR="00C77DB5" w:rsidRPr="007048BA" w14:paraId="5BB1266D" w14:textId="77777777" w:rsidTr="00D45718">
        <w:trPr>
          <w:trHeight w:val="300"/>
          <w:jc w:val="center"/>
        </w:trPr>
        <w:tc>
          <w:tcPr>
            <w:tcW w:w="1217" w:type="dxa"/>
            <w:shd w:val="clear" w:color="auto" w:fill="auto"/>
            <w:noWrap/>
            <w:vAlign w:val="bottom"/>
            <w:hideMark/>
          </w:tcPr>
          <w:p w14:paraId="6EE89DE4"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TBQ</w:t>
            </w:r>
          </w:p>
        </w:tc>
        <w:tc>
          <w:tcPr>
            <w:tcW w:w="0" w:type="auto"/>
            <w:shd w:val="clear" w:color="auto" w:fill="auto"/>
            <w:noWrap/>
            <w:vAlign w:val="bottom"/>
            <w:hideMark/>
          </w:tcPr>
          <w:p w14:paraId="6CFE2950"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35,963 </w:t>
            </w:r>
          </w:p>
        </w:tc>
        <w:tc>
          <w:tcPr>
            <w:tcW w:w="0" w:type="auto"/>
            <w:shd w:val="clear" w:color="auto" w:fill="auto"/>
            <w:noWrap/>
            <w:vAlign w:val="bottom"/>
            <w:hideMark/>
          </w:tcPr>
          <w:p w14:paraId="6D83DB12"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1.968</w:t>
            </w:r>
          </w:p>
        </w:tc>
        <w:tc>
          <w:tcPr>
            <w:tcW w:w="0" w:type="auto"/>
            <w:shd w:val="clear" w:color="auto" w:fill="auto"/>
            <w:noWrap/>
            <w:vAlign w:val="bottom"/>
            <w:hideMark/>
          </w:tcPr>
          <w:p w14:paraId="767828DD"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1.372</w:t>
            </w:r>
          </w:p>
        </w:tc>
        <w:tc>
          <w:tcPr>
            <w:tcW w:w="0" w:type="auto"/>
            <w:shd w:val="clear" w:color="auto" w:fill="auto"/>
            <w:noWrap/>
            <w:vAlign w:val="bottom"/>
            <w:hideMark/>
          </w:tcPr>
          <w:p w14:paraId="7AC492B4"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2.209</w:t>
            </w:r>
          </w:p>
        </w:tc>
        <w:tc>
          <w:tcPr>
            <w:tcW w:w="0" w:type="auto"/>
            <w:shd w:val="clear" w:color="auto" w:fill="auto"/>
            <w:noWrap/>
            <w:vAlign w:val="bottom"/>
            <w:hideMark/>
          </w:tcPr>
          <w:p w14:paraId="623CFD4C"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5.287</w:t>
            </w:r>
          </w:p>
        </w:tc>
        <w:tc>
          <w:tcPr>
            <w:tcW w:w="0" w:type="auto"/>
            <w:shd w:val="clear" w:color="auto" w:fill="auto"/>
            <w:noWrap/>
            <w:vAlign w:val="bottom"/>
            <w:hideMark/>
          </w:tcPr>
          <w:p w14:paraId="58CE3AD4"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1.008</w:t>
            </w:r>
          </w:p>
        </w:tc>
        <w:tc>
          <w:tcPr>
            <w:tcW w:w="0" w:type="auto"/>
            <w:shd w:val="clear" w:color="auto" w:fill="auto"/>
            <w:noWrap/>
            <w:vAlign w:val="bottom"/>
            <w:hideMark/>
          </w:tcPr>
          <w:p w14:paraId="7AB3B845"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2.038</w:t>
            </w:r>
          </w:p>
        </w:tc>
      </w:tr>
      <w:tr w:rsidR="00D4496A" w:rsidRPr="007048BA" w14:paraId="4E88076E" w14:textId="77777777" w:rsidTr="00D45718">
        <w:trPr>
          <w:trHeight w:val="300"/>
          <w:jc w:val="center"/>
        </w:trPr>
        <w:tc>
          <w:tcPr>
            <w:tcW w:w="1217" w:type="dxa"/>
            <w:shd w:val="clear" w:color="auto" w:fill="auto"/>
            <w:noWrap/>
            <w:vAlign w:val="bottom"/>
          </w:tcPr>
          <w:p w14:paraId="1B802829" w14:textId="3FC74766" w:rsidR="00D4496A" w:rsidRPr="007048BA" w:rsidRDefault="00D4496A"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MTB</w:t>
            </w:r>
          </w:p>
        </w:tc>
        <w:tc>
          <w:tcPr>
            <w:tcW w:w="0" w:type="auto"/>
            <w:shd w:val="clear" w:color="auto" w:fill="auto"/>
            <w:noWrap/>
            <w:vAlign w:val="bottom"/>
          </w:tcPr>
          <w:p w14:paraId="1E915D3A" w14:textId="05576549" w:rsidR="00D4496A" w:rsidRPr="007048BA" w:rsidRDefault="00D4496A" w:rsidP="00D4496A">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35,034</w:t>
            </w:r>
          </w:p>
        </w:tc>
        <w:tc>
          <w:tcPr>
            <w:tcW w:w="0" w:type="auto"/>
            <w:shd w:val="clear" w:color="auto" w:fill="auto"/>
            <w:noWrap/>
            <w:vAlign w:val="bottom"/>
          </w:tcPr>
          <w:p w14:paraId="49B2339D" w14:textId="2AADCEBE" w:rsidR="00D4496A" w:rsidRPr="007048BA" w:rsidRDefault="00D4496A"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1.709</w:t>
            </w:r>
          </w:p>
        </w:tc>
        <w:tc>
          <w:tcPr>
            <w:tcW w:w="0" w:type="auto"/>
            <w:shd w:val="clear" w:color="auto" w:fill="auto"/>
            <w:noWrap/>
            <w:vAlign w:val="bottom"/>
          </w:tcPr>
          <w:p w14:paraId="5472FB0E" w14:textId="2C16A63E" w:rsidR="00D4496A" w:rsidRPr="007048BA" w:rsidRDefault="00D4496A"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1.016</w:t>
            </w:r>
          </w:p>
        </w:tc>
        <w:tc>
          <w:tcPr>
            <w:tcW w:w="0" w:type="auto"/>
            <w:shd w:val="clear" w:color="auto" w:fill="auto"/>
            <w:noWrap/>
            <w:vAlign w:val="bottom"/>
          </w:tcPr>
          <w:p w14:paraId="5A162CF0" w14:textId="6E11D5AA" w:rsidR="00D4496A" w:rsidRPr="007048BA" w:rsidRDefault="00D4496A"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2.407</w:t>
            </w:r>
          </w:p>
        </w:tc>
        <w:tc>
          <w:tcPr>
            <w:tcW w:w="0" w:type="auto"/>
            <w:shd w:val="clear" w:color="auto" w:fill="auto"/>
            <w:noWrap/>
            <w:vAlign w:val="bottom"/>
          </w:tcPr>
          <w:p w14:paraId="1FC6DFC3" w14:textId="07E8A38F" w:rsidR="00D4496A" w:rsidRPr="007048BA" w:rsidRDefault="00D4496A"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4.228</w:t>
            </w:r>
          </w:p>
        </w:tc>
        <w:tc>
          <w:tcPr>
            <w:tcW w:w="0" w:type="auto"/>
            <w:shd w:val="clear" w:color="auto" w:fill="auto"/>
            <w:noWrap/>
            <w:vAlign w:val="bottom"/>
          </w:tcPr>
          <w:p w14:paraId="2B82F6E3" w14:textId="7D7C63D0" w:rsidR="00D4496A" w:rsidRPr="007048BA" w:rsidRDefault="00D4496A"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0.594</w:t>
            </w:r>
          </w:p>
        </w:tc>
        <w:tc>
          <w:tcPr>
            <w:tcW w:w="0" w:type="auto"/>
            <w:shd w:val="clear" w:color="auto" w:fill="auto"/>
            <w:noWrap/>
            <w:vAlign w:val="bottom"/>
          </w:tcPr>
          <w:p w14:paraId="5A461B09" w14:textId="0440F0A3" w:rsidR="00D4496A" w:rsidRPr="007048BA" w:rsidRDefault="00D4496A"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1.797</w:t>
            </w:r>
          </w:p>
        </w:tc>
      </w:tr>
      <w:tr w:rsidR="00C77DB5" w:rsidRPr="007048BA" w14:paraId="59DD49F9" w14:textId="77777777" w:rsidTr="00D45718">
        <w:trPr>
          <w:trHeight w:val="300"/>
          <w:jc w:val="center"/>
        </w:trPr>
        <w:tc>
          <w:tcPr>
            <w:tcW w:w="1217" w:type="dxa"/>
            <w:shd w:val="clear" w:color="auto" w:fill="auto"/>
            <w:noWrap/>
            <w:vAlign w:val="bottom"/>
            <w:hideMark/>
          </w:tcPr>
          <w:p w14:paraId="361C0B13"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LIQ</w:t>
            </w:r>
          </w:p>
        </w:tc>
        <w:tc>
          <w:tcPr>
            <w:tcW w:w="0" w:type="auto"/>
            <w:shd w:val="clear" w:color="auto" w:fill="auto"/>
            <w:noWrap/>
            <w:vAlign w:val="bottom"/>
            <w:hideMark/>
          </w:tcPr>
          <w:p w14:paraId="6CE1ABD2"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39,694 </w:t>
            </w:r>
          </w:p>
        </w:tc>
        <w:tc>
          <w:tcPr>
            <w:tcW w:w="0" w:type="auto"/>
            <w:shd w:val="clear" w:color="auto" w:fill="auto"/>
            <w:noWrap/>
            <w:vAlign w:val="bottom"/>
            <w:hideMark/>
          </w:tcPr>
          <w:p w14:paraId="288981EA"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0.161</w:t>
            </w:r>
          </w:p>
        </w:tc>
        <w:tc>
          <w:tcPr>
            <w:tcW w:w="0" w:type="auto"/>
            <w:shd w:val="clear" w:color="auto" w:fill="auto"/>
            <w:noWrap/>
            <w:vAlign w:val="bottom"/>
            <w:hideMark/>
          </w:tcPr>
          <w:p w14:paraId="3E49B3C4"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0.085</w:t>
            </w:r>
          </w:p>
        </w:tc>
        <w:tc>
          <w:tcPr>
            <w:tcW w:w="0" w:type="auto"/>
            <w:shd w:val="clear" w:color="auto" w:fill="auto"/>
            <w:noWrap/>
            <w:vAlign w:val="bottom"/>
            <w:hideMark/>
          </w:tcPr>
          <w:p w14:paraId="2C82442A"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0.201</w:t>
            </w:r>
          </w:p>
        </w:tc>
        <w:tc>
          <w:tcPr>
            <w:tcW w:w="0" w:type="auto"/>
            <w:shd w:val="clear" w:color="auto" w:fill="auto"/>
            <w:noWrap/>
            <w:vAlign w:val="bottom"/>
            <w:hideMark/>
          </w:tcPr>
          <w:p w14:paraId="1C7DD08F"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1.996</w:t>
            </w:r>
          </w:p>
        </w:tc>
        <w:tc>
          <w:tcPr>
            <w:tcW w:w="0" w:type="auto"/>
            <w:shd w:val="clear" w:color="auto" w:fill="auto"/>
            <w:noWrap/>
            <w:vAlign w:val="bottom"/>
            <w:hideMark/>
          </w:tcPr>
          <w:p w14:paraId="21B6B480"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0.027</w:t>
            </w:r>
          </w:p>
        </w:tc>
        <w:tc>
          <w:tcPr>
            <w:tcW w:w="0" w:type="auto"/>
            <w:shd w:val="clear" w:color="auto" w:fill="auto"/>
            <w:noWrap/>
            <w:vAlign w:val="bottom"/>
            <w:hideMark/>
          </w:tcPr>
          <w:p w14:paraId="79374EF7"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0.208</w:t>
            </w:r>
          </w:p>
        </w:tc>
      </w:tr>
      <w:tr w:rsidR="00C77DB5" w:rsidRPr="007048BA" w14:paraId="5EF6D0B5" w14:textId="77777777" w:rsidTr="00D45718">
        <w:trPr>
          <w:trHeight w:val="300"/>
          <w:jc w:val="center"/>
        </w:trPr>
        <w:tc>
          <w:tcPr>
            <w:tcW w:w="1217" w:type="dxa"/>
            <w:shd w:val="clear" w:color="auto" w:fill="auto"/>
            <w:noWrap/>
            <w:vAlign w:val="bottom"/>
            <w:hideMark/>
          </w:tcPr>
          <w:p w14:paraId="196BB332"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LEV</w:t>
            </w:r>
          </w:p>
        </w:tc>
        <w:tc>
          <w:tcPr>
            <w:tcW w:w="0" w:type="auto"/>
            <w:shd w:val="clear" w:color="auto" w:fill="auto"/>
            <w:noWrap/>
            <w:vAlign w:val="bottom"/>
            <w:hideMark/>
          </w:tcPr>
          <w:p w14:paraId="53C6418E"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39,547 </w:t>
            </w:r>
          </w:p>
        </w:tc>
        <w:tc>
          <w:tcPr>
            <w:tcW w:w="0" w:type="auto"/>
            <w:shd w:val="clear" w:color="auto" w:fill="auto"/>
            <w:noWrap/>
            <w:vAlign w:val="bottom"/>
            <w:hideMark/>
          </w:tcPr>
          <w:p w14:paraId="77CDCDDB"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0.436</w:t>
            </w:r>
          </w:p>
        </w:tc>
        <w:tc>
          <w:tcPr>
            <w:tcW w:w="0" w:type="auto"/>
            <w:shd w:val="clear" w:color="auto" w:fill="auto"/>
            <w:noWrap/>
            <w:vAlign w:val="bottom"/>
            <w:hideMark/>
          </w:tcPr>
          <w:p w14:paraId="2D5F52A1"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0.216</w:t>
            </w:r>
          </w:p>
        </w:tc>
        <w:tc>
          <w:tcPr>
            <w:tcW w:w="0" w:type="auto"/>
            <w:shd w:val="clear" w:color="auto" w:fill="auto"/>
            <w:noWrap/>
            <w:vAlign w:val="bottom"/>
            <w:hideMark/>
          </w:tcPr>
          <w:p w14:paraId="3CF1BEEF"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1.484</w:t>
            </w:r>
          </w:p>
        </w:tc>
        <w:tc>
          <w:tcPr>
            <w:tcW w:w="0" w:type="auto"/>
            <w:shd w:val="clear" w:color="auto" w:fill="auto"/>
            <w:noWrap/>
            <w:vAlign w:val="bottom"/>
            <w:hideMark/>
          </w:tcPr>
          <w:p w14:paraId="2136A580"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3.408</w:t>
            </w:r>
          </w:p>
        </w:tc>
        <w:tc>
          <w:tcPr>
            <w:tcW w:w="0" w:type="auto"/>
            <w:shd w:val="clear" w:color="auto" w:fill="auto"/>
            <w:noWrap/>
            <w:vAlign w:val="bottom"/>
            <w:hideMark/>
          </w:tcPr>
          <w:p w14:paraId="4877EEB3"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0.011</w:t>
            </w:r>
          </w:p>
        </w:tc>
        <w:tc>
          <w:tcPr>
            <w:tcW w:w="0" w:type="auto"/>
            <w:shd w:val="clear" w:color="auto" w:fill="auto"/>
            <w:noWrap/>
            <w:vAlign w:val="bottom"/>
            <w:hideMark/>
          </w:tcPr>
          <w:p w14:paraId="3C0D22A4"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0.565</w:t>
            </w:r>
          </w:p>
        </w:tc>
      </w:tr>
      <w:tr w:rsidR="00C77DB5" w:rsidRPr="007048BA" w14:paraId="6CF8FE2F" w14:textId="77777777" w:rsidTr="00D45718">
        <w:trPr>
          <w:trHeight w:val="300"/>
          <w:jc w:val="center"/>
        </w:trPr>
        <w:tc>
          <w:tcPr>
            <w:tcW w:w="1217" w:type="dxa"/>
            <w:shd w:val="clear" w:color="auto" w:fill="auto"/>
            <w:noWrap/>
            <w:vAlign w:val="bottom"/>
            <w:hideMark/>
          </w:tcPr>
          <w:p w14:paraId="3DB19582"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SGW</w:t>
            </w:r>
          </w:p>
        </w:tc>
        <w:tc>
          <w:tcPr>
            <w:tcW w:w="0" w:type="auto"/>
            <w:shd w:val="clear" w:color="auto" w:fill="auto"/>
            <w:noWrap/>
            <w:vAlign w:val="bottom"/>
            <w:hideMark/>
          </w:tcPr>
          <w:p w14:paraId="60C16953"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34,937 </w:t>
            </w:r>
          </w:p>
        </w:tc>
        <w:tc>
          <w:tcPr>
            <w:tcW w:w="0" w:type="auto"/>
            <w:shd w:val="clear" w:color="auto" w:fill="auto"/>
            <w:noWrap/>
            <w:vAlign w:val="bottom"/>
            <w:hideMark/>
          </w:tcPr>
          <w:p w14:paraId="76F291D4"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0.293</w:t>
            </w:r>
          </w:p>
        </w:tc>
        <w:tc>
          <w:tcPr>
            <w:tcW w:w="0" w:type="auto"/>
            <w:shd w:val="clear" w:color="auto" w:fill="auto"/>
            <w:noWrap/>
            <w:vAlign w:val="bottom"/>
            <w:hideMark/>
          </w:tcPr>
          <w:p w14:paraId="52D17BCF"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0.081</w:t>
            </w:r>
          </w:p>
        </w:tc>
        <w:tc>
          <w:tcPr>
            <w:tcW w:w="0" w:type="auto"/>
            <w:shd w:val="clear" w:color="auto" w:fill="auto"/>
            <w:noWrap/>
            <w:vAlign w:val="bottom"/>
            <w:hideMark/>
          </w:tcPr>
          <w:p w14:paraId="49878F89"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1.261</w:t>
            </w:r>
          </w:p>
        </w:tc>
        <w:tc>
          <w:tcPr>
            <w:tcW w:w="0" w:type="auto"/>
            <w:shd w:val="clear" w:color="auto" w:fill="auto"/>
            <w:noWrap/>
            <w:vAlign w:val="bottom"/>
            <w:hideMark/>
          </w:tcPr>
          <w:p w14:paraId="709A64B7"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8.775</w:t>
            </w:r>
          </w:p>
        </w:tc>
        <w:tc>
          <w:tcPr>
            <w:tcW w:w="0" w:type="auto"/>
            <w:shd w:val="clear" w:color="auto" w:fill="auto"/>
            <w:noWrap/>
            <w:vAlign w:val="bottom"/>
            <w:hideMark/>
          </w:tcPr>
          <w:p w14:paraId="6E16BA89"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-0.031</w:t>
            </w:r>
          </w:p>
        </w:tc>
        <w:tc>
          <w:tcPr>
            <w:tcW w:w="0" w:type="auto"/>
            <w:shd w:val="clear" w:color="auto" w:fill="auto"/>
            <w:noWrap/>
            <w:vAlign w:val="bottom"/>
            <w:hideMark/>
          </w:tcPr>
          <w:p w14:paraId="78FF15EC"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0.245</w:t>
            </w:r>
          </w:p>
        </w:tc>
      </w:tr>
      <w:tr w:rsidR="00C77DB5" w:rsidRPr="007048BA" w14:paraId="5037E5D4" w14:textId="77777777" w:rsidTr="00D45718">
        <w:trPr>
          <w:trHeight w:val="300"/>
          <w:jc w:val="center"/>
        </w:trPr>
        <w:tc>
          <w:tcPr>
            <w:tcW w:w="1217" w:type="dxa"/>
            <w:shd w:val="clear" w:color="auto" w:fill="auto"/>
            <w:noWrap/>
            <w:vAlign w:val="bottom"/>
            <w:hideMark/>
          </w:tcPr>
          <w:p w14:paraId="273C503B"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GRD</w:t>
            </w:r>
          </w:p>
        </w:tc>
        <w:tc>
          <w:tcPr>
            <w:tcW w:w="0" w:type="auto"/>
            <w:shd w:val="clear" w:color="auto" w:fill="auto"/>
            <w:noWrap/>
            <w:vAlign w:val="bottom"/>
            <w:hideMark/>
          </w:tcPr>
          <w:p w14:paraId="4FDEA45A"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35,790 </w:t>
            </w:r>
          </w:p>
        </w:tc>
        <w:tc>
          <w:tcPr>
            <w:tcW w:w="0" w:type="auto"/>
            <w:shd w:val="clear" w:color="auto" w:fill="auto"/>
            <w:noWrap/>
            <w:vAlign w:val="bottom"/>
            <w:hideMark/>
          </w:tcPr>
          <w:p w14:paraId="2B53DE06"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0.247</w:t>
            </w:r>
          </w:p>
        </w:tc>
        <w:tc>
          <w:tcPr>
            <w:tcW w:w="0" w:type="auto"/>
            <w:shd w:val="clear" w:color="auto" w:fill="auto"/>
            <w:noWrap/>
            <w:vAlign w:val="bottom"/>
            <w:hideMark/>
          </w:tcPr>
          <w:p w14:paraId="4B79510A"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0" w:type="auto"/>
            <w:shd w:val="clear" w:color="auto" w:fill="auto"/>
            <w:noWrap/>
            <w:vAlign w:val="bottom"/>
            <w:hideMark/>
          </w:tcPr>
          <w:p w14:paraId="0826C3B4"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0.432</w:t>
            </w:r>
          </w:p>
        </w:tc>
        <w:tc>
          <w:tcPr>
            <w:tcW w:w="0" w:type="auto"/>
            <w:shd w:val="clear" w:color="auto" w:fill="auto"/>
            <w:noWrap/>
            <w:vAlign w:val="bottom"/>
            <w:hideMark/>
          </w:tcPr>
          <w:p w14:paraId="522E866A"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1.171</w:t>
            </w:r>
          </w:p>
        </w:tc>
        <w:tc>
          <w:tcPr>
            <w:tcW w:w="0" w:type="auto"/>
            <w:shd w:val="clear" w:color="auto" w:fill="auto"/>
            <w:noWrap/>
            <w:vAlign w:val="bottom"/>
            <w:hideMark/>
          </w:tcPr>
          <w:p w14:paraId="5DE768EC"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0" w:type="auto"/>
            <w:shd w:val="clear" w:color="auto" w:fill="auto"/>
            <w:noWrap/>
            <w:vAlign w:val="bottom"/>
            <w:hideMark/>
          </w:tcPr>
          <w:p w14:paraId="11B10C77"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r>
      <w:tr w:rsidR="00C77DB5" w:rsidRPr="007048BA" w14:paraId="4B9C7456" w14:textId="77777777" w:rsidTr="00D45718">
        <w:trPr>
          <w:trHeight w:val="300"/>
          <w:jc w:val="center"/>
        </w:trPr>
        <w:tc>
          <w:tcPr>
            <w:tcW w:w="1217" w:type="dxa"/>
            <w:shd w:val="clear" w:color="auto" w:fill="auto"/>
            <w:noWrap/>
            <w:vAlign w:val="bottom"/>
            <w:hideMark/>
          </w:tcPr>
          <w:p w14:paraId="0B78E37D"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IDD</w:t>
            </w:r>
          </w:p>
        </w:tc>
        <w:tc>
          <w:tcPr>
            <w:tcW w:w="0" w:type="auto"/>
            <w:shd w:val="clear" w:color="auto" w:fill="auto"/>
            <w:noWrap/>
            <w:vAlign w:val="bottom"/>
            <w:hideMark/>
          </w:tcPr>
          <w:p w14:paraId="37BBF459"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39,580 </w:t>
            </w:r>
          </w:p>
        </w:tc>
        <w:tc>
          <w:tcPr>
            <w:tcW w:w="0" w:type="auto"/>
            <w:shd w:val="clear" w:color="auto" w:fill="auto"/>
            <w:noWrap/>
            <w:vAlign w:val="bottom"/>
            <w:hideMark/>
          </w:tcPr>
          <w:p w14:paraId="4099CE2D"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0.294</w:t>
            </w:r>
          </w:p>
        </w:tc>
        <w:tc>
          <w:tcPr>
            <w:tcW w:w="0" w:type="auto"/>
            <w:shd w:val="clear" w:color="auto" w:fill="auto"/>
            <w:noWrap/>
            <w:vAlign w:val="bottom"/>
            <w:hideMark/>
          </w:tcPr>
          <w:p w14:paraId="67877800"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0" w:type="auto"/>
            <w:shd w:val="clear" w:color="auto" w:fill="auto"/>
            <w:noWrap/>
            <w:vAlign w:val="bottom"/>
            <w:hideMark/>
          </w:tcPr>
          <w:p w14:paraId="5313882B"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0.456</w:t>
            </w:r>
          </w:p>
        </w:tc>
        <w:tc>
          <w:tcPr>
            <w:tcW w:w="0" w:type="auto"/>
            <w:shd w:val="clear" w:color="auto" w:fill="auto"/>
            <w:noWrap/>
            <w:vAlign w:val="bottom"/>
            <w:hideMark/>
          </w:tcPr>
          <w:p w14:paraId="2F5BB03D"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0.905</w:t>
            </w:r>
          </w:p>
        </w:tc>
        <w:tc>
          <w:tcPr>
            <w:tcW w:w="0" w:type="auto"/>
            <w:shd w:val="clear" w:color="auto" w:fill="auto"/>
            <w:noWrap/>
            <w:vAlign w:val="bottom"/>
            <w:hideMark/>
          </w:tcPr>
          <w:p w14:paraId="6B84ED19"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0" w:type="auto"/>
            <w:shd w:val="clear" w:color="auto" w:fill="auto"/>
            <w:noWrap/>
            <w:vAlign w:val="bottom"/>
            <w:hideMark/>
          </w:tcPr>
          <w:p w14:paraId="6588C939"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1.000</w:t>
            </w:r>
          </w:p>
        </w:tc>
      </w:tr>
      <w:tr w:rsidR="00C77DB5" w:rsidRPr="007048BA" w14:paraId="0870D9DE" w14:textId="77777777" w:rsidTr="00D45718">
        <w:trPr>
          <w:trHeight w:val="300"/>
          <w:jc w:val="center"/>
        </w:trPr>
        <w:tc>
          <w:tcPr>
            <w:tcW w:w="1217" w:type="dxa"/>
            <w:shd w:val="clear" w:color="auto" w:fill="auto"/>
            <w:noWrap/>
            <w:vAlign w:val="bottom"/>
            <w:hideMark/>
          </w:tcPr>
          <w:p w14:paraId="4C27DEE8"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FCF</w:t>
            </w:r>
          </w:p>
        </w:tc>
        <w:tc>
          <w:tcPr>
            <w:tcW w:w="0" w:type="auto"/>
            <w:shd w:val="clear" w:color="auto" w:fill="auto"/>
            <w:noWrap/>
            <w:vAlign w:val="bottom"/>
            <w:hideMark/>
          </w:tcPr>
          <w:p w14:paraId="309F580D"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32,270 </w:t>
            </w:r>
          </w:p>
        </w:tc>
        <w:tc>
          <w:tcPr>
            <w:tcW w:w="0" w:type="auto"/>
            <w:shd w:val="clear" w:color="auto" w:fill="auto"/>
            <w:noWrap/>
            <w:vAlign w:val="bottom"/>
            <w:hideMark/>
          </w:tcPr>
          <w:p w14:paraId="6C01C888"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-0.066</w:t>
            </w:r>
          </w:p>
        </w:tc>
        <w:tc>
          <w:tcPr>
            <w:tcW w:w="0" w:type="auto"/>
            <w:shd w:val="clear" w:color="auto" w:fill="auto"/>
            <w:noWrap/>
            <w:vAlign w:val="bottom"/>
            <w:hideMark/>
          </w:tcPr>
          <w:p w14:paraId="1B76F322"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0.011</w:t>
            </w:r>
          </w:p>
        </w:tc>
        <w:tc>
          <w:tcPr>
            <w:tcW w:w="0" w:type="auto"/>
            <w:shd w:val="clear" w:color="auto" w:fill="auto"/>
            <w:noWrap/>
            <w:vAlign w:val="bottom"/>
            <w:hideMark/>
          </w:tcPr>
          <w:p w14:paraId="3D5A1E38"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0.335</w:t>
            </w:r>
          </w:p>
        </w:tc>
        <w:tc>
          <w:tcPr>
            <w:tcW w:w="0" w:type="auto"/>
            <w:shd w:val="clear" w:color="auto" w:fill="auto"/>
            <w:noWrap/>
            <w:vAlign w:val="bottom"/>
            <w:hideMark/>
          </w:tcPr>
          <w:p w14:paraId="45460D08"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-4.975</w:t>
            </w:r>
          </w:p>
        </w:tc>
        <w:tc>
          <w:tcPr>
            <w:tcW w:w="0" w:type="auto"/>
            <w:shd w:val="clear" w:color="auto" w:fill="auto"/>
            <w:noWrap/>
            <w:vAlign w:val="bottom"/>
            <w:hideMark/>
          </w:tcPr>
          <w:p w14:paraId="2B6EB8B6"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-0.084</w:t>
            </w:r>
          </w:p>
        </w:tc>
        <w:tc>
          <w:tcPr>
            <w:tcW w:w="0" w:type="auto"/>
            <w:shd w:val="clear" w:color="auto" w:fill="auto"/>
            <w:noWrap/>
            <w:vAlign w:val="bottom"/>
            <w:hideMark/>
          </w:tcPr>
          <w:p w14:paraId="51B0D88F"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0.072</w:t>
            </w:r>
          </w:p>
        </w:tc>
      </w:tr>
      <w:tr w:rsidR="00C77DB5" w:rsidRPr="007048BA" w14:paraId="64A573AF" w14:textId="77777777" w:rsidTr="00D45718">
        <w:trPr>
          <w:trHeight w:val="300"/>
          <w:jc w:val="center"/>
        </w:trPr>
        <w:tc>
          <w:tcPr>
            <w:tcW w:w="1217" w:type="dxa"/>
            <w:shd w:val="clear" w:color="auto" w:fill="auto"/>
            <w:noWrap/>
            <w:vAlign w:val="bottom"/>
            <w:hideMark/>
          </w:tcPr>
          <w:p w14:paraId="6C62CD0C"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TANG</w:t>
            </w:r>
          </w:p>
        </w:tc>
        <w:tc>
          <w:tcPr>
            <w:tcW w:w="0" w:type="auto"/>
            <w:shd w:val="clear" w:color="auto" w:fill="auto"/>
            <w:noWrap/>
            <w:vAlign w:val="bottom"/>
            <w:hideMark/>
          </w:tcPr>
          <w:p w14:paraId="2561366E"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39,228 </w:t>
            </w:r>
          </w:p>
        </w:tc>
        <w:tc>
          <w:tcPr>
            <w:tcW w:w="0" w:type="auto"/>
            <w:shd w:val="clear" w:color="auto" w:fill="auto"/>
            <w:noWrap/>
            <w:vAlign w:val="bottom"/>
            <w:hideMark/>
          </w:tcPr>
          <w:p w14:paraId="1D71D12F"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0.294</w:t>
            </w:r>
          </w:p>
        </w:tc>
        <w:tc>
          <w:tcPr>
            <w:tcW w:w="0" w:type="auto"/>
            <w:shd w:val="clear" w:color="auto" w:fill="auto"/>
            <w:noWrap/>
            <w:vAlign w:val="bottom"/>
            <w:hideMark/>
          </w:tcPr>
          <w:p w14:paraId="3272CCE5"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0.241</w:t>
            </w:r>
          </w:p>
        </w:tc>
        <w:tc>
          <w:tcPr>
            <w:tcW w:w="0" w:type="auto"/>
            <w:shd w:val="clear" w:color="auto" w:fill="auto"/>
            <w:noWrap/>
            <w:vAlign w:val="bottom"/>
            <w:hideMark/>
          </w:tcPr>
          <w:p w14:paraId="792B3857"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0.254</w:t>
            </w:r>
          </w:p>
        </w:tc>
        <w:tc>
          <w:tcPr>
            <w:tcW w:w="0" w:type="auto"/>
            <w:shd w:val="clear" w:color="auto" w:fill="auto"/>
            <w:noWrap/>
            <w:vAlign w:val="bottom"/>
            <w:hideMark/>
          </w:tcPr>
          <w:p w14:paraId="0A1D68EE"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0.823</w:t>
            </w:r>
          </w:p>
        </w:tc>
        <w:tc>
          <w:tcPr>
            <w:tcW w:w="0" w:type="auto"/>
            <w:shd w:val="clear" w:color="auto" w:fill="auto"/>
            <w:noWrap/>
            <w:vAlign w:val="bottom"/>
            <w:hideMark/>
          </w:tcPr>
          <w:p w14:paraId="254F27BD"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0.073</w:t>
            </w:r>
          </w:p>
        </w:tc>
        <w:tc>
          <w:tcPr>
            <w:tcW w:w="0" w:type="auto"/>
            <w:shd w:val="clear" w:color="auto" w:fill="auto"/>
            <w:noWrap/>
            <w:vAlign w:val="bottom"/>
            <w:hideMark/>
          </w:tcPr>
          <w:p w14:paraId="68B436C1"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0.445</w:t>
            </w:r>
          </w:p>
        </w:tc>
      </w:tr>
      <w:tr w:rsidR="00C77DB5" w:rsidRPr="007048BA" w14:paraId="0702BEA8" w14:textId="77777777" w:rsidTr="00D45718">
        <w:trPr>
          <w:trHeight w:val="300"/>
          <w:jc w:val="center"/>
        </w:trPr>
        <w:tc>
          <w:tcPr>
            <w:tcW w:w="1217" w:type="dxa"/>
            <w:shd w:val="clear" w:color="auto" w:fill="auto"/>
            <w:noWrap/>
            <w:vAlign w:val="bottom"/>
            <w:hideMark/>
          </w:tcPr>
          <w:p w14:paraId="3A53FE28"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SIZE</w:t>
            </w:r>
          </w:p>
        </w:tc>
        <w:tc>
          <w:tcPr>
            <w:tcW w:w="0" w:type="auto"/>
            <w:shd w:val="clear" w:color="auto" w:fill="auto"/>
            <w:noWrap/>
            <w:vAlign w:val="bottom"/>
            <w:hideMark/>
          </w:tcPr>
          <w:p w14:paraId="434A087E"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39,712 </w:t>
            </w:r>
          </w:p>
        </w:tc>
        <w:tc>
          <w:tcPr>
            <w:tcW w:w="0" w:type="auto"/>
            <w:shd w:val="clear" w:color="auto" w:fill="auto"/>
            <w:noWrap/>
            <w:vAlign w:val="bottom"/>
            <w:hideMark/>
          </w:tcPr>
          <w:p w14:paraId="0A3499F3"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17.789</w:t>
            </w:r>
          </w:p>
        </w:tc>
        <w:tc>
          <w:tcPr>
            <w:tcW w:w="0" w:type="auto"/>
            <w:shd w:val="clear" w:color="auto" w:fill="auto"/>
            <w:noWrap/>
            <w:vAlign w:val="bottom"/>
            <w:hideMark/>
          </w:tcPr>
          <w:p w14:paraId="1F02C064"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17.596</w:t>
            </w:r>
          </w:p>
        </w:tc>
        <w:tc>
          <w:tcPr>
            <w:tcW w:w="0" w:type="auto"/>
            <w:shd w:val="clear" w:color="auto" w:fill="auto"/>
            <w:noWrap/>
            <w:vAlign w:val="bottom"/>
            <w:hideMark/>
          </w:tcPr>
          <w:p w14:paraId="479B903F"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2.311</w:t>
            </w:r>
          </w:p>
        </w:tc>
        <w:tc>
          <w:tcPr>
            <w:tcW w:w="0" w:type="auto"/>
            <w:shd w:val="clear" w:color="auto" w:fill="auto"/>
            <w:noWrap/>
            <w:vAlign w:val="bottom"/>
            <w:hideMark/>
          </w:tcPr>
          <w:p w14:paraId="35F9AB83"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0.219</w:t>
            </w:r>
          </w:p>
        </w:tc>
        <w:tc>
          <w:tcPr>
            <w:tcW w:w="0" w:type="auto"/>
            <w:shd w:val="clear" w:color="auto" w:fill="auto"/>
            <w:noWrap/>
            <w:vAlign w:val="bottom"/>
            <w:hideMark/>
          </w:tcPr>
          <w:p w14:paraId="46358646"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16.289</w:t>
            </w:r>
          </w:p>
        </w:tc>
        <w:tc>
          <w:tcPr>
            <w:tcW w:w="0" w:type="auto"/>
            <w:shd w:val="clear" w:color="auto" w:fill="auto"/>
            <w:noWrap/>
            <w:vAlign w:val="bottom"/>
            <w:hideMark/>
          </w:tcPr>
          <w:p w14:paraId="0E6D026D"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19.155</w:t>
            </w:r>
          </w:p>
        </w:tc>
      </w:tr>
      <w:tr w:rsidR="00C77DB5" w:rsidRPr="007048BA" w14:paraId="65B3BCE7" w14:textId="77777777" w:rsidTr="00D45718">
        <w:trPr>
          <w:trHeight w:val="300"/>
          <w:jc w:val="center"/>
        </w:trPr>
        <w:tc>
          <w:tcPr>
            <w:tcW w:w="1217" w:type="dxa"/>
            <w:shd w:val="clear" w:color="auto" w:fill="auto"/>
            <w:noWrap/>
            <w:vAlign w:val="bottom"/>
            <w:hideMark/>
          </w:tcPr>
          <w:p w14:paraId="0F58E935"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AGE</w:t>
            </w:r>
          </w:p>
        </w:tc>
        <w:tc>
          <w:tcPr>
            <w:tcW w:w="0" w:type="auto"/>
            <w:shd w:val="clear" w:color="auto" w:fill="auto"/>
            <w:noWrap/>
            <w:vAlign w:val="bottom"/>
            <w:hideMark/>
          </w:tcPr>
          <w:p w14:paraId="60F7563E"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36,593 </w:t>
            </w:r>
          </w:p>
        </w:tc>
        <w:tc>
          <w:tcPr>
            <w:tcW w:w="0" w:type="auto"/>
            <w:shd w:val="clear" w:color="auto" w:fill="auto"/>
            <w:noWrap/>
            <w:vAlign w:val="bottom"/>
            <w:hideMark/>
          </w:tcPr>
          <w:p w14:paraId="0BB46703"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2.774</w:t>
            </w:r>
          </w:p>
        </w:tc>
        <w:tc>
          <w:tcPr>
            <w:tcW w:w="0" w:type="auto"/>
            <w:shd w:val="clear" w:color="auto" w:fill="auto"/>
            <w:noWrap/>
            <w:vAlign w:val="bottom"/>
            <w:hideMark/>
          </w:tcPr>
          <w:p w14:paraId="22E09371"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2.773</w:t>
            </w:r>
          </w:p>
        </w:tc>
        <w:tc>
          <w:tcPr>
            <w:tcW w:w="0" w:type="auto"/>
            <w:shd w:val="clear" w:color="auto" w:fill="auto"/>
            <w:noWrap/>
            <w:vAlign w:val="bottom"/>
            <w:hideMark/>
          </w:tcPr>
          <w:p w14:paraId="1C85161E"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1.212</w:t>
            </w:r>
          </w:p>
        </w:tc>
        <w:tc>
          <w:tcPr>
            <w:tcW w:w="0" w:type="auto"/>
            <w:shd w:val="clear" w:color="auto" w:fill="auto"/>
            <w:noWrap/>
            <w:vAlign w:val="bottom"/>
            <w:hideMark/>
          </w:tcPr>
          <w:p w14:paraId="38AE3BFD"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-0.282</w:t>
            </w:r>
          </w:p>
        </w:tc>
        <w:tc>
          <w:tcPr>
            <w:tcW w:w="0" w:type="auto"/>
            <w:shd w:val="clear" w:color="auto" w:fill="auto"/>
            <w:noWrap/>
            <w:vAlign w:val="bottom"/>
            <w:hideMark/>
          </w:tcPr>
          <w:p w14:paraId="0F403081"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1.946</w:t>
            </w:r>
          </w:p>
        </w:tc>
        <w:tc>
          <w:tcPr>
            <w:tcW w:w="0" w:type="auto"/>
            <w:shd w:val="clear" w:color="auto" w:fill="auto"/>
            <w:noWrap/>
            <w:vAlign w:val="bottom"/>
            <w:hideMark/>
          </w:tcPr>
          <w:p w14:paraId="2C91854E"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3.829</w:t>
            </w:r>
          </w:p>
        </w:tc>
      </w:tr>
      <w:tr w:rsidR="00C77DB5" w:rsidRPr="007048BA" w14:paraId="5BE36195" w14:textId="77777777" w:rsidTr="00D45718">
        <w:trPr>
          <w:trHeight w:val="300"/>
          <w:jc w:val="center"/>
        </w:trPr>
        <w:tc>
          <w:tcPr>
            <w:tcW w:w="1217" w:type="dxa"/>
            <w:shd w:val="clear" w:color="auto" w:fill="auto"/>
            <w:noWrap/>
            <w:vAlign w:val="bottom"/>
            <w:hideMark/>
          </w:tcPr>
          <w:p w14:paraId="3B62D345"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HHI</w:t>
            </w:r>
          </w:p>
        </w:tc>
        <w:tc>
          <w:tcPr>
            <w:tcW w:w="0" w:type="auto"/>
            <w:shd w:val="clear" w:color="auto" w:fill="auto"/>
            <w:noWrap/>
            <w:vAlign w:val="bottom"/>
            <w:hideMark/>
          </w:tcPr>
          <w:p w14:paraId="594FC060"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38,226 </w:t>
            </w:r>
          </w:p>
        </w:tc>
        <w:tc>
          <w:tcPr>
            <w:tcW w:w="0" w:type="auto"/>
            <w:shd w:val="clear" w:color="auto" w:fill="auto"/>
            <w:noWrap/>
            <w:vAlign w:val="bottom"/>
            <w:hideMark/>
          </w:tcPr>
          <w:p w14:paraId="6394198F"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0.122</w:t>
            </w:r>
          </w:p>
        </w:tc>
        <w:tc>
          <w:tcPr>
            <w:tcW w:w="0" w:type="auto"/>
            <w:shd w:val="clear" w:color="auto" w:fill="auto"/>
            <w:noWrap/>
            <w:vAlign w:val="bottom"/>
            <w:hideMark/>
          </w:tcPr>
          <w:p w14:paraId="43A5785D"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0.070</w:t>
            </w:r>
          </w:p>
        </w:tc>
        <w:tc>
          <w:tcPr>
            <w:tcW w:w="0" w:type="auto"/>
            <w:shd w:val="clear" w:color="auto" w:fill="auto"/>
            <w:noWrap/>
            <w:vAlign w:val="bottom"/>
            <w:hideMark/>
          </w:tcPr>
          <w:p w14:paraId="3E075377"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0.150</w:t>
            </w:r>
          </w:p>
        </w:tc>
        <w:tc>
          <w:tcPr>
            <w:tcW w:w="0" w:type="auto"/>
            <w:shd w:val="clear" w:color="auto" w:fill="auto"/>
            <w:noWrap/>
            <w:vAlign w:val="bottom"/>
            <w:hideMark/>
          </w:tcPr>
          <w:p w14:paraId="3A19C13D"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2.812</w:t>
            </w:r>
          </w:p>
        </w:tc>
        <w:tc>
          <w:tcPr>
            <w:tcW w:w="0" w:type="auto"/>
            <w:shd w:val="clear" w:color="auto" w:fill="auto"/>
            <w:noWrap/>
            <w:vAlign w:val="bottom"/>
            <w:hideMark/>
          </w:tcPr>
          <w:p w14:paraId="0917262B"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0.039</w:t>
            </w:r>
          </w:p>
        </w:tc>
        <w:tc>
          <w:tcPr>
            <w:tcW w:w="0" w:type="auto"/>
            <w:shd w:val="clear" w:color="auto" w:fill="auto"/>
            <w:noWrap/>
            <w:vAlign w:val="bottom"/>
            <w:hideMark/>
          </w:tcPr>
          <w:p w14:paraId="581FED67"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0.125</w:t>
            </w:r>
          </w:p>
        </w:tc>
      </w:tr>
      <w:tr w:rsidR="00C77DB5" w:rsidRPr="007048BA" w14:paraId="6B649ED3" w14:textId="77777777" w:rsidTr="00D45718">
        <w:trPr>
          <w:trHeight w:val="300"/>
          <w:jc w:val="center"/>
        </w:trPr>
        <w:tc>
          <w:tcPr>
            <w:tcW w:w="1217" w:type="dxa"/>
            <w:shd w:val="clear" w:color="auto" w:fill="auto"/>
            <w:noWrap/>
            <w:vAlign w:val="bottom"/>
            <w:hideMark/>
          </w:tcPr>
          <w:p w14:paraId="3D2370D0" w14:textId="4E563C05" w:rsidR="00C77DB5" w:rsidRPr="007048BA" w:rsidRDefault="00083F4D"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BLOC</w:t>
            </w:r>
          </w:p>
        </w:tc>
        <w:tc>
          <w:tcPr>
            <w:tcW w:w="0" w:type="auto"/>
            <w:shd w:val="clear" w:color="auto" w:fill="auto"/>
            <w:noWrap/>
            <w:vAlign w:val="bottom"/>
            <w:hideMark/>
          </w:tcPr>
          <w:p w14:paraId="13ABB3AE"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39,723 </w:t>
            </w:r>
          </w:p>
        </w:tc>
        <w:tc>
          <w:tcPr>
            <w:tcW w:w="0" w:type="auto"/>
            <w:shd w:val="clear" w:color="auto" w:fill="auto"/>
            <w:noWrap/>
            <w:vAlign w:val="bottom"/>
            <w:hideMark/>
          </w:tcPr>
          <w:p w14:paraId="3D18E511"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0.355</w:t>
            </w:r>
          </w:p>
        </w:tc>
        <w:tc>
          <w:tcPr>
            <w:tcW w:w="0" w:type="auto"/>
            <w:shd w:val="clear" w:color="auto" w:fill="auto"/>
            <w:noWrap/>
            <w:vAlign w:val="bottom"/>
            <w:hideMark/>
          </w:tcPr>
          <w:p w14:paraId="7F188242"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0" w:type="auto"/>
            <w:shd w:val="clear" w:color="auto" w:fill="auto"/>
            <w:noWrap/>
            <w:vAlign w:val="bottom"/>
            <w:hideMark/>
          </w:tcPr>
          <w:p w14:paraId="6A4A09F2"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0.446</w:t>
            </w:r>
          </w:p>
        </w:tc>
        <w:tc>
          <w:tcPr>
            <w:tcW w:w="0" w:type="auto"/>
            <w:shd w:val="clear" w:color="auto" w:fill="auto"/>
            <w:noWrap/>
            <w:vAlign w:val="bottom"/>
            <w:hideMark/>
          </w:tcPr>
          <w:p w14:paraId="356C7F60"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0.634</w:t>
            </w:r>
          </w:p>
        </w:tc>
        <w:tc>
          <w:tcPr>
            <w:tcW w:w="0" w:type="auto"/>
            <w:shd w:val="clear" w:color="auto" w:fill="auto"/>
            <w:noWrap/>
            <w:vAlign w:val="bottom"/>
            <w:hideMark/>
          </w:tcPr>
          <w:p w14:paraId="1E5F6663"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0" w:type="auto"/>
            <w:shd w:val="clear" w:color="auto" w:fill="auto"/>
            <w:noWrap/>
            <w:vAlign w:val="bottom"/>
            <w:hideMark/>
          </w:tcPr>
          <w:p w14:paraId="4CE795A4"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1.000</w:t>
            </w:r>
          </w:p>
        </w:tc>
      </w:tr>
      <w:tr w:rsidR="00C77DB5" w:rsidRPr="007048BA" w14:paraId="0CB7FFF7" w14:textId="77777777" w:rsidTr="00D45718">
        <w:trPr>
          <w:trHeight w:val="300"/>
          <w:jc w:val="center"/>
        </w:trPr>
        <w:tc>
          <w:tcPr>
            <w:tcW w:w="1217" w:type="dxa"/>
            <w:shd w:val="clear" w:color="auto" w:fill="auto"/>
            <w:noWrap/>
            <w:vAlign w:val="bottom"/>
            <w:hideMark/>
          </w:tcPr>
          <w:p w14:paraId="0E2DF439"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RUM</w:t>
            </w:r>
          </w:p>
        </w:tc>
        <w:tc>
          <w:tcPr>
            <w:tcW w:w="0" w:type="auto"/>
            <w:shd w:val="clear" w:color="auto" w:fill="auto"/>
            <w:noWrap/>
            <w:vAlign w:val="bottom"/>
            <w:hideMark/>
          </w:tcPr>
          <w:p w14:paraId="13FEF405"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39,723 </w:t>
            </w:r>
          </w:p>
        </w:tc>
        <w:tc>
          <w:tcPr>
            <w:tcW w:w="0" w:type="auto"/>
            <w:shd w:val="clear" w:color="auto" w:fill="auto"/>
            <w:noWrap/>
            <w:vAlign w:val="bottom"/>
            <w:hideMark/>
          </w:tcPr>
          <w:p w14:paraId="36E417F8"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0.006</w:t>
            </w:r>
          </w:p>
        </w:tc>
        <w:tc>
          <w:tcPr>
            <w:tcW w:w="0" w:type="auto"/>
            <w:shd w:val="clear" w:color="auto" w:fill="auto"/>
            <w:noWrap/>
            <w:vAlign w:val="bottom"/>
            <w:hideMark/>
          </w:tcPr>
          <w:p w14:paraId="677848C0"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0" w:type="auto"/>
            <w:shd w:val="clear" w:color="auto" w:fill="auto"/>
            <w:noWrap/>
            <w:vAlign w:val="bottom"/>
            <w:hideMark/>
          </w:tcPr>
          <w:p w14:paraId="0C8BEEC8"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0.079</w:t>
            </w:r>
          </w:p>
        </w:tc>
        <w:tc>
          <w:tcPr>
            <w:tcW w:w="0" w:type="auto"/>
            <w:shd w:val="clear" w:color="auto" w:fill="auto"/>
            <w:noWrap/>
            <w:vAlign w:val="bottom"/>
            <w:hideMark/>
          </w:tcPr>
          <w:p w14:paraId="6F5419E3"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12.563</w:t>
            </w:r>
          </w:p>
        </w:tc>
        <w:tc>
          <w:tcPr>
            <w:tcW w:w="0" w:type="auto"/>
            <w:shd w:val="clear" w:color="auto" w:fill="auto"/>
            <w:noWrap/>
            <w:vAlign w:val="bottom"/>
            <w:hideMark/>
          </w:tcPr>
          <w:p w14:paraId="08721241"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0" w:type="auto"/>
            <w:shd w:val="clear" w:color="auto" w:fill="auto"/>
            <w:noWrap/>
            <w:vAlign w:val="bottom"/>
            <w:hideMark/>
          </w:tcPr>
          <w:p w14:paraId="1B32F399"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r>
      <w:tr w:rsidR="00C77DB5" w:rsidRPr="007048BA" w14:paraId="56290474" w14:textId="77777777" w:rsidTr="00D45718">
        <w:trPr>
          <w:trHeight w:val="300"/>
          <w:jc w:val="center"/>
        </w:trPr>
        <w:tc>
          <w:tcPr>
            <w:tcW w:w="1217" w:type="dxa"/>
            <w:shd w:val="clear" w:color="auto" w:fill="auto"/>
            <w:noWrap/>
            <w:vAlign w:val="bottom"/>
            <w:hideMark/>
          </w:tcPr>
          <w:p w14:paraId="09E34FDF"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MOM</w:t>
            </w:r>
          </w:p>
        </w:tc>
        <w:tc>
          <w:tcPr>
            <w:tcW w:w="0" w:type="auto"/>
            <w:shd w:val="clear" w:color="auto" w:fill="auto"/>
            <w:noWrap/>
            <w:vAlign w:val="bottom"/>
            <w:hideMark/>
          </w:tcPr>
          <w:p w14:paraId="707BC6C5"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35,816 </w:t>
            </w:r>
          </w:p>
        </w:tc>
        <w:tc>
          <w:tcPr>
            <w:tcW w:w="0" w:type="auto"/>
            <w:shd w:val="clear" w:color="auto" w:fill="auto"/>
            <w:noWrap/>
            <w:vAlign w:val="bottom"/>
            <w:hideMark/>
          </w:tcPr>
          <w:p w14:paraId="57856C93"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0.131</w:t>
            </w:r>
          </w:p>
        </w:tc>
        <w:tc>
          <w:tcPr>
            <w:tcW w:w="0" w:type="auto"/>
            <w:shd w:val="clear" w:color="auto" w:fill="auto"/>
            <w:noWrap/>
            <w:vAlign w:val="bottom"/>
            <w:hideMark/>
          </w:tcPr>
          <w:p w14:paraId="34A32ABB"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0.176</w:t>
            </w:r>
          </w:p>
        </w:tc>
        <w:tc>
          <w:tcPr>
            <w:tcW w:w="0" w:type="auto"/>
            <w:shd w:val="clear" w:color="auto" w:fill="auto"/>
            <w:noWrap/>
            <w:vAlign w:val="bottom"/>
            <w:hideMark/>
          </w:tcPr>
          <w:p w14:paraId="72AB0DEA"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1.187</w:t>
            </w:r>
          </w:p>
        </w:tc>
        <w:tc>
          <w:tcPr>
            <w:tcW w:w="0" w:type="auto"/>
            <w:shd w:val="clear" w:color="auto" w:fill="auto"/>
            <w:noWrap/>
            <w:vAlign w:val="bottom"/>
            <w:hideMark/>
          </w:tcPr>
          <w:p w14:paraId="2741BCE0"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-0.149</w:t>
            </w:r>
          </w:p>
        </w:tc>
        <w:tc>
          <w:tcPr>
            <w:tcW w:w="0" w:type="auto"/>
            <w:shd w:val="clear" w:color="auto" w:fill="auto"/>
            <w:noWrap/>
            <w:vAlign w:val="bottom"/>
            <w:hideMark/>
          </w:tcPr>
          <w:p w14:paraId="1FF7A263"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-0.673</w:t>
            </w:r>
          </w:p>
        </w:tc>
        <w:tc>
          <w:tcPr>
            <w:tcW w:w="0" w:type="auto"/>
            <w:shd w:val="clear" w:color="auto" w:fill="auto"/>
            <w:noWrap/>
            <w:vAlign w:val="bottom"/>
            <w:hideMark/>
          </w:tcPr>
          <w:p w14:paraId="7A1D6E9A"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0.972</w:t>
            </w:r>
          </w:p>
        </w:tc>
      </w:tr>
      <w:tr w:rsidR="00C77DB5" w:rsidRPr="007048BA" w14:paraId="0CE2DB7D" w14:textId="77777777" w:rsidTr="00D45718">
        <w:trPr>
          <w:trHeight w:val="300"/>
          <w:jc w:val="center"/>
        </w:trPr>
        <w:tc>
          <w:tcPr>
            <w:tcW w:w="1217" w:type="dxa"/>
            <w:shd w:val="clear" w:color="auto" w:fill="auto"/>
            <w:noWrap/>
            <w:vAlign w:val="bottom"/>
            <w:hideMark/>
          </w:tcPr>
          <w:p w14:paraId="7E9CAF60"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TVOL</w:t>
            </w:r>
          </w:p>
        </w:tc>
        <w:tc>
          <w:tcPr>
            <w:tcW w:w="0" w:type="auto"/>
            <w:shd w:val="clear" w:color="auto" w:fill="auto"/>
            <w:noWrap/>
            <w:vAlign w:val="bottom"/>
            <w:hideMark/>
          </w:tcPr>
          <w:p w14:paraId="5C0102E3"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36,075 </w:t>
            </w:r>
          </w:p>
        </w:tc>
        <w:tc>
          <w:tcPr>
            <w:tcW w:w="0" w:type="auto"/>
            <w:shd w:val="clear" w:color="auto" w:fill="auto"/>
            <w:noWrap/>
            <w:vAlign w:val="bottom"/>
            <w:hideMark/>
          </w:tcPr>
          <w:p w14:paraId="2DD8B8F9"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0.211</w:t>
            </w:r>
          </w:p>
        </w:tc>
        <w:tc>
          <w:tcPr>
            <w:tcW w:w="0" w:type="auto"/>
            <w:shd w:val="clear" w:color="auto" w:fill="auto"/>
            <w:noWrap/>
            <w:vAlign w:val="bottom"/>
            <w:hideMark/>
          </w:tcPr>
          <w:p w14:paraId="6E3D019F"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0.091</w:t>
            </w:r>
          </w:p>
        </w:tc>
        <w:tc>
          <w:tcPr>
            <w:tcW w:w="0" w:type="auto"/>
            <w:shd w:val="clear" w:color="auto" w:fill="auto"/>
            <w:noWrap/>
            <w:vAlign w:val="bottom"/>
            <w:hideMark/>
          </w:tcPr>
          <w:p w14:paraId="35741072"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0.347</w:t>
            </w:r>
          </w:p>
        </w:tc>
        <w:tc>
          <w:tcPr>
            <w:tcW w:w="0" w:type="auto"/>
            <w:shd w:val="clear" w:color="auto" w:fill="auto"/>
            <w:noWrap/>
            <w:vAlign w:val="bottom"/>
            <w:hideMark/>
          </w:tcPr>
          <w:p w14:paraId="40A7BD9B"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3.314</w:t>
            </w:r>
          </w:p>
        </w:tc>
        <w:tc>
          <w:tcPr>
            <w:tcW w:w="0" w:type="auto"/>
            <w:shd w:val="clear" w:color="auto" w:fill="auto"/>
            <w:noWrap/>
            <w:vAlign w:val="bottom"/>
            <w:hideMark/>
          </w:tcPr>
          <w:p w14:paraId="7E21B520"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0.003</w:t>
            </w:r>
          </w:p>
        </w:tc>
        <w:tc>
          <w:tcPr>
            <w:tcW w:w="0" w:type="auto"/>
            <w:shd w:val="clear" w:color="auto" w:fill="auto"/>
            <w:noWrap/>
            <w:vAlign w:val="bottom"/>
            <w:hideMark/>
          </w:tcPr>
          <w:p w14:paraId="6E2E9A50"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0.264</w:t>
            </w:r>
          </w:p>
        </w:tc>
      </w:tr>
      <w:tr w:rsidR="00C77DB5" w:rsidRPr="007048BA" w14:paraId="29C5117B" w14:textId="77777777" w:rsidTr="00D45718">
        <w:trPr>
          <w:trHeight w:val="300"/>
          <w:jc w:val="center"/>
        </w:trPr>
        <w:tc>
          <w:tcPr>
            <w:tcW w:w="1217" w:type="dxa"/>
            <w:shd w:val="clear" w:color="auto" w:fill="auto"/>
            <w:noWrap/>
            <w:vAlign w:val="bottom"/>
            <w:hideMark/>
          </w:tcPr>
          <w:p w14:paraId="760AF797" w14:textId="77777777" w:rsidR="00C77DB5" w:rsidRPr="007048BA" w:rsidRDefault="00C77DB5" w:rsidP="00C77DB5">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SENT</w:t>
            </w:r>
          </w:p>
        </w:tc>
        <w:tc>
          <w:tcPr>
            <w:tcW w:w="0" w:type="auto"/>
            <w:shd w:val="clear" w:color="auto" w:fill="auto"/>
            <w:noWrap/>
            <w:vAlign w:val="bottom"/>
            <w:hideMark/>
          </w:tcPr>
          <w:p w14:paraId="1DC94A01" w14:textId="77777777" w:rsidR="00C77DB5" w:rsidRPr="007048BA" w:rsidRDefault="00C77DB5" w:rsidP="00C77DB5">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 xml:space="preserve">         36,009 </w:t>
            </w:r>
          </w:p>
        </w:tc>
        <w:tc>
          <w:tcPr>
            <w:tcW w:w="0" w:type="auto"/>
            <w:shd w:val="clear" w:color="auto" w:fill="auto"/>
            <w:noWrap/>
            <w:vAlign w:val="bottom"/>
            <w:hideMark/>
          </w:tcPr>
          <w:p w14:paraId="4E28BC70"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0.103</w:t>
            </w:r>
          </w:p>
        </w:tc>
        <w:tc>
          <w:tcPr>
            <w:tcW w:w="0" w:type="auto"/>
            <w:shd w:val="clear" w:color="auto" w:fill="auto"/>
            <w:noWrap/>
            <w:vAlign w:val="bottom"/>
            <w:hideMark/>
          </w:tcPr>
          <w:p w14:paraId="0BD1F7BF"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0.145</w:t>
            </w:r>
          </w:p>
        </w:tc>
        <w:tc>
          <w:tcPr>
            <w:tcW w:w="0" w:type="auto"/>
            <w:shd w:val="clear" w:color="auto" w:fill="auto"/>
            <w:noWrap/>
            <w:vAlign w:val="bottom"/>
            <w:hideMark/>
          </w:tcPr>
          <w:p w14:paraId="111A12D0"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0.163</w:t>
            </w:r>
          </w:p>
        </w:tc>
        <w:tc>
          <w:tcPr>
            <w:tcW w:w="0" w:type="auto"/>
            <w:shd w:val="clear" w:color="auto" w:fill="auto"/>
            <w:noWrap/>
            <w:vAlign w:val="bottom"/>
            <w:hideMark/>
          </w:tcPr>
          <w:p w14:paraId="3050606C"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-0.854</w:t>
            </w:r>
          </w:p>
        </w:tc>
        <w:tc>
          <w:tcPr>
            <w:tcW w:w="0" w:type="auto"/>
            <w:shd w:val="clear" w:color="auto" w:fill="auto"/>
            <w:noWrap/>
            <w:vAlign w:val="bottom"/>
            <w:hideMark/>
          </w:tcPr>
          <w:p w14:paraId="168FE52E"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-0.035</w:t>
            </w:r>
          </w:p>
        </w:tc>
        <w:tc>
          <w:tcPr>
            <w:tcW w:w="0" w:type="auto"/>
            <w:shd w:val="clear" w:color="auto" w:fill="auto"/>
            <w:noWrap/>
            <w:vAlign w:val="bottom"/>
            <w:hideMark/>
          </w:tcPr>
          <w:p w14:paraId="2957D64D" w14:textId="77777777" w:rsidR="00C77DB5" w:rsidRPr="007048BA" w:rsidRDefault="00C77DB5" w:rsidP="00C77DB5">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0.220</w:t>
            </w:r>
          </w:p>
        </w:tc>
      </w:tr>
    </w:tbl>
    <w:p w14:paraId="34BD73AA" w14:textId="77777777" w:rsidR="00C77DB5" w:rsidRPr="007048BA" w:rsidRDefault="00C77DB5" w:rsidP="00DE254A">
      <w:pPr>
        <w:pStyle w:val="References0"/>
        <w:spacing w:line="240" w:lineRule="auto"/>
        <w:rPr>
          <w:lang w:val="en-GB"/>
        </w:rPr>
        <w:sectPr w:rsidR="00C77DB5" w:rsidRPr="007048BA" w:rsidSect="007B5ED9">
          <w:pgSz w:w="12240" w:h="15840"/>
          <w:pgMar w:top="1304" w:right="964" w:bottom="1304" w:left="1077" w:header="720" w:footer="720" w:gutter="0"/>
          <w:cols w:space="720"/>
          <w:docGrid w:linePitch="360"/>
        </w:sectPr>
      </w:pPr>
    </w:p>
    <w:p w14:paraId="29B9D00B" w14:textId="77777777" w:rsidR="00650959" w:rsidRPr="007048BA" w:rsidRDefault="00650959" w:rsidP="00D8280C">
      <w:pPr>
        <w:rPr>
          <w:b/>
          <w:sz w:val="28"/>
          <w:lang w:val="en-GB" w:eastAsia="zh-TW"/>
        </w:rPr>
        <w:sectPr w:rsidR="00650959" w:rsidRPr="007048BA" w:rsidSect="007B5ED9">
          <w:type w:val="continuous"/>
          <w:pgSz w:w="12240" w:h="15840"/>
          <w:pgMar w:top="1304" w:right="964" w:bottom="1304" w:left="1077" w:header="720" w:footer="720" w:gutter="0"/>
          <w:cols w:space="720"/>
          <w:docGrid w:linePitch="360"/>
        </w:sectPr>
      </w:pPr>
    </w:p>
    <w:p w14:paraId="4961DFB7" w14:textId="12498681" w:rsidR="00DE254A" w:rsidRPr="007048BA" w:rsidRDefault="00DE254A" w:rsidP="00D8280C">
      <w:pPr>
        <w:rPr>
          <w:rFonts w:eastAsia="PMingLiU" w:cs="Times New Roman"/>
          <w:b/>
          <w:sz w:val="28"/>
          <w:lang w:val="en-GB" w:eastAsia="zh-TW"/>
        </w:rPr>
      </w:pPr>
      <w:r w:rsidRPr="007048BA">
        <w:rPr>
          <w:b/>
          <w:sz w:val="28"/>
          <w:lang w:val="en-GB" w:eastAsia="zh-TW"/>
        </w:rPr>
        <w:lastRenderedPageBreak/>
        <w:t>Table 2</w:t>
      </w:r>
      <w:r w:rsidR="00D8280C" w:rsidRPr="007048BA">
        <w:rPr>
          <w:b/>
          <w:sz w:val="28"/>
          <w:lang w:val="en-GB" w:eastAsia="zh-TW"/>
        </w:rPr>
        <w:t xml:space="preserve">: </w:t>
      </w:r>
      <w:r w:rsidRPr="007048BA">
        <w:rPr>
          <w:rFonts w:eastAsia="PMingLiU" w:cs="Times New Roman"/>
          <w:b/>
          <w:sz w:val="28"/>
          <w:lang w:val="en-GB" w:eastAsia="zh-TW"/>
        </w:rPr>
        <w:t xml:space="preserve">Four </w:t>
      </w:r>
      <w:r w:rsidR="006B3320" w:rsidRPr="007048BA">
        <w:rPr>
          <w:rFonts w:eastAsia="PMingLiU" w:cs="Times New Roman"/>
          <w:b/>
          <w:sz w:val="28"/>
          <w:lang w:val="en-GB" w:eastAsia="zh-TW"/>
        </w:rPr>
        <w:t>attributes</w:t>
      </w:r>
      <w:r w:rsidRPr="007048BA">
        <w:rPr>
          <w:rFonts w:eastAsia="PMingLiU" w:cs="Times New Roman"/>
          <w:b/>
          <w:sz w:val="28"/>
          <w:lang w:val="en-GB" w:eastAsia="zh-TW"/>
        </w:rPr>
        <w:t xml:space="preserve"> of management performance.</w:t>
      </w:r>
    </w:p>
    <w:p w14:paraId="4AD0480C" w14:textId="0F3F5172" w:rsidR="00DE254A" w:rsidRPr="007048BA" w:rsidRDefault="00DE254A" w:rsidP="00DE254A">
      <w:pPr>
        <w:autoSpaceDE w:val="0"/>
        <w:autoSpaceDN w:val="0"/>
        <w:adjustRightInd w:val="0"/>
        <w:spacing w:after="0" w:line="240" w:lineRule="auto"/>
        <w:ind w:firstLine="0"/>
        <w:rPr>
          <w:rFonts w:eastAsia="PMingLiU" w:cs="cmr12"/>
          <w:sz w:val="20"/>
          <w:szCs w:val="24"/>
          <w:lang w:val="en-GB" w:eastAsia="zh-TW"/>
        </w:rPr>
      </w:pPr>
      <w:r w:rsidRPr="007048BA">
        <w:rPr>
          <w:rFonts w:eastAsia="PMingLiU" w:cs="cmr12"/>
          <w:sz w:val="20"/>
          <w:szCs w:val="24"/>
          <w:lang w:val="en-GB" w:eastAsia="zh-TW"/>
        </w:rPr>
        <w:t xml:space="preserve">The table shows the development of a framework for calibrating performance. Accounting performance is proxied by the return on capital employed (ROCE) computed as the ratio of profit before interest and tax (PBIT) to the sum of total equity and long-term debt. Stock market performance is proxied by average </w:t>
      </w:r>
      <w:r w:rsidR="008A6D7F" w:rsidRPr="007048BA">
        <w:rPr>
          <w:rFonts w:eastAsia="PMingLiU" w:cs="cmr12"/>
          <w:sz w:val="20"/>
          <w:szCs w:val="24"/>
          <w:lang w:val="en-GB" w:eastAsia="zh-TW"/>
        </w:rPr>
        <w:t xml:space="preserve">daily </w:t>
      </w:r>
      <w:r w:rsidRPr="007048BA">
        <w:rPr>
          <w:rFonts w:eastAsia="PMingLiU" w:cs="cmr12"/>
          <w:sz w:val="20"/>
          <w:szCs w:val="24"/>
          <w:lang w:val="en-GB" w:eastAsia="zh-TW"/>
        </w:rPr>
        <w:t xml:space="preserve">abnormal return (AAR) computed using the market model. Performance (Accounting and Market) in each year is classified as “low” or “high” if the firm’s ratio (ROCE or AAR) is lower or higher, respectively, than the industry average in that year. </w:t>
      </w:r>
      <w:r w:rsidR="00972371" w:rsidRPr="007048BA">
        <w:rPr>
          <w:rFonts w:eastAsia="PMingLiU" w:cs="cmr12"/>
          <w:i/>
          <w:sz w:val="20"/>
          <w:szCs w:val="24"/>
          <w:lang w:val="en-GB" w:eastAsia="zh-TW"/>
        </w:rPr>
        <w:t>Efficient</w:t>
      </w:r>
      <w:r w:rsidRPr="007048BA">
        <w:rPr>
          <w:rFonts w:eastAsia="PMingLiU" w:cs="cmr12"/>
          <w:sz w:val="20"/>
          <w:szCs w:val="24"/>
          <w:lang w:val="en-GB" w:eastAsia="zh-TW"/>
        </w:rPr>
        <w:t xml:space="preserve"> takes a value of 1 if a firm reports high accounting and high market performance, and a value of 0, otherwise. </w:t>
      </w:r>
      <w:r w:rsidR="00972371" w:rsidRPr="007048BA">
        <w:rPr>
          <w:rFonts w:eastAsia="PMingLiU" w:cs="cmr12"/>
          <w:i/>
          <w:sz w:val="20"/>
          <w:szCs w:val="24"/>
          <w:lang w:val="en-GB" w:eastAsia="zh-TW"/>
        </w:rPr>
        <w:t>Myopia</w:t>
      </w:r>
      <w:r w:rsidRPr="007048BA">
        <w:rPr>
          <w:rFonts w:eastAsia="PMingLiU" w:cs="cmr12"/>
          <w:sz w:val="20"/>
          <w:szCs w:val="24"/>
          <w:lang w:val="en-GB" w:eastAsia="zh-TW"/>
        </w:rPr>
        <w:t xml:space="preserve"> takes a value of 1 if a firm reports high accounting and low market performance, and a value of 0, otherwise. </w:t>
      </w:r>
      <w:r w:rsidR="00972371" w:rsidRPr="007048BA">
        <w:rPr>
          <w:rFonts w:eastAsia="PMingLiU" w:cs="cmr12"/>
          <w:i/>
          <w:sz w:val="20"/>
          <w:szCs w:val="24"/>
          <w:lang w:val="en-GB" w:eastAsia="zh-TW"/>
        </w:rPr>
        <w:t>Hyperopia</w:t>
      </w:r>
      <w:r w:rsidRPr="007048BA">
        <w:rPr>
          <w:rFonts w:eastAsia="PMingLiU" w:cs="cmr12"/>
          <w:sz w:val="20"/>
          <w:szCs w:val="24"/>
          <w:lang w:val="en-GB" w:eastAsia="zh-TW"/>
        </w:rPr>
        <w:t xml:space="preserve"> takes a value of 1 if a firm reports low accounting and high market performance, and a value of 0, otherwise. </w:t>
      </w:r>
      <w:r w:rsidR="00972371" w:rsidRPr="007048BA">
        <w:rPr>
          <w:rFonts w:eastAsia="PMingLiU" w:cs="cmr12"/>
          <w:i/>
          <w:sz w:val="20"/>
          <w:szCs w:val="24"/>
          <w:lang w:val="en-GB" w:eastAsia="zh-TW"/>
        </w:rPr>
        <w:t>Poor</w:t>
      </w:r>
      <w:r w:rsidRPr="007048BA">
        <w:rPr>
          <w:rFonts w:eastAsia="PMingLiU" w:cs="cmr12"/>
          <w:sz w:val="20"/>
          <w:szCs w:val="24"/>
          <w:lang w:val="en-GB" w:eastAsia="zh-TW"/>
        </w:rPr>
        <w:t xml:space="preserve"> takes a value of 1 if a firm reports low accounting and low market performance, and a value of 0, otherwise. We classify all firms in our sample into these four mutually exclusive categories and record the number of observations for each category.</w:t>
      </w:r>
    </w:p>
    <w:p w14:paraId="3368C2A9" w14:textId="77777777" w:rsidR="00DE254A" w:rsidRPr="007048BA" w:rsidRDefault="00DE254A" w:rsidP="00DE254A">
      <w:pPr>
        <w:autoSpaceDE w:val="0"/>
        <w:autoSpaceDN w:val="0"/>
        <w:adjustRightInd w:val="0"/>
        <w:spacing w:after="0" w:line="240" w:lineRule="auto"/>
        <w:ind w:firstLine="0"/>
        <w:rPr>
          <w:rFonts w:eastAsia="PMingLiU" w:cs="Times New Roman"/>
          <w:b/>
          <w:sz w:val="28"/>
          <w:lang w:val="en-GB" w:eastAsia="zh-TW"/>
        </w:rPr>
      </w:pPr>
    </w:p>
    <w:tbl>
      <w:tblPr>
        <w:tblW w:w="4085" w:type="pct"/>
        <w:jc w:val="center"/>
        <w:tblLook w:val="04A0" w:firstRow="1" w:lastRow="0" w:firstColumn="1" w:lastColumn="0" w:noHBand="0" w:noVBand="1"/>
      </w:tblPr>
      <w:tblGrid>
        <w:gridCol w:w="1699"/>
        <w:gridCol w:w="1557"/>
        <w:gridCol w:w="1842"/>
        <w:gridCol w:w="1575"/>
        <w:gridCol w:w="1660"/>
      </w:tblGrid>
      <w:tr w:rsidR="00DE254A" w:rsidRPr="007048BA" w14:paraId="129C0371" w14:textId="77777777" w:rsidTr="00DE254A">
        <w:trPr>
          <w:jc w:val="center"/>
        </w:trPr>
        <w:tc>
          <w:tcPr>
            <w:tcW w:w="1020" w:type="pct"/>
            <w:tcBorders>
              <w:top w:val="single" w:sz="4" w:space="0" w:color="auto"/>
              <w:bottom w:val="single" w:sz="4" w:space="0" w:color="auto"/>
            </w:tcBorders>
          </w:tcPr>
          <w:p w14:paraId="5500A01D" w14:textId="77777777" w:rsidR="00DE254A" w:rsidRPr="007048BA" w:rsidRDefault="00DE254A" w:rsidP="00DE254A">
            <w:pPr>
              <w:autoSpaceDE w:val="0"/>
              <w:autoSpaceDN w:val="0"/>
              <w:adjustRightInd w:val="0"/>
              <w:spacing w:after="0" w:line="240" w:lineRule="auto"/>
              <w:ind w:firstLine="0"/>
              <w:jc w:val="center"/>
              <w:rPr>
                <w:rFonts w:eastAsia="PMingLiU" w:cs="Times New Roman"/>
                <w:b/>
                <w:lang w:val="en-GB" w:eastAsia="zh-TW"/>
              </w:rPr>
            </w:pPr>
            <w:r w:rsidRPr="007048BA">
              <w:rPr>
                <w:rFonts w:eastAsia="PMingLiU" w:cs="Times New Roman"/>
                <w:b/>
                <w:lang w:val="en-GB" w:eastAsia="zh-TW"/>
              </w:rPr>
              <w:t>Accounting Performance</w:t>
            </w:r>
          </w:p>
        </w:tc>
        <w:tc>
          <w:tcPr>
            <w:tcW w:w="934" w:type="pct"/>
            <w:tcBorders>
              <w:top w:val="single" w:sz="4" w:space="0" w:color="auto"/>
              <w:bottom w:val="single" w:sz="4" w:space="0" w:color="auto"/>
            </w:tcBorders>
          </w:tcPr>
          <w:p w14:paraId="140B66C2" w14:textId="77777777" w:rsidR="00DE254A" w:rsidRPr="007048BA" w:rsidRDefault="00DE254A" w:rsidP="00DE254A">
            <w:pPr>
              <w:autoSpaceDE w:val="0"/>
              <w:autoSpaceDN w:val="0"/>
              <w:adjustRightInd w:val="0"/>
              <w:spacing w:after="0" w:line="240" w:lineRule="auto"/>
              <w:ind w:firstLine="0"/>
              <w:jc w:val="center"/>
              <w:rPr>
                <w:rFonts w:eastAsia="PMingLiU" w:cs="Times New Roman"/>
                <w:b/>
                <w:lang w:val="en-GB" w:eastAsia="zh-TW"/>
              </w:rPr>
            </w:pPr>
            <w:r w:rsidRPr="007048BA">
              <w:rPr>
                <w:rFonts w:eastAsia="PMingLiU" w:cs="Times New Roman"/>
                <w:b/>
                <w:lang w:val="en-GB" w:eastAsia="zh-TW"/>
              </w:rPr>
              <w:t>Market performance</w:t>
            </w:r>
          </w:p>
        </w:tc>
        <w:tc>
          <w:tcPr>
            <w:tcW w:w="1105" w:type="pct"/>
            <w:tcBorders>
              <w:top w:val="single" w:sz="4" w:space="0" w:color="auto"/>
              <w:bottom w:val="single" w:sz="4" w:space="0" w:color="auto"/>
            </w:tcBorders>
          </w:tcPr>
          <w:p w14:paraId="1471DB60" w14:textId="77777777" w:rsidR="00DE254A" w:rsidRPr="007048BA" w:rsidRDefault="00DE254A" w:rsidP="00DE254A">
            <w:pPr>
              <w:autoSpaceDE w:val="0"/>
              <w:autoSpaceDN w:val="0"/>
              <w:adjustRightInd w:val="0"/>
              <w:spacing w:after="0" w:line="240" w:lineRule="auto"/>
              <w:ind w:firstLine="0"/>
              <w:jc w:val="center"/>
              <w:rPr>
                <w:rFonts w:eastAsia="PMingLiU" w:cs="Times New Roman"/>
                <w:b/>
                <w:lang w:val="en-GB" w:eastAsia="zh-TW"/>
              </w:rPr>
            </w:pPr>
            <w:r w:rsidRPr="007048BA">
              <w:rPr>
                <w:rFonts w:eastAsia="PMingLiU" w:cs="Times New Roman"/>
                <w:b/>
                <w:lang w:val="en-GB" w:eastAsia="zh-TW"/>
              </w:rPr>
              <w:t>Management performance</w:t>
            </w:r>
          </w:p>
        </w:tc>
        <w:tc>
          <w:tcPr>
            <w:tcW w:w="945" w:type="pct"/>
            <w:tcBorders>
              <w:top w:val="single" w:sz="4" w:space="0" w:color="auto"/>
              <w:bottom w:val="single" w:sz="4" w:space="0" w:color="auto"/>
            </w:tcBorders>
          </w:tcPr>
          <w:p w14:paraId="6EF99C82" w14:textId="77777777" w:rsidR="00DE254A" w:rsidRPr="007048BA" w:rsidRDefault="00DE254A" w:rsidP="00DE254A">
            <w:pPr>
              <w:autoSpaceDE w:val="0"/>
              <w:autoSpaceDN w:val="0"/>
              <w:adjustRightInd w:val="0"/>
              <w:spacing w:after="0" w:line="240" w:lineRule="auto"/>
              <w:ind w:firstLine="0"/>
              <w:jc w:val="center"/>
              <w:rPr>
                <w:rFonts w:eastAsia="PMingLiU" w:cs="Times New Roman"/>
                <w:b/>
                <w:lang w:val="en-GB" w:eastAsia="zh-TW"/>
              </w:rPr>
            </w:pPr>
            <w:r w:rsidRPr="007048BA">
              <w:rPr>
                <w:rFonts w:eastAsia="PMingLiU" w:cs="Times New Roman"/>
                <w:b/>
                <w:lang w:val="en-GB" w:eastAsia="zh-TW"/>
              </w:rPr>
              <w:t>Number of observations</w:t>
            </w:r>
          </w:p>
        </w:tc>
        <w:tc>
          <w:tcPr>
            <w:tcW w:w="996" w:type="pct"/>
            <w:tcBorders>
              <w:top w:val="single" w:sz="4" w:space="0" w:color="auto"/>
              <w:bottom w:val="single" w:sz="4" w:space="0" w:color="auto"/>
            </w:tcBorders>
          </w:tcPr>
          <w:p w14:paraId="78F60EA0" w14:textId="77777777" w:rsidR="00DE254A" w:rsidRPr="007048BA" w:rsidRDefault="00DE254A" w:rsidP="00DE254A">
            <w:pPr>
              <w:autoSpaceDE w:val="0"/>
              <w:autoSpaceDN w:val="0"/>
              <w:adjustRightInd w:val="0"/>
              <w:spacing w:after="0" w:line="240" w:lineRule="auto"/>
              <w:ind w:firstLine="0"/>
              <w:jc w:val="center"/>
              <w:rPr>
                <w:rFonts w:eastAsia="PMingLiU" w:cs="Times New Roman"/>
                <w:b/>
                <w:lang w:val="en-GB" w:eastAsia="zh-TW"/>
              </w:rPr>
            </w:pPr>
            <w:r w:rsidRPr="007048BA">
              <w:rPr>
                <w:rFonts w:eastAsia="PMingLiU" w:cs="Times New Roman"/>
                <w:b/>
                <w:lang w:val="en-GB" w:eastAsia="zh-TW"/>
              </w:rPr>
              <w:t>Percentage of sample</w:t>
            </w:r>
          </w:p>
        </w:tc>
      </w:tr>
      <w:tr w:rsidR="00DE254A" w:rsidRPr="007048BA" w14:paraId="4C6E08CA" w14:textId="77777777" w:rsidTr="00DE254A">
        <w:trPr>
          <w:jc w:val="center"/>
        </w:trPr>
        <w:tc>
          <w:tcPr>
            <w:tcW w:w="1020" w:type="pct"/>
            <w:tcBorders>
              <w:top w:val="single" w:sz="4" w:space="0" w:color="auto"/>
            </w:tcBorders>
          </w:tcPr>
          <w:p w14:paraId="063CCE83" w14:textId="77777777" w:rsidR="00DE254A" w:rsidRPr="007048BA" w:rsidRDefault="00DE254A" w:rsidP="00DE254A">
            <w:pPr>
              <w:autoSpaceDE w:val="0"/>
              <w:autoSpaceDN w:val="0"/>
              <w:adjustRightInd w:val="0"/>
              <w:spacing w:after="0" w:line="240" w:lineRule="auto"/>
              <w:ind w:firstLine="227"/>
              <w:rPr>
                <w:rFonts w:eastAsia="PMingLiU" w:cs="Times New Roman"/>
                <w:lang w:val="en-GB" w:eastAsia="zh-TW"/>
              </w:rPr>
            </w:pPr>
            <w:r w:rsidRPr="007048BA">
              <w:rPr>
                <w:rFonts w:eastAsia="PMingLiU" w:cs="Times New Roman"/>
                <w:lang w:val="en-GB" w:eastAsia="zh-TW"/>
              </w:rPr>
              <w:t>High</w:t>
            </w:r>
          </w:p>
        </w:tc>
        <w:tc>
          <w:tcPr>
            <w:tcW w:w="934" w:type="pct"/>
            <w:tcBorders>
              <w:top w:val="single" w:sz="4" w:space="0" w:color="auto"/>
            </w:tcBorders>
          </w:tcPr>
          <w:p w14:paraId="65CB1D80" w14:textId="77777777" w:rsidR="00DE254A" w:rsidRPr="007048BA" w:rsidRDefault="00DE254A" w:rsidP="00DE254A">
            <w:pPr>
              <w:autoSpaceDE w:val="0"/>
              <w:autoSpaceDN w:val="0"/>
              <w:adjustRightInd w:val="0"/>
              <w:spacing w:after="0" w:line="240" w:lineRule="auto"/>
              <w:ind w:firstLine="227"/>
              <w:rPr>
                <w:rFonts w:eastAsia="PMingLiU" w:cs="Times New Roman"/>
                <w:lang w:val="en-GB" w:eastAsia="zh-TW"/>
              </w:rPr>
            </w:pPr>
            <w:r w:rsidRPr="007048BA">
              <w:rPr>
                <w:rFonts w:eastAsia="PMingLiU" w:cs="Times New Roman"/>
                <w:lang w:val="en-GB" w:eastAsia="zh-TW"/>
              </w:rPr>
              <w:t>High</w:t>
            </w:r>
          </w:p>
        </w:tc>
        <w:tc>
          <w:tcPr>
            <w:tcW w:w="1105" w:type="pct"/>
            <w:tcBorders>
              <w:top w:val="single" w:sz="4" w:space="0" w:color="auto"/>
            </w:tcBorders>
          </w:tcPr>
          <w:p w14:paraId="3C37B442" w14:textId="6585002F" w:rsidR="00DE254A" w:rsidRPr="007048BA" w:rsidRDefault="00862A54" w:rsidP="00DE254A">
            <w:pPr>
              <w:autoSpaceDE w:val="0"/>
              <w:autoSpaceDN w:val="0"/>
              <w:adjustRightInd w:val="0"/>
              <w:spacing w:after="0" w:line="240" w:lineRule="auto"/>
              <w:ind w:firstLine="227"/>
              <w:rPr>
                <w:rFonts w:eastAsia="PMingLiU" w:cs="Times New Roman"/>
                <w:i/>
                <w:lang w:val="en-GB" w:eastAsia="zh-TW"/>
              </w:rPr>
            </w:pPr>
            <w:r w:rsidRPr="007048BA">
              <w:rPr>
                <w:rFonts w:eastAsia="PMingLiU" w:cs="Times New Roman"/>
                <w:i/>
                <w:lang w:val="en-GB" w:eastAsia="zh-TW"/>
              </w:rPr>
              <w:t>E</w:t>
            </w:r>
            <w:r w:rsidR="00ED262D" w:rsidRPr="007048BA">
              <w:rPr>
                <w:rFonts w:eastAsia="PMingLiU" w:cs="Times New Roman"/>
                <w:i/>
                <w:lang w:val="en-GB" w:eastAsia="zh-TW"/>
              </w:rPr>
              <w:t>fficient</w:t>
            </w:r>
          </w:p>
        </w:tc>
        <w:tc>
          <w:tcPr>
            <w:tcW w:w="945" w:type="pct"/>
            <w:tcBorders>
              <w:top w:val="single" w:sz="4" w:space="0" w:color="auto"/>
            </w:tcBorders>
          </w:tcPr>
          <w:p w14:paraId="400B0C03" w14:textId="438F8633" w:rsidR="00DE254A" w:rsidRPr="007048BA" w:rsidRDefault="00124FAA" w:rsidP="00DE254A">
            <w:pPr>
              <w:autoSpaceDE w:val="0"/>
              <w:autoSpaceDN w:val="0"/>
              <w:adjustRightInd w:val="0"/>
              <w:spacing w:after="0" w:line="240" w:lineRule="auto"/>
              <w:ind w:firstLine="227"/>
              <w:rPr>
                <w:rFonts w:eastAsia="PMingLiU" w:cs="Times New Roman"/>
                <w:lang w:val="en-GB" w:eastAsia="zh-TW"/>
              </w:rPr>
            </w:pPr>
            <w:r w:rsidRPr="007048BA">
              <w:rPr>
                <w:rFonts w:eastAsia="PMingLiU" w:cs="Times New Roman"/>
                <w:lang w:val="en-GB" w:eastAsia="zh-TW"/>
              </w:rPr>
              <w:t>15,615</w:t>
            </w:r>
          </w:p>
        </w:tc>
        <w:tc>
          <w:tcPr>
            <w:tcW w:w="996" w:type="pct"/>
            <w:tcBorders>
              <w:top w:val="single" w:sz="4" w:space="0" w:color="auto"/>
            </w:tcBorders>
          </w:tcPr>
          <w:p w14:paraId="02D8A63C" w14:textId="61F60F02" w:rsidR="00DE254A" w:rsidRPr="007048BA" w:rsidRDefault="00B30120" w:rsidP="00DE254A">
            <w:pPr>
              <w:autoSpaceDE w:val="0"/>
              <w:autoSpaceDN w:val="0"/>
              <w:adjustRightInd w:val="0"/>
              <w:spacing w:after="0" w:line="240" w:lineRule="auto"/>
              <w:ind w:firstLine="227"/>
              <w:rPr>
                <w:rFonts w:eastAsia="PMingLiU" w:cs="Times New Roman"/>
                <w:lang w:val="en-GB" w:eastAsia="zh-TW"/>
              </w:rPr>
            </w:pPr>
            <w:r w:rsidRPr="007048BA">
              <w:rPr>
                <w:rFonts w:eastAsia="PMingLiU" w:cs="Times New Roman"/>
                <w:lang w:val="en-GB" w:eastAsia="zh-TW"/>
              </w:rPr>
              <w:t>39.31</w:t>
            </w:r>
          </w:p>
        </w:tc>
      </w:tr>
      <w:tr w:rsidR="00DE254A" w:rsidRPr="007048BA" w14:paraId="6B856FFA" w14:textId="77777777" w:rsidTr="00DE254A">
        <w:trPr>
          <w:jc w:val="center"/>
        </w:trPr>
        <w:tc>
          <w:tcPr>
            <w:tcW w:w="1020" w:type="pct"/>
          </w:tcPr>
          <w:p w14:paraId="345401AE" w14:textId="77777777" w:rsidR="00DE254A" w:rsidRPr="007048BA" w:rsidRDefault="00DE254A" w:rsidP="00DE254A">
            <w:pPr>
              <w:autoSpaceDE w:val="0"/>
              <w:autoSpaceDN w:val="0"/>
              <w:adjustRightInd w:val="0"/>
              <w:spacing w:after="0" w:line="240" w:lineRule="auto"/>
              <w:ind w:firstLine="227"/>
              <w:rPr>
                <w:rFonts w:eastAsia="PMingLiU" w:cs="Times New Roman"/>
                <w:lang w:val="en-GB" w:eastAsia="zh-TW"/>
              </w:rPr>
            </w:pPr>
            <w:r w:rsidRPr="007048BA">
              <w:rPr>
                <w:rFonts w:eastAsia="PMingLiU" w:cs="Times New Roman"/>
                <w:lang w:val="en-GB" w:eastAsia="zh-TW"/>
              </w:rPr>
              <w:t>High</w:t>
            </w:r>
          </w:p>
        </w:tc>
        <w:tc>
          <w:tcPr>
            <w:tcW w:w="934" w:type="pct"/>
          </w:tcPr>
          <w:p w14:paraId="15D147F4" w14:textId="77777777" w:rsidR="00DE254A" w:rsidRPr="007048BA" w:rsidRDefault="00DE254A" w:rsidP="00DE254A">
            <w:pPr>
              <w:autoSpaceDE w:val="0"/>
              <w:autoSpaceDN w:val="0"/>
              <w:adjustRightInd w:val="0"/>
              <w:spacing w:after="0" w:line="240" w:lineRule="auto"/>
              <w:ind w:firstLine="227"/>
              <w:rPr>
                <w:rFonts w:eastAsia="PMingLiU" w:cs="Times New Roman"/>
                <w:lang w:val="en-GB" w:eastAsia="zh-TW"/>
              </w:rPr>
            </w:pPr>
            <w:r w:rsidRPr="007048BA">
              <w:rPr>
                <w:rFonts w:eastAsia="PMingLiU" w:cs="Times New Roman"/>
                <w:lang w:val="en-GB" w:eastAsia="zh-TW"/>
              </w:rPr>
              <w:t>Low</w:t>
            </w:r>
          </w:p>
        </w:tc>
        <w:tc>
          <w:tcPr>
            <w:tcW w:w="1105" w:type="pct"/>
          </w:tcPr>
          <w:p w14:paraId="18C22A05" w14:textId="19239CEB" w:rsidR="00DE254A" w:rsidRPr="007048BA" w:rsidRDefault="00862A54" w:rsidP="00DE254A">
            <w:pPr>
              <w:autoSpaceDE w:val="0"/>
              <w:autoSpaceDN w:val="0"/>
              <w:adjustRightInd w:val="0"/>
              <w:spacing w:after="0" w:line="240" w:lineRule="auto"/>
              <w:ind w:firstLine="227"/>
              <w:rPr>
                <w:rFonts w:eastAsia="PMingLiU" w:cs="Times New Roman"/>
                <w:i/>
                <w:lang w:val="en-GB" w:eastAsia="zh-TW"/>
              </w:rPr>
            </w:pPr>
            <w:r w:rsidRPr="007048BA">
              <w:rPr>
                <w:rFonts w:eastAsia="PMingLiU" w:cs="Times New Roman"/>
                <w:i/>
                <w:lang w:val="en-GB" w:eastAsia="zh-TW"/>
              </w:rPr>
              <w:t>M</w:t>
            </w:r>
            <w:r w:rsidR="00ED262D" w:rsidRPr="007048BA">
              <w:rPr>
                <w:rFonts w:eastAsia="PMingLiU" w:cs="Times New Roman"/>
                <w:i/>
                <w:lang w:val="en-GB" w:eastAsia="zh-TW"/>
              </w:rPr>
              <w:t>yopia</w:t>
            </w:r>
          </w:p>
        </w:tc>
        <w:tc>
          <w:tcPr>
            <w:tcW w:w="945" w:type="pct"/>
          </w:tcPr>
          <w:p w14:paraId="6BD2B524" w14:textId="46D2CAEE" w:rsidR="00DE254A" w:rsidRPr="007048BA" w:rsidRDefault="00124FAA" w:rsidP="00124FAA">
            <w:pPr>
              <w:autoSpaceDE w:val="0"/>
              <w:autoSpaceDN w:val="0"/>
              <w:adjustRightInd w:val="0"/>
              <w:spacing w:after="0" w:line="240" w:lineRule="auto"/>
              <w:ind w:firstLine="227"/>
              <w:rPr>
                <w:rFonts w:eastAsia="PMingLiU" w:cs="Times New Roman"/>
                <w:lang w:val="en-GB" w:eastAsia="zh-TW"/>
              </w:rPr>
            </w:pPr>
            <w:r w:rsidRPr="007048BA">
              <w:rPr>
                <w:rFonts w:eastAsia="PMingLiU" w:cs="Times New Roman"/>
                <w:lang w:val="en-GB" w:eastAsia="zh-TW"/>
              </w:rPr>
              <w:t>10</w:t>
            </w:r>
            <w:r w:rsidR="00DE254A" w:rsidRPr="007048BA">
              <w:rPr>
                <w:rFonts w:eastAsia="PMingLiU" w:cs="Times New Roman"/>
                <w:lang w:val="en-GB" w:eastAsia="zh-TW"/>
              </w:rPr>
              <w:t>,</w:t>
            </w:r>
            <w:r w:rsidRPr="007048BA">
              <w:rPr>
                <w:rFonts w:eastAsia="PMingLiU" w:cs="Times New Roman"/>
                <w:lang w:val="en-GB" w:eastAsia="zh-TW"/>
              </w:rPr>
              <w:t>365</w:t>
            </w:r>
          </w:p>
        </w:tc>
        <w:tc>
          <w:tcPr>
            <w:tcW w:w="996" w:type="pct"/>
          </w:tcPr>
          <w:p w14:paraId="0D7C102E" w14:textId="78C7F6C0" w:rsidR="00DE254A" w:rsidRPr="007048BA" w:rsidRDefault="00DE254A" w:rsidP="00DE254A">
            <w:pPr>
              <w:autoSpaceDE w:val="0"/>
              <w:autoSpaceDN w:val="0"/>
              <w:adjustRightInd w:val="0"/>
              <w:spacing w:after="0" w:line="240" w:lineRule="auto"/>
              <w:ind w:firstLine="227"/>
              <w:rPr>
                <w:rFonts w:eastAsia="PMingLiU" w:cs="Times New Roman"/>
                <w:lang w:val="en-GB" w:eastAsia="zh-TW"/>
              </w:rPr>
            </w:pPr>
            <w:r w:rsidRPr="007048BA">
              <w:rPr>
                <w:rFonts w:eastAsia="PMingLiU" w:cs="Times New Roman"/>
                <w:lang w:val="en-GB" w:eastAsia="zh-TW"/>
              </w:rPr>
              <w:t>2</w:t>
            </w:r>
            <w:r w:rsidR="00B30120" w:rsidRPr="007048BA">
              <w:rPr>
                <w:rFonts w:eastAsia="PMingLiU" w:cs="Times New Roman"/>
                <w:lang w:val="en-GB" w:eastAsia="zh-TW"/>
              </w:rPr>
              <w:t>6.09</w:t>
            </w:r>
          </w:p>
        </w:tc>
      </w:tr>
      <w:tr w:rsidR="00DE254A" w:rsidRPr="007048BA" w14:paraId="026D43F1" w14:textId="77777777" w:rsidTr="00DE254A">
        <w:trPr>
          <w:jc w:val="center"/>
        </w:trPr>
        <w:tc>
          <w:tcPr>
            <w:tcW w:w="1020" w:type="pct"/>
          </w:tcPr>
          <w:p w14:paraId="7925BDA8" w14:textId="77777777" w:rsidR="00DE254A" w:rsidRPr="007048BA" w:rsidRDefault="00DE254A" w:rsidP="00DE254A">
            <w:pPr>
              <w:autoSpaceDE w:val="0"/>
              <w:autoSpaceDN w:val="0"/>
              <w:adjustRightInd w:val="0"/>
              <w:spacing w:after="0" w:line="240" w:lineRule="auto"/>
              <w:ind w:firstLine="227"/>
              <w:rPr>
                <w:rFonts w:eastAsia="PMingLiU" w:cs="Times New Roman"/>
                <w:lang w:val="en-GB" w:eastAsia="zh-TW"/>
              </w:rPr>
            </w:pPr>
            <w:r w:rsidRPr="007048BA">
              <w:rPr>
                <w:rFonts w:eastAsia="PMingLiU" w:cs="Times New Roman"/>
                <w:lang w:val="en-GB" w:eastAsia="zh-TW"/>
              </w:rPr>
              <w:t>Low</w:t>
            </w:r>
          </w:p>
        </w:tc>
        <w:tc>
          <w:tcPr>
            <w:tcW w:w="934" w:type="pct"/>
          </w:tcPr>
          <w:p w14:paraId="37E9CF57" w14:textId="77777777" w:rsidR="00DE254A" w:rsidRPr="007048BA" w:rsidRDefault="00DE254A" w:rsidP="00DE254A">
            <w:pPr>
              <w:autoSpaceDE w:val="0"/>
              <w:autoSpaceDN w:val="0"/>
              <w:adjustRightInd w:val="0"/>
              <w:spacing w:after="0" w:line="240" w:lineRule="auto"/>
              <w:ind w:firstLine="227"/>
              <w:rPr>
                <w:rFonts w:eastAsia="PMingLiU" w:cs="Times New Roman"/>
                <w:lang w:val="en-GB" w:eastAsia="zh-TW"/>
              </w:rPr>
            </w:pPr>
            <w:r w:rsidRPr="007048BA">
              <w:rPr>
                <w:rFonts w:eastAsia="PMingLiU" w:cs="Times New Roman"/>
                <w:lang w:val="en-GB" w:eastAsia="zh-TW"/>
              </w:rPr>
              <w:t>High</w:t>
            </w:r>
          </w:p>
        </w:tc>
        <w:tc>
          <w:tcPr>
            <w:tcW w:w="1105" w:type="pct"/>
          </w:tcPr>
          <w:p w14:paraId="1FC41972" w14:textId="5014C441" w:rsidR="00DE254A" w:rsidRPr="007048BA" w:rsidRDefault="00862A54" w:rsidP="00DE254A">
            <w:pPr>
              <w:autoSpaceDE w:val="0"/>
              <w:autoSpaceDN w:val="0"/>
              <w:adjustRightInd w:val="0"/>
              <w:spacing w:after="0" w:line="240" w:lineRule="auto"/>
              <w:ind w:firstLine="227"/>
              <w:rPr>
                <w:rFonts w:eastAsia="PMingLiU" w:cs="Times New Roman"/>
                <w:i/>
                <w:lang w:val="en-GB" w:eastAsia="zh-TW"/>
              </w:rPr>
            </w:pPr>
            <w:r w:rsidRPr="007048BA">
              <w:rPr>
                <w:rFonts w:eastAsia="PMingLiU" w:cs="Times New Roman"/>
                <w:i/>
                <w:lang w:val="en-GB" w:eastAsia="zh-TW"/>
              </w:rPr>
              <w:t>H</w:t>
            </w:r>
            <w:r w:rsidR="00ED262D" w:rsidRPr="007048BA">
              <w:rPr>
                <w:rFonts w:eastAsia="PMingLiU" w:cs="Times New Roman"/>
                <w:i/>
                <w:lang w:val="en-GB" w:eastAsia="zh-TW"/>
              </w:rPr>
              <w:t>yperopia</w:t>
            </w:r>
          </w:p>
        </w:tc>
        <w:tc>
          <w:tcPr>
            <w:tcW w:w="945" w:type="pct"/>
          </w:tcPr>
          <w:p w14:paraId="4110DFEA" w14:textId="2A07E5A3" w:rsidR="00DE254A" w:rsidRPr="007048BA" w:rsidRDefault="00124FAA" w:rsidP="00DE254A">
            <w:pPr>
              <w:autoSpaceDE w:val="0"/>
              <w:autoSpaceDN w:val="0"/>
              <w:adjustRightInd w:val="0"/>
              <w:spacing w:after="0" w:line="240" w:lineRule="auto"/>
              <w:ind w:firstLine="227"/>
              <w:rPr>
                <w:rFonts w:eastAsia="PMingLiU" w:cs="Times New Roman"/>
                <w:lang w:val="en-GB" w:eastAsia="zh-TW"/>
              </w:rPr>
            </w:pPr>
            <w:r w:rsidRPr="007048BA">
              <w:rPr>
                <w:rFonts w:eastAsia="PMingLiU" w:cs="Times New Roman"/>
                <w:lang w:val="en-GB" w:eastAsia="zh-TW"/>
              </w:rPr>
              <w:t>7,730</w:t>
            </w:r>
          </w:p>
        </w:tc>
        <w:tc>
          <w:tcPr>
            <w:tcW w:w="996" w:type="pct"/>
          </w:tcPr>
          <w:p w14:paraId="3F6AE202" w14:textId="5132B809" w:rsidR="00DE254A" w:rsidRPr="007048BA" w:rsidRDefault="00B30120" w:rsidP="00DE254A">
            <w:pPr>
              <w:autoSpaceDE w:val="0"/>
              <w:autoSpaceDN w:val="0"/>
              <w:adjustRightInd w:val="0"/>
              <w:spacing w:after="0" w:line="240" w:lineRule="auto"/>
              <w:ind w:firstLine="227"/>
              <w:rPr>
                <w:rFonts w:eastAsia="PMingLiU" w:cs="Times New Roman"/>
                <w:lang w:val="en-GB" w:eastAsia="zh-TW"/>
              </w:rPr>
            </w:pPr>
            <w:r w:rsidRPr="007048BA">
              <w:rPr>
                <w:rFonts w:eastAsia="PMingLiU" w:cs="Times New Roman"/>
                <w:lang w:val="en-GB" w:eastAsia="zh-TW"/>
              </w:rPr>
              <w:t>19.46</w:t>
            </w:r>
          </w:p>
        </w:tc>
      </w:tr>
      <w:tr w:rsidR="00DE254A" w:rsidRPr="007048BA" w14:paraId="5B731B9B" w14:textId="77777777" w:rsidTr="00DE254A">
        <w:trPr>
          <w:jc w:val="center"/>
        </w:trPr>
        <w:tc>
          <w:tcPr>
            <w:tcW w:w="1020" w:type="pct"/>
            <w:tcBorders>
              <w:bottom w:val="single" w:sz="4" w:space="0" w:color="auto"/>
            </w:tcBorders>
          </w:tcPr>
          <w:p w14:paraId="34D42687" w14:textId="77777777" w:rsidR="00DE254A" w:rsidRPr="007048BA" w:rsidRDefault="00DE254A" w:rsidP="00DE254A">
            <w:pPr>
              <w:autoSpaceDE w:val="0"/>
              <w:autoSpaceDN w:val="0"/>
              <w:adjustRightInd w:val="0"/>
              <w:spacing w:after="0" w:line="240" w:lineRule="auto"/>
              <w:ind w:firstLine="227"/>
              <w:rPr>
                <w:rFonts w:eastAsia="PMingLiU" w:cs="Times New Roman"/>
                <w:lang w:val="en-GB" w:eastAsia="zh-TW"/>
              </w:rPr>
            </w:pPr>
            <w:r w:rsidRPr="007048BA">
              <w:rPr>
                <w:rFonts w:eastAsia="PMingLiU" w:cs="Times New Roman"/>
                <w:lang w:val="en-GB" w:eastAsia="zh-TW"/>
              </w:rPr>
              <w:t>Low</w:t>
            </w:r>
          </w:p>
        </w:tc>
        <w:tc>
          <w:tcPr>
            <w:tcW w:w="934" w:type="pct"/>
            <w:tcBorders>
              <w:bottom w:val="single" w:sz="4" w:space="0" w:color="auto"/>
            </w:tcBorders>
          </w:tcPr>
          <w:p w14:paraId="49D6E8CE" w14:textId="77777777" w:rsidR="00DE254A" w:rsidRPr="007048BA" w:rsidRDefault="00DE254A" w:rsidP="00DE254A">
            <w:pPr>
              <w:autoSpaceDE w:val="0"/>
              <w:autoSpaceDN w:val="0"/>
              <w:adjustRightInd w:val="0"/>
              <w:spacing w:after="0" w:line="240" w:lineRule="auto"/>
              <w:ind w:firstLine="227"/>
              <w:rPr>
                <w:rFonts w:eastAsia="PMingLiU" w:cs="Times New Roman"/>
                <w:lang w:val="en-GB" w:eastAsia="zh-TW"/>
              </w:rPr>
            </w:pPr>
            <w:r w:rsidRPr="007048BA">
              <w:rPr>
                <w:rFonts w:eastAsia="PMingLiU" w:cs="Times New Roman"/>
                <w:lang w:val="en-GB" w:eastAsia="zh-TW"/>
              </w:rPr>
              <w:t>Low</w:t>
            </w:r>
          </w:p>
        </w:tc>
        <w:tc>
          <w:tcPr>
            <w:tcW w:w="1105" w:type="pct"/>
            <w:tcBorders>
              <w:bottom w:val="single" w:sz="4" w:space="0" w:color="auto"/>
            </w:tcBorders>
          </w:tcPr>
          <w:p w14:paraId="54ADF68F" w14:textId="48506BF4" w:rsidR="00DE254A" w:rsidRPr="007048BA" w:rsidRDefault="00862A54" w:rsidP="00DE254A">
            <w:pPr>
              <w:autoSpaceDE w:val="0"/>
              <w:autoSpaceDN w:val="0"/>
              <w:adjustRightInd w:val="0"/>
              <w:spacing w:after="0" w:line="240" w:lineRule="auto"/>
              <w:ind w:firstLine="227"/>
              <w:rPr>
                <w:rFonts w:eastAsia="PMingLiU" w:cs="Times New Roman"/>
                <w:i/>
                <w:lang w:val="en-GB" w:eastAsia="zh-TW"/>
              </w:rPr>
            </w:pPr>
            <w:r w:rsidRPr="007048BA">
              <w:rPr>
                <w:rFonts w:eastAsia="PMingLiU" w:cs="Times New Roman"/>
                <w:i/>
                <w:lang w:val="en-GB" w:eastAsia="zh-TW"/>
              </w:rPr>
              <w:t>P</w:t>
            </w:r>
            <w:r w:rsidR="00ED262D" w:rsidRPr="007048BA">
              <w:rPr>
                <w:rFonts w:eastAsia="PMingLiU" w:cs="Times New Roman"/>
                <w:i/>
                <w:lang w:val="en-GB" w:eastAsia="zh-TW"/>
              </w:rPr>
              <w:t>oor</w:t>
            </w:r>
          </w:p>
        </w:tc>
        <w:tc>
          <w:tcPr>
            <w:tcW w:w="945" w:type="pct"/>
            <w:tcBorders>
              <w:bottom w:val="single" w:sz="4" w:space="0" w:color="auto"/>
            </w:tcBorders>
          </w:tcPr>
          <w:p w14:paraId="30D8AFFB" w14:textId="4F256BC0" w:rsidR="00DE254A" w:rsidRPr="007048BA" w:rsidRDefault="00B30120" w:rsidP="00DE254A">
            <w:pPr>
              <w:autoSpaceDE w:val="0"/>
              <w:autoSpaceDN w:val="0"/>
              <w:adjustRightInd w:val="0"/>
              <w:spacing w:after="0" w:line="240" w:lineRule="auto"/>
              <w:ind w:firstLine="227"/>
              <w:rPr>
                <w:rFonts w:eastAsia="PMingLiU" w:cs="Times New Roman"/>
                <w:lang w:val="en-GB" w:eastAsia="zh-TW"/>
              </w:rPr>
            </w:pPr>
            <w:r w:rsidRPr="007048BA">
              <w:rPr>
                <w:rFonts w:eastAsia="PMingLiU" w:cs="Times New Roman"/>
                <w:lang w:val="en-GB" w:eastAsia="zh-TW"/>
              </w:rPr>
              <w:t>6,</w:t>
            </w:r>
            <w:r w:rsidR="00124FAA" w:rsidRPr="007048BA">
              <w:rPr>
                <w:rFonts w:eastAsia="PMingLiU" w:cs="Times New Roman"/>
                <w:lang w:val="en-GB" w:eastAsia="zh-TW"/>
              </w:rPr>
              <w:t>013</w:t>
            </w:r>
          </w:p>
        </w:tc>
        <w:tc>
          <w:tcPr>
            <w:tcW w:w="996" w:type="pct"/>
            <w:tcBorders>
              <w:bottom w:val="single" w:sz="4" w:space="0" w:color="auto"/>
            </w:tcBorders>
          </w:tcPr>
          <w:p w14:paraId="03E3F678" w14:textId="179EF473" w:rsidR="00DE254A" w:rsidRPr="007048BA" w:rsidRDefault="00B30120" w:rsidP="00DE254A">
            <w:pPr>
              <w:autoSpaceDE w:val="0"/>
              <w:autoSpaceDN w:val="0"/>
              <w:adjustRightInd w:val="0"/>
              <w:spacing w:after="0" w:line="240" w:lineRule="auto"/>
              <w:ind w:firstLine="227"/>
              <w:rPr>
                <w:rFonts w:eastAsia="PMingLiU" w:cs="Times New Roman"/>
                <w:lang w:val="en-GB" w:eastAsia="zh-TW"/>
              </w:rPr>
            </w:pPr>
            <w:r w:rsidRPr="007048BA">
              <w:rPr>
                <w:rFonts w:eastAsia="PMingLiU" w:cs="Times New Roman"/>
                <w:lang w:val="en-GB" w:eastAsia="zh-TW"/>
              </w:rPr>
              <w:t>15.14</w:t>
            </w:r>
          </w:p>
        </w:tc>
      </w:tr>
    </w:tbl>
    <w:p w14:paraId="69F6E41F" w14:textId="77777777" w:rsidR="00DE254A" w:rsidRPr="007048BA" w:rsidRDefault="00DE254A" w:rsidP="00DE254A">
      <w:pPr>
        <w:autoSpaceDE w:val="0"/>
        <w:autoSpaceDN w:val="0"/>
        <w:adjustRightInd w:val="0"/>
        <w:spacing w:after="0"/>
        <w:ind w:firstLine="227"/>
        <w:rPr>
          <w:rFonts w:eastAsia="PMingLiU" w:cs="Times New Roman"/>
          <w:szCs w:val="24"/>
          <w:lang w:val="en-GB" w:eastAsia="zh-TW"/>
        </w:rPr>
      </w:pPr>
    </w:p>
    <w:p w14:paraId="11071A0C" w14:textId="77777777" w:rsidR="00DE254A" w:rsidRPr="007048BA" w:rsidRDefault="00DE254A" w:rsidP="00DE254A">
      <w:pPr>
        <w:pStyle w:val="References0"/>
        <w:spacing w:line="240" w:lineRule="auto"/>
        <w:rPr>
          <w:lang w:val="en-GB"/>
        </w:rPr>
        <w:sectPr w:rsidR="00DE254A" w:rsidRPr="007048BA" w:rsidSect="007B5ED9">
          <w:pgSz w:w="12240" w:h="15840"/>
          <w:pgMar w:top="1304" w:right="964" w:bottom="1304" w:left="1077" w:header="720" w:footer="720" w:gutter="0"/>
          <w:cols w:space="720"/>
          <w:docGrid w:linePitch="360"/>
        </w:sectPr>
      </w:pPr>
    </w:p>
    <w:p w14:paraId="2347C6E4" w14:textId="77777777" w:rsidR="00650959" w:rsidRPr="007048BA" w:rsidRDefault="00650959" w:rsidP="00D8280C">
      <w:pPr>
        <w:rPr>
          <w:b/>
          <w:sz w:val="28"/>
          <w:lang w:val="en-GB" w:eastAsia="zh-TW"/>
        </w:rPr>
        <w:sectPr w:rsidR="00650959" w:rsidRPr="007048BA" w:rsidSect="007B5ED9">
          <w:type w:val="continuous"/>
          <w:pgSz w:w="12240" w:h="15840"/>
          <w:pgMar w:top="1304" w:right="964" w:bottom="1304" w:left="1077" w:header="720" w:footer="720" w:gutter="0"/>
          <w:cols w:space="720"/>
          <w:docGrid w:linePitch="360"/>
        </w:sectPr>
      </w:pPr>
    </w:p>
    <w:p w14:paraId="2F395921" w14:textId="50172734" w:rsidR="0060367E" w:rsidRPr="007048BA" w:rsidRDefault="0060367E" w:rsidP="00D8280C">
      <w:pPr>
        <w:rPr>
          <w:rFonts w:eastAsia="PMingLiU" w:cs="Times New Roman"/>
          <w:b/>
          <w:sz w:val="28"/>
          <w:szCs w:val="24"/>
          <w:lang w:val="en-GB" w:eastAsia="zh-TW"/>
        </w:rPr>
      </w:pPr>
      <w:r w:rsidRPr="007048BA">
        <w:rPr>
          <w:b/>
          <w:sz w:val="28"/>
          <w:lang w:val="en-GB" w:eastAsia="zh-TW"/>
        </w:rPr>
        <w:lastRenderedPageBreak/>
        <w:t>Table 3</w:t>
      </w:r>
      <w:r w:rsidR="00D8280C" w:rsidRPr="007048BA">
        <w:rPr>
          <w:b/>
          <w:sz w:val="28"/>
          <w:lang w:val="en-GB" w:eastAsia="zh-TW"/>
        </w:rPr>
        <w:t xml:space="preserve">: </w:t>
      </w:r>
      <w:r w:rsidRPr="007048BA">
        <w:rPr>
          <w:rFonts w:eastAsia="PMingLiU" w:cs="Times New Roman"/>
          <w:b/>
          <w:sz w:val="28"/>
          <w:szCs w:val="24"/>
          <w:lang w:val="en-GB" w:eastAsia="zh-TW"/>
        </w:rPr>
        <w:t xml:space="preserve">Firm characteristics across </w:t>
      </w:r>
      <w:r w:rsidR="006B3320" w:rsidRPr="007048BA">
        <w:rPr>
          <w:rFonts w:eastAsia="PMingLiU" w:cs="Times New Roman"/>
          <w:b/>
          <w:sz w:val="28"/>
          <w:szCs w:val="24"/>
          <w:lang w:val="en-GB" w:eastAsia="zh-TW"/>
        </w:rPr>
        <w:t>attributes</w:t>
      </w:r>
      <w:r w:rsidRPr="007048BA">
        <w:rPr>
          <w:rFonts w:eastAsia="PMingLiU" w:cs="Times New Roman"/>
          <w:b/>
          <w:sz w:val="28"/>
          <w:szCs w:val="24"/>
          <w:lang w:val="en-GB" w:eastAsia="zh-TW"/>
        </w:rPr>
        <w:t xml:space="preserve"> of management performance.</w:t>
      </w:r>
    </w:p>
    <w:p w14:paraId="489542D2" w14:textId="712DD090" w:rsidR="006737BB" w:rsidRPr="007048BA" w:rsidRDefault="00B53053" w:rsidP="006737BB">
      <w:pPr>
        <w:autoSpaceDE w:val="0"/>
        <w:autoSpaceDN w:val="0"/>
        <w:adjustRightInd w:val="0"/>
        <w:spacing w:after="0" w:line="240" w:lineRule="auto"/>
        <w:ind w:firstLine="0"/>
        <w:rPr>
          <w:rFonts w:eastAsia="PMingLiU" w:cs="Times New Roman"/>
          <w:sz w:val="20"/>
          <w:szCs w:val="24"/>
          <w:lang w:val="en-GB" w:eastAsia="zh-TW"/>
        </w:rPr>
      </w:pPr>
      <w:r w:rsidRPr="007048BA">
        <w:rPr>
          <w:rFonts w:eastAsia="PMingLiU" w:cs="Times New Roman"/>
          <w:sz w:val="20"/>
          <w:szCs w:val="24"/>
          <w:lang w:val="en-GB" w:eastAsia="zh-TW"/>
        </w:rPr>
        <w:t xml:space="preserve">Panel A of the </w:t>
      </w:r>
      <w:r w:rsidR="0060367E" w:rsidRPr="007048BA">
        <w:rPr>
          <w:rFonts w:eastAsia="PMingLiU" w:cs="Times New Roman"/>
          <w:sz w:val="20"/>
          <w:szCs w:val="24"/>
          <w:lang w:val="en-GB" w:eastAsia="zh-TW"/>
        </w:rPr>
        <w:t>table presents one-way ANOVA results (with Bonferroni correction of the level of significance) for piecewise comparisons of the means of the respective variable distributions across the four categories of management performance (</w:t>
      </w:r>
      <w:r w:rsidR="00ED262D" w:rsidRPr="007048BA">
        <w:rPr>
          <w:rFonts w:eastAsia="PMingLiU" w:cs="Times New Roman"/>
          <w:i/>
          <w:sz w:val="20"/>
          <w:szCs w:val="24"/>
          <w:lang w:val="en-GB" w:eastAsia="zh-TW"/>
        </w:rPr>
        <w:t>poor</w:t>
      </w:r>
      <w:r w:rsidR="0060367E" w:rsidRPr="007048BA">
        <w:rPr>
          <w:rFonts w:eastAsia="PMingLiU" w:cs="Times New Roman"/>
          <w:i/>
          <w:sz w:val="20"/>
          <w:szCs w:val="24"/>
          <w:lang w:val="en-GB" w:eastAsia="zh-TW"/>
        </w:rPr>
        <w:t xml:space="preserve">, </w:t>
      </w:r>
      <w:r w:rsidR="00ED262D" w:rsidRPr="007048BA">
        <w:rPr>
          <w:rFonts w:eastAsia="PMingLiU" w:cs="Times New Roman"/>
          <w:i/>
          <w:sz w:val="20"/>
          <w:szCs w:val="24"/>
          <w:lang w:val="en-GB" w:eastAsia="zh-TW"/>
        </w:rPr>
        <w:t>myopic</w:t>
      </w:r>
      <w:r w:rsidR="0060367E" w:rsidRPr="007048BA">
        <w:rPr>
          <w:rFonts w:eastAsia="PMingLiU" w:cs="Times New Roman"/>
          <w:i/>
          <w:sz w:val="20"/>
          <w:szCs w:val="24"/>
          <w:lang w:val="en-GB" w:eastAsia="zh-TW"/>
        </w:rPr>
        <w:t xml:space="preserve">, </w:t>
      </w:r>
      <w:r w:rsidR="005575A3" w:rsidRPr="007048BA">
        <w:rPr>
          <w:rFonts w:eastAsia="PMingLiU" w:cs="Times New Roman"/>
          <w:i/>
          <w:sz w:val="20"/>
          <w:szCs w:val="24"/>
          <w:lang w:val="en-GB" w:eastAsia="zh-TW"/>
        </w:rPr>
        <w:t xml:space="preserve">hyperopic </w:t>
      </w:r>
      <w:r w:rsidR="0060367E" w:rsidRPr="007048BA">
        <w:rPr>
          <w:rFonts w:eastAsia="PMingLiU" w:cs="Times New Roman"/>
          <w:sz w:val="20"/>
          <w:szCs w:val="24"/>
          <w:lang w:val="en-GB" w:eastAsia="zh-TW"/>
        </w:rPr>
        <w:t xml:space="preserve">and </w:t>
      </w:r>
      <w:r w:rsidR="00ED262D" w:rsidRPr="007048BA">
        <w:rPr>
          <w:rFonts w:eastAsia="PMingLiU" w:cs="Times New Roman"/>
          <w:i/>
          <w:sz w:val="20"/>
          <w:szCs w:val="24"/>
          <w:lang w:val="en-GB" w:eastAsia="zh-TW"/>
        </w:rPr>
        <w:t>efficient</w:t>
      </w:r>
      <w:r w:rsidR="0060367E" w:rsidRPr="007048BA">
        <w:rPr>
          <w:rFonts w:eastAsia="PMingLiU" w:cs="Times New Roman"/>
          <w:sz w:val="20"/>
          <w:szCs w:val="24"/>
          <w:lang w:val="en-GB" w:eastAsia="zh-TW"/>
        </w:rPr>
        <w:t xml:space="preserve">, denoted respectively by letters P, M, H and E, for conciseness). </w:t>
      </w:r>
      <w:r w:rsidRPr="007048BA">
        <w:rPr>
          <w:rFonts w:eastAsia="PMingLiU" w:cs="Times New Roman"/>
          <w:sz w:val="20"/>
          <w:szCs w:val="24"/>
          <w:lang w:val="en-GB" w:eastAsia="zh-TW"/>
        </w:rPr>
        <w:t xml:space="preserve">Panel B presents results for differences in median (Dunn’s test) across the four categories. </w:t>
      </w:r>
      <w:r w:rsidR="0060367E" w:rsidRPr="007048BA">
        <w:rPr>
          <w:rFonts w:eastAsia="PMingLiU" w:cs="cmr12"/>
          <w:sz w:val="20"/>
          <w:szCs w:val="24"/>
          <w:lang w:val="en-GB" w:eastAsia="zh-TW"/>
        </w:rPr>
        <w:t>The variables include</w:t>
      </w:r>
      <w:r w:rsidR="003257B2" w:rsidRPr="007048BA">
        <w:rPr>
          <w:rFonts w:eastAsia="PMingLiU" w:cs="cmr12"/>
          <w:sz w:val="20"/>
          <w:szCs w:val="24"/>
          <w:lang w:val="en-GB" w:eastAsia="zh-TW"/>
        </w:rPr>
        <w:t xml:space="preserve">; </w:t>
      </w:r>
      <w:r w:rsidR="00A318D1" w:rsidRPr="007048BA">
        <w:rPr>
          <w:rFonts w:eastAsia="PMingLiU" w:cs="cmr12"/>
          <w:sz w:val="20"/>
          <w:szCs w:val="24"/>
          <w:lang w:val="en-GB" w:eastAsia="zh-TW"/>
        </w:rPr>
        <w:t>the return on capital employed (</w:t>
      </w:r>
      <w:r w:rsidR="00A318D1" w:rsidRPr="007048BA">
        <w:rPr>
          <w:rFonts w:eastAsia="PMingLiU" w:cs="cmr12"/>
          <w:i/>
          <w:sz w:val="20"/>
          <w:szCs w:val="24"/>
          <w:lang w:val="en-GB" w:eastAsia="zh-TW"/>
        </w:rPr>
        <w:t>ROCE</w:t>
      </w:r>
      <w:r w:rsidR="00A318D1" w:rsidRPr="007048BA">
        <w:rPr>
          <w:rFonts w:eastAsia="PMingLiU" w:cs="cmr12"/>
          <w:sz w:val="20"/>
          <w:szCs w:val="24"/>
          <w:lang w:val="en-GB" w:eastAsia="zh-TW"/>
        </w:rPr>
        <w:t>), average abnormal returns (</w:t>
      </w:r>
      <w:r w:rsidR="00A318D1" w:rsidRPr="007048BA">
        <w:rPr>
          <w:rFonts w:eastAsia="PMingLiU" w:cs="cmr12"/>
          <w:i/>
          <w:sz w:val="20"/>
          <w:szCs w:val="24"/>
          <w:lang w:val="en-GB" w:eastAsia="zh-TW"/>
        </w:rPr>
        <w:t>AAR</w:t>
      </w:r>
      <w:r w:rsidR="00A318D1" w:rsidRPr="007048BA">
        <w:rPr>
          <w:rFonts w:eastAsia="PMingLiU" w:cs="cmr12"/>
          <w:sz w:val="20"/>
          <w:szCs w:val="24"/>
          <w:lang w:val="en-GB" w:eastAsia="zh-TW"/>
        </w:rPr>
        <w:t>), Tobin’s Q (</w:t>
      </w:r>
      <w:r w:rsidR="00A318D1" w:rsidRPr="007048BA">
        <w:rPr>
          <w:rFonts w:eastAsia="PMingLiU" w:cs="cmr12"/>
          <w:i/>
          <w:sz w:val="20"/>
          <w:szCs w:val="24"/>
          <w:lang w:val="en-GB" w:eastAsia="zh-TW"/>
        </w:rPr>
        <w:t>TBQ</w:t>
      </w:r>
      <w:r w:rsidR="00A318D1" w:rsidRPr="007048BA">
        <w:rPr>
          <w:rFonts w:eastAsia="PMingLiU" w:cs="cmr12"/>
          <w:sz w:val="20"/>
          <w:szCs w:val="24"/>
          <w:lang w:val="en-GB" w:eastAsia="zh-TW"/>
        </w:rPr>
        <w:t>), liquidity (</w:t>
      </w:r>
      <w:r w:rsidR="00A318D1" w:rsidRPr="007048BA">
        <w:rPr>
          <w:rFonts w:eastAsia="PMingLiU" w:cs="cmr12"/>
          <w:i/>
          <w:sz w:val="20"/>
          <w:szCs w:val="24"/>
          <w:lang w:val="en-GB" w:eastAsia="zh-TW"/>
        </w:rPr>
        <w:t>LIQ</w:t>
      </w:r>
      <w:r w:rsidR="00A318D1" w:rsidRPr="007048BA">
        <w:rPr>
          <w:rFonts w:eastAsia="PMingLiU" w:cs="cmr12"/>
          <w:sz w:val="20"/>
          <w:szCs w:val="24"/>
          <w:lang w:val="en-GB" w:eastAsia="zh-TW"/>
        </w:rPr>
        <w:t>), leverage (</w:t>
      </w:r>
      <w:r w:rsidR="00A318D1" w:rsidRPr="007048BA">
        <w:rPr>
          <w:rFonts w:eastAsia="PMingLiU" w:cs="cmr12"/>
          <w:i/>
          <w:sz w:val="20"/>
          <w:szCs w:val="24"/>
          <w:lang w:val="en-GB" w:eastAsia="zh-TW"/>
        </w:rPr>
        <w:t>LEV</w:t>
      </w:r>
      <w:r w:rsidR="00A318D1" w:rsidRPr="007048BA">
        <w:rPr>
          <w:rFonts w:eastAsia="PMingLiU" w:cs="cmr12"/>
          <w:sz w:val="20"/>
          <w:szCs w:val="24"/>
          <w:lang w:val="en-GB" w:eastAsia="zh-TW"/>
        </w:rPr>
        <w:t>), sales growth (</w:t>
      </w:r>
      <w:r w:rsidR="00A318D1" w:rsidRPr="007048BA">
        <w:rPr>
          <w:rFonts w:eastAsia="PMingLiU" w:cs="cmr12"/>
          <w:i/>
          <w:sz w:val="20"/>
          <w:szCs w:val="24"/>
          <w:lang w:val="en-GB" w:eastAsia="zh-TW"/>
        </w:rPr>
        <w:t>SGW</w:t>
      </w:r>
      <w:r w:rsidR="00A318D1" w:rsidRPr="007048BA">
        <w:rPr>
          <w:rFonts w:eastAsia="PMingLiU" w:cs="cmr12"/>
          <w:sz w:val="20"/>
          <w:szCs w:val="24"/>
          <w:lang w:val="en-GB" w:eastAsia="zh-TW"/>
        </w:rPr>
        <w:t>), growth-resource mismatch dummy (</w:t>
      </w:r>
      <w:r w:rsidR="00A318D1" w:rsidRPr="007048BA">
        <w:rPr>
          <w:rFonts w:eastAsia="PMingLiU" w:cs="cmr12"/>
          <w:i/>
          <w:sz w:val="20"/>
          <w:szCs w:val="24"/>
          <w:lang w:val="en-GB" w:eastAsia="zh-TW"/>
        </w:rPr>
        <w:t>GRD</w:t>
      </w:r>
      <w:r w:rsidR="00A318D1" w:rsidRPr="007048BA">
        <w:rPr>
          <w:rFonts w:eastAsia="PMingLiU" w:cs="cmr12"/>
          <w:sz w:val="20"/>
          <w:szCs w:val="24"/>
          <w:lang w:val="en-GB" w:eastAsia="zh-TW"/>
        </w:rPr>
        <w:t>), industry disturbance dummy (</w:t>
      </w:r>
      <w:r w:rsidR="00A318D1" w:rsidRPr="007048BA">
        <w:rPr>
          <w:rFonts w:eastAsia="PMingLiU" w:cs="cmr12"/>
          <w:i/>
          <w:sz w:val="20"/>
          <w:szCs w:val="24"/>
          <w:lang w:val="en-GB" w:eastAsia="zh-TW"/>
        </w:rPr>
        <w:t>IDD</w:t>
      </w:r>
      <w:r w:rsidR="00A318D1" w:rsidRPr="007048BA">
        <w:rPr>
          <w:rFonts w:eastAsia="PMingLiU" w:cs="cmr12"/>
          <w:sz w:val="20"/>
          <w:szCs w:val="24"/>
          <w:lang w:val="en-GB" w:eastAsia="zh-TW"/>
        </w:rPr>
        <w:t>), free cash flow (</w:t>
      </w:r>
      <w:r w:rsidR="00A318D1" w:rsidRPr="007048BA">
        <w:rPr>
          <w:rFonts w:eastAsia="PMingLiU" w:cs="cmr12"/>
          <w:i/>
          <w:sz w:val="20"/>
          <w:szCs w:val="24"/>
          <w:lang w:val="en-GB" w:eastAsia="zh-TW"/>
        </w:rPr>
        <w:t>FCF</w:t>
      </w:r>
      <w:r w:rsidR="00A318D1" w:rsidRPr="007048BA">
        <w:rPr>
          <w:rFonts w:eastAsia="PMingLiU" w:cs="cmr12"/>
          <w:sz w:val="20"/>
          <w:szCs w:val="24"/>
          <w:lang w:val="en-GB" w:eastAsia="zh-TW"/>
        </w:rPr>
        <w:t>), proportion of tangible assets (</w:t>
      </w:r>
      <w:r w:rsidR="00A318D1" w:rsidRPr="007048BA">
        <w:rPr>
          <w:rFonts w:eastAsia="PMingLiU" w:cs="cmr12"/>
          <w:i/>
          <w:sz w:val="20"/>
          <w:szCs w:val="24"/>
          <w:lang w:val="en-GB" w:eastAsia="zh-TW"/>
        </w:rPr>
        <w:t>TANG</w:t>
      </w:r>
      <w:r w:rsidR="00A318D1" w:rsidRPr="007048BA">
        <w:rPr>
          <w:rFonts w:eastAsia="PMingLiU" w:cs="cmr12"/>
          <w:sz w:val="20"/>
          <w:szCs w:val="24"/>
          <w:lang w:val="en-GB" w:eastAsia="zh-TW"/>
        </w:rPr>
        <w:t>), firm size (</w:t>
      </w:r>
      <w:r w:rsidR="00A318D1" w:rsidRPr="007048BA">
        <w:rPr>
          <w:rFonts w:eastAsia="PMingLiU" w:cs="cmr12"/>
          <w:i/>
          <w:sz w:val="20"/>
          <w:szCs w:val="24"/>
          <w:lang w:val="en-GB" w:eastAsia="zh-TW"/>
        </w:rPr>
        <w:t>SIZE</w:t>
      </w:r>
      <w:r w:rsidR="00A318D1" w:rsidRPr="007048BA">
        <w:rPr>
          <w:rFonts w:eastAsia="PMingLiU" w:cs="cmr12"/>
          <w:sz w:val="20"/>
          <w:szCs w:val="24"/>
          <w:lang w:val="en-GB" w:eastAsia="zh-TW"/>
        </w:rPr>
        <w:t>), firm age (</w:t>
      </w:r>
      <w:r w:rsidR="00A318D1" w:rsidRPr="007048BA">
        <w:rPr>
          <w:rFonts w:eastAsia="PMingLiU" w:cs="cmr12"/>
          <w:i/>
          <w:sz w:val="20"/>
          <w:szCs w:val="24"/>
          <w:lang w:val="en-GB" w:eastAsia="zh-TW"/>
        </w:rPr>
        <w:t>AGE</w:t>
      </w:r>
      <w:r w:rsidR="00A318D1" w:rsidRPr="007048BA">
        <w:rPr>
          <w:rFonts w:eastAsia="PMingLiU" w:cs="cmr12"/>
          <w:sz w:val="20"/>
          <w:szCs w:val="24"/>
          <w:lang w:val="en-GB" w:eastAsia="zh-TW"/>
        </w:rPr>
        <w:t>), Herfindahl-Hirschman Index (</w:t>
      </w:r>
      <w:r w:rsidR="00A318D1" w:rsidRPr="007048BA">
        <w:rPr>
          <w:rFonts w:eastAsia="PMingLiU" w:cs="cmr12"/>
          <w:i/>
          <w:sz w:val="20"/>
          <w:szCs w:val="24"/>
          <w:lang w:val="en-GB" w:eastAsia="zh-TW"/>
        </w:rPr>
        <w:t>HHI</w:t>
      </w:r>
      <w:r w:rsidR="00A318D1" w:rsidRPr="007048BA">
        <w:rPr>
          <w:rFonts w:eastAsia="PMingLiU" w:cs="cmr12"/>
          <w:sz w:val="20"/>
          <w:szCs w:val="24"/>
          <w:lang w:val="en-GB" w:eastAsia="zh-TW"/>
        </w:rPr>
        <w:t>), block holders dummy (</w:t>
      </w:r>
      <w:r w:rsidR="00A318D1" w:rsidRPr="007048BA">
        <w:rPr>
          <w:rFonts w:eastAsia="PMingLiU" w:cs="cmr12"/>
          <w:i/>
          <w:sz w:val="20"/>
          <w:szCs w:val="24"/>
          <w:lang w:val="en-GB" w:eastAsia="zh-TW"/>
        </w:rPr>
        <w:t>BLOC</w:t>
      </w:r>
      <w:r w:rsidR="00A318D1" w:rsidRPr="007048BA">
        <w:rPr>
          <w:rFonts w:eastAsia="PMingLiU" w:cs="cmr12"/>
          <w:sz w:val="20"/>
          <w:szCs w:val="24"/>
          <w:lang w:val="en-GB" w:eastAsia="zh-TW"/>
        </w:rPr>
        <w:t>), rumour dummy (</w:t>
      </w:r>
      <w:r w:rsidR="00A318D1" w:rsidRPr="007048BA">
        <w:rPr>
          <w:rFonts w:eastAsia="PMingLiU" w:cs="cmr12"/>
          <w:i/>
          <w:sz w:val="20"/>
          <w:szCs w:val="24"/>
          <w:lang w:val="en-GB" w:eastAsia="zh-TW"/>
        </w:rPr>
        <w:t>RUM</w:t>
      </w:r>
      <w:r w:rsidR="00A318D1" w:rsidRPr="007048BA">
        <w:rPr>
          <w:rFonts w:eastAsia="PMingLiU" w:cs="cmr12"/>
          <w:sz w:val="20"/>
          <w:szCs w:val="24"/>
          <w:lang w:val="en-GB" w:eastAsia="zh-TW"/>
        </w:rPr>
        <w:t>), price momentum (</w:t>
      </w:r>
      <w:r w:rsidR="00A318D1" w:rsidRPr="007048BA">
        <w:rPr>
          <w:rFonts w:eastAsia="PMingLiU" w:cs="cmr12"/>
          <w:i/>
          <w:sz w:val="20"/>
          <w:szCs w:val="24"/>
          <w:lang w:val="en-GB" w:eastAsia="zh-TW"/>
        </w:rPr>
        <w:t>MOM</w:t>
      </w:r>
      <w:r w:rsidR="00A318D1" w:rsidRPr="007048BA">
        <w:rPr>
          <w:rFonts w:eastAsia="PMingLiU" w:cs="cmr12"/>
          <w:sz w:val="20"/>
          <w:szCs w:val="24"/>
          <w:lang w:val="en-GB" w:eastAsia="zh-TW"/>
        </w:rPr>
        <w:t>), trading volume (</w:t>
      </w:r>
      <w:r w:rsidR="00A318D1" w:rsidRPr="007048BA">
        <w:rPr>
          <w:rFonts w:eastAsia="PMingLiU" w:cs="cmr12"/>
          <w:i/>
          <w:sz w:val="20"/>
          <w:szCs w:val="24"/>
          <w:lang w:val="en-GB" w:eastAsia="zh-TW"/>
        </w:rPr>
        <w:t>TVOL</w:t>
      </w:r>
      <w:r w:rsidR="00A318D1" w:rsidRPr="007048BA">
        <w:rPr>
          <w:rFonts w:eastAsia="PMingLiU" w:cs="cmr12"/>
          <w:sz w:val="20"/>
          <w:szCs w:val="24"/>
          <w:lang w:val="en-GB" w:eastAsia="zh-TW"/>
        </w:rPr>
        <w:t>) and market sentiment (</w:t>
      </w:r>
      <w:r w:rsidR="00A318D1" w:rsidRPr="007048BA">
        <w:rPr>
          <w:rFonts w:eastAsia="PMingLiU" w:cs="cmr12"/>
          <w:i/>
          <w:sz w:val="20"/>
          <w:szCs w:val="24"/>
          <w:lang w:val="en-GB" w:eastAsia="zh-TW"/>
        </w:rPr>
        <w:t>SENT</w:t>
      </w:r>
      <w:r w:rsidR="00A318D1" w:rsidRPr="007048BA">
        <w:rPr>
          <w:rFonts w:eastAsia="PMingLiU" w:cs="cmr12"/>
          <w:sz w:val="20"/>
          <w:szCs w:val="24"/>
          <w:lang w:val="en-GB" w:eastAsia="zh-TW"/>
        </w:rPr>
        <w:t>).</w:t>
      </w:r>
      <w:r w:rsidR="0060367E" w:rsidRPr="007048BA">
        <w:rPr>
          <w:rFonts w:eastAsia="PMingLiU" w:cs="cmr12"/>
          <w:sz w:val="20"/>
          <w:szCs w:val="24"/>
          <w:lang w:val="en-GB" w:eastAsia="zh-TW"/>
        </w:rPr>
        <w:t xml:space="preserve"> The variables are fully defined in Appendix 1. </w:t>
      </w:r>
      <w:r w:rsidR="0060367E" w:rsidRPr="007048BA">
        <w:rPr>
          <w:rFonts w:eastAsia="PMingLiU" w:cs="Times New Roman"/>
          <w:sz w:val="20"/>
          <w:szCs w:val="24"/>
          <w:lang w:val="en-GB" w:eastAsia="zh-TW"/>
        </w:rPr>
        <w:t>Six (6) comparisons (i.e., one-way ANOVA tests) are conducted in each case (M&amp;E, H&amp;E, P&amp;E, M&amp;H, P&amp;M and P&amp;H). The results of significance testing (at the 10% level) are summarised in the last column. Here, the cases with a statistically significant difference are noted. We use “All pairs” to indicate a statistically significant difference across all 6 cases. We also use “ex” to indicate any exclusions or cases where the difference is not statistically significant.</w:t>
      </w:r>
    </w:p>
    <w:p w14:paraId="769C14B9" w14:textId="77777777" w:rsidR="00EB10DA" w:rsidRPr="007048BA" w:rsidRDefault="00EB10DA" w:rsidP="006737BB">
      <w:pPr>
        <w:autoSpaceDE w:val="0"/>
        <w:autoSpaceDN w:val="0"/>
        <w:adjustRightInd w:val="0"/>
        <w:spacing w:after="0" w:line="240" w:lineRule="auto"/>
        <w:ind w:firstLine="0"/>
        <w:rPr>
          <w:rFonts w:eastAsia="PMingLiU" w:cs="Times New Roman"/>
          <w:sz w:val="20"/>
          <w:szCs w:val="24"/>
          <w:lang w:val="en-GB" w:eastAsia="zh-TW"/>
        </w:rPr>
      </w:pPr>
    </w:p>
    <w:p w14:paraId="01095BAF" w14:textId="0CF55C75" w:rsidR="00EB10DA" w:rsidRPr="007048BA" w:rsidRDefault="00EB10DA" w:rsidP="006737BB">
      <w:pPr>
        <w:autoSpaceDE w:val="0"/>
        <w:autoSpaceDN w:val="0"/>
        <w:adjustRightInd w:val="0"/>
        <w:spacing w:after="0" w:line="240" w:lineRule="auto"/>
        <w:ind w:firstLine="0"/>
        <w:rPr>
          <w:rFonts w:eastAsia="PMingLiU" w:cs="Times New Roman"/>
          <w:b/>
          <w:szCs w:val="24"/>
          <w:lang w:val="en-GB" w:eastAsia="zh-TW"/>
        </w:rPr>
      </w:pPr>
      <w:r w:rsidRPr="007048BA">
        <w:rPr>
          <w:rFonts w:eastAsia="PMingLiU" w:cs="Times New Roman"/>
          <w:b/>
          <w:szCs w:val="24"/>
          <w:lang w:val="en-GB" w:eastAsia="zh-TW"/>
        </w:rPr>
        <w:t>Panel A: Differences in mean</w:t>
      </w:r>
    </w:p>
    <w:p w14:paraId="2744FF53" w14:textId="77777777" w:rsidR="00EB10DA" w:rsidRPr="007048BA" w:rsidRDefault="00EB10DA" w:rsidP="006737BB">
      <w:pPr>
        <w:autoSpaceDE w:val="0"/>
        <w:autoSpaceDN w:val="0"/>
        <w:adjustRightInd w:val="0"/>
        <w:spacing w:after="0" w:line="240" w:lineRule="auto"/>
        <w:ind w:firstLine="0"/>
        <w:rPr>
          <w:lang w:val="en-GB" w:eastAsia="zh-TW"/>
        </w:rPr>
      </w:pPr>
    </w:p>
    <w:tbl>
      <w:tblPr>
        <w:tblW w:w="0" w:type="auto"/>
        <w:tblBorders>
          <w:top w:val="single" w:sz="4" w:space="0" w:color="auto"/>
          <w:bottom w:val="single" w:sz="4" w:space="0" w:color="auto"/>
        </w:tblBorders>
        <w:tblLook w:val="04A0" w:firstRow="1" w:lastRow="0" w:firstColumn="1" w:lastColumn="0" w:noHBand="0" w:noVBand="1"/>
      </w:tblPr>
      <w:tblGrid>
        <w:gridCol w:w="843"/>
        <w:gridCol w:w="1063"/>
        <w:gridCol w:w="1396"/>
        <w:gridCol w:w="1663"/>
        <w:gridCol w:w="1463"/>
        <w:gridCol w:w="2043"/>
      </w:tblGrid>
      <w:tr w:rsidR="006737BB" w:rsidRPr="007048BA" w14:paraId="011D89EE" w14:textId="77777777" w:rsidTr="00FF0F5D">
        <w:trPr>
          <w:trHeight w:val="315"/>
        </w:trPr>
        <w:tc>
          <w:tcPr>
            <w:tcW w:w="0" w:type="auto"/>
            <w:tcBorders>
              <w:top w:val="single" w:sz="4" w:space="0" w:color="auto"/>
              <w:bottom w:val="single" w:sz="4" w:space="0" w:color="auto"/>
            </w:tcBorders>
            <w:shd w:val="clear" w:color="auto" w:fill="auto"/>
            <w:noWrap/>
            <w:vAlign w:val="bottom"/>
            <w:hideMark/>
          </w:tcPr>
          <w:p w14:paraId="0478C0D8" w14:textId="47656A3A" w:rsidR="006737BB" w:rsidRPr="007048BA" w:rsidRDefault="006737BB" w:rsidP="006737BB">
            <w:pPr>
              <w:spacing w:after="0" w:line="240" w:lineRule="auto"/>
              <w:ind w:firstLine="0"/>
              <w:jc w:val="left"/>
              <w:rPr>
                <w:rFonts w:eastAsia="Times New Roman" w:cs="Times New Roman"/>
                <w:b/>
                <w:color w:val="000000"/>
                <w:szCs w:val="24"/>
                <w:lang w:val="en-GB" w:eastAsia="en-GB"/>
              </w:rPr>
            </w:pPr>
          </w:p>
        </w:tc>
        <w:tc>
          <w:tcPr>
            <w:tcW w:w="0" w:type="auto"/>
            <w:tcBorders>
              <w:top w:val="single" w:sz="4" w:space="0" w:color="auto"/>
              <w:bottom w:val="single" w:sz="4" w:space="0" w:color="auto"/>
            </w:tcBorders>
            <w:shd w:val="clear" w:color="auto" w:fill="auto"/>
            <w:noWrap/>
            <w:hideMark/>
          </w:tcPr>
          <w:p w14:paraId="278AD53E" w14:textId="19C3FF17" w:rsidR="006737BB" w:rsidRPr="007048BA" w:rsidRDefault="00421037" w:rsidP="006737BB">
            <w:pPr>
              <w:spacing w:after="0" w:line="240" w:lineRule="auto"/>
              <w:ind w:firstLine="0"/>
              <w:jc w:val="right"/>
              <w:rPr>
                <w:rFonts w:eastAsia="Times New Roman" w:cs="Times New Roman"/>
                <w:b/>
                <w:color w:val="000000"/>
                <w:szCs w:val="24"/>
                <w:lang w:val="en-GB" w:eastAsia="en-GB"/>
              </w:rPr>
            </w:pPr>
            <w:r w:rsidRPr="007048BA">
              <w:rPr>
                <w:rFonts w:eastAsia="PMingLiU" w:cs="Times New Roman"/>
                <w:b/>
                <w:i/>
                <w:szCs w:val="24"/>
                <w:lang w:val="en-GB"/>
              </w:rPr>
              <w:t>P</w:t>
            </w:r>
            <w:r w:rsidR="00ED262D" w:rsidRPr="007048BA">
              <w:rPr>
                <w:rFonts w:eastAsia="PMingLiU" w:cs="Times New Roman"/>
                <w:b/>
                <w:i/>
                <w:szCs w:val="24"/>
                <w:lang w:val="en-GB"/>
              </w:rPr>
              <w:t>oor</w:t>
            </w:r>
            <w:r w:rsidR="006737BB" w:rsidRPr="007048BA">
              <w:rPr>
                <w:rFonts w:eastAsia="PMingLiU" w:cs="Times New Roman"/>
                <w:b/>
                <w:i/>
                <w:szCs w:val="24"/>
                <w:lang w:val="en-GB"/>
              </w:rPr>
              <w:t xml:space="preserve"> (P)</w:t>
            </w:r>
          </w:p>
        </w:tc>
        <w:tc>
          <w:tcPr>
            <w:tcW w:w="0" w:type="auto"/>
            <w:tcBorders>
              <w:top w:val="single" w:sz="4" w:space="0" w:color="auto"/>
              <w:bottom w:val="single" w:sz="4" w:space="0" w:color="auto"/>
            </w:tcBorders>
            <w:shd w:val="clear" w:color="auto" w:fill="auto"/>
            <w:noWrap/>
            <w:hideMark/>
          </w:tcPr>
          <w:p w14:paraId="14237CE6" w14:textId="4E840D05" w:rsidR="006737BB" w:rsidRPr="007048BA" w:rsidRDefault="00421037" w:rsidP="006737BB">
            <w:pPr>
              <w:spacing w:after="0" w:line="240" w:lineRule="auto"/>
              <w:ind w:firstLine="0"/>
              <w:jc w:val="right"/>
              <w:rPr>
                <w:rFonts w:eastAsia="Times New Roman" w:cs="Times New Roman"/>
                <w:b/>
                <w:color w:val="000000"/>
                <w:szCs w:val="24"/>
                <w:lang w:val="en-GB" w:eastAsia="en-GB"/>
              </w:rPr>
            </w:pPr>
            <w:r w:rsidRPr="007048BA">
              <w:rPr>
                <w:rFonts w:eastAsia="PMingLiU" w:cs="Times New Roman"/>
                <w:b/>
                <w:i/>
                <w:szCs w:val="24"/>
                <w:lang w:val="en-GB"/>
              </w:rPr>
              <w:t>M</w:t>
            </w:r>
            <w:r w:rsidR="00ED262D" w:rsidRPr="007048BA">
              <w:rPr>
                <w:rFonts w:eastAsia="PMingLiU" w:cs="Times New Roman"/>
                <w:b/>
                <w:i/>
                <w:szCs w:val="24"/>
                <w:lang w:val="en-GB"/>
              </w:rPr>
              <w:t>yopia</w:t>
            </w:r>
            <w:r w:rsidR="006737BB" w:rsidRPr="007048BA">
              <w:rPr>
                <w:rFonts w:eastAsia="PMingLiU" w:cs="Times New Roman"/>
                <w:b/>
                <w:i/>
                <w:szCs w:val="24"/>
                <w:lang w:val="en-GB"/>
              </w:rPr>
              <w:t xml:space="preserve"> (M)</w:t>
            </w:r>
          </w:p>
        </w:tc>
        <w:tc>
          <w:tcPr>
            <w:tcW w:w="0" w:type="auto"/>
            <w:tcBorders>
              <w:top w:val="single" w:sz="4" w:space="0" w:color="auto"/>
              <w:bottom w:val="single" w:sz="4" w:space="0" w:color="auto"/>
            </w:tcBorders>
            <w:shd w:val="clear" w:color="auto" w:fill="auto"/>
            <w:noWrap/>
            <w:hideMark/>
          </w:tcPr>
          <w:p w14:paraId="307B4112" w14:textId="07D9DB0E" w:rsidR="006737BB" w:rsidRPr="007048BA" w:rsidRDefault="00421037" w:rsidP="006737BB">
            <w:pPr>
              <w:spacing w:after="0" w:line="240" w:lineRule="auto"/>
              <w:ind w:firstLine="0"/>
              <w:jc w:val="right"/>
              <w:rPr>
                <w:rFonts w:eastAsia="Times New Roman" w:cs="Times New Roman"/>
                <w:b/>
                <w:color w:val="000000"/>
                <w:szCs w:val="24"/>
                <w:lang w:val="en-GB" w:eastAsia="en-GB"/>
              </w:rPr>
            </w:pPr>
            <w:r w:rsidRPr="007048BA">
              <w:rPr>
                <w:rFonts w:eastAsia="PMingLiU" w:cs="Times New Roman"/>
                <w:b/>
                <w:i/>
                <w:szCs w:val="24"/>
                <w:lang w:val="en-GB"/>
              </w:rPr>
              <w:t>H</w:t>
            </w:r>
            <w:r w:rsidR="00ED262D" w:rsidRPr="007048BA">
              <w:rPr>
                <w:rFonts w:eastAsia="PMingLiU" w:cs="Times New Roman"/>
                <w:b/>
                <w:i/>
                <w:szCs w:val="24"/>
                <w:lang w:val="en-GB"/>
              </w:rPr>
              <w:t>yperopia</w:t>
            </w:r>
            <w:r w:rsidR="006737BB" w:rsidRPr="007048BA">
              <w:rPr>
                <w:rFonts w:eastAsia="PMingLiU" w:cs="Times New Roman"/>
                <w:b/>
                <w:i/>
                <w:szCs w:val="24"/>
                <w:lang w:val="en-GB"/>
              </w:rPr>
              <w:t xml:space="preserve"> (H)</w:t>
            </w:r>
          </w:p>
        </w:tc>
        <w:tc>
          <w:tcPr>
            <w:tcW w:w="0" w:type="auto"/>
            <w:tcBorders>
              <w:top w:val="single" w:sz="4" w:space="0" w:color="auto"/>
              <w:bottom w:val="single" w:sz="4" w:space="0" w:color="auto"/>
            </w:tcBorders>
            <w:shd w:val="clear" w:color="auto" w:fill="auto"/>
            <w:noWrap/>
            <w:hideMark/>
          </w:tcPr>
          <w:p w14:paraId="037C2E41" w14:textId="7F76FD4E" w:rsidR="006737BB" w:rsidRPr="007048BA" w:rsidRDefault="00421037" w:rsidP="006737BB">
            <w:pPr>
              <w:spacing w:after="0" w:line="240" w:lineRule="auto"/>
              <w:ind w:firstLine="0"/>
              <w:jc w:val="right"/>
              <w:rPr>
                <w:rFonts w:eastAsia="Times New Roman" w:cs="Times New Roman"/>
                <w:b/>
                <w:color w:val="000000"/>
                <w:szCs w:val="24"/>
                <w:lang w:val="en-GB" w:eastAsia="en-GB"/>
              </w:rPr>
            </w:pPr>
            <w:r w:rsidRPr="007048BA">
              <w:rPr>
                <w:rFonts w:eastAsia="PMingLiU" w:cs="Times New Roman"/>
                <w:b/>
                <w:i/>
                <w:szCs w:val="24"/>
                <w:lang w:val="en-GB"/>
              </w:rPr>
              <w:t>E</w:t>
            </w:r>
            <w:r w:rsidR="00ED262D" w:rsidRPr="007048BA">
              <w:rPr>
                <w:rFonts w:eastAsia="PMingLiU" w:cs="Times New Roman"/>
                <w:b/>
                <w:i/>
                <w:szCs w:val="24"/>
                <w:lang w:val="en-GB"/>
              </w:rPr>
              <w:t>fficient</w:t>
            </w:r>
            <w:r w:rsidR="006737BB" w:rsidRPr="007048BA">
              <w:rPr>
                <w:rFonts w:eastAsia="PMingLiU" w:cs="Times New Roman"/>
                <w:b/>
                <w:i/>
                <w:szCs w:val="24"/>
                <w:lang w:val="en-GB"/>
              </w:rPr>
              <w:t xml:space="preserve"> (E)</w:t>
            </w:r>
          </w:p>
        </w:tc>
        <w:tc>
          <w:tcPr>
            <w:tcW w:w="0" w:type="auto"/>
            <w:tcBorders>
              <w:top w:val="single" w:sz="4" w:space="0" w:color="auto"/>
              <w:bottom w:val="single" w:sz="4" w:space="0" w:color="auto"/>
            </w:tcBorders>
            <w:shd w:val="clear" w:color="auto" w:fill="auto"/>
            <w:noWrap/>
            <w:hideMark/>
          </w:tcPr>
          <w:p w14:paraId="343F8383" w14:textId="77777777" w:rsidR="006737BB" w:rsidRPr="007048BA" w:rsidRDefault="006737BB" w:rsidP="006737BB">
            <w:pPr>
              <w:widowControl w:val="0"/>
              <w:autoSpaceDE w:val="0"/>
              <w:autoSpaceDN w:val="0"/>
              <w:adjustRightInd w:val="0"/>
              <w:spacing w:after="0" w:line="240" w:lineRule="auto"/>
              <w:ind w:firstLine="0"/>
              <w:jc w:val="center"/>
              <w:rPr>
                <w:rFonts w:eastAsia="PMingLiU" w:cs="Times New Roman"/>
                <w:b/>
                <w:i/>
                <w:szCs w:val="24"/>
                <w:lang w:val="en-GB"/>
              </w:rPr>
            </w:pPr>
            <w:r w:rsidRPr="007048BA">
              <w:rPr>
                <w:rFonts w:eastAsia="PMingLiU" w:cs="Times New Roman"/>
                <w:b/>
                <w:i/>
                <w:szCs w:val="24"/>
                <w:lang w:val="en-GB"/>
              </w:rPr>
              <w:t>Significance tests</w:t>
            </w:r>
          </w:p>
          <w:p w14:paraId="4E071781" w14:textId="03A50AF1" w:rsidR="006737BB" w:rsidRPr="007048BA" w:rsidRDefault="006737BB" w:rsidP="006737BB">
            <w:pPr>
              <w:spacing w:after="0" w:line="240" w:lineRule="auto"/>
              <w:ind w:firstLine="0"/>
              <w:jc w:val="right"/>
              <w:rPr>
                <w:rFonts w:eastAsia="Times New Roman" w:cs="Times New Roman"/>
                <w:b/>
                <w:color w:val="000000"/>
                <w:szCs w:val="24"/>
                <w:lang w:val="en-GB" w:eastAsia="en-GB"/>
              </w:rPr>
            </w:pPr>
            <w:r w:rsidRPr="007048BA">
              <w:rPr>
                <w:rFonts w:eastAsia="PMingLiU" w:cs="Times New Roman"/>
                <w:b/>
                <w:i/>
                <w:szCs w:val="24"/>
                <w:lang w:val="en-GB"/>
              </w:rPr>
              <w:t>(at 10% level)</w:t>
            </w:r>
          </w:p>
        </w:tc>
      </w:tr>
      <w:tr w:rsidR="006737BB" w:rsidRPr="007048BA" w14:paraId="14308324" w14:textId="77777777" w:rsidTr="00FF0F5D">
        <w:trPr>
          <w:trHeight w:val="315"/>
        </w:trPr>
        <w:tc>
          <w:tcPr>
            <w:tcW w:w="0" w:type="auto"/>
            <w:tcBorders>
              <w:top w:val="single" w:sz="4" w:space="0" w:color="auto"/>
            </w:tcBorders>
            <w:shd w:val="clear" w:color="auto" w:fill="auto"/>
            <w:noWrap/>
            <w:vAlign w:val="bottom"/>
            <w:hideMark/>
          </w:tcPr>
          <w:p w14:paraId="65412FAC" w14:textId="77777777" w:rsidR="006737BB" w:rsidRPr="007048BA" w:rsidRDefault="006737BB" w:rsidP="006737B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ROCE</w:t>
            </w:r>
          </w:p>
        </w:tc>
        <w:tc>
          <w:tcPr>
            <w:tcW w:w="0" w:type="auto"/>
            <w:tcBorders>
              <w:top w:val="single" w:sz="4" w:space="0" w:color="auto"/>
            </w:tcBorders>
            <w:shd w:val="clear" w:color="auto" w:fill="auto"/>
            <w:noWrap/>
            <w:vAlign w:val="bottom"/>
            <w:hideMark/>
          </w:tcPr>
          <w:p w14:paraId="10CECCE1"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-0.258</w:t>
            </w:r>
          </w:p>
        </w:tc>
        <w:tc>
          <w:tcPr>
            <w:tcW w:w="0" w:type="auto"/>
            <w:tcBorders>
              <w:top w:val="single" w:sz="4" w:space="0" w:color="auto"/>
            </w:tcBorders>
            <w:shd w:val="clear" w:color="auto" w:fill="auto"/>
            <w:noWrap/>
            <w:vAlign w:val="bottom"/>
            <w:hideMark/>
          </w:tcPr>
          <w:p w14:paraId="68968830"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0.183</w:t>
            </w:r>
          </w:p>
        </w:tc>
        <w:tc>
          <w:tcPr>
            <w:tcW w:w="0" w:type="auto"/>
            <w:tcBorders>
              <w:top w:val="single" w:sz="4" w:space="0" w:color="auto"/>
            </w:tcBorders>
            <w:shd w:val="clear" w:color="auto" w:fill="auto"/>
            <w:noWrap/>
            <w:vAlign w:val="bottom"/>
            <w:hideMark/>
          </w:tcPr>
          <w:p w14:paraId="71F378F8"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-0.277</w:t>
            </w:r>
          </w:p>
        </w:tc>
        <w:tc>
          <w:tcPr>
            <w:tcW w:w="0" w:type="auto"/>
            <w:tcBorders>
              <w:top w:val="single" w:sz="4" w:space="0" w:color="auto"/>
            </w:tcBorders>
            <w:shd w:val="clear" w:color="auto" w:fill="auto"/>
            <w:noWrap/>
            <w:vAlign w:val="bottom"/>
            <w:hideMark/>
          </w:tcPr>
          <w:p w14:paraId="2474B2A3"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0.202</w:t>
            </w:r>
          </w:p>
        </w:tc>
        <w:tc>
          <w:tcPr>
            <w:tcW w:w="0" w:type="auto"/>
            <w:tcBorders>
              <w:top w:val="single" w:sz="4" w:space="0" w:color="auto"/>
            </w:tcBorders>
            <w:shd w:val="clear" w:color="auto" w:fill="auto"/>
            <w:noWrap/>
            <w:hideMark/>
          </w:tcPr>
          <w:p w14:paraId="2BF5EA76" w14:textId="69D0B82A" w:rsidR="006737BB" w:rsidRPr="007048BA" w:rsidRDefault="004221F0" w:rsidP="006737BB">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ex P&amp;H, M&amp;E</w:t>
            </w:r>
          </w:p>
        </w:tc>
      </w:tr>
      <w:tr w:rsidR="006737BB" w:rsidRPr="007048BA" w14:paraId="370A3005" w14:textId="77777777" w:rsidTr="00FF0F5D">
        <w:trPr>
          <w:trHeight w:val="315"/>
        </w:trPr>
        <w:tc>
          <w:tcPr>
            <w:tcW w:w="0" w:type="auto"/>
            <w:shd w:val="clear" w:color="auto" w:fill="auto"/>
            <w:noWrap/>
            <w:vAlign w:val="bottom"/>
            <w:hideMark/>
          </w:tcPr>
          <w:p w14:paraId="2423C07D" w14:textId="77777777" w:rsidR="006737BB" w:rsidRPr="007048BA" w:rsidRDefault="006737BB" w:rsidP="006737B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AAR</w:t>
            </w:r>
          </w:p>
        </w:tc>
        <w:tc>
          <w:tcPr>
            <w:tcW w:w="0" w:type="auto"/>
            <w:shd w:val="clear" w:color="auto" w:fill="auto"/>
            <w:noWrap/>
            <w:vAlign w:val="bottom"/>
            <w:hideMark/>
          </w:tcPr>
          <w:p w14:paraId="0A9C4F09"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-0.002</w:t>
            </w:r>
          </w:p>
        </w:tc>
        <w:tc>
          <w:tcPr>
            <w:tcW w:w="0" w:type="auto"/>
            <w:shd w:val="clear" w:color="auto" w:fill="auto"/>
            <w:noWrap/>
            <w:vAlign w:val="bottom"/>
            <w:hideMark/>
          </w:tcPr>
          <w:p w14:paraId="2990B4A8"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-0.001</w:t>
            </w:r>
          </w:p>
        </w:tc>
        <w:tc>
          <w:tcPr>
            <w:tcW w:w="0" w:type="auto"/>
            <w:shd w:val="clear" w:color="auto" w:fill="auto"/>
            <w:noWrap/>
            <w:vAlign w:val="bottom"/>
            <w:hideMark/>
          </w:tcPr>
          <w:p w14:paraId="2F6F6733"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0.002</w:t>
            </w:r>
          </w:p>
        </w:tc>
        <w:tc>
          <w:tcPr>
            <w:tcW w:w="0" w:type="auto"/>
            <w:shd w:val="clear" w:color="auto" w:fill="auto"/>
            <w:noWrap/>
            <w:vAlign w:val="bottom"/>
            <w:hideMark/>
          </w:tcPr>
          <w:p w14:paraId="5FD6E505"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0.001</w:t>
            </w:r>
          </w:p>
        </w:tc>
        <w:tc>
          <w:tcPr>
            <w:tcW w:w="0" w:type="auto"/>
            <w:shd w:val="clear" w:color="auto" w:fill="auto"/>
            <w:noWrap/>
            <w:hideMark/>
          </w:tcPr>
          <w:p w14:paraId="521CD452" w14:textId="3E4D89D4"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pairs</w:t>
            </w:r>
          </w:p>
        </w:tc>
      </w:tr>
      <w:tr w:rsidR="006737BB" w:rsidRPr="007048BA" w14:paraId="34FDE10E" w14:textId="77777777" w:rsidTr="00FF0F5D">
        <w:trPr>
          <w:trHeight w:val="315"/>
        </w:trPr>
        <w:tc>
          <w:tcPr>
            <w:tcW w:w="0" w:type="auto"/>
            <w:shd w:val="clear" w:color="auto" w:fill="auto"/>
            <w:noWrap/>
            <w:vAlign w:val="bottom"/>
            <w:hideMark/>
          </w:tcPr>
          <w:p w14:paraId="1CE10EAE" w14:textId="77777777" w:rsidR="006737BB" w:rsidRPr="007048BA" w:rsidRDefault="006737BB" w:rsidP="006737B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TBQ</w:t>
            </w:r>
          </w:p>
        </w:tc>
        <w:tc>
          <w:tcPr>
            <w:tcW w:w="0" w:type="auto"/>
            <w:shd w:val="clear" w:color="auto" w:fill="auto"/>
            <w:noWrap/>
            <w:vAlign w:val="bottom"/>
            <w:hideMark/>
          </w:tcPr>
          <w:p w14:paraId="00FCDB0B"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2.303</w:t>
            </w:r>
          </w:p>
        </w:tc>
        <w:tc>
          <w:tcPr>
            <w:tcW w:w="0" w:type="auto"/>
            <w:shd w:val="clear" w:color="auto" w:fill="auto"/>
            <w:noWrap/>
            <w:vAlign w:val="bottom"/>
            <w:hideMark/>
          </w:tcPr>
          <w:p w14:paraId="7F6BE073"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1.926</w:t>
            </w:r>
          </w:p>
        </w:tc>
        <w:tc>
          <w:tcPr>
            <w:tcW w:w="0" w:type="auto"/>
            <w:shd w:val="clear" w:color="auto" w:fill="auto"/>
            <w:noWrap/>
            <w:vAlign w:val="bottom"/>
            <w:hideMark/>
          </w:tcPr>
          <w:p w14:paraId="688EA977"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2.115</w:t>
            </w:r>
          </w:p>
        </w:tc>
        <w:tc>
          <w:tcPr>
            <w:tcW w:w="0" w:type="auto"/>
            <w:shd w:val="clear" w:color="auto" w:fill="auto"/>
            <w:noWrap/>
            <w:vAlign w:val="bottom"/>
            <w:hideMark/>
          </w:tcPr>
          <w:p w14:paraId="44083231"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1.780</w:t>
            </w:r>
          </w:p>
        </w:tc>
        <w:tc>
          <w:tcPr>
            <w:tcW w:w="0" w:type="auto"/>
            <w:shd w:val="clear" w:color="auto" w:fill="auto"/>
            <w:noWrap/>
            <w:hideMark/>
          </w:tcPr>
          <w:p w14:paraId="097A543A" w14:textId="0205F69B" w:rsidR="006737BB" w:rsidRPr="007048BA" w:rsidRDefault="00D04CC2" w:rsidP="00D04CC2">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pairs</w:t>
            </w:r>
          </w:p>
        </w:tc>
      </w:tr>
      <w:tr w:rsidR="00706D1C" w:rsidRPr="007048BA" w14:paraId="20AC4C73" w14:textId="77777777" w:rsidTr="00FF0F5D">
        <w:trPr>
          <w:trHeight w:val="315"/>
        </w:trPr>
        <w:tc>
          <w:tcPr>
            <w:tcW w:w="0" w:type="auto"/>
            <w:shd w:val="clear" w:color="auto" w:fill="auto"/>
            <w:noWrap/>
            <w:vAlign w:val="bottom"/>
          </w:tcPr>
          <w:p w14:paraId="6C2D66ED" w14:textId="336F0F46" w:rsidR="00706D1C" w:rsidRPr="007048BA" w:rsidRDefault="00706D1C" w:rsidP="006737B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MTB</w:t>
            </w:r>
          </w:p>
        </w:tc>
        <w:tc>
          <w:tcPr>
            <w:tcW w:w="0" w:type="auto"/>
            <w:shd w:val="clear" w:color="auto" w:fill="auto"/>
            <w:noWrap/>
            <w:vAlign w:val="bottom"/>
          </w:tcPr>
          <w:p w14:paraId="24D292FA" w14:textId="35D2491B" w:rsidR="00706D1C" w:rsidRPr="007048BA" w:rsidRDefault="00706D1C"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1.938</w:t>
            </w:r>
          </w:p>
        </w:tc>
        <w:tc>
          <w:tcPr>
            <w:tcW w:w="0" w:type="auto"/>
            <w:shd w:val="clear" w:color="auto" w:fill="auto"/>
            <w:noWrap/>
            <w:vAlign w:val="bottom"/>
          </w:tcPr>
          <w:p w14:paraId="3D5D447B" w14:textId="33E679A7" w:rsidR="00706D1C" w:rsidRPr="007048BA" w:rsidRDefault="00706D1C"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1.606</w:t>
            </w:r>
          </w:p>
        </w:tc>
        <w:tc>
          <w:tcPr>
            <w:tcW w:w="0" w:type="auto"/>
            <w:shd w:val="clear" w:color="auto" w:fill="auto"/>
            <w:noWrap/>
            <w:vAlign w:val="bottom"/>
          </w:tcPr>
          <w:p w14:paraId="3E18FD59" w14:textId="31A1356A" w:rsidR="00706D1C" w:rsidRPr="007048BA" w:rsidRDefault="00706D1C"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1.935</w:t>
            </w:r>
          </w:p>
        </w:tc>
        <w:tc>
          <w:tcPr>
            <w:tcW w:w="0" w:type="auto"/>
            <w:shd w:val="clear" w:color="auto" w:fill="auto"/>
            <w:noWrap/>
            <w:vAlign w:val="bottom"/>
          </w:tcPr>
          <w:p w14:paraId="5FBC10ED" w14:textId="095B6D76" w:rsidR="00706D1C" w:rsidRPr="007048BA" w:rsidRDefault="00706D1C"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1.578</w:t>
            </w:r>
          </w:p>
        </w:tc>
        <w:tc>
          <w:tcPr>
            <w:tcW w:w="0" w:type="auto"/>
            <w:shd w:val="clear" w:color="auto" w:fill="auto"/>
            <w:noWrap/>
          </w:tcPr>
          <w:p w14:paraId="4CE24CE2" w14:textId="2A39AE3F" w:rsidR="00706D1C" w:rsidRPr="007048BA" w:rsidRDefault="00706D1C" w:rsidP="00D04CC2">
            <w:pPr>
              <w:spacing w:after="0" w:line="240" w:lineRule="auto"/>
              <w:ind w:firstLine="0"/>
              <w:jc w:val="right"/>
              <w:rPr>
                <w:rFonts w:eastAsia="PMingLiU" w:cs="Times New Roman"/>
                <w:i/>
                <w:szCs w:val="24"/>
                <w:lang w:val="en-GB"/>
              </w:rPr>
            </w:pPr>
            <w:r w:rsidRPr="007048BA">
              <w:rPr>
                <w:rFonts w:eastAsia="PMingLiU" w:cs="Times New Roman"/>
                <w:i/>
                <w:szCs w:val="24"/>
                <w:lang w:val="en-GB"/>
              </w:rPr>
              <w:t>All ex P&amp;H, M&amp;E</w:t>
            </w:r>
          </w:p>
        </w:tc>
      </w:tr>
      <w:tr w:rsidR="006737BB" w:rsidRPr="007048BA" w14:paraId="57D67069" w14:textId="77777777" w:rsidTr="00FF0F5D">
        <w:trPr>
          <w:trHeight w:val="315"/>
        </w:trPr>
        <w:tc>
          <w:tcPr>
            <w:tcW w:w="0" w:type="auto"/>
            <w:shd w:val="clear" w:color="auto" w:fill="auto"/>
            <w:noWrap/>
            <w:vAlign w:val="bottom"/>
            <w:hideMark/>
          </w:tcPr>
          <w:p w14:paraId="22DF349F" w14:textId="77777777" w:rsidR="006737BB" w:rsidRPr="007048BA" w:rsidRDefault="006737BB" w:rsidP="006737B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LIQ</w:t>
            </w:r>
          </w:p>
        </w:tc>
        <w:tc>
          <w:tcPr>
            <w:tcW w:w="0" w:type="auto"/>
            <w:shd w:val="clear" w:color="auto" w:fill="auto"/>
            <w:noWrap/>
            <w:vAlign w:val="bottom"/>
            <w:hideMark/>
          </w:tcPr>
          <w:p w14:paraId="67F281B7"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0.183</w:t>
            </w:r>
          </w:p>
        </w:tc>
        <w:tc>
          <w:tcPr>
            <w:tcW w:w="0" w:type="auto"/>
            <w:shd w:val="clear" w:color="auto" w:fill="auto"/>
            <w:noWrap/>
            <w:vAlign w:val="bottom"/>
            <w:hideMark/>
          </w:tcPr>
          <w:p w14:paraId="5D672E08"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0.127</w:t>
            </w:r>
          </w:p>
        </w:tc>
        <w:tc>
          <w:tcPr>
            <w:tcW w:w="0" w:type="auto"/>
            <w:shd w:val="clear" w:color="auto" w:fill="auto"/>
            <w:noWrap/>
            <w:vAlign w:val="bottom"/>
            <w:hideMark/>
          </w:tcPr>
          <w:p w14:paraId="5A5DDFF7"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0.211</w:t>
            </w:r>
          </w:p>
        </w:tc>
        <w:tc>
          <w:tcPr>
            <w:tcW w:w="0" w:type="auto"/>
            <w:shd w:val="clear" w:color="auto" w:fill="auto"/>
            <w:noWrap/>
            <w:vAlign w:val="bottom"/>
            <w:hideMark/>
          </w:tcPr>
          <w:p w14:paraId="5E65F89F"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0.150</w:t>
            </w:r>
          </w:p>
        </w:tc>
        <w:tc>
          <w:tcPr>
            <w:tcW w:w="0" w:type="auto"/>
            <w:shd w:val="clear" w:color="auto" w:fill="auto"/>
            <w:noWrap/>
            <w:hideMark/>
          </w:tcPr>
          <w:p w14:paraId="08FFC933" w14:textId="1BC0C476" w:rsidR="006737BB" w:rsidRPr="007048BA" w:rsidRDefault="00D04CC2" w:rsidP="006737BB">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pairs</w:t>
            </w:r>
          </w:p>
        </w:tc>
      </w:tr>
      <w:tr w:rsidR="006737BB" w:rsidRPr="007048BA" w14:paraId="4F952793" w14:textId="77777777" w:rsidTr="00FF0F5D">
        <w:trPr>
          <w:trHeight w:val="315"/>
        </w:trPr>
        <w:tc>
          <w:tcPr>
            <w:tcW w:w="0" w:type="auto"/>
            <w:shd w:val="clear" w:color="auto" w:fill="auto"/>
            <w:noWrap/>
            <w:vAlign w:val="bottom"/>
            <w:hideMark/>
          </w:tcPr>
          <w:p w14:paraId="58A33F8A" w14:textId="77777777" w:rsidR="006737BB" w:rsidRPr="007048BA" w:rsidRDefault="006737BB" w:rsidP="006737B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LEV</w:t>
            </w:r>
          </w:p>
        </w:tc>
        <w:tc>
          <w:tcPr>
            <w:tcW w:w="0" w:type="auto"/>
            <w:shd w:val="clear" w:color="auto" w:fill="auto"/>
            <w:noWrap/>
            <w:vAlign w:val="bottom"/>
            <w:hideMark/>
          </w:tcPr>
          <w:p w14:paraId="09C97158"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0.428</w:t>
            </w:r>
          </w:p>
        </w:tc>
        <w:tc>
          <w:tcPr>
            <w:tcW w:w="0" w:type="auto"/>
            <w:shd w:val="clear" w:color="auto" w:fill="auto"/>
            <w:noWrap/>
            <w:vAlign w:val="bottom"/>
            <w:hideMark/>
          </w:tcPr>
          <w:p w14:paraId="100DF924"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0.467</w:t>
            </w:r>
          </w:p>
        </w:tc>
        <w:tc>
          <w:tcPr>
            <w:tcW w:w="0" w:type="auto"/>
            <w:shd w:val="clear" w:color="auto" w:fill="auto"/>
            <w:noWrap/>
            <w:vAlign w:val="bottom"/>
            <w:hideMark/>
          </w:tcPr>
          <w:p w14:paraId="031B8817"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0.306</w:t>
            </w:r>
          </w:p>
        </w:tc>
        <w:tc>
          <w:tcPr>
            <w:tcW w:w="0" w:type="auto"/>
            <w:shd w:val="clear" w:color="auto" w:fill="auto"/>
            <w:noWrap/>
            <w:vAlign w:val="bottom"/>
            <w:hideMark/>
          </w:tcPr>
          <w:p w14:paraId="52407BB3"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0.483</w:t>
            </w:r>
          </w:p>
        </w:tc>
        <w:tc>
          <w:tcPr>
            <w:tcW w:w="0" w:type="auto"/>
            <w:shd w:val="clear" w:color="auto" w:fill="auto"/>
            <w:noWrap/>
            <w:hideMark/>
          </w:tcPr>
          <w:p w14:paraId="0ED6555A" w14:textId="21D4F709" w:rsidR="006737BB" w:rsidRPr="007048BA" w:rsidRDefault="00D04CC2" w:rsidP="00D04CC2">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 xml:space="preserve">All ex </w:t>
            </w:r>
            <w:r w:rsidR="006737BB" w:rsidRPr="007048BA">
              <w:rPr>
                <w:rFonts w:eastAsia="PMingLiU" w:cs="Times New Roman"/>
                <w:i/>
                <w:szCs w:val="24"/>
                <w:lang w:val="en-GB"/>
              </w:rPr>
              <w:t xml:space="preserve">P&amp;M, </w:t>
            </w:r>
            <w:r w:rsidRPr="007048BA">
              <w:rPr>
                <w:rFonts w:eastAsia="PMingLiU" w:cs="Times New Roman"/>
                <w:i/>
                <w:szCs w:val="24"/>
                <w:lang w:val="en-GB"/>
              </w:rPr>
              <w:t>M</w:t>
            </w:r>
            <w:r w:rsidR="006737BB" w:rsidRPr="007048BA">
              <w:rPr>
                <w:rFonts w:eastAsia="PMingLiU" w:cs="Times New Roman"/>
                <w:i/>
                <w:szCs w:val="24"/>
                <w:lang w:val="en-GB"/>
              </w:rPr>
              <w:t>&amp;H</w:t>
            </w:r>
          </w:p>
        </w:tc>
      </w:tr>
      <w:tr w:rsidR="00D04CC2" w:rsidRPr="007048BA" w14:paraId="4983EC66" w14:textId="77777777" w:rsidTr="00FF0F5D">
        <w:trPr>
          <w:trHeight w:val="315"/>
        </w:trPr>
        <w:tc>
          <w:tcPr>
            <w:tcW w:w="0" w:type="auto"/>
            <w:shd w:val="clear" w:color="auto" w:fill="auto"/>
            <w:noWrap/>
            <w:vAlign w:val="bottom"/>
            <w:hideMark/>
          </w:tcPr>
          <w:p w14:paraId="38939F6B" w14:textId="77777777" w:rsidR="00D04CC2" w:rsidRPr="007048BA" w:rsidRDefault="00D04CC2" w:rsidP="0015709F">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SGW</w:t>
            </w:r>
          </w:p>
        </w:tc>
        <w:tc>
          <w:tcPr>
            <w:tcW w:w="0" w:type="auto"/>
            <w:shd w:val="clear" w:color="auto" w:fill="auto"/>
            <w:noWrap/>
            <w:vAlign w:val="bottom"/>
            <w:hideMark/>
          </w:tcPr>
          <w:p w14:paraId="1257A364" w14:textId="77777777" w:rsidR="00D04CC2" w:rsidRPr="007048BA" w:rsidRDefault="00D04CC2" w:rsidP="0015709F">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0.389</w:t>
            </w:r>
          </w:p>
        </w:tc>
        <w:tc>
          <w:tcPr>
            <w:tcW w:w="0" w:type="auto"/>
            <w:shd w:val="clear" w:color="auto" w:fill="auto"/>
            <w:noWrap/>
            <w:vAlign w:val="bottom"/>
            <w:hideMark/>
          </w:tcPr>
          <w:p w14:paraId="4723ECCC" w14:textId="77777777" w:rsidR="00D04CC2" w:rsidRPr="007048BA" w:rsidRDefault="00D04CC2" w:rsidP="0015709F">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0.286</w:t>
            </w:r>
          </w:p>
        </w:tc>
        <w:tc>
          <w:tcPr>
            <w:tcW w:w="0" w:type="auto"/>
            <w:shd w:val="clear" w:color="auto" w:fill="auto"/>
            <w:noWrap/>
            <w:vAlign w:val="bottom"/>
            <w:hideMark/>
          </w:tcPr>
          <w:p w14:paraId="48403429" w14:textId="77777777" w:rsidR="00D04CC2" w:rsidRPr="007048BA" w:rsidRDefault="00D04CC2" w:rsidP="0015709F">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0.281</w:t>
            </w:r>
          </w:p>
        </w:tc>
        <w:tc>
          <w:tcPr>
            <w:tcW w:w="0" w:type="auto"/>
            <w:shd w:val="clear" w:color="auto" w:fill="auto"/>
            <w:noWrap/>
            <w:vAlign w:val="bottom"/>
            <w:hideMark/>
          </w:tcPr>
          <w:p w14:paraId="621DF1DE" w14:textId="77777777" w:rsidR="00D04CC2" w:rsidRPr="007048BA" w:rsidRDefault="00D04CC2" w:rsidP="0015709F">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0.264</w:t>
            </w:r>
          </w:p>
        </w:tc>
        <w:tc>
          <w:tcPr>
            <w:tcW w:w="0" w:type="auto"/>
            <w:shd w:val="clear" w:color="auto" w:fill="auto"/>
            <w:noWrap/>
            <w:hideMark/>
          </w:tcPr>
          <w:p w14:paraId="31D4BDD9" w14:textId="30B9B74F" w:rsidR="00D04CC2" w:rsidRPr="007048BA" w:rsidRDefault="004221F0" w:rsidP="0015709F">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P&amp;M, P&amp;H, P&amp;E</w:t>
            </w:r>
          </w:p>
        </w:tc>
      </w:tr>
      <w:tr w:rsidR="006737BB" w:rsidRPr="007048BA" w14:paraId="0B52F5CF" w14:textId="77777777" w:rsidTr="00FF0F5D">
        <w:trPr>
          <w:trHeight w:val="315"/>
        </w:trPr>
        <w:tc>
          <w:tcPr>
            <w:tcW w:w="0" w:type="auto"/>
            <w:shd w:val="clear" w:color="auto" w:fill="auto"/>
            <w:noWrap/>
            <w:vAlign w:val="bottom"/>
            <w:hideMark/>
          </w:tcPr>
          <w:p w14:paraId="281C0FFD" w14:textId="77777777" w:rsidR="006737BB" w:rsidRPr="007048BA" w:rsidRDefault="006737BB" w:rsidP="006737B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GRD</w:t>
            </w:r>
          </w:p>
        </w:tc>
        <w:tc>
          <w:tcPr>
            <w:tcW w:w="0" w:type="auto"/>
            <w:shd w:val="clear" w:color="auto" w:fill="auto"/>
            <w:noWrap/>
            <w:vAlign w:val="bottom"/>
            <w:hideMark/>
          </w:tcPr>
          <w:p w14:paraId="579E31BA"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0.244</w:t>
            </w:r>
          </w:p>
        </w:tc>
        <w:tc>
          <w:tcPr>
            <w:tcW w:w="0" w:type="auto"/>
            <w:shd w:val="clear" w:color="auto" w:fill="auto"/>
            <w:noWrap/>
            <w:vAlign w:val="bottom"/>
            <w:hideMark/>
          </w:tcPr>
          <w:p w14:paraId="6AE69E16"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0.245</w:t>
            </w:r>
          </w:p>
        </w:tc>
        <w:tc>
          <w:tcPr>
            <w:tcW w:w="0" w:type="auto"/>
            <w:shd w:val="clear" w:color="auto" w:fill="auto"/>
            <w:noWrap/>
            <w:vAlign w:val="bottom"/>
            <w:hideMark/>
          </w:tcPr>
          <w:p w14:paraId="2C4B92F3"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0.247</w:t>
            </w:r>
          </w:p>
        </w:tc>
        <w:tc>
          <w:tcPr>
            <w:tcW w:w="0" w:type="auto"/>
            <w:shd w:val="clear" w:color="auto" w:fill="auto"/>
            <w:noWrap/>
            <w:vAlign w:val="bottom"/>
            <w:hideMark/>
          </w:tcPr>
          <w:p w14:paraId="6A514FEA"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0.251</w:t>
            </w:r>
          </w:p>
        </w:tc>
        <w:tc>
          <w:tcPr>
            <w:tcW w:w="0" w:type="auto"/>
            <w:shd w:val="clear" w:color="auto" w:fill="auto"/>
            <w:noWrap/>
            <w:hideMark/>
          </w:tcPr>
          <w:p w14:paraId="4C73A377" w14:textId="72C90374" w:rsidR="006737BB" w:rsidRPr="007048BA" w:rsidRDefault="004221F0" w:rsidP="006737BB">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None</w:t>
            </w:r>
          </w:p>
        </w:tc>
      </w:tr>
      <w:tr w:rsidR="006737BB" w:rsidRPr="007048BA" w14:paraId="48DEDEA0" w14:textId="77777777" w:rsidTr="00FF0F5D">
        <w:trPr>
          <w:trHeight w:val="315"/>
        </w:trPr>
        <w:tc>
          <w:tcPr>
            <w:tcW w:w="0" w:type="auto"/>
            <w:shd w:val="clear" w:color="auto" w:fill="auto"/>
            <w:noWrap/>
            <w:vAlign w:val="bottom"/>
            <w:hideMark/>
          </w:tcPr>
          <w:p w14:paraId="08ACB70E" w14:textId="77777777" w:rsidR="006737BB" w:rsidRPr="007048BA" w:rsidRDefault="006737BB" w:rsidP="006737B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IDD</w:t>
            </w:r>
          </w:p>
        </w:tc>
        <w:tc>
          <w:tcPr>
            <w:tcW w:w="0" w:type="auto"/>
            <w:shd w:val="clear" w:color="auto" w:fill="auto"/>
            <w:noWrap/>
            <w:vAlign w:val="bottom"/>
            <w:hideMark/>
          </w:tcPr>
          <w:p w14:paraId="64F7580B"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0.292</w:t>
            </w:r>
          </w:p>
        </w:tc>
        <w:tc>
          <w:tcPr>
            <w:tcW w:w="0" w:type="auto"/>
            <w:shd w:val="clear" w:color="auto" w:fill="auto"/>
            <w:noWrap/>
            <w:vAlign w:val="bottom"/>
            <w:hideMark/>
          </w:tcPr>
          <w:p w14:paraId="7FF99487"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0.298</w:t>
            </w:r>
          </w:p>
        </w:tc>
        <w:tc>
          <w:tcPr>
            <w:tcW w:w="0" w:type="auto"/>
            <w:shd w:val="clear" w:color="auto" w:fill="auto"/>
            <w:noWrap/>
            <w:vAlign w:val="bottom"/>
            <w:hideMark/>
          </w:tcPr>
          <w:p w14:paraId="24C40CE2"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0.296</w:t>
            </w:r>
          </w:p>
        </w:tc>
        <w:tc>
          <w:tcPr>
            <w:tcW w:w="0" w:type="auto"/>
            <w:shd w:val="clear" w:color="auto" w:fill="auto"/>
            <w:noWrap/>
            <w:vAlign w:val="bottom"/>
            <w:hideMark/>
          </w:tcPr>
          <w:p w14:paraId="102F0E19"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0.291</w:t>
            </w:r>
          </w:p>
        </w:tc>
        <w:tc>
          <w:tcPr>
            <w:tcW w:w="0" w:type="auto"/>
            <w:shd w:val="clear" w:color="auto" w:fill="auto"/>
            <w:noWrap/>
            <w:hideMark/>
          </w:tcPr>
          <w:p w14:paraId="783CA04F" w14:textId="3BE85396" w:rsidR="006737BB" w:rsidRPr="007048BA" w:rsidRDefault="004221F0" w:rsidP="006737BB">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None</w:t>
            </w:r>
          </w:p>
        </w:tc>
      </w:tr>
      <w:tr w:rsidR="006737BB" w:rsidRPr="007048BA" w14:paraId="6BA8A54C" w14:textId="77777777" w:rsidTr="00FF0F5D">
        <w:trPr>
          <w:trHeight w:val="315"/>
        </w:trPr>
        <w:tc>
          <w:tcPr>
            <w:tcW w:w="0" w:type="auto"/>
            <w:shd w:val="clear" w:color="auto" w:fill="auto"/>
            <w:noWrap/>
            <w:vAlign w:val="bottom"/>
            <w:hideMark/>
          </w:tcPr>
          <w:p w14:paraId="15AC13E4" w14:textId="77777777" w:rsidR="006737BB" w:rsidRPr="007048BA" w:rsidRDefault="006737BB" w:rsidP="006737B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FCF</w:t>
            </w:r>
          </w:p>
        </w:tc>
        <w:tc>
          <w:tcPr>
            <w:tcW w:w="0" w:type="auto"/>
            <w:shd w:val="clear" w:color="auto" w:fill="auto"/>
            <w:noWrap/>
            <w:vAlign w:val="bottom"/>
            <w:hideMark/>
          </w:tcPr>
          <w:p w14:paraId="0583E155"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-0.220</w:t>
            </w:r>
          </w:p>
        </w:tc>
        <w:tc>
          <w:tcPr>
            <w:tcW w:w="0" w:type="auto"/>
            <w:shd w:val="clear" w:color="auto" w:fill="auto"/>
            <w:noWrap/>
            <w:vAlign w:val="bottom"/>
            <w:hideMark/>
          </w:tcPr>
          <w:p w14:paraId="2F6822A4"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0.012</w:t>
            </w:r>
          </w:p>
        </w:tc>
        <w:tc>
          <w:tcPr>
            <w:tcW w:w="0" w:type="auto"/>
            <w:shd w:val="clear" w:color="auto" w:fill="auto"/>
            <w:noWrap/>
            <w:vAlign w:val="bottom"/>
            <w:hideMark/>
          </w:tcPr>
          <w:p w14:paraId="4905C039"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-0.269</w:t>
            </w:r>
          </w:p>
        </w:tc>
        <w:tc>
          <w:tcPr>
            <w:tcW w:w="0" w:type="auto"/>
            <w:shd w:val="clear" w:color="auto" w:fill="auto"/>
            <w:noWrap/>
            <w:vAlign w:val="bottom"/>
            <w:hideMark/>
          </w:tcPr>
          <w:p w14:paraId="7CAC31F4"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0.023</w:t>
            </w:r>
          </w:p>
        </w:tc>
        <w:tc>
          <w:tcPr>
            <w:tcW w:w="0" w:type="auto"/>
            <w:shd w:val="clear" w:color="auto" w:fill="auto"/>
            <w:noWrap/>
            <w:hideMark/>
          </w:tcPr>
          <w:p w14:paraId="75056961" w14:textId="689D5291" w:rsidR="006737BB" w:rsidRPr="007048BA" w:rsidRDefault="004221F0" w:rsidP="006737BB">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pairs</w:t>
            </w:r>
          </w:p>
        </w:tc>
      </w:tr>
      <w:tr w:rsidR="006737BB" w:rsidRPr="007048BA" w14:paraId="0C1DF61F" w14:textId="77777777" w:rsidTr="00FF0F5D">
        <w:trPr>
          <w:trHeight w:val="315"/>
        </w:trPr>
        <w:tc>
          <w:tcPr>
            <w:tcW w:w="0" w:type="auto"/>
            <w:shd w:val="clear" w:color="auto" w:fill="auto"/>
            <w:noWrap/>
            <w:vAlign w:val="bottom"/>
            <w:hideMark/>
          </w:tcPr>
          <w:p w14:paraId="3FDA4693" w14:textId="77777777" w:rsidR="006737BB" w:rsidRPr="007048BA" w:rsidRDefault="006737BB" w:rsidP="006737B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TANG</w:t>
            </w:r>
          </w:p>
        </w:tc>
        <w:tc>
          <w:tcPr>
            <w:tcW w:w="0" w:type="auto"/>
            <w:shd w:val="clear" w:color="auto" w:fill="auto"/>
            <w:noWrap/>
            <w:vAlign w:val="bottom"/>
            <w:hideMark/>
          </w:tcPr>
          <w:p w14:paraId="33D259E2"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0.281</w:t>
            </w:r>
          </w:p>
        </w:tc>
        <w:tc>
          <w:tcPr>
            <w:tcW w:w="0" w:type="auto"/>
            <w:shd w:val="clear" w:color="auto" w:fill="auto"/>
            <w:noWrap/>
            <w:vAlign w:val="bottom"/>
            <w:hideMark/>
          </w:tcPr>
          <w:p w14:paraId="27CEFCD5"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0.305</w:t>
            </w:r>
          </w:p>
        </w:tc>
        <w:tc>
          <w:tcPr>
            <w:tcW w:w="0" w:type="auto"/>
            <w:shd w:val="clear" w:color="auto" w:fill="auto"/>
            <w:noWrap/>
            <w:vAlign w:val="bottom"/>
            <w:hideMark/>
          </w:tcPr>
          <w:p w14:paraId="4AC64707"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0.274</w:t>
            </w:r>
          </w:p>
        </w:tc>
        <w:tc>
          <w:tcPr>
            <w:tcW w:w="0" w:type="auto"/>
            <w:shd w:val="clear" w:color="auto" w:fill="auto"/>
            <w:noWrap/>
            <w:vAlign w:val="bottom"/>
            <w:hideMark/>
          </w:tcPr>
          <w:p w14:paraId="339FB49B"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0.302</w:t>
            </w:r>
          </w:p>
        </w:tc>
        <w:tc>
          <w:tcPr>
            <w:tcW w:w="0" w:type="auto"/>
            <w:shd w:val="clear" w:color="auto" w:fill="auto"/>
            <w:noWrap/>
            <w:hideMark/>
          </w:tcPr>
          <w:p w14:paraId="10E068B7" w14:textId="41322185" w:rsidR="006737BB" w:rsidRPr="007048BA" w:rsidRDefault="004221F0" w:rsidP="006737BB">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ex P&amp;H, M&amp;E</w:t>
            </w:r>
          </w:p>
        </w:tc>
      </w:tr>
      <w:tr w:rsidR="00D04CC2" w:rsidRPr="007048BA" w14:paraId="13D28BA9" w14:textId="77777777" w:rsidTr="00FF0F5D">
        <w:trPr>
          <w:trHeight w:val="315"/>
        </w:trPr>
        <w:tc>
          <w:tcPr>
            <w:tcW w:w="0" w:type="auto"/>
            <w:shd w:val="clear" w:color="auto" w:fill="auto"/>
            <w:noWrap/>
            <w:vAlign w:val="bottom"/>
            <w:hideMark/>
          </w:tcPr>
          <w:p w14:paraId="48430DA2" w14:textId="77777777" w:rsidR="00D04CC2" w:rsidRPr="007048BA" w:rsidRDefault="00D04CC2" w:rsidP="0015709F">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SIZE</w:t>
            </w:r>
          </w:p>
        </w:tc>
        <w:tc>
          <w:tcPr>
            <w:tcW w:w="0" w:type="auto"/>
            <w:shd w:val="clear" w:color="auto" w:fill="auto"/>
            <w:noWrap/>
            <w:vAlign w:val="bottom"/>
            <w:hideMark/>
          </w:tcPr>
          <w:p w14:paraId="4F6ED040" w14:textId="77777777" w:rsidR="00D04CC2" w:rsidRPr="007048BA" w:rsidRDefault="00D04CC2" w:rsidP="0015709F">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17.199</w:t>
            </w:r>
          </w:p>
        </w:tc>
        <w:tc>
          <w:tcPr>
            <w:tcW w:w="0" w:type="auto"/>
            <w:shd w:val="clear" w:color="auto" w:fill="auto"/>
            <w:noWrap/>
            <w:vAlign w:val="bottom"/>
            <w:hideMark/>
          </w:tcPr>
          <w:p w14:paraId="6937FD44" w14:textId="77777777" w:rsidR="00D04CC2" w:rsidRPr="007048BA" w:rsidRDefault="00D04CC2" w:rsidP="0015709F">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18.340</w:t>
            </w:r>
          </w:p>
        </w:tc>
        <w:tc>
          <w:tcPr>
            <w:tcW w:w="0" w:type="auto"/>
            <w:shd w:val="clear" w:color="auto" w:fill="auto"/>
            <w:noWrap/>
            <w:vAlign w:val="bottom"/>
            <w:hideMark/>
          </w:tcPr>
          <w:p w14:paraId="23FC07A0" w14:textId="77777777" w:rsidR="00D04CC2" w:rsidRPr="007048BA" w:rsidRDefault="00D04CC2" w:rsidP="0015709F">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16.856</w:t>
            </w:r>
          </w:p>
        </w:tc>
        <w:tc>
          <w:tcPr>
            <w:tcW w:w="0" w:type="auto"/>
            <w:shd w:val="clear" w:color="auto" w:fill="auto"/>
            <w:noWrap/>
            <w:vAlign w:val="bottom"/>
            <w:hideMark/>
          </w:tcPr>
          <w:p w14:paraId="16BD4A83" w14:textId="77777777" w:rsidR="00D04CC2" w:rsidRPr="007048BA" w:rsidRDefault="00D04CC2" w:rsidP="0015709F">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18.114</w:t>
            </w:r>
          </w:p>
        </w:tc>
        <w:tc>
          <w:tcPr>
            <w:tcW w:w="0" w:type="auto"/>
            <w:shd w:val="clear" w:color="auto" w:fill="auto"/>
            <w:noWrap/>
            <w:hideMark/>
          </w:tcPr>
          <w:p w14:paraId="76E03EB5" w14:textId="77777777" w:rsidR="00D04CC2" w:rsidRPr="007048BA" w:rsidRDefault="00D04CC2" w:rsidP="0015709F">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pairs</w:t>
            </w:r>
          </w:p>
        </w:tc>
      </w:tr>
      <w:tr w:rsidR="006737BB" w:rsidRPr="007048BA" w14:paraId="687583B4" w14:textId="77777777" w:rsidTr="00FF0F5D">
        <w:trPr>
          <w:trHeight w:val="315"/>
        </w:trPr>
        <w:tc>
          <w:tcPr>
            <w:tcW w:w="0" w:type="auto"/>
            <w:shd w:val="clear" w:color="auto" w:fill="auto"/>
            <w:noWrap/>
            <w:vAlign w:val="bottom"/>
            <w:hideMark/>
          </w:tcPr>
          <w:p w14:paraId="251F8B1C" w14:textId="77777777" w:rsidR="006737BB" w:rsidRPr="007048BA" w:rsidRDefault="006737BB" w:rsidP="006737B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AGE</w:t>
            </w:r>
          </w:p>
        </w:tc>
        <w:tc>
          <w:tcPr>
            <w:tcW w:w="0" w:type="auto"/>
            <w:shd w:val="clear" w:color="auto" w:fill="auto"/>
            <w:noWrap/>
            <w:vAlign w:val="bottom"/>
            <w:hideMark/>
          </w:tcPr>
          <w:p w14:paraId="46288577"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2.680</w:t>
            </w:r>
          </w:p>
        </w:tc>
        <w:tc>
          <w:tcPr>
            <w:tcW w:w="0" w:type="auto"/>
            <w:shd w:val="clear" w:color="auto" w:fill="auto"/>
            <w:noWrap/>
            <w:vAlign w:val="bottom"/>
            <w:hideMark/>
          </w:tcPr>
          <w:p w14:paraId="1B950D56"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2.875</w:t>
            </w:r>
          </w:p>
        </w:tc>
        <w:tc>
          <w:tcPr>
            <w:tcW w:w="0" w:type="auto"/>
            <w:shd w:val="clear" w:color="auto" w:fill="auto"/>
            <w:noWrap/>
            <w:vAlign w:val="bottom"/>
            <w:hideMark/>
          </w:tcPr>
          <w:p w14:paraId="402D4D52"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2.647</w:t>
            </w:r>
          </w:p>
        </w:tc>
        <w:tc>
          <w:tcPr>
            <w:tcW w:w="0" w:type="auto"/>
            <w:shd w:val="clear" w:color="auto" w:fill="auto"/>
            <w:noWrap/>
            <w:vAlign w:val="bottom"/>
            <w:hideMark/>
          </w:tcPr>
          <w:p w14:paraId="24FC1BA8"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2.804</w:t>
            </w:r>
          </w:p>
        </w:tc>
        <w:tc>
          <w:tcPr>
            <w:tcW w:w="0" w:type="auto"/>
            <w:shd w:val="clear" w:color="auto" w:fill="auto"/>
            <w:noWrap/>
            <w:hideMark/>
          </w:tcPr>
          <w:p w14:paraId="76BDBFD7" w14:textId="3DDB7082" w:rsidR="006737BB" w:rsidRPr="007048BA" w:rsidRDefault="006737BB" w:rsidP="004221F0">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ex P&amp;H</w:t>
            </w:r>
          </w:p>
        </w:tc>
      </w:tr>
      <w:tr w:rsidR="00D04CC2" w:rsidRPr="007048BA" w14:paraId="7AB00CA3" w14:textId="77777777" w:rsidTr="00FF0F5D">
        <w:trPr>
          <w:trHeight w:val="315"/>
        </w:trPr>
        <w:tc>
          <w:tcPr>
            <w:tcW w:w="0" w:type="auto"/>
            <w:shd w:val="clear" w:color="auto" w:fill="auto"/>
            <w:noWrap/>
            <w:vAlign w:val="bottom"/>
            <w:hideMark/>
          </w:tcPr>
          <w:p w14:paraId="07DBFD11" w14:textId="77777777" w:rsidR="00D04CC2" w:rsidRPr="007048BA" w:rsidRDefault="00D04CC2" w:rsidP="0015709F">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HHI</w:t>
            </w:r>
          </w:p>
        </w:tc>
        <w:tc>
          <w:tcPr>
            <w:tcW w:w="0" w:type="auto"/>
            <w:shd w:val="clear" w:color="auto" w:fill="auto"/>
            <w:noWrap/>
            <w:vAlign w:val="bottom"/>
            <w:hideMark/>
          </w:tcPr>
          <w:p w14:paraId="1D8834A4" w14:textId="77777777" w:rsidR="00D04CC2" w:rsidRPr="007048BA" w:rsidRDefault="00D04CC2" w:rsidP="0015709F">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0.131</w:t>
            </w:r>
          </w:p>
        </w:tc>
        <w:tc>
          <w:tcPr>
            <w:tcW w:w="0" w:type="auto"/>
            <w:shd w:val="clear" w:color="auto" w:fill="auto"/>
            <w:noWrap/>
            <w:vAlign w:val="bottom"/>
            <w:hideMark/>
          </w:tcPr>
          <w:p w14:paraId="0D584BA7" w14:textId="77777777" w:rsidR="00D04CC2" w:rsidRPr="007048BA" w:rsidRDefault="00D04CC2" w:rsidP="0015709F">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0.122</w:t>
            </w:r>
          </w:p>
        </w:tc>
        <w:tc>
          <w:tcPr>
            <w:tcW w:w="0" w:type="auto"/>
            <w:shd w:val="clear" w:color="auto" w:fill="auto"/>
            <w:noWrap/>
            <w:vAlign w:val="bottom"/>
            <w:hideMark/>
          </w:tcPr>
          <w:p w14:paraId="0F5AF181" w14:textId="77777777" w:rsidR="00D04CC2" w:rsidRPr="007048BA" w:rsidRDefault="00D04CC2" w:rsidP="0015709F">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0.131</w:t>
            </w:r>
          </w:p>
        </w:tc>
        <w:tc>
          <w:tcPr>
            <w:tcW w:w="0" w:type="auto"/>
            <w:shd w:val="clear" w:color="auto" w:fill="auto"/>
            <w:noWrap/>
            <w:vAlign w:val="bottom"/>
            <w:hideMark/>
          </w:tcPr>
          <w:p w14:paraId="2EEF9F4E" w14:textId="77777777" w:rsidR="00D04CC2" w:rsidRPr="007048BA" w:rsidRDefault="00D04CC2" w:rsidP="0015709F">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0.115</w:t>
            </w:r>
          </w:p>
        </w:tc>
        <w:tc>
          <w:tcPr>
            <w:tcW w:w="0" w:type="auto"/>
            <w:shd w:val="clear" w:color="auto" w:fill="auto"/>
            <w:noWrap/>
            <w:hideMark/>
          </w:tcPr>
          <w:p w14:paraId="39BF4B14" w14:textId="6212857D" w:rsidR="00D04CC2" w:rsidRPr="007048BA" w:rsidRDefault="00D04CC2" w:rsidP="004221F0">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ex P&amp;</w:t>
            </w:r>
            <w:r w:rsidR="004221F0" w:rsidRPr="007048BA">
              <w:rPr>
                <w:rFonts w:eastAsia="PMingLiU" w:cs="Times New Roman"/>
                <w:i/>
                <w:szCs w:val="24"/>
                <w:lang w:val="en-GB"/>
              </w:rPr>
              <w:t>H</w:t>
            </w:r>
          </w:p>
        </w:tc>
      </w:tr>
      <w:tr w:rsidR="006737BB" w:rsidRPr="007048BA" w14:paraId="35FB33D9" w14:textId="77777777" w:rsidTr="00FF0F5D">
        <w:trPr>
          <w:trHeight w:val="315"/>
        </w:trPr>
        <w:tc>
          <w:tcPr>
            <w:tcW w:w="0" w:type="auto"/>
            <w:shd w:val="clear" w:color="auto" w:fill="auto"/>
            <w:noWrap/>
            <w:vAlign w:val="bottom"/>
            <w:hideMark/>
          </w:tcPr>
          <w:p w14:paraId="7F4A801B" w14:textId="2CAEFEFD" w:rsidR="006737BB" w:rsidRPr="007048BA" w:rsidRDefault="00EF63A8" w:rsidP="006737B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BLOC</w:t>
            </w:r>
          </w:p>
        </w:tc>
        <w:tc>
          <w:tcPr>
            <w:tcW w:w="0" w:type="auto"/>
            <w:shd w:val="clear" w:color="auto" w:fill="auto"/>
            <w:noWrap/>
            <w:vAlign w:val="bottom"/>
            <w:hideMark/>
          </w:tcPr>
          <w:p w14:paraId="68218557"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0.295</w:t>
            </w:r>
          </w:p>
        </w:tc>
        <w:tc>
          <w:tcPr>
            <w:tcW w:w="0" w:type="auto"/>
            <w:shd w:val="clear" w:color="auto" w:fill="auto"/>
            <w:noWrap/>
            <w:vAlign w:val="bottom"/>
            <w:hideMark/>
          </w:tcPr>
          <w:p w14:paraId="69054C6B"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0.418</w:t>
            </w:r>
          </w:p>
        </w:tc>
        <w:tc>
          <w:tcPr>
            <w:tcW w:w="0" w:type="auto"/>
            <w:shd w:val="clear" w:color="auto" w:fill="auto"/>
            <w:noWrap/>
            <w:vAlign w:val="bottom"/>
            <w:hideMark/>
          </w:tcPr>
          <w:p w14:paraId="0B51A1B5"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0.254</w:t>
            </w:r>
          </w:p>
        </w:tc>
        <w:tc>
          <w:tcPr>
            <w:tcW w:w="0" w:type="auto"/>
            <w:shd w:val="clear" w:color="auto" w:fill="auto"/>
            <w:noWrap/>
            <w:vAlign w:val="bottom"/>
            <w:hideMark/>
          </w:tcPr>
          <w:p w14:paraId="55B54165"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0.387</w:t>
            </w:r>
          </w:p>
        </w:tc>
        <w:tc>
          <w:tcPr>
            <w:tcW w:w="0" w:type="auto"/>
            <w:shd w:val="clear" w:color="auto" w:fill="auto"/>
            <w:noWrap/>
            <w:hideMark/>
          </w:tcPr>
          <w:p w14:paraId="259A92B7" w14:textId="79DDE609"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pairs</w:t>
            </w:r>
          </w:p>
        </w:tc>
      </w:tr>
      <w:tr w:rsidR="006737BB" w:rsidRPr="007048BA" w14:paraId="2677AF6D" w14:textId="77777777" w:rsidTr="00FF0F5D">
        <w:trPr>
          <w:trHeight w:val="315"/>
        </w:trPr>
        <w:tc>
          <w:tcPr>
            <w:tcW w:w="0" w:type="auto"/>
            <w:shd w:val="clear" w:color="auto" w:fill="auto"/>
            <w:noWrap/>
            <w:vAlign w:val="bottom"/>
            <w:hideMark/>
          </w:tcPr>
          <w:p w14:paraId="0100DC9C" w14:textId="77777777" w:rsidR="006737BB" w:rsidRPr="007048BA" w:rsidRDefault="006737BB" w:rsidP="006737B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RUM</w:t>
            </w:r>
          </w:p>
        </w:tc>
        <w:tc>
          <w:tcPr>
            <w:tcW w:w="0" w:type="auto"/>
            <w:shd w:val="clear" w:color="auto" w:fill="auto"/>
            <w:noWrap/>
            <w:vAlign w:val="bottom"/>
            <w:hideMark/>
          </w:tcPr>
          <w:p w14:paraId="191BF8CF"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0.004</w:t>
            </w:r>
          </w:p>
        </w:tc>
        <w:tc>
          <w:tcPr>
            <w:tcW w:w="0" w:type="auto"/>
            <w:shd w:val="clear" w:color="auto" w:fill="auto"/>
            <w:noWrap/>
            <w:vAlign w:val="bottom"/>
            <w:hideMark/>
          </w:tcPr>
          <w:p w14:paraId="6124D026"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0.008</w:t>
            </w:r>
          </w:p>
        </w:tc>
        <w:tc>
          <w:tcPr>
            <w:tcW w:w="0" w:type="auto"/>
            <w:shd w:val="clear" w:color="auto" w:fill="auto"/>
            <w:noWrap/>
            <w:vAlign w:val="bottom"/>
            <w:hideMark/>
          </w:tcPr>
          <w:p w14:paraId="5C523AED"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0.004</w:t>
            </w:r>
          </w:p>
        </w:tc>
        <w:tc>
          <w:tcPr>
            <w:tcW w:w="0" w:type="auto"/>
            <w:shd w:val="clear" w:color="auto" w:fill="auto"/>
            <w:noWrap/>
            <w:vAlign w:val="bottom"/>
            <w:hideMark/>
          </w:tcPr>
          <w:p w14:paraId="59AB74A8"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0.007</w:t>
            </w:r>
          </w:p>
        </w:tc>
        <w:tc>
          <w:tcPr>
            <w:tcW w:w="0" w:type="auto"/>
            <w:shd w:val="clear" w:color="auto" w:fill="auto"/>
            <w:noWrap/>
            <w:vAlign w:val="bottom"/>
            <w:hideMark/>
          </w:tcPr>
          <w:p w14:paraId="21A733B7" w14:textId="0A452C3D" w:rsidR="006737BB" w:rsidRPr="007048BA" w:rsidRDefault="004221F0" w:rsidP="006737BB">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ex P&amp;H, M&amp;E</w:t>
            </w:r>
          </w:p>
        </w:tc>
      </w:tr>
      <w:tr w:rsidR="006737BB" w:rsidRPr="007048BA" w14:paraId="47B1CEF7" w14:textId="77777777" w:rsidTr="00FF0F5D">
        <w:trPr>
          <w:trHeight w:val="315"/>
        </w:trPr>
        <w:tc>
          <w:tcPr>
            <w:tcW w:w="0" w:type="auto"/>
            <w:shd w:val="clear" w:color="auto" w:fill="auto"/>
            <w:noWrap/>
            <w:vAlign w:val="bottom"/>
            <w:hideMark/>
          </w:tcPr>
          <w:p w14:paraId="5891A810" w14:textId="77777777" w:rsidR="006737BB" w:rsidRPr="007048BA" w:rsidRDefault="006737BB" w:rsidP="006737B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MOM</w:t>
            </w:r>
          </w:p>
        </w:tc>
        <w:tc>
          <w:tcPr>
            <w:tcW w:w="0" w:type="auto"/>
            <w:shd w:val="clear" w:color="auto" w:fill="auto"/>
            <w:noWrap/>
            <w:vAlign w:val="bottom"/>
            <w:hideMark/>
          </w:tcPr>
          <w:p w14:paraId="66E941E1"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-0.409</w:t>
            </w:r>
          </w:p>
        </w:tc>
        <w:tc>
          <w:tcPr>
            <w:tcW w:w="0" w:type="auto"/>
            <w:shd w:val="clear" w:color="auto" w:fill="auto"/>
            <w:noWrap/>
            <w:vAlign w:val="bottom"/>
            <w:hideMark/>
          </w:tcPr>
          <w:p w14:paraId="1D914D4D"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-0.271</w:t>
            </w:r>
          </w:p>
        </w:tc>
        <w:tc>
          <w:tcPr>
            <w:tcW w:w="0" w:type="auto"/>
            <w:shd w:val="clear" w:color="auto" w:fill="auto"/>
            <w:noWrap/>
            <w:vAlign w:val="bottom"/>
            <w:hideMark/>
          </w:tcPr>
          <w:p w14:paraId="6A4F4069"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0.348</w:t>
            </w:r>
          </w:p>
        </w:tc>
        <w:tc>
          <w:tcPr>
            <w:tcW w:w="0" w:type="auto"/>
            <w:shd w:val="clear" w:color="auto" w:fill="auto"/>
            <w:noWrap/>
            <w:vAlign w:val="bottom"/>
            <w:hideMark/>
          </w:tcPr>
          <w:p w14:paraId="7D66FA3F"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0.573</w:t>
            </w:r>
          </w:p>
        </w:tc>
        <w:tc>
          <w:tcPr>
            <w:tcW w:w="0" w:type="auto"/>
            <w:shd w:val="clear" w:color="auto" w:fill="auto"/>
            <w:noWrap/>
            <w:vAlign w:val="bottom"/>
            <w:hideMark/>
          </w:tcPr>
          <w:p w14:paraId="729B379F" w14:textId="2CA81A2B" w:rsidR="006737BB" w:rsidRPr="007048BA" w:rsidRDefault="004221F0" w:rsidP="006737BB">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pairs</w:t>
            </w:r>
          </w:p>
        </w:tc>
      </w:tr>
      <w:tr w:rsidR="006737BB" w:rsidRPr="007048BA" w14:paraId="1FF920D3" w14:textId="77777777" w:rsidTr="00FF0F5D">
        <w:trPr>
          <w:trHeight w:val="315"/>
        </w:trPr>
        <w:tc>
          <w:tcPr>
            <w:tcW w:w="0" w:type="auto"/>
            <w:shd w:val="clear" w:color="auto" w:fill="auto"/>
            <w:noWrap/>
            <w:vAlign w:val="bottom"/>
            <w:hideMark/>
          </w:tcPr>
          <w:p w14:paraId="0B5DAB7B" w14:textId="77777777" w:rsidR="006737BB" w:rsidRPr="007048BA" w:rsidRDefault="006737BB" w:rsidP="006737B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TVOL</w:t>
            </w:r>
          </w:p>
        </w:tc>
        <w:tc>
          <w:tcPr>
            <w:tcW w:w="0" w:type="auto"/>
            <w:shd w:val="clear" w:color="auto" w:fill="auto"/>
            <w:noWrap/>
            <w:vAlign w:val="bottom"/>
            <w:hideMark/>
          </w:tcPr>
          <w:p w14:paraId="238847AE"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0.152</w:t>
            </w:r>
          </w:p>
        </w:tc>
        <w:tc>
          <w:tcPr>
            <w:tcW w:w="0" w:type="auto"/>
            <w:shd w:val="clear" w:color="auto" w:fill="auto"/>
            <w:noWrap/>
            <w:vAlign w:val="bottom"/>
            <w:hideMark/>
          </w:tcPr>
          <w:p w14:paraId="3E32A851"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0.225</w:t>
            </w:r>
          </w:p>
        </w:tc>
        <w:tc>
          <w:tcPr>
            <w:tcW w:w="0" w:type="auto"/>
            <w:shd w:val="clear" w:color="auto" w:fill="auto"/>
            <w:noWrap/>
            <w:vAlign w:val="bottom"/>
            <w:hideMark/>
          </w:tcPr>
          <w:p w14:paraId="386FF78E"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0.176</w:t>
            </w:r>
          </w:p>
        </w:tc>
        <w:tc>
          <w:tcPr>
            <w:tcW w:w="0" w:type="auto"/>
            <w:shd w:val="clear" w:color="auto" w:fill="auto"/>
            <w:noWrap/>
            <w:vAlign w:val="bottom"/>
            <w:hideMark/>
          </w:tcPr>
          <w:p w14:paraId="3A78CB0B" w14:textId="77777777" w:rsidR="006737BB" w:rsidRPr="007048BA" w:rsidRDefault="006737BB" w:rsidP="006737BB">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0.245</w:t>
            </w:r>
          </w:p>
        </w:tc>
        <w:tc>
          <w:tcPr>
            <w:tcW w:w="0" w:type="auto"/>
            <w:shd w:val="clear" w:color="auto" w:fill="auto"/>
            <w:noWrap/>
            <w:vAlign w:val="bottom"/>
            <w:hideMark/>
          </w:tcPr>
          <w:p w14:paraId="47123146" w14:textId="643714C0" w:rsidR="006737BB" w:rsidRPr="007048BA" w:rsidRDefault="004221F0" w:rsidP="006737BB">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pairs</w:t>
            </w:r>
          </w:p>
        </w:tc>
      </w:tr>
    </w:tbl>
    <w:p w14:paraId="091B03A8" w14:textId="08E10C21" w:rsidR="006737BB" w:rsidRPr="007048BA" w:rsidRDefault="006737BB" w:rsidP="006737BB">
      <w:pPr>
        <w:tabs>
          <w:tab w:val="left" w:pos="3683"/>
        </w:tabs>
        <w:rPr>
          <w:lang w:val="en-GB" w:eastAsia="zh-TW"/>
        </w:rPr>
      </w:pPr>
    </w:p>
    <w:p w14:paraId="179EAED3" w14:textId="77777777" w:rsidR="00EB10DA" w:rsidRPr="007048BA" w:rsidRDefault="00EB10DA" w:rsidP="00EB10DA">
      <w:pPr>
        <w:rPr>
          <w:b/>
          <w:sz w:val="28"/>
          <w:lang w:val="en-GB" w:eastAsia="zh-TW"/>
        </w:rPr>
        <w:sectPr w:rsidR="00EB10DA" w:rsidRPr="007048BA" w:rsidSect="007B5ED9">
          <w:pgSz w:w="12240" w:h="15840"/>
          <w:pgMar w:top="1304" w:right="964" w:bottom="1304" w:left="1077" w:header="720" w:footer="720" w:gutter="0"/>
          <w:cols w:space="720"/>
          <w:docGrid w:linePitch="360"/>
        </w:sectPr>
      </w:pPr>
    </w:p>
    <w:p w14:paraId="06FA6E57" w14:textId="77777777" w:rsidR="00650959" w:rsidRPr="007048BA" w:rsidRDefault="00650959" w:rsidP="00EB10DA">
      <w:pPr>
        <w:rPr>
          <w:b/>
          <w:sz w:val="28"/>
          <w:lang w:val="en-GB" w:eastAsia="zh-TW"/>
        </w:rPr>
        <w:sectPr w:rsidR="00650959" w:rsidRPr="007048BA" w:rsidSect="007B5ED9">
          <w:type w:val="continuous"/>
          <w:pgSz w:w="12240" w:h="15840"/>
          <w:pgMar w:top="1304" w:right="964" w:bottom="1304" w:left="1077" w:header="720" w:footer="720" w:gutter="0"/>
          <w:cols w:space="720"/>
          <w:docGrid w:linePitch="360"/>
        </w:sectPr>
      </w:pPr>
    </w:p>
    <w:p w14:paraId="347F7DF2" w14:textId="262C27AA" w:rsidR="00EB10DA" w:rsidRPr="007048BA" w:rsidRDefault="00EB10DA" w:rsidP="00EB10DA">
      <w:pPr>
        <w:rPr>
          <w:rFonts w:eastAsia="PMingLiU" w:cs="Times New Roman"/>
          <w:b/>
          <w:sz w:val="28"/>
          <w:szCs w:val="24"/>
          <w:lang w:val="en-GB" w:eastAsia="zh-TW"/>
        </w:rPr>
      </w:pPr>
      <w:r w:rsidRPr="007048BA">
        <w:rPr>
          <w:b/>
          <w:sz w:val="28"/>
          <w:lang w:val="en-GB" w:eastAsia="zh-TW"/>
        </w:rPr>
        <w:lastRenderedPageBreak/>
        <w:t xml:space="preserve">Table 3 cont’d: </w:t>
      </w:r>
    </w:p>
    <w:p w14:paraId="0DA32426" w14:textId="7296950E" w:rsidR="00EB10DA" w:rsidRPr="007048BA" w:rsidRDefault="00EB10DA" w:rsidP="00EB10DA">
      <w:pPr>
        <w:autoSpaceDE w:val="0"/>
        <w:autoSpaceDN w:val="0"/>
        <w:adjustRightInd w:val="0"/>
        <w:spacing w:after="0" w:line="240" w:lineRule="auto"/>
        <w:ind w:firstLine="0"/>
        <w:rPr>
          <w:rFonts w:eastAsia="PMingLiU" w:cs="Times New Roman"/>
          <w:b/>
          <w:szCs w:val="24"/>
          <w:lang w:val="en-GB" w:eastAsia="zh-TW"/>
        </w:rPr>
      </w:pPr>
      <w:r w:rsidRPr="007048BA">
        <w:rPr>
          <w:rFonts w:eastAsia="PMingLiU" w:cs="Times New Roman"/>
          <w:b/>
          <w:szCs w:val="24"/>
          <w:lang w:val="en-GB" w:eastAsia="zh-TW"/>
        </w:rPr>
        <w:t>Panel B: Differences in median</w:t>
      </w:r>
    </w:p>
    <w:p w14:paraId="15E13AD1" w14:textId="77777777" w:rsidR="00EB10DA" w:rsidRPr="007048BA" w:rsidRDefault="00EB10DA" w:rsidP="00EB10DA">
      <w:pPr>
        <w:autoSpaceDE w:val="0"/>
        <w:autoSpaceDN w:val="0"/>
        <w:adjustRightInd w:val="0"/>
        <w:spacing w:after="0" w:line="240" w:lineRule="auto"/>
        <w:ind w:firstLine="0"/>
        <w:rPr>
          <w:rFonts w:eastAsia="PMingLiU" w:cs="Times New Roman"/>
          <w:sz w:val="20"/>
          <w:szCs w:val="24"/>
          <w:lang w:val="en-GB" w:eastAsia="zh-TW"/>
        </w:rPr>
      </w:pPr>
    </w:p>
    <w:tbl>
      <w:tblPr>
        <w:tblW w:w="8127" w:type="dxa"/>
        <w:tblBorders>
          <w:top w:val="single" w:sz="4" w:space="0" w:color="auto"/>
          <w:bottom w:val="single" w:sz="4" w:space="0" w:color="auto"/>
        </w:tblBorders>
        <w:tblLook w:val="04A0" w:firstRow="1" w:lastRow="0" w:firstColumn="1" w:lastColumn="0" w:noHBand="0" w:noVBand="1"/>
      </w:tblPr>
      <w:tblGrid>
        <w:gridCol w:w="1060"/>
        <w:gridCol w:w="876"/>
        <w:gridCol w:w="1096"/>
        <w:gridCol w:w="1510"/>
        <w:gridCol w:w="1416"/>
        <w:gridCol w:w="2169"/>
      </w:tblGrid>
      <w:tr w:rsidR="00421037" w:rsidRPr="007048BA" w14:paraId="56D89EEF" w14:textId="77777777" w:rsidTr="00FF0F5D">
        <w:trPr>
          <w:trHeight w:val="315"/>
        </w:trPr>
        <w:tc>
          <w:tcPr>
            <w:tcW w:w="1060" w:type="dxa"/>
            <w:tcBorders>
              <w:top w:val="single" w:sz="4" w:space="0" w:color="auto"/>
              <w:bottom w:val="single" w:sz="4" w:space="0" w:color="auto"/>
            </w:tcBorders>
            <w:shd w:val="clear" w:color="auto" w:fill="auto"/>
            <w:noWrap/>
            <w:vAlign w:val="bottom"/>
            <w:hideMark/>
          </w:tcPr>
          <w:p w14:paraId="30E87FC7" w14:textId="77777777" w:rsidR="00421037" w:rsidRPr="007048BA" w:rsidRDefault="00421037" w:rsidP="00421037">
            <w:pPr>
              <w:spacing w:after="0" w:line="240" w:lineRule="auto"/>
              <w:ind w:firstLine="0"/>
              <w:jc w:val="left"/>
              <w:rPr>
                <w:rFonts w:eastAsia="Times New Roman" w:cs="Times New Roman"/>
                <w:b/>
                <w:sz w:val="20"/>
                <w:szCs w:val="24"/>
                <w:lang w:val="en-GB" w:eastAsia="en-GB"/>
              </w:rPr>
            </w:pPr>
          </w:p>
        </w:tc>
        <w:tc>
          <w:tcPr>
            <w:tcW w:w="876" w:type="dxa"/>
            <w:tcBorders>
              <w:top w:val="single" w:sz="4" w:space="0" w:color="auto"/>
              <w:bottom w:val="single" w:sz="4" w:space="0" w:color="auto"/>
            </w:tcBorders>
            <w:shd w:val="clear" w:color="auto" w:fill="auto"/>
            <w:noWrap/>
            <w:hideMark/>
          </w:tcPr>
          <w:p w14:paraId="627AB79A" w14:textId="10695CF9" w:rsidR="00421037" w:rsidRPr="007048BA" w:rsidRDefault="00421037" w:rsidP="00421037">
            <w:pPr>
              <w:spacing w:after="0" w:line="240" w:lineRule="auto"/>
              <w:ind w:firstLine="0"/>
              <w:jc w:val="right"/>
              <w:rPr>
                <w:rFonts w:eastAsia="Times New Roman" w:cs="Times New Roman"/>
                <w:b/>
                <w:color w:val="000000"/>
                <w:szCs w:val="24"/>
                <w:lang w:val="en-GB" w:eastAsia="en-GB"/>
              </w:rPr>
            </w:pPr>
            <w:r w:rsidRPr="007048BA">
              <w:rPr>
                <w:rFonts w:eastAsia="PMingLiU" w:cs="Times New Roman"/>
                <w:b/>
                <w:i/>
                <w:szCs w:val="24"/>
                <w:lang w:val="en-GB"/>
              </w:rPr>
              <w:t>Poor (P)</w:t>
            </w:r>
          </w:p>
        </w:tc>
        <w:tc>
          <w:tcPr>
            <w:tcW w:w="1096" w:type="dxa"/>
            <w:tcBorders>
              <w:top w:val="single" w:sz="4" w:space="0" w:color="auto"/>
              <w:bottom w:val="single" w:sz="4" w:space="0" w:color="auto"/>
            </w:tcBorders>
            <w:shd w:val="clear" w:color="auto" w:fill="auto"/>
            <w:noWrap/>
            <w:hideMark/>
          </w:tcPr>
          <w:p w14:paraId="18E285A2" w14:textId="3BA91082" w:rsidR="00421037" w:rsidRPr="007048BA" w:rsidRDefault="00421037" w:rsidP="00421037">
            <w:pPr>
              <w:spacing w:after="0" w:line="240" w:lineRule="auto"/>
              <w:ind w:firstLine="0"/>
              <w:jc w:val="right"/>
              <w:rPr>
                <w:rFonts w:eastAsia="Times New Roman" w:cs="Times New Roman"/>
                <w:b/>
                <w:color w:val="000000"/>
                <w:szCs w:val="24"/>
                <w:lang w:val="en-GB" w:eastAsia="en-GB"/>
              </w:rPr>
            </w:pPr>
            <w:r w:rsidRPr="007048BA">
              <w:rPr>
                <w:rFonts w:eastAsia="PMingLiU" w:cs="Times New Roman"/>
                <w:b/>
                <w:i/>
                <w:szCs w:val="24"/>
                <w:lang w:val="en-GB"/>
              </w:rPr>
              <w:t>Myopia (M)</w:t>
            </w:r>
          </w:p>
        </w:tc>
        <w:tc>
          <w:tcPr>
            <w:tcW w:w="1510" w:type="dxa"/>
            <w:tcBorders>
              <w:top w:val="single" w:sz="4" w:space="0" w:color="auto"/>
              <w:bottom w:val="single" w:sz="4" w:space="0" w:color="auto"/>
            </w:tcBorders>
            <w:shd w:val="clear" w:color="auto" w:fill="auto"/>
            <w:noWrap/>
            <w:hideMark/>
          </w:tcPr>
          <w:p w14:paraId="452D66E7" w14:textId="5C80BD42" w:rsidR="00421037" w:rsidRPr="007048BA" w:rsidRDefault="00421037" w:rsidP="00421037">
            <w:pPr>
              <w:spacing w:after="0" w:line="240" w:lineRule="auto"/>
              <w:ind w:firstLine="0"/>
              <w:jc w:val="right"/>
              <w:rPr>
                <w:rFonts w:eastAsia="Times New Roman" w:cs="Times New Roman"/>
                <w:b/>
                <w:color w:val="000000"/>
                <w:szCs w:val="24"/>
                <w:lang w:val="en-GB" w:eastAsia="en-GB"/>
              </w:rPr>
            </w:pPr>
            <w:r w:rsidRPr="007048BA">
              <w:rPr>
                <w:rFonts w:eastAsia="PMingLiU" w:cs="Times New Roman"/>
                <w:b/>
                <w:i/>
                <w:szCs w:val="24"/>
                <w:lang w:val="en-GB"/>
              </w:rPr>
              <w:t>Hyperopia (H)</w:t>
            </w:r>
          </w:p>
        </w:tc>
        <w:tc>
          <w:tcPr>
            <w:tcW w:w="1416" w:type="dxa"/>
            <w:tcBorders>
              <w:top w:val="single" w:sz="4" w:space="0" w:color="auto"/>
              <w:bottom w:val="single" w:sz="4" w:space="0" w:color="auto"/>
            </w:tcBorders>
            <w:shd w:val="clear" w:color="auto" w:fill="auto"/>
            <w:noWrap/>
            <w:hideMark/>
          </w:tcPr>
          <w:p w14:paraId="79D17798" w14:textId="0447D883" w:rsidR="00421037" w:rsidRPr="007048BA" w:rsidRDefault="00421037" w:rsidP="00421037">
            <w:pPr>
              <w:spacing w:after="0" w:line="240" w:lineRule="auto"/>
              <w:ind w:firstLine="0"/>
              <w:jc w:val="right"/>
              <w:rPr>
                <w:rFonts w:eastAsia="Times New Roman" w:cs="Times New Roman"/>
                <w:b/>
                <w:color w:val="000000"/>
                <w:szCs w:val="24"/>
                <w:lang w:val="en-GB" w:eastAsia="en-GB"/>
              </w:rPr>
            </w:pPr>
            <w:r w:rsidRPr="007048BA">
              <w:rPr>
                <w:rFonts w:eastAsia="PMingLiU" w:cs="Times New Roman"/>
                <w:b/>
                <w:i/>
                <w:szCs w:val="24"/>
                <w:lang w:val="en-GB"/>
              </w:rPr>
              <w:t>Efficient (E)</w:t>
            </w:r>
          </w:p>
        </w:tc>
        <w:tc>
          <w:tcPr>
            <w:tcW w:w="2169" w:type="dxa"/>
            <w:tcBorders>
              <w:top w:val="single" w:sz="4" w:space="0" w:color="auto"/>
              <w:bottom w:val="single" w:sz="4" w:space="0" w:color="auto"/>
            </w:tcBorders>
            <w:shd w:val="clear" w:color="auto" w:fill="auto"/>
            <w:noWrap/>
            <w:hideMark/>
          </w:tcPr>
          <w:p w14:paraId="3DB52FE3" w14:textId="77777777" w:rsidR="00421037" w:rsidRPr="007048BA" w:rsidRDefault="00421037" w:rsidP="00421037">
            <w:pPr>
              <w:widowControl w:val="0"/>
              <w:autoSpaceDE w:val="0"/>
              <w:autoSpaceDN w:val="0"/>
              <w:adjustRightInd w:val="0"/>
              <w:spacing w:after="0" w:line="240" w:lineRule="auto"/>
              <w:ind w:firstLine="0"/>
              <w:jc w:val="center"/>
              <w:rPr>
                <w:rFonts w:eastAsia="PMingLiU" w:cs="Times New Roman"/>
                <w:b/>
                <w:i/>
                <w:szCs w:val="24"/>
                <w:lang w:val="en-GB"/>
              </w:rPr>
            </w:pPr>
            <w:r w:rsidRPr="007048BA">
              <w:rPr>
                <w:rFonts w:eastAsia="PMingLiU" w:cs="Times New Roman"/>
                <w:b/>
                <w:i/>
                <w:szCs w:val="24"/>
                <w:lang w:val="en-GB"/>
              </w:rPr>
              <w:t>Significance tests</w:t>
            </w:r>
          </w:p>
          <w:p w14:paraId="73E5ED97" w14:textId="6AFAF905" w:rsidR="00421037" w:rsidRPr="007048BA" w:rsidRDefault="00421037" w:rsidP="00421037">
            <w:pPr>
              <w:spacing w:after="0" w:line="240" w:lineRule="auto"/>
              <w:ind w:firstLine="0"/>
              <w:jc w:val="right"/>
              <w:rPr>
                <w:rFonts w:eastAsia="Times New Roman" w:cs="Times New Roman"/>
                <w:b/>
                <w:color w:val="000000"/>
                <w:szCs w:val="24"/>
                <w:lang w:val="en-GB" w:eastAsia="en-GB"/>
              </w:rPr>
            </w:pPr>
            <w:r w:rsidRPr="007048BA">
              <w:rPr>
                <w:rFonts w:eastAsia="PMingLiU" w:cs="Times New Roman"/>
                <w:b/>
                <w:i/>
                <w:szCs w:val="24"/>
                <w:lang w:val="en-GB"/>
              </w:rPr>
              <w:t>(at 10% level)</w:t>
            </w:r>
          </w:p>
        </w:tc>
      </w:tr>
      <w:tr w:rsidR="00EB10DA" w:rsidRPr="007048BA" w14:paraId="208C4BA1" w14:textId="77777777" w:rsidTr="00FF0F5D">
        <w:trPr>
          <w:trHeight w:val="315"/>
        </w:trPr>
        <w:tc>
          <w:tcPr>
            <w:tcW w:w="1060" w:type="dxa"/>
            <w:tcBorders>
              <w:top w:val="single" w:sz="4" w:space="0" w:color="auto"/>
            </w:tcBorders>
            <w:shd w:val="clear" w:color="auto" w:fill="auto"/>
            <w:noWrap/>
            <w:vAlign w:val="bottom"/>
            <w:hideMark/>
          </w:tcPr>
          <w:p w14:paraId="4F561203" w14:textId="77777777" w:rsidR="00EB10DA" w:rsidRPr="007048BA" w:rsidRDefault="00EB10DA" w:rsidP="00EB10DA">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ROCE</w:t>
            </w:r>
          </w:p>
        </w:tc>
        <w:tc>
          <w:tcPr>
            <w:tcW w:w="876" w:type="dxa"/>
            <w:tcBorders>
              <w:top w:val="single" w:sz="4" w:space="0" w:color="auto"/>
            </w:tcBorders>
            <w:shd w:val="clear" w:color="auto" w:fill="auto"/>
            <w:noWrap/>
            <w:vAlign w:val="bottom"/>
            <w:hideMark/>
          </w:tcPr>
          <w:p w14:paraId="33FDD91A" w14:textId="77777777" w:rsidR="00EB10DA" w:rsidRPr="007048BA" w:rsidRDefault="00EB10DA" w:rsidP="00EB10DA">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-0.031</w:t>
            </w:r>
          </w:p>
        </w:tc>
        <w:tc>
          <w:tcPr>
            <w:tcW w:w="1096" w:type="dxa"/>
            <w:tcBorders>
              <w:top w:val="single" w:sz="4" w:space="0" w:color="auto"/>
            </w:tcBorders>
            <w:shd w:val="clear" w:color="auto" w:fill="auto"/>
            <w:noWrap/>
            <w:vAlign w:val="bottom"/>
            <w:hideMark/>
          </w:tcPr>
          <w:p w14:paraId="2C7E9662" w14:textId="77777777" w:rsidR="00EB10DA" w:rsidRPr="007048BA" w:rsidRDefault="00EB10DA" w:rsidP="00EB10DA">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0.159</w:t>
            </w:r>
          </w:p>
        </w:tc>
        <w:tc>
          <w:tcPr>
            <w:tcW w:w="1510" w:type="dxa"/>
            <w:tcBorders>
              <w:top w:val="single" w:sz="4" w:space="0" w:color="auto"/>
            </w:tcBorders>
            <w:shd w:val="clear" w:color="auto" w:fill="auto"/>
            <w:noWrap/>
            <w:vAlign w:val="bottom"/>
            <w:hideMark/>
          </w:tcPr>
          <w:p w14:paraId="0F5C0293" w14:textId="77777777" w:rsidR="00EB10DA" w:rsidRPr="007048BA" w:rsidRDefault="00EB10DA" w:rsidP="00EB10DA">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-0.017</w:t>
            </w:r>
          </w:p>
        </w:tc>
        <w:tc>
          <w:tcPr>
            <w:tcW w:w="1416" w:type="dxa"/>
            <w:tcBorders>
              <w:top w:val="single" w:sz="4" w:space="0" w:color="auto"/>
            </w:tcBorders>
            <w:shd w:val="clear" w:color="auto" w:fill="auto"/>
            <w:noWrap/>
            <w:vAlign w:val="bottom"/>
            <w:hideMark/>
          </w:tcPr>
          <w:p w14:paraId="57DB7421" w14:textId="77777777" w:rsidR="00EB10DA" w:rsidRPr="007048BA" w:rsidRDefault="00EB10DA" w:rsidP="00EB10DA">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0.166</w:t>
            </w:r>
          </w:p>
        </w:tc>
        <w:tc>
          <w:tcPr>
            <w:tcW w:w="2169" w:type="dxa"/>
            <w:tcBorders>
              <w:top w:val="single" w:sz="4" w:space="0" w:color="auto"/>
            </w:tcBorders>
            <w:shd w:val="clear" w:color="auto" w:fill="auto"/>
            <w:noWrap/>
            <w:vAlign w:val="bottom"/>
            <w:hideMark/>
          </w:tcPr>
          <w:p w14:paraId="1902EEB5" w14:textId="53362B79" w:rsidR="00EB10DA" w:rsidRPr="007048BA" w:rsidRDefault="00574D5C" w:rsidP="00EB5604">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 xml:space="preserve">All </w:t>
            </w:r>
            <w:r w:rsidR="00EB5604" w:rsidRPr="007048BA">
              <w:rPr>
                <w:rFonts w:eastAsia="PMingLiU" w:cs="Times New Roman"/>
                <w:i/>
                <w:szCs w:val="24"/>
                <w:lang w:val="en-GB"/>
              </w:rPr>
              <w:t>ex M&amp;E</w:t>
            </w:r>
          </w:p>
        </w:tc>
      </w:tr>
      <w:tr w:rsidR="00574D5C" w:rsidRPr="007048BA" w14:paraId="428101C9" w14:textId="77777777" w:rsidTr="00FF0F5D">
        <w:trPr>
          <w:trHeight w:val="315"/>
        </w:trPr>
        <w:tc>
          <w:tcPr>
            <w:tcW w:w="1060" w:type="dxa"/>
            <w:shd w:val="clear" w:color="auto" w:fill="auto"/>
            <w:noWrap/>
            <w:vAlign w:val="bottom"/>
            <w:hideMark/>
          </w:tcPr>
          <w:p w14:paraId="413E29F8" w14:textId="77777777" w:rsidR="00574D5C" w:rsidRPr="007048BA" w:rsidRDefault="00574D5C"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AAR</w:t>
            </w:r>
          </w:p>
        </w:tc>
        <w:tc>
          <w:tcPr>
            <w:tcW w:w="876" w:type="dxa"/>
            <w:shd w:val="clear" w:color="auto" w:fill="auto"/>
            <w:noWrap/>
            <w:vAlign w:val="bottom"/>
            <w:hideMark/>
          </w:tcPr>
          <w:p w14:paraId="08DCD7B4"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-0.001</w:t>
            </w:r>
          </w:p>
        </w:tc>
        <w:tc>
          <w:tcPr>
            <w:tcW w:w="1096" w:type="dxa"/>
            <w:shd w:val="clear" w:color="auto" w:fill="auto"/>
            <w:noWrap/>
            <w:vAlign w:val="bottom"/>
            <w:hideMark/>
          </w:tcPr>
          <w:p w14:paraId="1B4BC83E"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-0.001</w:t>
            </w:r>
          </w:p>
        </w:tc>
        <w:tc>
          <w:tcPr>
            <w:tcW w:w="1510" w:type="dxa"/>
            <w:shd w:val="clear" w:color="auto" w:fill="auto"/>
            <w:noWrap/>
            <w:vAlign w:val="bottom"/>
            <w:hideMark/>
          </w:tcPr>
          <w:p w14:paraId="454DC0AC"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0.001</w:t>
            </w:r>
          </w:p>
        </w:tc>
        <w:tc>
          <w:tcPr>
            <w:tcW w:w="1416" w:type="dxa"/>
            <w:shd w:val="clear" w:color="auto" w:fill="auto"/>
            <w:noWrap/>
            <w:vAlign w:val="bottom"/>
            <w:hideMark/>
          </w:tcPr>
          <w:p w14:paraId="52E571A2"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0.001</w:t>
            </w:r>
          </w:p>
        </w:tc>
        <w:tc>
          <w:tcPr>
            <w:tcW w:w="2169" w:type="dxa"/>
            <w:shd w:val="clear" w:color="auto" w:fill="auto"/>
            <w:noWrap/>
            <w:hideMark/>
          </w:tcPr>
          <w:p w14:paraId="474523F3" w14:textId="369A1822" w:rsidR="00574D5C" w:rsidRPr="007048BA" w:rsidRDefault="00574D5C" w:rsidP="00EB5604">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 xml:space="preserve">All </w:t>
            </w:r>
            <w:r w:rsidR="00EB5604" w:rsidRPr="007048BA">
              <w:rPr>
                <w:rFonts w:eastAsia="PMingLiU" w:cs="Times New Roman"/>
                <w:i/>
                <w:szCs w:val="24"/>
                <w:lang w:val="en-GB"/>
              </w:rPr>
              <w:t>ex P&amp;M</w:t>
            </w:r>
          </w:p>
        </w:tc>
      </w:tr>
      <w:tr w:rsidR="00574D5C" w:rsidRPr="007048BA" w14:paraId="11762707" w14:textId="77777777" w:rsidTr="00FF0F5D">
        <w:trPr>
          <w:trHeight w:val="315"/>
        </w:trPr>
        <w:tc>
          <w:tcPr>
            <w:tcW w:w="1060" w:type="dxa"/>
            <w:shd w:val="clear" w:color="auto" w:fill="auto"/>
            <w:noWrap/>
            <w:vAlign w:val="bottom"/>
            <w:hideMark/>
          </w:tcPr>
          <w:p w14:paraId="6A2E540F" w14:textId="77777777" w:rsidR="00574D5C" w:rsidRPr="007048BA" w:rsidRDefault="00574D5C"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TBQ</w:t>
            </w:r>
          </w:p>
        </w:tc>
        <w:tc>
          <w:tcPr>
            <w:tcW w:w="876" w:type="dxa"/>
            <w:shd w:val="clear" w:color="auto" w:fill="auto"/>
            <w:noWrap/>
            <w:vAlign w:val="bottom"/>
            <w:hideMark/>
          </w:tcPr>
          <w:p w14:paraId="0E5BADB3"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1.307</w:t>
            </w:r>
          </w:p>
        </w:tc>
        <w:tc>
          <w:tcPr>
            <w:tcW w:w="1096" w:type="dxa"/>
            <w:shd w:val="clear" w:color="auto" w:fill="auto"/>
            <w:noWrap/>
            <w:vAlign w:val="bottom"/>
            <w:hideMark/>
          </w:tcPr>
          <w:p w14:paraId="6E23753B"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1.496</w:t>
            </w:r>
          </w:p>
        </w:tc>
        <w:tc>
          <w:tcPr>
            <w:tcW w:w="1510" w:type="dxa"/>
            <w:shd w:val="clear" w:color="auto" w:fill="auto"/>
            <w:noWrap/>
            <w:vAlign w:val="bottom"/>
            <w:hideMark/>
          </w:tcPr>
          <w:p w14:paraId="61554407"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1.164</w:t>
            </w:r>
          </w:p>
        </w:tc>
        <w:tc>
          <w:tcPr>
            <w:tcW w:w="1416" w:type="dxa"/>
            <w:shd w:val="clear" w:color="auto" w:fill="auto"/>
            <w:noWrap/>
            <w:vAlign w:val="bottom"/>
            <w:hideMark/>
          </w:tcPr>
          <w:p w14:paraId="1F1FBA74"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1.390</w:t>
            </w:r>
          </w:p>
        </w:tc>
        <w:tc>
          <w:tcPr>
            <w:tcW w:w="2169" w:type="dxa"/>
            <w:shd w:val="clear" w:color="auto" w:fill="auto"/>
            <w:noWrap/>
            <w:hideMark/>
          </w:tcPr>
          <w:p w14:paraId="1F40BBED" w14:textId="1FB5C6C0" w:rsidR="00574D5C" w:rsidRPr="007048BA" w:rsidRDefault="00EB5604" w:rsidP="00574D5C">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ex P&amp;E</w:t>
            </w:r>
          </w:p>
        </w:tc>
      </w:tr>
      <w:tr w:rsidR="00706D1C" w:rsidRPr="007048BA" w14:paraId="6E67B50B" w14:textId="77777777" w:rsidTr="00FF0F5D">
        <w:trPr>
          <w:trHeight w:val="315"/>
        </w:trPr>
        <w:tc>
          <w:tcPr>
            <w:tcW w:w="1060" w:type="dxa"/>
            <w:shd w:val="clear" w:color="auto" w:fill="auto"/>
            <w:noWrap/>
            <w:vAlign w:val="bottom"/>
          </w:tcPr>
          <w:p w14:paraId="2237664C" w14:textId="454FC755" w:rsidR="00706D1C" w:rsidRPr="007048BA" w:rsidRDefault="00706D1C"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MTB</w:t>
            </w:r>
          </w:p>
        </w:tc>
        <w:tc>
          <w:tcPr>
            <w:tcW w:w="876" w:type="dxa"/>
            <w:shd w:val="clear" w:color="auto" w:fill="auto"/>
            <w:noWrap/>
            <w:vAlign w:val="bottom"/>
          </w:tcPr>
          <w:p w14:paraId="425C2BC1" w14:textId="2EFC13C6" w:rsidR="00706D1C" w:rsidRPr="007048BA" w:rsidRDefault="00706D1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0.893</w:t>
            </w:r>
          </w:p>
        </w:tc>
        <w:tc>
          <w:tcPr>
            <w:tcW w:w="1096" w:type="dxa"/>
            <w:shd w:val="clear" w:color="auto" w:fill="auto"/>
            <w:noWrap/>
            <w:vAlign w:val="bottom"/>
          </w:tcPr>
          <w:p w14:paraId="65076327" w14:textId="5F527E02" w:rsidR="00706D1C" w:rsidRPr="007048BA" w:rsidRDefault="00706D1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1.125</w:t>
            </w:r>
          </w:p>
        </w:tc>
        <w:tc>
          <w:tcPr>
            <w:tcW w:w="1510" w:type="dxa"/>
            <w:shd w:val="clear" w:color="auto" w:fill="auto"/>
            <w:noWrap/>
            <w:vAlign w:val="bottom"/>
          </w:tcPr>
          <w:p w14:paraId="6773B96A" w14:textId="1BCADACA" w:rsidR="00706D1C" w:rsidRPr="007048BA" w:rsidRDefault="00706D1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0.798</w:t>
            </w:r>
          </w:p>
        </w:tc>
        <w:tc>
          <w:tcPr>
            <w:tcW w:w="1416" w:type="dxa"/>
            <w:shd w:val="clear" w:color="auto" w:fill="auto"/>
            <w:noWrap/>
            <w:vAlign w:val="bottom"/>
          </w:tcPr>
          <w:p w14:paraId="5D9D0713" w14:textId="3727C70E" w:rsidR="00706D1C" w:rsidRPr="007048BA" w:rsidRDefault="00706D1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1.072</w:t>
            </w:r>
          </w:p>
        </w:tc>
        <w:tc>
          <w:tcPr>
            <w:tcW w:w="2169" w:type="dxa"/>
            <w:shd w:val="clear" w:color="auto" w:fill="auto"/>
            <w:noWrap/>
          </w:tcPr>
          <w:p w14:paraId="6C254F7F" w14:textId="5816940E" w:rsidR="00706D1C" w:rsidRPr="007048BA" w:rsidRDefault="00706D1C" w:rsidP="00706D1C">
            <w:pPr>
              <w:spacing w:after="0" w:line="240" w:lineRule="auto"/>
              <w:ind w:firstLine="0"/>
              <w:jc w:val="right"/>
              <w:rPr>
                <w:rFonts w:eastAsia="PMingLiU" w:cs="Times New Roman"/>
                <w:i/>
                <w:szCs w:val="24"/>
                <w:lang w:val="en-GB"/>
              </w:rPr>
            </w:pPr>
            <w:r w:rsidRPr="007048BA">
              <w:rPr>
                <w:rFonts w:eastAsia="PMingLiU" w:cs="Times New Roman"/>
                <w:i/>
                <w:szCs w:val="24"/>
                <w:lang w:val="en-GB"/>
              </w:rPr>
              <w:t>All</w:t>
            </w:r>
            <w:r w:rsidR="0035511B" w:rsidRPr="007048BA">
              <w:rPr>
                <w:rFonts w:eastAsia="PMingLiU" w:cs="Times New Roman"/>
                <w:i/>
                <w:szCs w:val="24"/>
                <w:lang w:val="en-GB"/>
              </w:rPr>
              <w:t xml:space="preserve"> pairs</w:t>
            </w:r>
          </w:p>
        </w:tc>
      </w:tr>
      <w:tr w:rsidR="00574D5C" w:rsidRPr="007048BA" w14:paraId="76ECDA0F" w14:textId="77777777" w:rsidTr="00FF0F5D">
        <w:trPr>
          <w:trHeight w:val="315"/>
        </w:trPr>
        <w:tc>
          <w:tcPr>
            <w:tcW w:w="1060" w:type="dxa"/>
            <w:shd w:val="clear" w:color="auto" w:fill="auto"/>
            <w:noWrap/>
            <w:vAlign w:val="bottom"/>
            <w:hideMark/>
          </w:tcPr>
          <w:p w14:paraId="1F1AC2C4" w14:textId="77777777" w:rsidR="00574D5C" w:rsidRPr="007048BA" w:rsidRDefault="00574D5C"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LIQ</w:t>
            </w:r>
          </w:p>
        </w:tc>
        <w:tc>
          <w:tcPr>
            <w:tcW w:w="876" w:type="dxa"/>
            <w:shd w:val="clear" w:color="auto" w:fill="auto"/>
            <w:noWrap/>
            <w:vAlign w:val="bottom"/>
            <w:hideMark/>
          </w:tcPr>
          <w:p w14:paraId="60AE8D80"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0.084</w:t>
            </w:r>
          </w:p>
        </w:tc>
        <w:tc>
          <w:tcPr>
            <w:tcW w:w="1096" w:type="dxa"/>
            <w:shd w:val="clear" w:color="auto" w:fill="auto"/>
            <w:noWrap/>
            <w:vAlign w:val="bottom"/>
            <w:hideMark/>
          </w:tcPr>
          <w:p w14:paraId="23775F76"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0.075</w:t>
            </w:r>
          </w:p>
        </w:tc>
        <w:tc>
          <w:tcPr>
            <w:tcW w:w="1510" w:type="dxa"/>
            <w:shd w:val="clear" w:color="auto" w:fill="auto"/>
            <w:noWrap/>
            <w:vAlign w:val="bottom"/>
            <w:hideMark/>
          </w:tcPr>
          <w:p w14:paraId="3596044A"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0.099</w:t>
            </w:r>
          </w:p>
        </w:tc>
        <w:tc>
          <w:tcPr>
            <w:tcW w:w="1416" w:type="dxa"/>
            <w:shd w:val="clear" w:color="auto" w:fill="auto"/>
            <w:noWrap/>
            <w:vAlign w:val="bottom"/>
            <w:hideMark/>
          </w:tcPr>
          <w:p w14:paraId="572F5D3A"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0.088</w:t>
            </w:r>
          </w:p>
        </w:tc>
        <w:tc>
          <w:tcPr>
            <w:tcW w:w="2169" w:type="dxa"/>
            <w:shd w:val="clear" w:color="auto" w:fill="auto"/>
            <w:noWrap/>
            <w:hideMark/>
          </w:tcPr>
          <w:p w14:paraId="4F186BD0" w14:textId="4B928330" w:rsidR="00574D5C" w:rsidRPr="007048BA" w:rsidRDefault="00EB5604" w:rsidP="00574D5C">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ex P&amp;E</w:t>
            </w:r>
          </w:p>
        </w:tc>
      </w:tr>
      <w:tr w:rsidR="00574D5C" w:rsidRPr="007048BA" w14:paraId="788852D5" w14:textId="77777777" w:rsidTr="00FF0F5D">
        <w:trPr>
          <w:trHeight w:val="315"/>
        </w:trPr>
        <w:tc>
          <w:tcPr>
            <w:tcW w:w="1060" w:type="dxa"/>
            <w:shd w:val="clear" w:color="auto" w:fill="auto"/>
            <w:noWrap/>
            <w:vAlign w:val="bottom"/>
            <w:hideMark/>
          </w:tcPr>
          <w:p w14:paraId="777666EF" w14:textId="77777777" w:rsidR="00574D5C" w:rsidRPr="007048BA" w:rsidRDefault="00574D5C"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LEV</w:t>
            </w:r>
          </w:p>
        </w:tc>
        <w:tc>
          <w:tcPr>
            <w:tcW w:w="876" w:type="dxa"/>
            <w:shd w:val="clear" w:color="auto" w:fill="auto"/>
            <w:noWrap/>
            <w:vAlign w:val="bottom"/>
            <w:hideMark/>
          </w:tcPr>
          <w:p w14:paraId="1457D7D6"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0.209</w:t>
            </w:r>
          </w:p>
        </w:tc>
        <w:tc>
          <w:tcPr>
            <w:tcW w:w="1096" w:type="dxa"/>
            <w:shd w:val="clear" w:color="auto" w:fill="auto"/>
            <w:noWrap/>
            <w:vAlign w:val="bottom"/>
            <w:hideMark/>
          </w:tcPr>
          <w:p w14:paraId="08FFEDB5"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0.264</w:t>
            </w:r>
          </w:p>
        </w:tc>
        <w:tc>
          <w:tcPr>
            <w:tcW w:w="1510" w:type="dxa"/>
            <w:shd w:val="clear" w:color="auto" w:fill="auto"/>
            <w:noWrap/>
            <w:vAlign w:val="bottom"/>
            <w:hideMark/>
          </w:tcPr>
          <w:p w14:paraId="5D4EFEBC"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0.135</w:t>
            </w:r>
          </w:p>
        </w:tc>
        <w:tc>
          <w:tcPr>
            <w:tcW w:w="1416" w:type="dxa"/>
            <w:shd w:val="clear" w:color="auto" w:fill="auto"/>
            <w:noWrap/>
            <w:vAlign w:val="bottom"/>
            <w:hideMark/>
          </w:tcPr>
          <w:p w14:paraId="3A8F652A"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0.226</w:t>
            </w:r>
          </w:p>
        </w:tc>
        <w:tc>
          <w:tcPr>
            <w:tcW w:w="2169" w:type="dxa"/>
            <w:shd w:val="clear" w:color="auto" w:fill="auto"/>
            <w:noWrap/>
            <w:hideMark/>
          </w:tcPr>
          <w:p w14:paraId="2A28C132" w14:textId="2B008062"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pairs</w:t>
            </w:r>
          </w:p>
        </w:tc>
      </w:tr>
      <w:tr w:rsidR="00574D5C" w:rsidRPr="007048BA" w14:paraId="538305C2" w14:textId="77777777" w:rsidTr="00FF0F5D">
        <w:trPr>
          <w:trHeight w:val="315"/>
        </w:trPr>
        <w:tc>
          <w:tcPr>
            <w:tcW w:w="1060" w:type="dxa"/>
            <w:shd w:val="clear" w:color="auto" w:fill="auto"/>
            <w:noWrap/>
            <w:vAlign w:val="bottom"/>
            <w:hideMark/>
          </w:tcPr>
          <w:p w14:paraId="3DFF3DFB" w14:textId="77777777" w:rsidR="00574D5C" w:rsidRPr="007048BA" w:rsidRDefault="00574D5C"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SGW</w:t>
            </w:r>
          </w:p>
        </w:tc>
        <w:tc>
          <w:tcPr>
            <w:tcW w:w="876" w:type="dxa"/>
            <w:shd w:val="clear" w:color="auto" w:fill="auto"/>
            <w:noWrap/>
            <w:vAlign w:val="bottom"/>
            <w:hideMark/>
          </w:tcPr>
          <w:p w14:paraId="03F997DC"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0.035</w:t>
            </w:r>
          </w:p>
        </w:tc>
        <w:tc>
          <w:tcPr>
            <w:tcW w:w="1096" w:type="dxa"/>
            <w:shd w:val="clear" w:color="auto" w:fill="auto"/>
            <w:noWrap/>
            <w:vAlign w:val="bottom"/>
            <w:hideMark/>
          </w:tcPr>
          <w:p w14:paraId="194385F3"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0.092</w:t>
            </w:r>
          </w:p>
        </w:tc>
        <w:tc>
          <w:tcPr>
            <w:tcW w:w="1510" w:type="dxa"/>
            <w:shd w:val="clear" w:color="auto" w:fill="auto"/>
            <w:noWrap/>
            <w:vAlign w:val="bottom"/>
            <w:hideMark/>
          </w:tcPr>
          <w:p w14:paraId="4E768980"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0.038</w:t>
            </w:r>
          </w:p>
        </w:tc>
        <w:tc>
          <w:tcPr>
            <w:tcW w:w="1416" w:type="dxa"/>
            <w:shd w:val="clear" w:color="auto" w:fill="auto"/>
            <w:noWrap/>
            <w:vAlign w:val="bottom"/>
            <w:hideMark/>
          </w:tcPr>
          <w:p w14:paraId="3485E59E"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0.100</w:t>
            </w:r>
          </w:p>
        </w:tc>
        <w:tc>
          <w:tcPr>
            <w:tcW w:w="2169" w:type="dxa"/>
            <w:shd w:val="clear" w:color="auto" w:fill="auto"/>
            <w:noWrap/>
            <w:hideMark/>
          </w:tcPr>
          <w:p w14:paraId="0FC6AA61" w14:textId="2C75C1E8" w:rsidR="00574D5C" w:rsidRPr="007048BA" w:rsidRDefault="00574D5C" w:rsidP="00EB5604">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 xml:space="preserve">All </w:t>
            </w:r>
            <w:r w:rsidR="00EB5604" w:rsidRPr="007048BA">
              <w:rPr>
                <w:rFonts w:eastAsia="PMingLiU" w:cs="Times New Roman"/>
                <w:i/>
                <w:szCs w:val="24"/>
                <w:lang w:val="en-GB"/>
              </w:rPr>
              <w:t>ex P&amp;H</w:t>
            </w:r>
          </w:p>
        </w:tc>
      </w:tr>
      <w:tr w:rsidR="00574D5C" w:rsidRPr="007048BA" w14:paraId="5F9D965E" w14:textId="77777777" w:rsidTr="00FF0F5D">
        <w:trPr>
          <w:trHeight w:val="315"/>
        </w:trPr>
        <w:tc>
          <w:tcPr>
            <w:tcW w:w="1060" w:type="dxa"/>
            <w:shd w:val="clear" w:color="auto" w:fill="auto"/>
            <w:noWrap/>
            <w:vAlign w:val="bottom"/>
            <w:hideMark/>
          </w:tcPr>
          <w:p w14:paraId="20DEB403" w14:textId="77777777" w:rsidR="00574D5C" w:rsidRPr="007048BA" w:rsidRDefault="00574D5C"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GRD</w:t>
            </w:r>
          </w:p>
        </w:tc>
        <w:tc>
          <w:tcPr>
            <w:tcW w:w="876" w:type="dxa"/>
            <w:shd w:val="clear" w:color="auto" w:fill="auto"/>
            <w:noWrap/>
            <w:vAlign w:val="bottom"/>
            <w:hideMark/>
          </w:tcPr>
          <w:p w14:paraId="1AAC89AB"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1096" w:type="dxa"/>
            <w:shd w:val="clear" w:color="auto" w:fill="auto"/>
            <w:noWrap/>
            <w:vAlign w:val="bottom"/>
            <w:hideMark/>
          </w:tcPr>
          <w:p w14:paraId="682A2FE6"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1510" w:type="dxa"/>
            <w:shd w:val="clear" w:color="auto" w:fill="auto"/>
            <w:noWrap/>
            <w:vAlign w:val="bottom"/>
            <w:hideMark/>
          </w:tcPr>
          <w:p w14:paraId="357C6F09"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1416" w:type="dxa"/>
            <w:shd w:val="clear" w:color="auto" w:fill="auto"/>
            <w:noWrap/>
            <w:vAlign w:val="bottom"/>
            <w:hideMark/>
          </w:tcPr>
          <w:p w14:paraId="01BC7601"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2169" w:type="dxa"/>
            <w:shd w:val="clear" w:color="auto" w:fill="auto"/>
            <w:noWrap/>
            <w:hideMark/>
          </w:tcPr>
          <w:p w14:paraId="3607ADA6" w14:textId="2B355E90" w:rsidR="00574D5C" w:rsidRPr="007048BA" w:rsidRDefault="00EB5604" w:rsidP="00574D5C">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None</w:t>
            </w:r>
          </w:p>
        </w:tc>
      </w:tr>
      <w:tr w:rsidR="00574D5C" w:rsidRPr="007048BA" w14:paraId="074A258E" w14:textId="77777777" w:rsidTr="00FF0F5D">
        <w:trPr>
          <w:trHeight w:val="315"/>
        </w:trPr>
        <w:tc>
          <w:tcPr>
            <w:tcW w:w="1060" w:type="dxa"/>
            <w:shd w:val="clear" w:color="auto" w:fill="auto"/>
            <w:noWrap/>
            <w:vAlign w:val="bottom"/>
            <w:hideMark/>
          </w:tcPr>
          <w:p w14:paraId="3B9E758E" w14:textId="77777777" w:rsidR="00574D5C" w:rsidRPr="007048BA" w:rsidRDefault="00574D5C"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IDD</w:t>
            </w:r>
          </w:p>
        </w:tc>
        <w:tc>
          <w:tcPr>
            <w:tcW w:w="876" w:type="dxa"/>
            <w:shd w:val="clear" w:color="auto" w:fill="auto"/>
            <w:noWrap/>
            <w:vAlign w:val="bottom"/>
            <w:hideMark/>
          </w:tcPr>
          <w:p w14:paraId="4910A785"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1096" w:type="dxa"/>
            <w:shd w:val="clear" w:color="auto" w:fill="auto"/>
            <w:noWrap/>
            <w:vAlign w:val="bottom"/>
            <w:hideMark/>
          </w:tcPr>
          <w:p w14:paraId="1EF7787A"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1510" w:type="dxa"/>
            <w:shd w:val="clear" w:color="auto" w:fill="auto"/>
            <w:noWrap/>
            <w:vAlign w:val="bottom"/>
            <w:hideMark/>
          </w:tcPr>
          <w:p w14:paraId="16D5AE06"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1416" w:type="dxa"/>
            <w:shd w:val="clear" w:color="auto" w:fill="auto"/>
            <w:noWrap/>
            <w:vAlign w:val="bottom"/>
            <w:hideMark/>
          </w:tcPr>
          <w:p w14:paraId="1E81DD85"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2169" w:type="dxa"/>
            <w:shd w:val="clear" w:color="auto" w:fill="auto"/>
            <w:noWrap/>
            <w:hideMark/>
          </w:tcPr>
          <w:p w14:paraId="771BF9C6" w14:textId="177C7A63" w:rsidR="00574D5C" w:rsidRPr="007048BA" w:rsidRDefault="00EB5604" w:rsidP="00574D5C">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None</w:t>
            </w:r>
          </w:p>
        </w:tc>
      </w:tr>
      <w:tr w:rsidR="00574D5C" w:rsidRPr="007048BA" w14:paraId="3B360FE6" w14:textId="77777777" w:rsidTr="00FF0F5D">
        <w:trPr>
          <w:trHeight w:val="315"/>
        </w:trPr>
        <w:tc>
          <w:tcPr>
            <w:tcW w:w="1060" w:type="dxa"/>
            <w:shd w:val="clear" w:color="auto" w:fill="auto"/>
            <w:noWrap/>
            <w:vAlign w:val="bottom"/>
            <w:hideMark/>
          </w:tcPr>
          <w:p w14:paraId="65FE5A77" w14:textId="77777777" w:rsidR="00574D5C" w:rsidRPr="007048BA" w:rsidRDefault="00574D5C"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FCF</w:t>
            </w:r>
          </w:p>
        </w:tc>
        <w:tc>
          <w:tcPr>
            <w:tcW w:w="876" w:type="dxa"/>
            <w:shd w:val="clear" w:color="auto" w:fill="auto"/>
            <w:noWrap/>
            <w:vAlign w:val="bottom"/>
            <w:hideMark/>
          </w:tcPr>
          <w:p w14:paraId="69E171B4"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-0.087</w:t>
            </w:r>
          </w:p>
        </w:tc>
        <w:tc>
          <w:tcPr>
            <w:tcW w:w="1096" w:type="dxa"/>
            <w:shd w:val="clear" w:color="auto" w:fill="auto"/>
            <w:noWrap/>
            <w:vAlign w:val="bottom"/>
            <w:hideMark/>
          </w:tcPr>
          <w:p w14:paraId="08D3E481"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0.030</w:t>
            </w:r>
          </w:p>
        </w:tc>
        <w:tc>
          <w:tcPr>
            <w:tcW w:w="1510" w:type="dxa"/>
            <w:shd w:val="clear" w:color="auto" w:fill="auto"/>
            <w:noWrap/>
            <w:vAlign w:val="bottom"/>
            <w:hideMark/>
          </w:tcPr>
          <w:p w14:paraId="43F1E1BC"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-0.092</w:t>
            </w:r>
          </w:p>
        </w:tc>
        <w:tc>
          <w:tcPr>
            <w:tcW w:w="1416" w:type="dxa"/>
            <w:shd w:val="clear" w:color="auto" w:fill="auto"/>
            <w:noWrap/>
            <w:vAlign w:val="bottom"/>
            <w:hideMark/>
          </w:tcPr>
          <w:p w14:paraId="316DBDF8"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0.040</w:t>
            </w:r>
          </w:p>
        </w:tc>
        <w:tc>
          <w:tcPr>
            <w:tcW w:w="2169" w:type="dxa"/>
            <w:shd w:val="clear" w:color="auto" w:fill="auto"/>
            <w:noWrap/>
            <w:hideMark/>
          </w:tcPr>
          <w:p w14:paraId="5A1D904F" w14:textId="519D39CF" w:rsidR="00574D5C" w:rsidRPr="007048BA" w:rsidRDefault="00574D5C" w:rsidP="00EB5604">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 xml:space="preserve">All </w:t>
            </w:r>
            <w:r w:rsidR="00EB5604" w:rsidRPr="007048BA">
              <w:rPr>
                <w:rFonts w:eastAsia="PMingLiU" w:cs="Times New Roman"/>
                <w:i/>
                <w:szCs w:val="24"/>
                <w:lang w:val="en-GB"/>
              </w:rPr>
              <w:t>ex P&amp;H</w:t>
            </w:r>
          </w:p>
        </w:tc>
      </w:tr>
      <w:tr w:rsidR="00574D5C" w:rsidRPr="007048BA" w14:paraId="5A1647F6" w14:textId="77777777" w:rsidTr="00FF0F5D">
        <w:trPr>
          <w:trHeight w:val="315"/>
        </w:trPr>
        <w:tc>
          <w:tcPr>
            <w:tcW w:w="1060" w:type="dxa"/>
            <w:shd w:val="clear" w:color="auto" w:fill="auto"/>
            <w:noWrap/>
            <w:vAlign w:val="bottom"/>
            <w:hideMark/>
          </w:tcPr>
          <w:p w14:paraId="240CC54B" w14:textId="77777777" w:rsidR="00574D5C" w:rsidRPr="007048BA" w:rsidRDefault="00574D5C"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TANG</w:t>
            </w:r>
          </w:p>
        </w:tc>
        <w:tc>
          <w:tcPr>
            <w:tcW w:w="876" w:type="dxa"/>
            <w:shd w:val="clear" w:color="auto" w:fill="auto"/>
            <w:noWrap/>
            <w:vAlign w:val="bottom"/>
            <w:hideMark/>
          </w:tcPr>
          <w:p w14:paraId="18F9A6D0"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0.220</w:t>
            </w:r>
          </w:p>
        </w:tc>
        <w:tc>
          <w:tcPr>
            <w:tcW w:w="1096" w:type="dxa"/>
            <w:shd w:val="clear" w:color="auto" w:fill="auto"/>
            <w:noWrap/>
            <w:vAlign w:val="bottom"/>
            <w:hideMark/>
          </w:tcPr>
          <w:p w14:paraId="3C8147DD"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0.259</w:t>
            </w:r>
          </w:p>
        </w:tc>
        <w:tc>
          <w:tcPr>
            <w:tcW w:w="1510" w:type="dxa"/>
            <w:shd w:val="clear" w:color="auto" w:fill="auto"/>
            <w:noWrap/>
            <w:vAlign w:val="bottom"/>
            <w:hideMark/>
          </w:tcPr>
          <w:p w14:paraId="46AEBC02"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0.207</w:t>
            </w:r>
          </w:p>
        </w:tc>
        <w:tc>
          <w:tcPr>
            <w:tcW w:w="1416" w:type="dxa"/>
            <w:shd w:val="clear" w:color="auto" w:fill="auto"/>
            <w:noWrap/>
            <w:vAlign w:val="bottom"/>
            <w:hideMark/>
          </w:tcPr>
          <w:p w14:paraId="386F6095"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0.249</w:t>
            </w:r>
          </w:p>
        </w:tc>
        <w:tc>
          <w:tcPr>
            <w:tcW w:w="2169" w:type="dxa"/>
            <w:shd w:val="clear" w:color="auto" w:fill="auto"/>
            <w:noWrap/>
            <w:hideMark/>
          </w:tcPr>
          <w:p w14:paraId="23D91563" w14:textId="41B0D38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pairs</w:t>
            </w:r>
          </w:p>
        </w:tc>
      </w:tr>
      <w:tr w:rsidR="00574D5C" w:rsidRPr="007048BA" w14:paraId="0DB692B5" w14:textId="77777777" w:rsidTr="00FF0F5D">
        <w:trPr>
          <w:trHeight w:val="315"/>
        </w:trPr>
        <w:tc>
          <w:tcPr>
            <w:tcW w:w="1060" w:type="dxa"/>
            <w:shd w:val="clear" w:color="auto" w:fill="auto"/>
            <w:noWrap/>
            <w:vAlign w:val="bottom"/>
            <w:hideMark/>
          </w:tcPr>
          <w:p w14:paraId="1B6B08A8" w14:textId="77777777" w:rsidR="00574D5C" w:rsidRPr="007048BA" w:rsidRDefault="00574D5C"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SIZE</w:t>
            </w:r>
          </w:p>
        </w:tc>
        <w:tc>
          <w:tcPr>
            <w:tcW w:w="876" w:type="dxa"/>
            <w:shd w:val="clear" w:color="auto" w:fill="auto"/>
            <w:noWrap/>
            <w:vAlign w:val="bottom"/>
            <w:hideMark/>
          </w:tcPr>
          <w:p w14:paraId="7437D5D7"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16.987</w:t>
            </w:r>
          </w:p>
        </w:tc>
        <w:tc>
          <w:tcPr>
            <w:tcW w:w="1096" w:type="dxa"/>
            <w:shd w:val="clear" w:color="auto" w:fill="auto"/>
            <w:noWrap/>
            <w:vAlign w:val="bottom"/>
            <w:hideMark/>
          </w:tcPr>
          <w:p w14:paraId="1D139DE1"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18.086</w:t>
            </w:r>
          </w:p>
        </w:tc>
        <w:tc>
          <w:tcPr>
            <w:tcW w:w="1510" w:type="dxa"/>
            <w:shd w:val="clear" w:color="auto" w:fill="auto"/>
            <w:noWrap/>
            <w:vAlign w:val="bottom"/>
            <w:hideMark/>
          </w:tcPr>
          <w:p w14:paraId="149C957C"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16.739</w:t>
            </w:r>
          </w:p>
        </w:tc>
        <w:tc>
          <w:tcPr>
            <w:tcW w:w="1416" w:type="dxa"/>
            <w:shd w:val="clear" w:color="auto" w:fill="auto"/>
            <w:noWrap/>
            <w:vAlign w:val="bottom"/>
            <w:hideMark/>
          </w:tcPr>
          <w:p w14:paraId="561F7A3B"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17.890</w:t>
            </w:r>
          </w:p>
        </w:tc>
        <w:tc>
          <w:tcPr>
            <w:tcW w:w="2169" w:type="dxa"/>
            <w:shd w:val="clear" w:color="auto" w:fill="auto"/>
            <w:noWrap/>
            <w:hideMark/>
          </w:tcPr>
          <w:p w14:paraId="10A10E84" w14:textId="37AFAB53"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pairs</w:t>
            </w:r>
          </w:p>
        </w:tc>
      </w:tr>
      <w:tr w:rsidR="00574D5C" w:rsidRPr="007048BA" w14:paraId="3215BDD8" w14:textId="77777777" w:rsidTr="00FF0F5D">
        <w:trPr>
          <w:trHeight w:val="315"/>
        </w:trPr>
        <w:tc>
          <w:tcPr>
            <w:tcW w:w="1060" w:type="dxa"/>
            <w:shd w:val="clear" w:color="auto" w:fill="auto"/>
            <w:noWrap/>
            <w:vAlign w:val="bottom"/>
            <w:hideMark/>
          </w:tcPr>
          <w:p w14:paraId="28FA412B" w14:textId="77777777" w:rsidR="00574D5C" w:rsidRPr="007048BA" w:rsidRDefault="00574D5C"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AGE</w:t>
            </w:r>
          </w:p>
        </w:tc>
        <w:tc>
          <w:tcPr>
            <w:tcW w:w="876" w:type="dxa"/>
            <w:shd w:val="clear" w:color="auto" w:fill="auto"/>
            <w:noWrap/>
            <w:vAlign w:val="bottom"/>
            <w:hideMark/>
          </w:tcPr>
          <w:p w14:paraId="23A2E996"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2.565</w:t>
            </w:r>
          </w:p>
        </w:tc>
        <w:tc>
          <w:tcPr>
            <w:tcW w:w="1096" w:type="dxa"/>
            <w:shd w:val="clear" w:color="auto" w:fill="auto"/>
            <w:noWrap/>
            <w:vAlign w:val="bottom"/>
            <w:hideMark/>
          </w:tcPr>
          <w:p w14:paraId="3BE7E69A"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2.890</w:t>
            </w:r>
          </w:p>
        </w:tc>
        <w:tc>
          <w:tcPr>
            <w:tcW w:w="1510" w:type="dxa"/>
            <w:shd w:val="clear" w:color="auto" w:fill="auto"/>
            <w:noWrap/>
            <w:vAlign w:val="bottom"/>
            <w:hideMark/>
          </w:tcPr>
          <w:p w14:paraId="4A8663E2"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2.565</w:t>
            </w:r>
          </w:p>
        </w:tc>
        <w:tc>
          <w:tcPr>
            <w:tcW w:w="1416" w:type="dxa"/>
            <w:shd w:val="clear" w:color="auto" w:fill="auto"/>
            <w:noWrap/>
            <w:vAlign w:val="bottom"/>
            <w:hideMark/>
          </w:tcPr>
          <w:p w14:paraId="20B2A8F3"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2.833</w:t>
            </w:r>
          </w:p>
        </w:tc>
        <w:tc>
          <w:tcPr>
            <w:tcW w:w="2169" w:type="dxa"/>
            <w:shd w:val="clear" w:color="auto" w:fill="auto"/>
            <w:noWrap/>
            <w:hideMark/>
          </w:tcPr>
          <w:p w14:paraId="01082F93" w14:textId="7D9B9FCD" w:rsidR="00574D5C" w:rsidRPr="007048BA" w:rsidRDefault="00EB5604" w:rsidP="00574D5C">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ex P&amp;H</w:t>
            </w:r>
          </w:p>
        </w:tc>
      </w:tr>
      <w:tr w:rsidR="00574D5C" w:rsidRPr="007048BA" w14:paraId="6C7AAB61" w14:textId="77777777" w:rsidTr="00FF0F5D">
        <w:trPr>
          <w:trHeight w:val="315"/>
        </w:trPr>
        <w:tc>
          <w:tcPr>
            <w:tcW w:w="1060" w:type="dxa"/>
            <w:shd w:val="clear" w:color="auto" w:fill="auto"/>
            <w:noWrap/>
            <w:vAlign w:val="bottom"/>
            <w:hideMark/>
          </w:tcPr>
          <w:p w14:paraId="23D38FC5" w14:textId="77777777" w:rsidR="00574D5C" w:rsidRPr="007048BA" w:rsidRDefault="00574D5C"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HHI</w:t>
            </w:r>
          </w:p>
        </w:tc>
        <w:tc>
          <w:tcPr>
            <w:tcW w:w="876" w:type="dxa"/>
            <w:shd w:val="clear" w:color="auto" w:fill="auto"/>
            <w:noWrap/>
            <w:vAlign w:val="bottom"/>
            <w:hideMark/>
          </w:tcPr>
          <w:p w14:paraId="063F4586"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0.070</w:t>
            </w:r>
          </w:p>
        </w:tc>
        <w:tc>
          <w:tcPr>
            <w:tcW w:w="1096" w:type="dxa"/>
            <w:shd w:val="clear" w:color="auto" w:fill="auto"/>
            <w:noWrap/>
            <w:vAlign w:val="bottom"/>
            <w:hideMark/>
          </w:tcPr>
          <w:p w14:paraId="445AC7B2"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0.071</w:t>
            </w:r>
          </w:p>
        </w:tc>
        <w:tc>
          <w:tcPr>
            <w:tcW w:w="1510" w:type="dxa"/>
            <w:shd w:val="clear" w:color="auto" w:fill="auto"/>
            <w:noWrap/>
            <w:vAlign w:val="bottom"/>
            <w:hideMark/>
          </w:tcPr>
          <w:p w14:paraId="69ABE355"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0.070</w:t>
            </w:r>
          </w:p>
        </w:tc>
        <w:tc>
          <w:tcPr>
            <w:tcW w:w="1416" w:type="dxa"/>
            <w:shd w:val="clear" w:color="auto" w:fill="auto"/>
            <w:noWrap/>
            <w:vAlign w:val="bottom"/>
            <w:hideMark/>
          </w:tcPr>
          <w:p w14:paraId="023D34C2"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0.068</w:t>
            </w:r>
          </w:p>
        </w:tc>
        <w:tc>
          <w:tcPr>
            <w:tcW w:w="2169" w:type="dxa"/>
            <w:shd w:val="clear" w:color="auto" w:fill="auto"/>
            <w:noWrap/>
            <w:hideMark/>
          </w:tcPr>
          <w:p w14:paraId="011DBA24" w14:textId="31A0EF50" w:rsidR="00574D5C" w:rsidRPr="007048BA" w:rsidRDefault="00EB5604" w:rsidP="00574D5C">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M&amp;E</w:t>
            </w:r>
          </w:p>
        </w:tc>
      </w:tr>
      <w:tr w:rsidR="00574D5C" w:rsidRPr="007048BA" w14:paraId="6682AC3B" w14:textId="77777777" w:rsidTr="00FF0F5D">
        <w:trPr>
          <w:trHeight w:val="315"/>
        </w:trPr>
        <w:tc>
          <w:tcPr>
            <w:tcW w:w="1060" w:type="dxa"/>
            <w:shd w:val="clear" w:color="auto" w:fill="auto"/>
            <w:noWrap/>
            <w:vAlign w:val="bottom"/>
            <w:hideMark/>
          </w:tcPr>
          <w:p w14:paraId="6C292095" w14:textId="73613B6B" w:rsidR="00574D5C" w:rsidRPr="007048BA" w:rsidRDefault="00EF63A8"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BLOC</w:t>
            </w:r>
          </w:p>
        </w:tc>
        <w:tc>
          <w:tcPr>
            <w:tcW w:w="876" w:type="dxa"/>
            <w:shd w:val="clear" w:color="auto" w:fill="auto"/>
            <w:noWrap/>
            <w:vAlign w:val="bottom"/>
            <w:hideMark/>
          </w:tcPr>
          <w:p w14:paraId="00D3DE15"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1096" w:type="dxa"/>
            <w:shd w:val="clear" w:color="auto" w:fill="auto"/>
            <w:noWrap/>
            <w:vAlign w:val="bottom"/>
            <w:hideMark/>
          </w:tcPr>
          <w:p w14:paraId="5AFB791C"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0.110</w:t>
            </w:r>
          </w:p>
        </w:tc>
        <w:tc>
          <w:tcPr>
            <w:tcW w:w="1510" w:type="dxa"/>
            <w:shd w:val="clear" w:color="auto" w:fill="auto"/>
            <w:noWrap/>
            <w:vAlign w:val="bottom"/>
            <w:hideMark/>
          </w:tcPr>
          <w:p w14:paraId="7C620AD3"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1416" w:type="dxa"/>
            <w:shd w:val="clear" w:color="auto" w:fill="auto"/>
            <w:noWrap/>
            <w:vAlign w:val="bottom"/>
            <w:hideMark/>
          </w:tcPr>
          <w:p w14:paraId="58463C48"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2169" w:type="dxa"/>
            <w:shd w:val="clear" w:color="auto" w:fill="auto"/>
            <w:noWrap/>
            <w:hideMark/>
          </w:tcPr>
          <w:p w14:paraId="19838B46" w14:textId="51C93A34"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pairs</w:t>
            </w:r>
          </w:p>
        </w:tc>
      </w:tr>
      <w:tr w:rsidR="00574D5C" w:rsidRPr="007048BA" w14:paraId="583D6A68" w14:textId="77777777" w:rsidTr="00FF0F5D">
        <w:trPr>
          <w:trHeight w:val="315"/>
        </w:trPr>
        <w:tc>
          <w:tcPr>
            <w:tcW w:w="1060" w:type="dxa"/>
            <w:shd w:val="clear" w:color="auto" w:fill="auto"/>
            <w:noWrap/>
            <w:vAlign w:val="bottom"/>
            <w:hideMark/>
          </w:tcPr>
          <w:p w14:paraId="3E164F4A" w14:textId="77777777" w:rsidR="00574D5C" w:rsidRPr="007048BA" w:rsidRDefault="00574D5C"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RUM</w:t>
            </w:r>
          </w:p>
        </w:tc>
        <w:tc>
          <w:tcPr>
            <w:tcW w:w="876" w:type="dxa"/>
            <w:shd w:val="clear" w:color="auto" w:fill="auto"/>
            <w:noWrap/>
            <w:vAlign w:val="bottom"/>
            <w:hideMark/>
          </w:tcPr>
          <w:p w14:paraId="78ECAD62"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1096" w:type="dxa"/>
            <w:shd w:val="clear" w:color="auto" w:fill="auto"/>
            <w:noWrap/>
            <w:vAlign w:val="bottom"/>
            <w:hideMark/>
          </w:tcPr>
          <w:p w14:paraId="2AC49133"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1510" w:type="dxa"/>
            <w:shd w:val="clear" w:color="auto" w:fill="auto"/>
            <w:noWrap/>
            <w:vAlign w:val="bottom"/>
            <w:hideMark/>
          </w:tcPr>
          <w:p w14:paraId="52030A19"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1416" w:type="dxa"/>
            <w:shd w:val="clear" w:color="auto" w:fill="auto"/>
            <w:noWrap/>
            <w:vAlign w:val="bottom"/>
            <w:hideMark/>
          </w:tcPr>
          <w:p w14:paraId="59A7403D"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c>
          <w:tcPr>
            <w:tcW w:w="2169" w:type="dxa"/>
            <w:shd w:val="clear" w:color="auto" w:fill="auto"/>
            <w:noWrap/>
            <w:hideMark/>
          </w:tcPr>
          <w:p w14:paraId="0058583A" w14:textId="02C310C9" w:rsidR="00574D5C" w:rsidRPr="007048BA" w:rsidRDefault="00EB5604" w:rsidP="00574D5C">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ex P&amp;H, M&amp;E</w:t>
            </w:r>
          </w:p>
        </w:tc>
      </w:tr>
      <w:tr w:rsidR="00574D5C" w:rsidRPr="007048BA" w14:paraId="438E1DB3" w14:textId="77777777" w:rsidTr="00FF0F5D">
        <w:trPr>
          <w:trHeight w:val="315"/>
        </w:trPr>
        <w:tc>
          <w:tcPr>
            <w:tcW w:w="1060" w:type="dxa"/>
            <w:shd w:val="clear" w:color="auto" w:fill="auto"/>
            <w:noWrap/>
            <w:vAlign w:val="bottom"/>
            <w:hideMark/>
          </w:tcPr>
          <w:p w14:paraId="4728009B" w14:textId="77777777" w:rsidR="00574D5C" w:rsidRPr="007048BA" w:rsidRDefault="00574D5C"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MOM</w:t>
            </w:r>
          </w:p>
        </w:tc>
        <w:tc>
          <w:tcPr>
            <w:tcW w:w="876" w:type="dxa"/>
            <w:shd w:val="clear" w:color="auto" w:fill="auto"/>
            <w:noWrap/>
            <w:vAlign w:val="bottom"/>
            <w:hideMark/>
          </w:tcPr>
          <w:p w14:paraId="64AC26F4"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-0.404</w:t>
            </w:r>
          </w:p>
        </w:tc>
        <w:tc>
          <w:tcPr>
            <w:tcW w:w="1096" w:type="dxa"/>
            <w:shd w:val="clear" w:color="auto" w:fill="auto"/>
            <w:noWrap/>
            <w:vAlign w:val="bottom"/>
            <w:hideMark/>
          </w:tcPr>
          <w:p w14:paraId="3B5F4704"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-0.243</w:t>
            </w:r>
          </w:p>
        </w:tc>
        <w:tc>
          <w:tcPr>
            <w:tcW w:w="1510" w:type="dxa"/>
            <w:shd w:val="clear" w:color="auto" w:fill="auto"/>
            <w:noWrap/>
            <w:vAlign w:val="bottom"/>
            <w:hideMark/>
          </w:tcPr>
          <w:p w14:paraId="51343F44"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0.432</w:t>
            </w:r>
          </w:p>
        </w:tc>
        <w:tc>
          <w:tcPr>
            <w:tcW w:w="1416" w:type="dxa"/>
            <w:shd w:val="clear" w:color="auto" w:fill="auto"/>
            <w:noWrap/>
            <w:vAlign w:val="bottom"/>
            <w:hideMark/>
          </w:tcPr>
          <w:p w14:paraId="5C6BF33C"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0.634</w:t>
            </w:r>
          </w:p>
        </w:tc>
        <w:tc>
          <w:tcPr>
            <w:tcW w:w="2169" w:type="dxa"/>
            <w:shd w:val="clear" w:color="auto" w:fill="auto"/>
            <w:noWrap/>
            <w:hideMark/>
          </w:tcPr>
          <w:p w14:paraId="345F3557" w14:textId="0E5B1AE9"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All pairs</w:t>
            </w:r>
          </w:p>
        </w:tc>
      </w:tr>
      <w:tr w:rsidR="00574D5C" w:rsidRPr="007048BA" w14:paraId="4E3497F9" w14:textId="77777777" w:rsidTr="00FF0F5D">
        <w:trPr>
          <w:trHeight w:val="315"/>
        </w:trPr>
        <w:tc>
          <w:tcPr>
            <w:tcW w:w="1060" w:type="dxa"/>
            <w:shd w:val="clear" w:color="auto" w:fill="auto"/>
            <w:noWrap/>
            <w:vAlign w:val="bottom"/>
            <w:hideMark/>
          </w:tcPr>
          <w:p w14:paraId="3E1646BA" w14:textId="77777777" w:rsidR="00574D5C" w:rsidRPr="007048BA" w:rsidRDefault="00574D5C" w:rsidP="00574D5C">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TVOL</w:t>
            </w:r>
          </w:p>
        </w:tc>
        <w:tc>
          <w:tcPr>
            <w:tcW w:w="876" w:type="dxa"/>
            <w:shd w:val="clear" w:color="auto" w:fill="auto"/>
            <w:noWrap/>
            <w:vAlign w:val="bottom"/>
            <w:hideMark/>
          </w:tcPr>
          <w:p w14:paraId="77A41A38"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0.042</w:t>
            </w:r>
          </w:p>
        </w:tc>
        <w:tc>
          <w:tcPr>
            <w:tcW w:w="1096" w:type="dxa"/>
            <w:shd w:val="clear" w:color="auto" w:fill="auto"/>
            <w:noWrap/>
            <w:vAlign w:val="bottom"/>
            <w:hideMark/>
          </w:tcPr>
          <w:p w14:paraId="6D8ECF93"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0.115</w:t>
            </w:r>
          </w:p>
        </w:tc>
        <w:tc>
          <w:tcPr>
            <w:tcW w:w="1510" w:type="dxa"/>
            <w:shd w:val="clear" w:color="auto" w:fill="auto"/>
            <w:noWrap/>
            <w:vAlign w:val="bottom"/>
            <w:hideMark/>
          </w:tcPr>
          <w:p w14:paraId="1ABE36B6"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0.049</w:t>
            </w:r>
          </w:p>
        </w:tc>
        <w:tc>
          <w:tcPr>
            <w:tcW w:w="1416" w:type="dxa"/>
            <w:shd w:val="clear" w:color="auto" w:fill="auto"/>
            <w:noWrap/>
            <w:vAlign w:val="bottom"/>
            <w:hideMark/>
          </w:tcPr>
          <w:p w14:paraId="0E45A4C9" w14:textId="77777777" w:rsidR="00574D5C" w:rsidRPr="007048BA" w:rsidRDefault="00574D5C" w:rsidP="00574D5C">
            <w:pPr>
              <w:spacing w:after="0" w:line="240" w:lineRule="auto"/>
              <w:ind w:firstLine="0"/>
              <w:jc w:val="right"/>
              <w:rPr>
                <w:rFonts w:eastAsia="Times New Roman" w:cs="Times New Roman"/>
                <w:color w:val="000000"/>
                <w:szCs w:val="24"/>
                <w:lang w:val="en-GB" w:eastAsia="en-GB"/>
              </w:rPr>
            </w:pPr>
            <w:r w:rsidRPr="007048BA">
              <w:rPr>
                <w:rFonts w:eastAsia="Times New Roman" w:cs="Times New Roman"/>
                <w:color w:val="000000"/>
                <w:szCs w:val="24"/>
                <w:lang w:val="en-GB" w:eastAsia="en-GB"/>
              </w:rPr>
              <w:t>0.120</w:t>
            </w:r>
          </w:p>
        </w:tc>
        <w:tc>
          <w:tcPr>
            <w:tcW w:w="2169" w:type="dxa"/>
            <w:shd w:val="clear" w:color="auto" w:fill="auto"/>
            <w:noWrap/>
            <w:hideMark/>
          </w:tcPr>
          <w:p w14:paraId="20CF5D22" w14:textId="621C3B40" w:rsidR="00574D5C" w:rsidRPr="007048BA" w:rsidRDefault="00574D5C" w:rsidP="00EB5604">
            <w:pPr>
              <w:spacing w:after="0" w:line="240" w:lineRule="auto"/>
              <w:ind w:firstLine="0"/>
              <w:jc w:val="right"/>
              <w:rPr>
                <w:rFonts w:eastAsia="Times New Roman" w:cs="Times New Roman"/>
                <w:color w:val="000000"/>
                <w:szCs w:val="24"/>
                <w:lang w:val="en-GB" w:eastAsia="en-GB"/>
              </w:rPr>
            </w:pPr>
            <w:r w:rsidRPr="007048BA">
              <w:rPr>
                <w:rFonts w:eastAsia="PMingLiU" w:cs="Times New Roman"/>
                <w:i/>
                <w:szCs w:val="24"/>
                <w:lang w:val="en-GB"/>
              </w:rPr>
              <w:t xml:space="preserve">All </w:t>
            </w:r>
            <w:r w:rsidR="00EB5604" w:rsidRPr="007048BA">
              <w:rPr>
                <w:rFonts w:eastAsia="PMingLiU" w:cs="Times New Roman"/>
                <w:i/>
                <w:szCs w:val="24"/>
                <w:lang w:val="en-GB"/>
              </w:rPr>
              <w:t>ex M&amp;E</w:t>
            </w:r>
          </w:p>
        </w:tc>
      </w:tr>
    </w:tbl>
    <w:p w14:paraId="3666671F" w14:textId="2DFD8085" w:rsidR="0060367E" w:rsidRPr="007048BA" w:rsidRDefault="006737BB" w:rsidP="006737BB">
      <w:pPr>
        <w:tabs>
          <w:tab w:val="left" w:pos="3683"/>
        </w:tabs>
        <w:rPr>
          <w:lang w:val="en-GB" w:eastAsia="zh-TW"/>
        </w:rPr>
        <w:sectPr w:rsidR="0060367E" w:rsidRPr="007048BA" w:rsidSect="007B5ED9">
          <w:pgSz w:w="12240" w:h="15840"/>
          <w:pgMar w:top="1304" w:right="964" w:bottom="1304" w:left="1077" w:header="720" w:footer="720" w:gutter="0"/>
          <w:cols w:space="720"/>
          <w:docGrid w:linePitch="360"/>
        </w:sectPr>
      </w:pPr>
      <w:r w:rsidRPr="007048BA">
        <w:rPr>
          <w:lang w:val="en-GB" w:eastAsia="zh-TW"/>
        </w:rPr>
        <w:tab/>
      </w:r>
    </w:p>
    <w:p w14:paraId="7F4B7CE0" w14:textId="77777777" w:rsidR="00650959" w:rsidRPr="007048BA" w:rsidRDefault="00650959" w:rsidP="00D8280C">
      <w:pPr>
        <w:rPr>
          <w:b/>
          <w:sz w:val="28"/>
          <w:lang w:val="en-GB" w:eastAsia="zh-TW"/>
        </w:rPr>
        <w:sectPr w:rsidR="00650959" w:rsidRPr="007048BA" w:rsidSect="007B5ED9">
          <w:type w:val="continuous"/>
          <w:pgSz w:w="12240" w:h="15840"/>
          <w:pgMar w:top="1304" w:right="964" w:bottom="1304" w:left="1077" w:header="720" w:footer="720" w:gutter="0"/>
          <w:cols w:space="720"/>
          <w:docGrid w:linePitch="360"/>
        </w:sectPr>
      </w:pPr>
    </w:p>
    <w:p w14:paraId="2E08F313" w14:textId="7B4E20C1" w:rsidR="0060367E" w:rsidRPr="007048BA" w:rsidRDefault="005254B8" w:rsidP="00D8280C">
      <w:pPr>
        <w:rPr>
          <w:rFonts w:eastAsia="PMingLiU" w:cs="Times New Roman"/>
          <w:b/>
          <w:sz w:val="28"/>
          <w:szCs w:val="24"/>
          <w:lang w:val="en-GB" w:eastAsia="zh-TW"/>
        </w:rPr>
      </w:pPr>
      <w:r w:rsidRPr="007048BA">
        <w:rPr>
          <w:b/>
          <w:sz w:val="28"/>
          <w:lang w:val="en-GB" w:eastAsia="zh-TW"/>
        </w:rPr>
        <w:lastRenderedPageBreak/>
        <w:t>Table 4</w:t>
      </w:r>
      <w:r w:rsidR="00D8280C" w:rsidRPr="007048BA">
        <w:rPr>
          <w:b/>
          <w:sz w:val="28"/>
          <w:lang w:val="en-GB" w:eastAsia="zh-TW"/>
        </w:rPr>
        <w:t xml:space="preserve">: </w:t>
      </w:r>
      <w:r w:rsidR="0060367E" w:rsidRPr="007048BA">
        <w:rPr>
          <w:rFonts w:eastAsia="PMingLiU" w:cs="Times New Roman"/>
          <w:b/>
          <w:sz w:val="28"/>
          <w:szCs w:val="24"/>
          <w:lang w:val="en-GB" w:eastAsia="zh-TW"/>
        </w:rPr>
        <w:t xml:space="preserve">R&amp;D and </w:t>
      </w:r>
      <w:r w:rsidR="006B3320" w:rsidRPr="007048BA">
        <w:rPr>
          <w:rFonts w:eastAsia="PMingLiU" w:cs="Times New Roman"/>
          <w:b/>
          <w:sz w:val="28"/>
          <w:szCs w:val="24"/>
          <w:lang w:val="en-GB" w:eastAsia="zh-TW"/>
        </w:rPr>
        <w:t>attributes</w:t>
      </w:r>
      <w:r w:rsidR="0060367E" w:rsidRPr="007048BA">
        <w:rPr>
          <w:rFonts w:eastAsia="PMingLiU" w:cs="Times New Roman"/>
          <w:b/>
          <w:sz w:val="28"/>
          <w:szCs w:val="24"/>
          <w:lang w:val="en-GB" w:eastAsia="zh-TW"/>
        </w:rPr>
        <w:t xml:space="preserve"> of management performance.</w:t>
      </w:r>
    </w:p>
    <w:p w14:paraId="2861E656" w14:textId="433901DE" w:rsidR="0060367E" w:rsidRPr="007048BA" w:rsidRDefault="0060367E" w:rsidP="0060367E">
      <w:pPr>
        <w:tabs>
          <w:tab w:val="left" w:pos="3420"/>
        </w:tabs>
        <w:autoSpaceDE w:val="0"/>
        <w:autoSpaceDN w:val="0"/>
        <w:adjustRightInd w:val="0"/>
        <w:spacing w:after="0" w:line="240" w:lineRule="auto"/>
        <w:ind w:firstLine="0"/>
        <w:rPr>
          <w:rFonts w:eastAsia="PMingLiU" w:cs="Times New Roman"/>
          <w:sz w:val="20"/>
          <w:szCs w:val="24"/>
          <w:lang w:val="en-GB" w:eastAsia="zh-TW"/>
        </w:rPr>
      </w:pPr>
      <w:r w:rsidRPr="007048BA">
        <w:rPr>
          <w:rFonts w:eastAsia="PMingLiU" w:cs="Times New Roman"/>
          <w:sz w:val="20"/>
          <w:szCs w:val="24"/>
          <w:lang w:val="en-GB" w:eastAsia="zh-TW"/>
        </w:rPr>
        <w:t>The table presents regression results for equation (2)</w:t>
      </w:r>
      <w:r w:rsidR="003257B2" w:rsidRPr="007048BA">
        <w:rPr>
          <w:rFonts w:eastAsia="PMingLiU" w:cs="Times New Roman"/>
          <w:sz w:val="20"/>
          <w:szCs w:val="24"/>
          <w:lang w:val="en-GB" w:eastAsia="zh-TW"/>
        </w:rPr>
        <w:t xml:space="preserve">, </w:t>
      </w:r>
      <w:r w:rsidRPr="007048BA">
        <w:rPr>
          <w:rFonts w:eastAsia="PMingLiU" w:cs="Times New Roman"/>
          <w:sz w:val="20"/>
          <w:szCs w:val="24"/>
          <w:lang w:val="en-GB" w:eastAsia="zh-TW"/>
        </w:rPr>
        <w:t>specified below;</w:t>
      </w:r>
    </w:p>
    <w:p w14:paraId="4ECE4131" w14:textId="3E6A5DF5" w:rsidR="0060367E" w:rsidRPr="007048BA" w:rsidRDefault="007048BA" w:rsidP="00063801">
      <w:pPr>
        <w:autoSpaceDE w:val="0"/>
        <w:autoSpaceDN w:val="0"/>
        <w:adjustRightInd w:val="0"/>
        <w:spacing w:after="0" w:line="240" w:lineRule="auto"/>
        <w:ind w:firstLine="227"/>
        <w:jc w:val="center"/>
        <w:rPr>
          <w:rFonts w:eastAsia="PMingLiU" w:cs="cmr12"/>
          <w:sz w:val="20"/>
          <w:szCs w:val="24"/>
          <w:lang w:val="en-GB" w:eastAsia="zh-TW"/>
        </w:rPr>
      </w:pPr>
      <m:oMath>
        <m:sSub>
          <m:sSubPr>
            <m:ctrlPr>
              <w:rPr>
                <w:rFonts w:ascii="Cambria Math" w:eastAsia="PMingLiU" w:hAnsi="Cambria Math" w:cs="cmr12"/>
                <w:i/>
                <w:sz w:val="20"/>
                <w:szCs w:val="24"/>
                <w:lang w:val="en-GB" w:eastAsia="zh-TW"/>
              </w:rPr>
            </m:ctrlPr>
          </m:sSubPr>
          <m:e>
            <m:r>
              <w:rPr>
                <w:rFonts w:ascii="Cambria Math" w:eastAsia="PMingLiU" w:hAnsi="Cambria Math" w:cs="cmr12"/>
                <w:sz w:val="20"/>
                <w:szCs w:val="24"/>
                <w:lang w:val="en-GB" w:eastAsia="zh-TW"/>
              </w:rPr>
              <m:t>RDI</m:t>
            </m:r>
          </m:e>
          <m:sub>
            <m:r>
              <w:rPr>
                <w:rFonts w:ascii="Cambria Math" w:eastAsia="PMingLiU" w:hAnsi="Cambria Math" w:cs="cmr12"/>
                <w:sz w:val="20"/>
                <w:szCs w:val="24"/>
                <w:lang w:val="en-GB" w:eastAsia="zh-TW"/>
              </w:rPr>
              <m:t>it</m:t>
            </m:r>
          </m:sub>
        </m:sSub>
        <m:r>
          <w:rPr>
            <w:rFonts w:ascii="Cambria Math" w:eastAsia="PMingLiU" w:hAnsi="Cambria Math" w:cs="cmr12"/>
            <w:sz w:val="20"/>
            <w:szCs w:val="24"/>
            <w:lang w:val="en-GB" w:eastAsia="zh-TW"/>
          </w:rPr>
          <m:t>=α+β*</m:t>
        </m:r>
        <m:sSub>
          <m:sSubPr>
            <m:ctrlPr>
              <w:rPr>
                <w:rFonts w:ascii="Cambria Math" w:eastAsia="PMingLiU" w:hAnsi="Cambria Math" w:cs="cmr12"/>
                <w:i/>
                <w:sz w:val="20"/>
                <w:szCs w:val="24"/>
                <w:lang w:val="en-GB" w:eastAsia="zh-TW"/>
              </w:rPr>
            </m:ctrlPr>
          </m:sSubPr>
          <m:e>
            <m:r>
              <w:rPr>
                <w:rFonts w:ascii="Cambria Math" w:eastAsia="PMingLiU" w:hAnsi="Cambria Math" w:cs="cmr12"/>
                <w:sz w:val="20"/>
                <w:szCs w:val="24"/>
                <w:lang w:val="en-GB" w:eastAsia="zh-TW"/>
              </w:rPr>
              <m:t>Performance</m:t>
            </m:r>
          </m:e>
          <m:sub>
            <m:r>
              <w:rPr>
                <w:rFonts w:ascii="Cambria Math" w:eastAsia="PMingLiU" w:hAnsi="Cambria Math" w:cs="cmr12"/>
                <w:sz w:val="20"/>
                <w:szCs w:val="24"/>
                <w:lang w:val="en-GB" w:eastAsia="zh-TW"/>
              </w:rPr>
              <m:t>it-1</m:t>
            </m:r>
          </m:sub>
        </m:sSub>
        <m:r>
          <w:rPr>
            <w:rFonts w:ascii="Cambria Math" w:eastAsia="PMingLiU" w:hAnsi="Cambria Math" w:cs="cmr12"/>
            <w:sz w:val="20"/>
            <w:szCs w:val="24"/>
            <w:lang w:val="en-GB" w:eastAsia="zh-TW"/>
          </w:rPr>
          <m:t>+</m:t>
        </m:r>
        <m:sSub>
          <m:sSubPr>
            <m:ctrlPr>
              <w:rPr>
                <w:rFonts w:ascii="Cambria Math" w:eastAsia="PMingLiU" w:hAnsi="Cambria Math" w:cs="cmr12"/>
                <w:i/>
                <w:sz w:val="20"/>
                <w:szCs w:val="24"/>
                <w:lang w:val="en-GB" w:eastAsia="zh-TW"/>
              </w:rPr>
            </m:ctrlPr>
          </m:sSubPr>
          <m:e>
            <m:r>
              <w:rPr>
                <w:rFonts w:ascii="Cambria Math" w:eastAsia="PMingLiU" w:hAnsi="Cambria Math" w:cs="cmr12"/>
                <w:sz w:val="20"/>
                <w:szCs w:val="24"/>
                <w:lang w:val="en-GB" w:eastAsia="zh-TW"/>
              </w:rPr>
              <m:t>γ*Controls</m:t>
            </m:r>
          </m:e>
          <m:sub>
            <m:r>
              <w:rPr>
                <w:rFonts w:ascii="Cambria Math" w:eastAsia="PMingLiU" w:hAnsi="Cambria Math" w:cs="cmr12"/>
                <w:sz w:val="20"/>
                <w:szCs w:val="24"/>
                <w:lang w:val="en-GB" w:eastAsia="zh-TW"/>
              </w:rPr>
              <m:t>it-1</m:t>
            </m:r>
          </m:sub>
        </m:sSub>
        <m:r>
          <w:rPr>
            <w:rFonts w:ascii="Cambria Math" w:eastAsia="PMingLiU" w:hAnsi="Cambria Math" w:cs="cmr12"/>
            <w:sz w:val="20"/>
            <w:szCs w:val="24"/>
            <w:lang w:val="en-GB" w:eastAsia="zh-TW"/>
          </w:rPr>
          <m:t>+</m:t>
        </m:r>
        <m:sSub>
          <m:sSubPr>
            <m:ctrlPr>
              <w:rPr>
                <w:rFonts w:ascii="Cambria Math" w:eastAsia="PMingLiU" w:hAnsi="Cambria Math" w:cs="cmr12"/>
                <w:i/>
                <w:sz w:val="20"/>
                <w:szCs w:val="24"/>
                <w:lang w:val="en-GB" w:eastAsia="zh-TW"/>
              </w:rPr>
            </m:ctrlPr>
          </m:sSubPr>
          <m:e>
            <m:r>
              <w:rPr>
                <w:rFonts w:ascii="Cambria Math" w:eastAsia="PMingLiU" w:hAnsi="Cambria Math" w:cs="cmr12"/>
                <w:sz w:val="20"/>
                <w:szCs w:val="24"/>
                <w:lang w:val="en-GB" w:eastAsia="zh-TW"/>
              </w:rPr>
              <m:t>ε</m:t>
            </m:r>
          </m:e>
          <m:sub>
            <m:r>
              <w:rPr>
                <w:rFonts w:ascii="Cambria Math" w:eastAsia="PMingLiU" w:hAnsi="Cambria Math" w:cs="cmr12"/>
                <w:sz w:val="20"/>
                <w:szCs w:val="24"/>
                <w:lang w:val="en-GB" w:eastAsia="zh-TW"/>
              </w:rPr>
              <m:t>it</m:t>
            </m:r>
          </m:sub>
        </m:sSub>
      </m:oMath>
      <w:r w:rsidR="0060367E" w:rsidRPr="007048BA">
        <w:rPr>
          <w:rFonts w:eastAsia="PMingLiU" w:cs="cmr12"/>
          <w:sz w:val="20"/>
          <w:szCs w:val="24"/>
          <w:lang w:val="en-GB" w:eastAsia="zh-TW"/>
        </w:rPr>
        <w:t xml:space="preserve">                            (2)</w:t>
      </w:r>
    </w:p>
    <w:p w14:paraId="005B3A76" w14:textId="054DB65A" w:rsidR="00EE0982" w:rsidRPr="007048BA" w:rsidRDefault="00405676" w:rsidP="006E40E2">
      <w:pPr>
        <w:tabs>
          <w:tab w:val="left" w:pos="3420"/>
        </w:tabs>
        <w:autoSpaceDE w:val="0"/>
        <w:autoSpaceDN w:val="0"/>
        <w:adjustRightInd w:val="0"/>
        <w:spacing w:after="0" w:line="240" w:lineRule="auto"/>
        <w:ind w:firstLine="0"/>
        <w:rPr>
          <w:rFonts w:eastAsia="PMingLiU" w:cs="cmr12"/>
          <w:sz w:val="20"/>
          <w:szCs w:val="24"/>
          <w:lang w:val="en-GB" w:eastAsia="zh-TW"/>
        </w:rPr>
      </w:pPr>
      <w:r w:rsidRPr="007048BA">
        <w:rPr>
          <w:rFonts w:eastAsia="PMingLiU" w:cs="cmr12"/>
          <w:sz w:val="20"/>
          <w:szCs w:val="24"/>
          <w:lang w:val="en-GB" w:eastAsia="zh-TW"/>
        </w:rPr>
        <w:t xml:space="preserve">Research &amp; development </w:t>
      </w:r>
      <w:r w:rsidR="00EE0982" w:rsidRPr="007048BA">
        <w:rPr>
          <w:rFonts w:eastAsia="PMingLiU" w:cs="cmr12"/>
          <w:sz w:val="20"/>
          <w:szCs w:val="24"/>
          <w:lang w:val="en-GB" w:eastAsia="zh-TW"/>
        </w:rPr>
        <w:t>expenditure to total asset ratio</w:t>
      </w:r>
      <w:r w:rsidRPr="007048BA">
        <w:rPr>
          <w:rFonts w:eastAsia="PMingLiU" w:cs="cmr12"/>
          <w:sz w:val="20"/>
          <w:szCs w:val="24"/>
          <w:lang w:val="en-GB" w:eastAsia="zh-TW"/>
        </w:rPr>
        <w:t xml:space="preserve"> (</w:t>
      </w:r>
      <w:r w:rsidRPr="007048BA">
        <w:rPr>
          <w:rFonts w:eastAsia="PMingLiU" w:cs="cmr12"/>
          <w:i/>
          <w:sz w:val="20"/>
          <w:szCs w:val="24"/>
          <w:lang w:val="en-GB" w:eastAsia="zh-TW"/>
        </w:rPr>
        <w:t>RDI</w:t>
      </w:r>
      <w:r w:rsidRPr="007048BA">
        <w:rPr>
          <w:rFonts w:eastAsia="PMingLiU" w:cs="cmr12"/>
          <w:sz w:val="20"/>
          <w:szCs w:val="24"/>
          <w:lang w:val="en-GB" w:eastAsia="zh-TW"/>
        </w:rPr>
        <w:t>) is the dependent variable in the model</w:t>
      </w:r>
      <w:r w:rsidR="00EE0982" w:rsidRPr="007048BA">
        <w:rPr>
          <w:rFonts w:eastAsia="PMingLiU" w:cs="cmr12"/>
          <w:sz w:val="20"/>
          <w:szCs w:val="24"/>
          <w:lang w:val="en-GB" w:eastAsia="zh-TW"/>
        </w:rPr>
        <w:t>s (1) to (4)</w:t>
      </w:r>
      <w:r w:rsidRPr="007048BA">
        <w:rPr>
          <w:rFonts w:eastAsia="PMingLiU" w:cs="cmr12"/>
          <w:sz w:val="20"/>
          <w:szCs w:val="24"/>
          <w:lang w:val="en-GB" w:eastAsia="zh-TW"/>
        </w:rPr>
        <w:t xml:space="preserve">. </w:t>
      </w:r>
      <w:r w:rsidR="00EE0982" w:rsidRPr="007048BA">
        <w:rPr>
          <w:rFonts w:eastAsia="PMingLiU" w:cs="cmr12"/>
          <w:sz w:val="20"/>
          <w:szCs w:val="24"/>
          <w:lang w:val="en-GB" w:eastAsia="zh-TW"/>
        </w:rPr>
        <w:t xml:space="preserve">The dependent variable in models (5) to (8) is abnormal discretionary (R&amp;D and SG&amp;A) expenditures computed as </w:t>
      </w:r>
      <w:r w:rsidR="00EF73CB" w:rsidRPr="007048BA">
        <w:rPr>
          <w:rFonts w:eastAsia="PMingLiU" w:cs="cmr12"/>
          <w:sz w:val="20"/>
          <w:szCs w:val="24"/>
          <w:lang w:val="en-GB" w:eastAsia="zh-TW"/>
        </w:rPr>
        <w:t xml:space="preserve">the residual </w:t>
      </w:r>
      <w:r w:rsidR="00EE0982" w:rsidRPr="007048BA">
        <w:rPr>
          <w:rFonts w:eastAsia="PMingLiU" w:cs="cmr12"/>
          <w:sz w:val="20"/>
          <w:szCs w:val="24"/>
          <w:lang w:val="en-GB" w:eastAsia="zh-TW"/>
        </w:rPr>
        <w:t>in equation (3) specified below;</w:t>
      </w:r>
    </w:p>
    <w:p w14:paraId="47F0805A" w14:textId="524B70B2" w:rsidR="00EF73CB" w:rsidRPr="007048BA" w:rsidRDefault="007048BA" w:rsidP="00EF73CB">
      <w:pPr>
        <w:spacing w:after="0"/>
        <w:jc w:val="center"/>
        <w:rPr>
          <w:sz w:val="20"/>
        </w:rPr>
      </w:pPr>
      <m:oMath>
        <m:f>
          <m:fPr>
            <m:ctrlPr>
              <w:rPr>
                <w:rFonts w:ascii="Latin Modern Math" w:hAnsi="Latin Modern Math"/>
                <w:i/>
                <w:sz w:val="20"/>
                <w:szCs w:val="26"/>
              </w:rPr>
            </m:ctrlPr>
          </m:fPr>
          <m:num>
            <m:sSub>
              <m:sSubPr>
                <m:ctrlPr>
                  <w:rPr>
                    <w:rFonts w:ascii="Latin Modern Math" w:hAnsi="Latin Modern Math"/>
                    <w:i/>
                    <w:sz w:val="20"/>
                    <w:szCs w:val="26"/>
                  </w:rPr>
                </m:ctrlPr>
              </m:sSubPr>
              <m:e>
                <m:r>
                  <w:rPr>
                    <w:rFonts w:ascii="Latin Modern Math" w:hAnsi="Latin Modern Math"/>
                    <w:sz w:val="20"/>
                    <w:szCs w:val="26"/>
                  </w:rPr>
                  <m:t>DISX</m:t>
                </m:r>
              </m:e>
              <m:sub>
                <m:r>
                  <w:rPr>
                    <w:rFonts w:ascii="Latin Modern Math" w:hAnsi="Latin Modern Math"/>
                    <w:sz w:val="20"/>
                    <w:szCs w:val="26"/>
                  </w:rPr>
                  <m:t>it</m:t>
                </m:r>
              </m:sub>
            </m:sSub>
          </m:num>
          <m:den>
            <m:sSub>
              <m:sSubPr>
                <m:ctrlPr>
                  <w:rPr>
                    <w:rFonts w:ascii="Latin Modern Math" w:hAnsi="Latin Modern Math"/>
                    <w:i/>
                    <w:sz w:val="20"/>
                    <w:szCs w:val="26"/>
                  </w:rPr>
                </m:ctrlPr>
              </m:sSubPr>
              <m:e>
                <m:r>
                  <w:rPr>
                    <w:rFonts w:ascii="Latin Modern Math" w:hAnsi="Latin Modern Math"/>
                    <w:sz w:val="20"/>
                    <w:szCs w:val="26"/>
                  </w:rPr>
                  <m:t>Assets</m:t>
                </m:r>
              </m:e>
              <m:sub>
                <m:r>
                  <w:rPr>
                    <w:rFonts w:ascii="Latin Modern Math" w:hAnsi="Latin Modern Math"/>
                    <w:sz w:val="20"/>
                    <w:szCs w:val="26"/>
                  </w:rPr>
                  <m:t>it-1</m:t>
                </m:r>
              </m:sub>
            </m:sSub>
          </m:den>
        </m:f>
        <m:r>
          <w:rPr>
            <w:rFonts w:ascii="Latin Modern Math" w:hAnsi="Latin Modern Math"/>
            <w:sz w:val="20"/>
            <w:szCs w:val="26"/>
          </w:rPr>
          <m:t xml:space="preserve">= </m:t>
        </m:r>
        <m:sSub>
          <m:sSubPr>
            <m:ctrlPr>
              <w:rPr>
                <w:rFonts w:ascii="Latin Modern Math" w:hAnsi="Latin Modern Math"/>
                <w:i/>
                <w:sz w:val="20"/>
                <w:szCs w:val="26"/>
              </w:rPr>
            </m:ctrlPr>
          </m:sSubPr>
          <m:e>
            <m:r>
              <w:rPr>
                <w:rFonts w:ascii="Cambria Math" w:hAnsi="Cambria Math"/>
                <w:sz w:val="20"/>
                <w:szCs w:val="26"/>
              </w:rPr>
              <m:t>β</m:t>
            </m:r>
          </m:e>
          <m:sub>
            <m:r>
              <w:rPr>
                <w:rFonts w:ascii="Latin Modern Math" w:hAnsi="Latin Modern Math"/>
                <w:sz w:val="20"/>
                <w:szCs w:val="26"/>
              </w:rPr>
              <m:t>1</m:t>
            </m:r>
          </m:sub>
        </m:sSub>
        <m:f>
          <m:fPr>
            <m:ctrlPr>
              <w:rPr>
                <w:rFonts w:ascii="Latin Modern Math" w:hAnsi="Latin Modern Math"/>
                <w:i/>
                <w:sz w:val="20"/>
                <w:szCs w:val="26"/>
              </w:rPr>
            </m:ctrlPr>
          </m:fPr>
          <m:num>
            <m:r>
              <w:rPr>
                <w:rFonts w:ascii="Latin Modern Math" w:hAnsi="Latin Modern Math"/>
                <w:sz w:val="20"/>
                <w:szCs w:val="26"/>
              </w:rPr>
              <m:t>1</m:t>
            </m:r>
          </m:num>
          <m:den>
            <m:sSub>
              <m:sSubPr>
                <m:ctrlPr>
                  <w:rPr>
                    <w:rFonts w:ascii="Latin Modern Math" w:hAnsi="Latin Modern Math"/>
                    <w:i/>
                    <w:sz w:val="20"/>
                    <w:szCs w:val="26"/>
                  </w:rPr>
                </m:ctrlPr>
              </m:sSubPr>
              <m:e>
                <m:r>
                  <w:rPr>
                    <w:rFonts w:ascii="Latin Modern Math" w:hAnsi="Latin Modern Math"/>
                    <w:sz w:val="20"/>
                    <w:szCs w:val="26"/>
                  </w:rPr>
                  <m:t>Assets</m:t>
                </m:r>
              </m:e>
              <m:sub>
                <m:r>
                  <w:rPr>
                    <w:rFonts w:ascii="Latin Modern Math" w:hAnsi="Latin Modern Math"/>
                    <w:sz w:val="20"/>
                    <w:szCs w:val="26"/>
                  </w:rPr>
                  <m:t>it-1</m:t>
                </m:r>
              </m:sub>
            </m:sSub>
          </m:den>
        </m:f>
        <m:r>
          <w:rPr>
            <w:rFonts w:ascii="Latin Modern Math" w:hAnsi="Latin Modern Math"/>
            <w:sz w:val="20"/>
            <w:szCs w:val="26"/>
          </w:rPr>
          <m:t>+</m:t>
        </m:r>
        <m:sSub>
          <m:sSubPr>
            <m:ctrlPr>
              <w:rPr>
                <w:rFonts w:ascii="Latin Modern Math" w:hAnsi="Latin Modern Math"/>
                <w:i/>
                <w:sz w:val="20"/>
                <w:szCs w:val="26"/>
              </w:rPr>
            </m:ctrlPr>
          </m:sSubPr>
          <m:e>
            <m:r>
              <w:rPr>
                <w:rFonts w:ascii="Cambria Math" w:hAnsi="Cambria Math"/>
                <w:sz w:val="20"/>
                <w:szCs w:val="26"/>
              </w:rPr>
              <m:t>β</m:t>
            </m:r>
          </m:e>
          <m:sub>
            <m:r>
              <w:rPr>
                <w:rFonts w:ascii="Cambria Math" w:hAnsi="Latin Modern Math"/>
                <w:sz w:val="20"/>
                <w:szCs w:val="26"/>
              </w:rPr>
              <m:t>2</m:t>
            </m:r>
          </m:sub>
        </m:sSub>
        <m:f>
          <m:fPr>
            <m:ctrlPr>
              <w:rPr>
                <w:rFonts w:ascii="Latin Modern Math" w:hAnsi="Latin Modern Math"/>
                <w:i/>
                <w:sz w:val="20"/>
                <w:szCs w:val="26"/>
              </w:rPr>
            </m:ctrlPr>
          </m:fPr>
          <m:num>
            <m:sSub>
              <m:sSubPr>
                <m:ctrlPr>
                  <w:rPr>
                    <w:rFonts w:ascii="Latin Modern Math" w:hAnsi="Latin Modern Math"/>
                    <w:i/>
                    <w:sz w:val="20"/>
                    <w:szCs w:val="26"/>
                  </w:rPr>
                </m:ctrlPr>
              </m:sSubPr>
              <m:e>
                <m:r>
                  <w:rPr>
                    <w:rFonts w:ascii="Latin Modern Math" w:hAnsi="Latin Modern Math"/>
                    <w:sz w:val="20"/>
                    <w:szCs w:val="26"/>
                  </w:rPr>
                  <m:t>SALES</m:t>
                </m:r>
              </m:e>
              <m:sub>
                <m:r>
                  <w:rPr>
                    <w:rFonts w:ascii="Latin Modern Math" w:hAnsi="Latin Modern Math"/>
                    <w:sz w:val="20"/>
                    <w:szCs w:val="26"/>
                  </w:rPr>
                  <m:t>it</m:t>
                </m:r>
                <m:r>
                  <w:rPr>
                    <w:rFonts w:ascii="Cambria Math" w:hAnsi="Latin Modern Math"/>
                    <w:sz w:val="20"/>
                    <w:szCs w:val="26"/>
                  </w:rPr>
                  <m:t>-</m:t>
                </m:r>
                <m:r>
                  <w:rPr>
                    <w:rFonts w:ascii="Cambria Math" w:hAnsi="Latin Modern Math"/>
                    <w:sz w:val="20"/>
                    <w:szCs w:val="26"/>
                  </w:rPr>
                  <m:t>1</m:t>
                </m:r>
              </m:sub>
            </m:sSub>
          </m:num>
          <m:den>
            <m:sSub>
              <m:sSubPr>
                <m:ctrlPr>
                  <w:rPr>
                    <w:rFonts w:ascii="Latin Modern Math" w:hAnsi="Latin Modern Math"/>
                    <w:i/>
                    <w:sz w:val="20"/>
                    <w:szCs w:val="26"/>
                  </w:rPr>
                </m:ctrlPr>
              </m:sSubPr>
              <m:e>
                <m:r>
                  <w:rPr>
                    <w:rFonts w:ascii="Latin Modern Math" w:hAnsi="Latin Modern Math"/>
                    <w:sz w:val="20"/>
                    <w:szCs w:val="26"/>
                  </w:rPr>
                  <m:t>Assets</m:t>
                </m:r>
              </m:e>
              <m:sub>
                <m:r>
                  <w:rPr>
                    <w:rFonts w:ascii="Latin Modern Math" w:hAnsi="Latin Modern Math"/>
                    <w:sz w:val="20"/>
                    <w:szCs w:val="26"/>
                  </w:rPr>
                  <m:t>it-1</m:t>
                </m:r>
              </m:sub>
            </m:sSub>
          </m:den>
        </m:f>
        <m:r>
          <w:rPr>
            <w:rFonts w:ascii="Latin Modern Math" w:hAnsi="Latin Modern Math"/>
            <w:sz w:val="20"/>
            <w:szCs w:val="26"/>
          </w:rPr>
          <m:t>+</m:t>
        </m:r>
        <m:sSub>
          <m:sSubPr>
            <m:ctrlPr>
              <w:rPr>
                <w:rFonts w:ascii="Latin Modern Math" w:hAnsi="Latin Modern Math"/>
                <w:i/>
                <w:sz w:val="20"/>
                <w:szCs w:val="26"/>
              </w:rPr>
            </m:ctrlPr>
          </m:sSubPr>
          <m:e>
            <m:r>
              <w:rPr>
                <w:rFonts w:ascii="Cambria Math" w:hAnsi="Cambria Math"/>
                <w:sz w:val="20"/>
                <w:szCs w:val="26"/>
              </w:rPr>
              <m:t>ε</m:t>
            </m:r>
          </m:e>
          <m:sub>
            <m:r>
              <w:rPr>
                <w:rFonts w:ascii="Latin Modern Math" w:hAnsi="Latin Modern Math"/>
                <w:sz w:val="20"/>
                <w:szCs w:val="26"/>
              </w:rPr>
              <m:t>it</m:t>
            </m:r>
          </m:sub>
        </m:sSub>
      </m:oMath>
      <w:r w:rsidR="00EF73CB" w:rsidRPr="007048BA">
        <w:rPr>
          <w:sz w:val="20"/>
          <w:szCs w:val="26"/>
        </w:rPr>
        <w:t xml:space="preserve">               </w:t>
      </w:r>
      <w:r w:rsidR="00C63EE0" w:rsidRPr="007048BA">
        <w:rPr>
          <w:sz w:val="20"/>
          <w:szCs w:val="26"/>
        </w:rPr>
        <w:t xml:space="preserve">                                    </w:t>
      </w:r>
      <w:r w:rsidR="00EF73CB" w:rsidRPr="007048BA">
        <w:rPr>
          <w:sz w:val="20"/>
          <w:szCs w:val="26"/>
        </w:rPr>
        <w:t xml:space="preserve">     (3)</w:t>
      </w:r>
    </w:p>
    <w:p w14:paraId="71260122" w14:textId="2976C355" w:rsidR="0060367E" w:rsidRPr="007048BA" w:rsidRDefault="00063801" w:rsidP="00EF73CB">
      <w:pPr>
        <w:tabs>
          <w:tab w:val="left" w:pos="3420"/>
        </w:tabs>
        <w:autoSpaceDE w:val="0"/>
        <w:autoSpaceDN w:val="0"/>
        <w:adjustRightInd w:val="0"/>
        <w:spacing w:after="0" w:line="240" w:lineRule="auto"/>
        <w:ind w:firstLine="0"/>
        <w:rPr>
          <w:rFonts w:eastAsia="Times New Roman" w:cs="Times New Roman"/>
          <w:color w:val="000000"/>
          <w:sz w:val="20"/>
          <w:lang w:val="en-GB" w:eastAsia="en-GB"/>
        </w:rPr>
      </w:pPr>
      <w:r w:rsidRPr="007048BA">
        <w:rPr>
          <w:rFonts w:eastAsia="PMingLiU" w:cs="cmr12"/>
          <w:sz w:val="20"/>
          <w:szCs w:val="24"/>
          <w:lang w:val="en-GB" w:eastAsia="zh-TW"/>
        </w:rPr>
        <w:t>The independent variable of interest is firm performance</w:t>
      </w:r>
      <w:r w:rsidRPr="007048BA">
        <w:rPr>
          <w:rFonts w:eastAsia="PMingLiU" w:cs="cmr12"/>
          <w:i/>
          <w:sz w:val="20"/>
          <w:szCs w:val="24"/>
          <w:lang w:val="en-GB" w:eastAsia="zh-TW"/>
        </w:rPr>
        <w:t xml:space="preserve"> (</w:t>
      </w:r>
      <w:r w:rsidR="00EF63A8" w:rsidRPr="007048BA">
        <w:rPr>
          <w:rFonts w:eastAsia="PMingLiU" w:cs="cmr12"/>
          <w:i/>
          <w:sz w:val="20"/>
          <w:szCs w:val="24"/>
          <w:lang w:val="en-GB" w:eastAsia="zh-TW"/>
        </w:rPr>
        <w:t>performance</w:t>
      </w:r>
      <w:r w:rsidRPr="007048BA">
        <w:rPr>
          <w:rFonts w:eastAsia="PMingLiU" w:cs="cmr12"/>
          <w:i/>
          <w:sz w:val="20"/>
          <w:szCs w:val="24"/>
          <w:lang w:val="en-GB" w:eastAsia="zh-TW"/>
        </w:rPr>
        <w:t xml:space="preserve">), </w:t>
      </w:r>
      <w:r w:rsidRPr="007048BA">
        <w:rPr>
          <w:rFonts w:eastAsia="PMingLiU" w:cs="cmr12"/>
          <w:sz w:val="20"/>
          <w:szCs w:val="24"/>
          <w:lang w:val="en-GB" w:eastAsia="zh-TW"/>
        </w:rPr>
        <w:t>measured using our four dummy variables;</w:t>
      </w:r>
      <w:r w:rsidRPr="007048BA">
        <w:rPr>
          <w:rFonts w:eastAsia="PMingLiU" w:cs="cmr12"/>
          <w:i/>
          <w:sz w:val="20"/>
          <w:szCs w:val="24"/>
          <w:lang w:val="en-GB" w:eastAsia="zh-TW"/>
        </w:rPr>
        <w:t xml:space="preserve"> </w:t>
      </w:r>
      <w:r w:rsidR="00ED262D" w:rsidRPr="007048BA">
        <w:rPr>
          <w:rFonts w:eastAsia="PMingLiU" w:cs="cmr12"/>
          <w:i/>
          <w:sz w:val="20"/>
          <w:szCs w:val="24"/>
          <w:lang w:val="en-GB" w:eastAsia="zh-TW"/>
        </w:rPr>
        <w:t>poor</w:t>
      </w:r>
      <w:r w:rsidRPr="007048BA">
        <w:rPr>
          <w:rFonts w:eastAsia="PMingLiU" w:cs="cmr12"/>
          <w:i/>
          <w:sz w:val="20"/>
          <w:szCs w:val="24"/>
          <w:lang w:val="en-GB" w:eastAsia="zh-TW"/>
        </w:rPr>
        <w:t xml:space="preserve">, </w:t>
      </w:r>
      <w:r w:rsidR="00ED262D" w:rsidRPr="007048BA">
        <w:rPr>
          <w:rFonts w:eastAsia="PMingLiU" w:cs="cmr12"/>
          <w:i/>
          <w:sz w:val="20"/>
          <w:szCs w:val="24"/>
          <w:lang w:val="en-GB" w:eastAsia="zh-TW"/>
        </w:rPr>
        <w:t>myopia</w:t>
      </w:r>
      <w:r w:rsidRPr="007048BA">
        <w:rPr>
          <w:rFonts w:eastAsia="PMingLiU" w:cs="cmr12"/>
          <w:i/>
          <w:sz w:val="20"/>
          <w:szCs w:val="24"/>
          <w:lang w:val="en-GB" w:eastAsia="zh-TW"/>
        </w:rPr>
        <w:t xml:space="preserve">, </w:t>
      </w:r>
      <w:r w:rsidR="00ED262D" w:rsidRPr="007048BA">
        <w:rPr>
          <w:rFonts w:eastAsia="PMingLiU" w:cs="cmr12"/>
          <w:i/>
          <w:sz w:val="20"/>
          <w:szCs w:val="24"/>
          <w:lang w:val="en-GB" w:eastAsia="zh-TW"/>
        </w:rPr>
        <w:t>hyperopia</w:t>
      </w:r>
      <w:r w:rsidRPr="007048BA">
        <w:rPr>
          <w:rFonts w:eastAsia="PMingLiU" w:cs="cmr12"/>
          <w:i/>
          <w:sz w:val="20"/>
          <w:szCs w:val="24"/>
          <w:lang w:val="en-GB" w:eastAsia="zh-TW"/>
        </w:rPr>
        <w:t xml:space="preserve"> </w:t>
      </w:r>
      <w:r w:rsidRPr="007048BA">
        <w:rPr>
          <w:rFonts w:eastAsia="PMingLiU" w:cs="cmr12"/>
          <w:sz w:val="20"/>
          <w:szCs w:val="24"/>
          <w:lang w:val="en-GB" w:eastAsia="zh-TW"/>
        </w:rPr>
        <w:t>and</w:t>
      </w:r>
      <w:r w:rsidRPr="007048BA">
        <w:rPr>
          <w:rFonts w:eastAsia="PMingLiU" w:cs="cmr12"/>
          <w:i/>
          <w:sz w:val="20"/>
          <w:szCs w:val="24"/>
          <w:lang w:val="en-GB" w:eastAsia="zh-TW"/>
        </w:rPr>
        <w:t xml:space="preserve"> </w:t>
      </w:r>
      <w:r w:rsidR="00ED262D" w:rsidRPr="007048BA">
        <w:rPr>
          <w:rFonts w:eastAsia="PMingLiU" w:cs="cmr12"/>
          <w:i/>
          <w:sz w:val="20"/>
          <w:szCs w:val="24"/>
          <w:lang w:val="en-GB" w:eastAsia="zh-TW"/>
        </w:rPr>
        <w:t>efficient</w:t>
      </w:r>
      <w:r w:rsidRPr="007048BA">
        <w:rPr>
          <w:rFonts w:eastAsia="PMingLiU" w:cs="cmr12"/>
          <w:i/>
          <w:sz w:val="20"/>
          <w:szCs w:val="24"/>
          <w:lang w:val="en-GB" w:eastAsia="zh-TW"/>
        </w:rPr>
        <w:t xml:space="preserve">. </w:t>
      </w:r>
      <w:r w:rsidRPr="007048BA">
        <w:rPr>
          <w:rFonts w:eastAsia="PMingLiU" w:cs="cmr12"/>
          <w:sz w:val="20"/>
          <w:szCs w:val="24"/>
          <w:lang w:val="en-GB" w:eastAsia="zh-TW"/>
        </w:rPr>
        <w:t>For example,</w:t>
      </w:r>
      <w:r w:rsidRPr="007048BA">
        <w:rPr>
          <w:rFonts w:eastAsia="PMingLiU" w:cs="cmr12"/>
          <w:i/>
          <w:sz w:val="20"/>
          <w:szCs w:val="24"/>
          <w:lang w:val="en-GB" w:eastAsia="zh-TW"/>
        </w:rPr>
        <w:t xml:space="preserve"> </w:t>
      </w:r>
      <w:r w:rsidR="00ED262D" w:rsidRPr="007048BA">
        <w:rPr>
          <w:rFonts w:eastAsia="PMingLiU" w:cs="cmr12"/>
          <w:i/>
          <w:sz w:val="20"/>
          <w:szCs w:val="24"/>
          <w:lang w:val="en-GB" w:eastAsia="zh-TW"/>
        </w:rPr>
        <w:t>myopia</w:t>
      </w:r>
      <w:r w:rsidR="0060367E" w:rsidRPr="007048BA">
        <w:rPr>
          <w:rFonts w:eastAsia="PMingLiU" w:cs="cmr12"/>
          <w:sz w:val="20"/>
          <w:szCs w:val="24"/>
          <w:lang w:val="en-GB" w:eastAsia="zh-TW"/>
        </w:rPr>
        <w:t xml:space="preserve"> takes a value of 1 if a firm reports high accounting and low market performance, and a value of 0, otherwise. </w:t>
      </w:r>
      <w:r w:rsidR="0060367E" w:rsidRPr="007048BA">
        <w:rPr>
          <w:rFonts w:eastAsia="PMingLiU" w:cs="Times New Roman"/>
          <w:sz w:val="20"/>
          <w:szCs w:val="24"/>
          <w:lang w:val="en-GB" w:eastAsia="zh-TW"/>
        </w:rPr>
        <w:t xml:space="preserve">The </w:t>
      </w:r>
      <w:r w:rsidR="00284E70" w:rsidRPr="007048BA">
        <w:rPr>
          <w:rFonts w:eastAsia="PMingLiU" w:cs="Times New Roman"/>
          <w:i/>
          <w:sz w:val="20"/>
          <w:szCs w:val="24"/>
          <w:lang w:val="en-GB" w:eastAsia="zh-TW"/>
        </w:rPr>
        <w:t>Controls</w:t>
      </w:r>
      <w:r w:rsidR="00284E70" w:rsidRPr="007048BA">
        <w:rPr>
          <w:rFonts w:eastAsia="PMingLiU" w:cs="Times New Roman"/>
          <w:sz w:val="20"/>
          <w:szCs w:val="24"/>
          <w:lang w:val="en-GB" w:eastAsia="zh-TW"/>
        </w:rPr>
        <w:t xml:space="preserve"> </w:t>
      </w:r>
      <w:r w:rsidR="0060367E" w:rsidRPr="007048BA">
        <w:rPr>
          <w:rFonts w:eastAsia="PMingLiU" w:cs="Times New Roman"/>
          <w:sz w:val="20"/>
          <w:szCs w:val="24"/>
          <w:lang w:val="en-GB" w:eastAsia="zh-TW"/>
        </w:rPr>
        <w:t xml:space="preserve">in the model include one-period lags of </w:t>
      </w:r>
      <w:r w:rsidR="0060367E" w:rsidRPr="007048BA">
        <w:rPr>
          <w:rFonts w:eastAsia="PMingLiU" w:cs="cmr12"/>
          <w:sz w:val="20"/>
          <w:szCs w:val="24"/>
          <w:lang w:val="en-GB" w:eastAsia="zh-TW"/>
        </w:rPr>
        <w:t>Tobin’s Q (</w:t>
      </w:r>
      <w:r w:rsidR="0060367E" w:rsidRPr="007048BA">
        <w:rPr>
          <w:rFonts w:eastAsia="PMingLiU" w:cs="cmr12"/>
          <w:i/>
          <w:sz w:val="20"/>
          <w:szCs w:val="24"/>
          <w:lang w:val="en-GB" w:eastAsia="zh-TW"/>
        </w:rPr>
        <w:t>TBQ</w:t>
      </w:r>
      <w:r w:rsidR="0060367E" w:rsidRPr="007048BA">
        <w:rPr>
          <w:rFonts w:eastAsia="PMingLiU" w:cs="cmr12"/>
          <w:sz w:val="20"/>
          <w:szCs w:val="24"/>
          <w:lang w:val="en-GB" w:eastAsia="zh-TW"/>
        </w:rPr>
        <w:t>), liquidity (</w:t>
      </w:r>
      <w:r w:rsidR="0060367E" w:rsidRPr="007048BA">
        <w:rPr>
          <w:rFonts w:eastAsia="PMingLiU" w:cs="cmr12"/>
          <w:i/>
          <w:sz w:val="20"/>
          <w:szCs w:val="24"/>
          <w:lang w:val="en-GB" w:eastAsia="zh-TW"/>
        </w:rPr>
        <w:t>LIQ</w:t>
      </w:r>
      <w:r w:rsidR="0060367E" w:rsidRPr="007048BA">
        <w:rPr>
          <w:rFonts w:eastAsia="PMingLiU" w:cs="cmr12"/>
          <w:sz w:val="20"/>
          <w:szCs w:val="24"/>
          <w:lang w:val="en-GB" w:eastAsia="zh-TW"/>
        </w:rPr>
        <w:t>), leverage (</w:t>
      </w:r>
      <w:r w:rsidR="0060367E" w:rsidRPr="007048BA">
        <w:rPr>
          <w:rFonts w:eastAsia="PMingLiU" w:cs="cmr12"/>
          <w:i/>
          <w:sz w:val="20"/>
          <w:szCs w:val="24"/>
          <w:lang w:val="en-GB" w:eastAsia="zh-TW"/>
        </w:rPr>
        <w:t>LEV</w:t>
      </w:r>
      <w:r w:rsidR="0060367E" w:rsidRPr="007048BA">
        <w:rPr>
          <w:rFonts w:eastAsia="PMingLiU" w:cs="cmr12"/>
          <w:sz w:val="20"/>
          <w:szCs w:val="24"/>
          <w:lang w:val="en-GB" w:eastAsia="zh-TW"/>
        </w:rPr>
        <w:t>), sales growth (</w:t>
      </w:r>
      <w:r w:rsidR="0060367E" w:rsidRPr="007048BA">
        <w:rPr>
          <w:rFonts w:eastAsia="PMingLiU" w:cs="cmr12"/>
          <w:i/>
          <w:sz w:val="20"/>
          <w:szCs w:val="24"/>
          <w:lang w:val="en-GB" w:eastAsia="zh-TW"/>
        </w:rPr>
        <w:t>SGW</w:t>
      </w:r>
      <w:r w:rsidR="0060367E" w:rsidRPr="007048BA">
        <w:rPr>
          <w:rFonts w:eastAsia="PMingLiU" w:cs="cmr12"/>
          <w:sz w:val="20"/>
          <w:szCs w:val="24"/>
          <w:lang w:val="en-GB" w:eastAsia="zh-TW"/>
        </w:rPr>
        <w:t>), proportion of tangible a</w:t>
      </w:r>
      <w:r w:rsidR="00290346" w:rsidRPr="007048BA">
        <w:rPr>
          <w:rFonts w:eastAsia="PMingLiU" w:cs="cmr12"/>
          <w:sz w:val="20"/>
          <w:szCs w:val="24"/>
          <w:lang w:val="en-GB" w:eastAsia="zh-TW"/>
        </w:rPr>
        <w:t>ssets (</w:t>
      </w:r>
      <w:r w:rsidR="00290346" w:rsidRPr="007048BA">
        <w:rPr>
          <w:rFonts w:eastAsia="PMingLiU" w:cs="cmr12"/>
          <w:i/>
          <w:sz w:val="20"/>
          <w:szCs w:val="24"/>
          <w:lang w:val="en-GB" w:eastAsia="zh-TW"/>
        </w:rPr>
        <w:t>TANG</w:t>
      </w:r>
      <w:r w:rsidR="00290346" w:rsidRPr="007048BA">
        <w:rPr>
          <w:rFonts w:eastAsia="PMingLiU" w:cs="cmr12"/>
          <w:sz w:val="20"/>
          <w:szCs w:val="24"/>
          <w:lang w:val="en-GB" w:eastAsia="zh-TW"/>
        </w:rPr>
        <w:t>), firm size (</w:t>
      </w:r>
      <w:r w:rsidR="00290346" w:rsidRPr="007048BA">
        <w:rPr>
          <w:rFonts w:eastAsia="PMingLiU" w:cs="cmr12"/>
          <w:i/>
          <w:sz w:val="20"/>
          <w:szCs w:val="24"/>
          <w:lang w:val="en-GB" w:eastAsia="zh-TW"/>
        </w:rPr>
        <w:t>SIZE</w:t>
      </w:r>
      <w:r w:rsidR="00290346" w:rsidRPr="007048BA">
        <w:rPr>
          <w:rFonts w:eastAsia="PMingLiU" w:cs="cmr12"/>
          <w:sz w:val="20"/>
          <w:szCs w:val="24"/>
          <w:lang w:val="en-GB" w:eastAsia="zh-TW"/>
        </w:rPr>
        <w:t>) and age</w:t>
      </w:r>
      <w:r w:rsidR="0060367E" w:rsidRPr="007048BA">
        <w:rPr>
          <w:rFonts w:eastAsia="PMingLiU" w:cs="cmr12"/>
          <w:sz w:val="20"/>
          <w:szCs w:val="24"/>
          <w:lang w:val="en-GB" w:eastAsia="zh-TW"/>
        </w:rPr>
        <w:t xml:space="preserve"> (</w:t>
      </w:r>
      <w:r w:rsidR="0060367E" w:rsidRPr="007048BA">
        <w:rPr>
          <w:rFonts w:eastAsia="PMingLiU" w:cs="cmr12"/>
          <w:i/>
          <w:sz w:val="20"/>
          <w:szCs w:val="24"/>
          <w:lang w:val="en-GB" w:eastAsia="zh-TW"/>
        </w:rPr>
        <w:t>AGE</w:t>
      </w:r>
      <w:r w:rsidR="0060367E" w:rsidRPr="007048BA">
        <w:rPr>
          <w:rFonts w:eastAsia="PMingLiU" w:cs="cmr12"/>
          <w:sz w:val="20"/>
          <w:szCs w:val="24"/>
          <w:lang w:val="en-GB" w:eastAsia="zh-TW"/>
        </w:rPr>
        <w:t>).</w:t>
      </w:r>
      <w:r w:rsidR="00A75439" w:rsidRPr="007048BA">
        <w:rPr>
          <w:rFonts w:eastAsia="PMingLiU" w:cs="cmr12"/>
          <w:sz w:val="20"/>
          <w:szCs w:val="24"/>
          <w:lang w:val="en-GB" w:eastAsia="zh-TW"/>
        </w:rPr>
        <w:t xml:space="preserve"> Models are estimated using</w:t>
      </w:r>
      <w:r w:rsidR="0060367E" w:rsidRPr="007048BA">
        <w:rPr>
          <w:rFonts w:eastAsia="PMingLiU" w:cs="cmr12"/>
          <w:sz w:val="20"/>
          <w:szCs w:val="24"/>
          <w:lang w:val="en-GB" w:eastAsia="zh-TW"/>
        </w:rPr>
        <w:t xml:space="preserve"> the</w:t>
      </w:r>
      <w:r w:rsidR="0060367E" w:rsidRPr="007048BA">
        <w:rPr>
          <w:rFonts w:eastAsia="Times New Roman" w:cs="Times New Roman"/>
          <w:color w:val="000000"/>
          <w:sz w:val="20"/>
          <w:lang w:val="en-GB" w:eastAsia="en-GB"/>
        </w:rPr>
        <w:t xml:space="preserve"> Heckman Two Stage approach</w:t>
      </w:r>
      <w:r w:rsidR="00A75439" w:rsidRPr="007048BA">
        <w:rPr>
          <w:rFonts w:eastAsia="Times New Roman" w:cs="Times New Roman"/>
          <w:color w:val="000000"/>
          <w:sz w:val="20"/>
          <w:lang w:val="en-GB" w:eastAsia="en-GB"/>
        </w:rPr>
        <w:t xml:space="preserve"> to </w:t>
      </w:r>
      <w:r w:rsidR="00A75439" w:rsidRPr="007048BA">
        <w:rPr>
          <w:rFonts w:eastAsia="PMingLiU" w:cs="cmr12"/>
          <w:sz w:val="20"/>
          <w:szCs w:val="24"/>
          <w:lang w:val="en-GB" w:eastAsia="zh-TW"/>
        </w:rPr>
        <w:t>control for non-selection hazard (self-selection bias)</w:t>
      </w:r>
      <w:r w:rsidR="0060367E" w:rsidRPr="007048BA">
        <w:rPr>
          <w:rFonts w:eastAsia="Times New Roman" w:cs="Times New Roman"/>
          <w:color w:val="000000"/>
          <w:sz w:val="20"/>
          <w:lang w:val="en-GB" w:eastAsia="en-GB"/>
        </w:rPr>
        <w:t>. In the first stage, a probit model is used to compute each firm’s likelihood of reporting R</w:t>
      </w:r>
      <w:r w:rsidR="00405676" w:rsidRPr="007048BA">
        <w:rPr>
          <w:rFonts w:eastAsia="Times New Roman" w:cs="Times New Roman"/>
          <w:color w:val="000000"/>
          <w:sz w:val="20"/>
          <w:lang w:val="en-GB" w:eastAsia="en-GB"/>
        </w:rPr>
        <w:t>&amp;</w:t>
      </w:r>
      <w:r w:rsidR="0060367E" w:rsidRPr="007048BA">
        <w:rPr>
          <w:rFonts w:eastAsia="Times New Roman" w:cs="Times New Roman"/>
          <w:color w:val="000000"/>
          <w:sz w:val="20"/>
          <w:lang w:val="en-GB" w:eastAsia="en-GB"/>
        </w:rPr>
        <w:t>D&gt;0 as a function of its characteristics (</w:t>
      </w:r>
      <w:r w:rsidR="0060367E" w:rsidRPr="007048BA">
        <w:rPr>
          <w:rFonts w:eastAsia="Times New Roman" w:cs="Times New Roman"/>
          <w:i/>
          <w:color w:val="000000"/>
          <w:sz w:val="20"/>
          <w:lang w:val="en-GB" w:eastAsia="en-GB"/>
        </w:rPr>
        <w:t>TBQ, LIQ, LEV, SGW, SIZE, TANG, AGE</w:t>
      </w:r>
      <w:r w:rsidR="0060367E" w:rsidRPr="007048BA">
        <w:rPr>
          <w:rFonts w:eastAsia="Times New Roman" w:cs="Times New Roman"/>
          <w:color w:val="000000"/>
          <w:sz w:val="20"/>
          <w:lang w:val="en-GB" w:eastAsia="en-GB"/>
        </w:rPr>
        <w:t>) in that year. The predicted probability is used to compute the non-</w:t>
      </w:r>
      <w:r w:rsidR="00952B40" w:rsidRPr="007048BA">
        <w:rPr>
          <w:rFonts w:eastAsia="Times New Roman" w:cs="Times New Roman"/>
          <w:color w:val="000000"/>
          <w:sz w:val="20"/>
          <w:lang w:val="en-GB" w:eastAsia="en-GB"/>
        </w:rPr>
        <w:t>selection</w:t>
      </w:r>
      <w:r w:rsidR="0060367E" w:rsidRPr="007048BA">
        <w:rPr>
          <w:rFonts w:eastAsia="Times New Roman" w:cs="Times New Roman"/>
          <w:color w:val="000000"/>
          <w:sz w:val="20"/>
          <w:lang w:val="en-GB" w:eastAsia="en-GB"/>
        </w:rPr>
        <w:t xml:space="preserve"> hazard (</w:t>
      </w:r>
      <w:r w:rsidR="00A75439" w:rsidRPr="007048BA">
        <w:rPr>
          <w:rFonts w:eastAsia="Times New Roman" w:cs="Times New Roman"/>
          <w:i/>
          <w:color w:val="000000"/>
          <w:sz w:val="20"/>
          <w:lang w:val="en-GB" w:eastAsia="en-GB"/>
        </w:rPr>
        <w:t>Mills</w:t>
      </w:r>
      <w:r w:rsidR="00A75439" w:rsidRPr="007048BA">
        <w:rPr>
          <w:rFonts w:eastAsia="Times New Roman" w:cs="Times New Roman"/>
          <w:color w:val="000000"/>
          <w:sz w:val="20"/>
          <w:lang w:val="en-GB" w:eastAsia="en-GB"/>
        </w:rPr>
        <w:t xml:space="preserve">, </w:t>
      </w:r>
      <w:r w:rsidR="0060367E" w:rsidRPr="007048BA">
        <w:rPr>
          <w:rFonts w:eastAsia="Times New Roman" w:cs="Times New Roman"/>
          <w:color w:val="000000"/>
          <w:sz w:val="20"/>
          <w:lang w:val="en-GB" w:eastAsia="en-GB"/>
        </w:rPr>
        <w:t xml:space="preserve">Inverse Mill’s Ratio), which is included as an additional control in the second stage model. The </w:t>
      </w:r>
      <w:r w:rsidR="00D44A7E" w:rsidRPr="007048BA">
        <w:rPr>
          <w:rFonts w:eastAsia="Times New Roman" w:cs="Times New Roman"/>
          <w:i/>
          <w:color w:val="000000"/>
          <w:sz w:val="20"/>
          <w:lang w:val="en-GB" w:eastAsia="en-GB"/>
        </w:rPr>
        <w:t>p-values</w:t>
      </w:r>
      <w:r w:rsidR="0060367E" w:rsidRPr="007048BA">
        <w:rPr>
          <w:rFonts w:eastAsia="Times New Roman" w:cs="Times New Roman"/>
          <w:color w:val="000000"/>
          <w:sz w:val="20"/>
          <w:lang w:val="en-GB" w:eastAsia="en-GB"/>
        </w:rPr>
        <w:t xml:space="preserve"> are presented in parenthesis. ***, **, * indicate statistical significance at the 1%, 5% and 10% levels, respectively.</w:t>
      </w:r>
    </w:p>
    <w:p w14:paraId="36C41106" w14:textId="1C54A5AF" w:rsidR="00151912" w:rsidRPr="007048BA" w:rsidRDefault="00151912" w:rsidP="006E40E2">
      <w:pPr>
        <w:tabs>
          <w:tab w:val="left" w:pos="3420"/>
        </w:tabs>
        <w:autoSpaceDE w:val="0"/>
        <w:autoSpaceDN w:val="0"/>
        <w:adjustRightInd w:val="0"/>
        <w:spacing w:after="0" w:line="240" w:lineRule="auto"/>
        <w:ind w:firstLine="0"/>
        <w:rPr>
          <w:rFonts w:eastAsia="Times New Roman" w:cs="Times New Roman"/>
          <w:color w:val="000000"/>
          <w:sz w:val="20"/>
          <w:lang w:val="en-GB" w:eastAsia="en-GB"/>
        </w:rPr>
      </w:pPr>
    </w:p>
    <w:tbl>
      <w:tblPr>
        <w:tblW w:w="10865" w:type="dxa"/>
        <w:jc w:val="center"/>
        <w:tblBorders>
          <w:top w:val="single" w:sz="4" w:space="0" w:color="auto"/>
          <w:bottom w:val="single" w:sz="4" w:space="0" w:color="auto"/>
        </w:tblBorders>
        <w:tblCellMar>
          <w:left w:w="75" w:type="dxa"/>
          <w:right w:w="75" w:type="dxa"/>
        </w:tblCellMar>
        <w:tblLook w:val="0000" w:firstRow="0" w:lastRow="0" w:firstColumn="0" w:lastColumn="0" w:noHBand="0" w:noVBand="0"/>
      </w:tblPr>
      <w:tblGrid>
        <w:gridCol w:w="1336"/>
        <w:gridCol w:w="1192"/>
        <w:gridCol w:w="1191"/>
        <w:gridCol w:w="1191"/>
        <w:gridCol w:w="1191"/>
        <w:gridCol w:w="1191"/>
        <w:gridCol w:w="1191"/>
        <w:gridCol w:w="1191"/>
        <w:gridCol w:w="1191"/>
      </w:tblGrid>
      <w:tr w:rsidR="005D120E" w:rsidRPr="007048BA" w14:paraId="1662FB35" w14:textId="77777777" w:rsidTr="002E0C8C">
        <w:trPr>
          <w:jc w:val="center"/>
        </w:trPr>
        <w:tc>
          <w:tcPr>
            <w:tcW w:w="1336" w:type="dxa"/>
            <w:tcBorders>
              <w:bottom w:val="nil"/>
            </w:tcBorders>
          </w:tcPr>
          <w:p w14:paraId="6AFBA929" w14:textId="77777777" w:rsidR="005D120E" w:rsidRPr="007048BA" w:rsidRDefault="005D120E" w:rsidP="00BC701D">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4765" w:type="dxa"/>
            <w:gridSpan w:val="4"/>
            <w:tcBorders>
              <w:top w:val="single" w:sz="4" w:space="0" w:color="auto"/>
              <w:bottom w:val="nil"/>
            </w:tcBorders>
          </w:tcPr>
          <w:p w14:paraId="6DCE1BE2" w14:textId="7CA9CAEA" w:rsidR="005D120E" w:rsidRPr="007048BA" w:rsidRDefault="005D120E" w:rsidP="00BC701D">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R&amp;D investment</w:t>
            </w:r>
          </w:p>
        </w:tc>
        <w:tc>
          <w:tcPr>
            <w:tcW w:w="4764" w:type="dxa"/>
            <w:gridSpan w:val="4"/>
            <w:tcBorders>
              <w:top w:val="single" w:sz="4" w:space="0" w:color="auto"/>
              <w:bottom w:val="nil"/>
            </w:tcBorders>
          </w:tcPr>
          <w:p w14:paraId="0F0D903C" w14:textId="19464596" w:rsidR="005D120E" w:rsidRPr="007048BA" w:rsidRDefault="005D120E" w:rsidP="00BC701D">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color w:val="000000"/>
                <w:szCs w:val="24"/>
                <w:lang w:val="en-GB" w:eastAsia="en-GB"/>
              </w:rPr>
              <w:t>Abnormal discretionary expenses</w:t>
            </w:r>
          </w:p>
        </w:tc>
      </w:tr>
      <w:tr w:rsidR="005D120E" w:rsidRPr="007048BA" w14:paraId="5D263CDC" w14:textId="77777777" w:rsidTr="002E0C8C">
        <w:trPr>
          <w:jc w:val="center"/>
        </w:trPr>
        <w:tc>
          <w:tcPr>
            <w:tcW w:w="1336" w:type="dxa"/>
            <w:tcBorders>
              <w:top w:val="nil"/>
              <w:bottom w:val="nil"/>
            </w:tcBorders>
          </w:tcPr>
          <w:p w14:paraId="6E16105E" w14:textId="77777777" w:rsidR="005D120E" w:rsidRPr="007048BA" w:rsidRDefault="005D120E" w:rsidP="00BC701D">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2" w:type="dxa"/>
            <w:tcBorders>
              <w:top w:val="nil"/>
              <w:bottom w:val="single" w:sz="4" w:space="0" w:color="auto"/>
            </w:tcBorders>
          </w:tcPr>
          <w:p w14:paraId="5F7EC6E1" w14:textId="77777777" w:rsidR="005D120E" w:rsidRPr="007048BA" w:rsidRDefault="005D120E" w:rsidP="00BC701D">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w:t>
            </w:r>
          </w:p>
        </w:tc>
        <w:tc>
          <w:tcPr>
            <w:tcW w:w="1191" w:type="dxa"/>
            <w:tcBorders>
              <w:top w:val="nil"/>
              <w:bottom w:val="single" w:sz="4" w:space="0" w:color="auto"/>
            </w:tcBorders>
          </w:tcPr>
          <w:p w14:paraId="1DA092C3" w14:textId="77777777" w:rsidR="005D120E" w:rsidRPr="007048BA" w:rsidRDefault="005D120E" w:rsidP="00BC701D">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w:t>
            </w:r>
          </w:p>
        </w:tc>
        <w:tc>
          <w:tcPr>
            <w:tcW w:w="1191" w:type="dxa"/>
            <w:tcBorders>
              <w:top w:val="nil"/>
              <w:bottom w:val="single" w:sz="4" w:space="0" w:color="auto"/>
            </w:tcBorders>
          </w:tcPr>
          <w:p w14:paraId="342B0155" w14:textId="77777777" w:rsidR="005D120E" w:rsidRPr="007048BA" w:rsidRDefault="005D120E" w:rsidP="00BC701D">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w:t>
            </w:r>
          </w:p>
        </w:tc>
        <w:tc>
          <w:tcPr>
            <w:tcW w:w="1191" w:type="dxa"/>
            <w:tcBorders>
              <w:top w:val="nil"/>
              <w:bottom w:val="single" w:sz="4" w:space="0" w:color="auto"/>
            </w:tcBorders>
          </w:tcPr>
          <w:p w14:paraId="70DEE016" w14:textId="77777777" w:rsidR="005D120E" w:rsidRPr="007048BA" w:rsidRDefault="005D120E" w:rsidP="00BC701D">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(4)</w:t>
            </w:r>
          </w:p>
        </w:tc>
        <w:tc>
          <w:tcPr>
            <w:tcW w:w="1191" w:type="dxa"/>
            <w:tcBorders>
              <w:top w:val="nil"/>
              <w:bottom w:val="single" w:sz="4" w:space="0" w:color="auto"/>
            </w:tcBorders>
          </w:tcPr>
          <w:p w14:paraId="31478D66" w14:textId="77777777" w:rsidR="005D120E" w:rsidRPr="007048BA" w:rsidRDefault="005D120E" w:rsidP="00BC701D">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(5)</w:t>
            </w:r>
          </w:p>
        </w:tc>
        <w:tc>
          <w:tcPr>
            <w:tcW w:w="1191" w:type="dxa"/>
            <w:tcBorders>
              <w:top w:val="nil"/>
              <w:bottom w:val="single" w:sz="4" w:space="0" w:color="auto"/>
            </w:tcBorders>
          </w:tcPr>
          <w:p w14:paraId="210860FE" w14:textId="77777777" w:rsidR="005D120E" w:rsidRPr="007048BA" w:rsidRDefault="005D120E" w:rsidP="00BC701D">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(6)</w:t>
            </w:r>
          </w:p>
        </w:tc>
        <w:tc>
          <w:tcPr>
            <w:tcW w:w="1191" w:type="dxa"/>
            <w:tcBorders>
              <w:top w:val="nil"/>
              <w:bottom w:val="single" w:sz="4" w:space="0" w:color="auto"/>
            </w:tcBorders>
          </w:tcPr>
          <w:p w14:paraId="597DA911" w14:textId="77777777" w:rsidR="005D120E" w:rsidRPr="007048BA" w:rsidRDefault="005D120E" w:rsidP="00BC701D">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(7)</w:t>
            </w:r>
          </w:p>
        </w:tc>
        <w:tc>
          <w:tcPr>
            <w:tcW w:w="1191" w:type="dxa"/>
            <w:tcBorders>
              <w:top w:val="nil"/>
              <w:bottom w:val="single" w:sz="4" w:space="0" w:color="auto"/>
            </w:tcBorders>
          </w:tcPr>
          <w:p w14:paraId="44CBE53D" w14:textId="77777777" w:rsidR="005D120E" w:rsidRPr="007048BA" w:rsidRDefault="005D120E" w:rsidP="00BC701D">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(8)</w:t>
            </w:r>
          </w:p>
        </w:tc>
      </w:tr>
      <w:tr w:rsidR="007E0F3E" w:rsidRPr="007048BA" w14:paraId="765059C1" w14:textId="77777777" w:rsidTr="002E0C8C">
        <w:trPr>
          <w:jc w:val="center"/>
        </w:trPr>
        <w:tc>
          <w:tcPr>
            <w:tcW w:w="1336" w:type="dxa"/>
            <w:tcBorders>
              <w:top w:val="nil"/>
            </w:tcBorders>
          </w:tcPr>
          <w:p w14:paraId="3C93EBC4" w14:textId="6B7C44FA"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r w:rsidRPr="007048BA">
              <w:rPr>
                <w:rFonts w:eastAsia="Times New Roman" w:cs="Times New Roman"/>
                <w:i/>
                <w:szCs w:val="24"/>
                <w:lang w:val="en-GB" w:eastAsia="en-GB"/>
              </w:rPr>
              <w:t>Poor</w:t>
            </w:r>
          </w:p>
        </w:tc>
        <w:tc>
          <w:tcPr>
            <w:tcW w:w="1192" w:type="dxa"/>
            <w:tcBorders>
              <w:top w:val="single" w:sz="4" w:space="0" w:color="auto"/>
            </w:tcBorders>
          </w:tcPr>
          <w:p w14:paraId="7FE279FB" w14:textId="6DA70C68"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0.036***</w:t>
            </w:r>
          </w:p>
        </w:tc>
        <w:tc>
          <w:tcPr>
            <w:tcW w:w="1191" w:type="dxa"/>
            <w:tcBorders>
              <w:top w:val="single" w:sz="4" w:space="0" w:color="auto"/>
            </w:tcBorders>
          </w:tcPr>
          <w:p w14:paraId="2E6E908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Borders>
              <w:top w:val="single" w:sz="4" w:space="0" w:color="auto"/>
            </w:tcBorders>
          </w:tcPr>
          <w:p w14:paraId="62AAD505"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Borders>
              <w:top w:val="single" w:sz="4" w:space="0" w:color="auto"/>
            </w:tcBorders>
          </w:tcPr>
          <w:p w14:paraId="4EBAFC1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Borders>
              <w:top w:val="single" w:sz="4" w:space="0" w:color="auto"/>
            </w:tcBorders>
          </w:tcPr>
          <w:p w14:paraId="76656E3E"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0.026**</w:t>
            </w:r>
          </w:p>
        </w:tc>
        <w:tc>
          <w:tcPr>
            <w:tcW w:w="1191" w:type="dxa"/>
            <w:tcBorders>
              <w:top w:val="single" w:sz="4" w:space="0" w:color="auto"/>
            </w:tcBorders>
          </w:tcPr>
          <w:p w14:paraId="2C433EB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Borders>
              <w:top w:val="single" w:sz="4" w:space="0" w:color="auto"/>
            </w:tcBorders>
          </w:tcPr>
          <w:p w14:paraId="2AC954BC"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Borders>
              <w:top w:val="single" w:sz="4" w:space="0" w:color="auto"/>
            </w:tcBorders>
          </w:tcPr>
          <w:p w14:paraId="08C485DE"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7E0F3E" w:rsidRPr="007048BA" w14:paraId="628FB75A" w14:textId="77777777" w:rsidTr="005D120E">
        <w:trPr>
          <w:jc w:val="center"/>
        </w:trPr>
        <w:tc>
          <w:tcPr>
            <w:tcW w:w="1336" w:type="dxa"/>
          </w:tcPr>
          <w:p w14:paraId="55D442CF" w14:textId="77777777"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p>
        </w:tc>
        <w:tc>
          <w:tcPr>
            <w:tcW w:w="1192" w:type="dxa"/>
          </w:tcPr>
          <w:p w14:paraId="50CA6ABA" w14:textId="11C88CF5"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006D363E"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78C6A5BD"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77D12CDC"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2EB2DA33"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(0.039)</w:t>
            </w:r>
          </w:p>
        </w:tc>
        <w:tc>
          <w:tcPr>
            <w:tcW w:w="1191" w:type="dxa"/>
          </w:tcPr>
          <w:p w14:paraId="1E69AE1F"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57499BB3"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3DE703F6"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7E0F3E" w:rsidRPr="007048BA" w14:paraId="68ABE271" w14:textId="77777777" w:rsidTr="005D120E">
        <w:trPr>
          <w:jc w:val="center"/>
        </w:trPr>
        <w:tc>
          <w:tcPr>
            <w:tcW w:w="1336" w:type="dxa"/>
          </w:tcPr>
          <w:p w14:paraId="52D36DCE" w14:textId="196F2302"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r w:rsidRPr="007048BA">
              <w:rPr>
                <w:rFonts w:eastAsia="Times New Roman" w:cs="Times New Roman"/>
                <w:i/>
                <w:szCs w:val="24"/>
                <w:lang w:val="en-GB" w:eastAsia="en-GB"/>
              </w:rPr>
              <w:t>Myopia</w:t>
            </w:r>
          </w:p>
        </w:tc>
        <w:tc>
          <w:tcPr>
            <w:tcW w:w="1192" w:type="dxa"/>
          </w:tcPr>
          <w:p w14:paraId="64A16CD5" w14:textId="4B13D4B1"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1FD91CCB"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-0.013***</w:t>
            </w:r>
          </w:p>
        </w:tc>
        <w:tc>
          <w:tcPr>
            <w:tcW w:w="1191" w:type="dxa"/>
          </w:tcPr>
          <w:p w14:paraId="6732636C"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131D119C"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5D394C4F"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7A316D3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-0.034***</w:t>
            </w:r>
          </w:p>
        </w:tc>
        <w:tc>
          <w:tcPr>
            <w:tcW w:w="1191" w:type="dxa"/>
          </w:tcPr>
          <w:p w14:paraId="5537636B"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48EDDFB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7E0F3E" w:rsidRPr="007048BA" w14:paraId="3D31D60A" w14:textId="77777777" w:rsidTr="005D120E">
        <w:trPr>
          <w:jc w:val="center"/>
        </w:trPr>
        <w:tc>
          <w:tcPr>
            <w:tcW w:w="1336" w:type="dxa"/>
          </w:tcPr>
          <w:p w14:paraId="6B141D08" w14:textId="77777777"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p>
        </w:tc>
        <w:tc>
          <w:tcPr>
            <w:tcW w:w="1192" w:type="dxa"/>
          </w:tcPr>
          <w:p w14:paraId="15C3BC61" w14:textId="14285A12"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111E93CE"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5D191303"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25FB3761"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31883D2F"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52A00FB6"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61879893"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29F528FA"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7E0F3E" w:rsidRPr="007048BA" w14:paraId="64B13F4E" w14:textId="77777777" w:rsidTr="005D120E">
        <w:trPr>
          <w:jc w:val="center"/>
        </w:trPr>
        <w:tc>
          <w:tcPr>
            <w:tcW w:w="1336" w:type="dxa"/>
          </w:tcPr>
          <w:p w14:paraId="19C012C4" w14:textId="579EC4B0"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r w:rsidRPr="007048BA">
              <w:rPr>
                <w:rFonts w:eastAsia="Times New Roman" w:cs="Times New Roman"/>
                <w:i/>
                <w:szCs w:val="24"/>
                <w:lang w:val="en-GB" w:eastAsia="en-GB"/>
              </w:rPr>
              <w:t>Hyperopia</w:t>
            </w:r>
          </w:p>
        </w:tc>
        <w:tc>
          <w:tcPr>
            <w:tcW w:w="1192" w:type="dxa"/>
          </w:tcPr>
          <w:p w14:paraId="0E62F465" w14:textId="7DAABA75"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054687CF"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7DD4BDC1"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0.028***</w:t>
            </w:r>
          </w:p>
        </w:tc>
        <w:tc>
          <w:tcPr>
            <w:tcW w:w="1191" w:type="dxa"/>
          </w:tcPr>
          <w:p w14:paraId="65807FBC"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0DB13B6C"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634155D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5C869DAD"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0.066***</w:t>
            </w:r>
          </w:p>
        </w:tc>
        <w:tc>
          <w:tcPr>
            <w:tcW w:w="1191" w:type="dxa"/>
          </w:tcPr>
          <w:p w14:paraId="335BD2C3"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7E0F3E" w:rsidRPr="007048BA" w14:paraId="2061449D" w14:textId="77777777" w:rsidTr="005D120E">
        <w:trPr>
          <w:jc w:val="center"/>
        </w:trPr>
        <w:tc>
          <w:tcPr>
            <w:tcW w:w="1336" w:type="dxa"/>
          </w:tcPr>
          <w:p w14:paraId="2E472D73" w14:textId="77777777"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p>
        </w:tc>
        <w:tc>
          <w:tcPr>
            <w:tcW w:w="1192" w:type="dxa"/>
          </w:tcPr>
          <w:p w14:paraId="0682A25B" w14:textId="789CB135"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5C9B2B96"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47E411FA"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139280A9"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765E88E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23B68732"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2C6D4017"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76406B4C"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7E0F3E" w:rsidRPr="007048BA" w14:paraId="16018D0E" w14:textId="77777777" w:rsidTr="005D120E">
        <w:trPr>
          <w:jc w:val="center"/>
        </w:trPr>
        <w:tc>
          <w:tcPr>
            <w:tcW w:w="1336" w:type="dxa"/>
          </w:tcPr>
          <w:p w14:paraId="5EBC128E" w14:textId="00EC804A"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r w:rsidRPr="007048BA">
              <w:rPr>
                <w:rFonts w:eastAsia="Times New Roman" w:cs="Times New Roman"/>
                <w:i/>
                <w:szCs w:val="24"/>
                <w:lang w:val="en-GB" w:eastAsia="en-GB"/>
              </w:rPr>
              <w:t>Efficient</w:t>
            </w:r>
          </w:p>
        </w:tc>
        <w:tc>
          <w:tcPr>
            <w:tcW w:w="1192" w:type="dxa"/>
          </w:tcPr>
          <w:p w14:paraId="50525F6F" w14:textId="7BA75D88"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0323F86C"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15FE0B92"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4E0EACB1"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-0.023***</w:t>
            </w:r>
          </w:p>
        </w:tc>
        <w:tc>
          <w:tcPr>
            <w:tcW w:w="1191" w:type="dxa"/>
          </w:tcPr>
          <w:p w14:paraId="2403EC2D"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45884713"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181B7DBE"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71B3B3B1"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-0.018*</w:t>
            </w:r>
          </w:p>
        </w:tc>
      </w:tr>
      <w:tr w:rsidR="007E0F3E" w:rsidRPr="007048BA" w14:paraId="43B9C478" w14:textId="77777777" w:rsidTr="005D120E">
        <w:trPr>
          <w:jc w:val="center"/>
        </w:trPr>
        <w:tc>
          <w:tcPr>
            <w:tcW w:w="1336" w:type="dxa"/>
          </w:tcPr>
          <w:p w14:paraId="33262633" w14:textId="77777777"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p>
        </w:tc>
        <w:tc>
          <w:tcPr>
            <w:tcW w:w="1192" w:type="dxa"/>
          </w:tcPr>
          <w:p w14:paraId="452048B0" w14:textId="7020BE01"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02914FCC"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1BAF0001"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239FF75D"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4AE182D3"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4864C2E7"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5C95E11F"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1191" w:type="dxa"/>
          </w:tcPr>
          <w:p w14:paraId="7CEA4DDB"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(0.062)</w:t>
            </w:r>
          </w:p>
        </w:tc>
      </w:tr>
      <w:tr w:rsidR="007E0F3E" w:rsidRPr="007048BA" w14:paraId="0F1925C8" w14:textId="77777777" w:rsidTr="005D120E">
        <w:trPr>
          <w:jc w:val="center"/>
        </w:trPr>
        <w:tc>
          <w:tcPr>
            <w:tcW w:w="1336" w:type="dxa"/>
          </w:tcPr>
          <w:p w14:paraId="25882EC2" w14:textId="5F9C9221"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r w:rsidRPr="007048BA">
              <w:rPr>
                <w:rFonts w:eastAsia="Times New Roman" w:cs="Times New Roman"/>
                <w:i/>
                <w:szCs w:val="24"/>
                <w:lang w:val="en-GB" w:eastAsia="en-GB"/>
              </w:rPr>
              <w:t>Mills</w:t>
            </w:r>
          </w:p>
        </w:tc>
        <w:tc>
          <w:tcPr>
            <w:tcW w:w="1192" w:type="dxa"/>
          </w:tcPr>
          <w:p w14:paraId="14CBD80A" w14:textId="5994337D"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-0.102***</w:t>
            </w:r>
          </w:p>
        </w:tc>
        <w:tc>
          <w:tcPr>
            <w:tcW w:w="1191" w:type="dxa"/>
          </w:tcPr>
          <w:p w14:paraId="6B2BA24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-0.085***</w:t>
            </w:r>
          </w:p>
        </w:tc>
        <w:tc>
          <w:tcPr>
            <w:tcW w:w="1191" w:type="dxa"/>
          </w:tcPr>
          <w:p w14:paraId="03FCF21C"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-0.081***</w:t>
            </w:r>
          </w:p>
        </w:tc>
        <w:tc>
          <w:tcPr>
            <w:tcW w:w="1191" w:type="dxa"/>
          </w:tcPr>
          <w:p w14:paraId="19E0C2C3"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-0.100***</w:t>
            </w:r>
          </w:p>
        </w:tc>
        <w:tc>
          <w:tcPr>
            <w:tcW w:w="1191" w:type="dxa"/>
          </w:tcPr>
          <w:p w14:paraId="5E9C7B38"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-0.208***</w:t>
            </w:r>
          </w:p>
        </w:tc>
        <w:tc>
          <w:tcPr>
            <w:tcW w:w="1191" w:type="dxa"/>
          </w:tcPr>
          <w:p w14:paraId="342FFF0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-0.186***</w:t>
            </w:r>
          </w:p>
        </w:tc>
        <w:tc>
          <w:tcPr>
            <w:tcW w:w="1191" w:type="dxa"/>
          </w:tcPr>
          <w:p w14:paraId="305716F8"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-0.180***</w:t>
            </w:r>
          </w:p>
        </w:tc>
        <w:tc>
          <w:tcPr>
            <w:tcW w:w="1191" w:type="dxa"/>
          </w:tcPr>
          <w:p w14:paraId="1818EBC2"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-0.208***</w:t>
            </w:r>
          </w:p>
        </w:tc>
      </w:tr>
      <w:tr w:rsidR="007E0F3E" w:rsidRPr="007048BA" w14:paraId="66624BDF" w14:textId="77777777" w:rsidTr="005D120E">
        <w:trPr>
          <w:jc w:val="center"/>
        </w:trPr>
        <w:tc>
          <w:tcPr>
            <w:tcW w:w="1336" w:type="dxa"/>
          </w:tcPr>
          <w:p w14:paraId="043E261F" w14:textId="77777777"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p>
        </w:tc>
        <w:tc>
          <w:tcPr>
            <w:tcW w:w="1192" w:type="dxa"/>
          </w:tcPr>
          <w:p w14:paraId="53ED4140" w14:textId="747694FA"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4FED0698"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5322E6F6"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7D033ADD"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7FF625C5"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2113EF9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14DAC1BB"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2746E8EB"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7E0F3E" w:rsidRPr="007048BA" w14:paraId="550B5B2B" w14:textId="77777777" w:rsidTr="005D120E">
        <w:trPr>
          <w:jc w:val="center"/>
        </w:trPr>
        <w:tc>
          <w:tcPr>
            <w:tcW w:w="1336" w:type="dxa"/>
          </w:tcPr>
          <w:p w14:paraId="1500EB18" w14:textId="4CEBD41D"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r w:rsidRPr="007048BA">
              <w:rPr>
                <w:rFonts w:eastAsia="Times New Roman" w:cs="Times New Roman"/>
                <w:i/>
                <w:szCs w:val="24"/>
                <w:lang w:val="en-GB" w:eastAsia="en-GB"/>
              </w:rPr>
              <w:t>TBQ</w:t>
            </w:r>
          </w:p>
        </w:tc>
        <w:tc>
          <w:tcPr>
            <w:tcW w:w="1192" w:type="dxa"/>
          </w:tcPr>
          <w:p w14:paraId="453DD5BC" w14:textId="5F492AEF"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0.010***</w:t>
            </w:r>
          </w:p>
        </w:tc>
        <w:tc>
          <w:tcPr>
            <w:tcW w:w="1191" w:type="dxa"/>
          </w:tcPr>
          <w:p w14:paraId="703D658F"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0.011***</w:t>
            </w:r>
          </w:p>
        </w:tc>
        <w:tc>
          <w:tcPr>
            <w:tcW w:w="1191" w:type="dxa"/>
          </w:tcPr>
          <w:p w14:paraId="7E6E1E19"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0.011***</w:t>
            </w:r>
          </w:p>
        </w:tc>
        <w:tc>
          <w:tcPr>
            <w:tcW w:w="1191" w:type="dxa"/>
          </w:tcPr>
          <w:p w14:paraId="6185AEB9"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0.010***</w:t>
            </w:r>
          </w:p>
        </w:tc>
        <w:tc>
          <w:tcPr>
            <w:tcW w:w="1191" w:type="dxa"/>
          </w:tcPr>
          <w:p w14:paraId="608CE2F8"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0.047***</w:t>
            </w:r>
          </w:p>
        </w:tc>
        <w:tc>
          <w:tcPr>
            <w:tcW w:w="1191" w:type="dxa"/>
          </w:tcPr>
          <w:p w14:paraId="17EC364A"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0.048***</w:t>
            </w:r>
          </w:p>
        </w:tc>
        <w:tc>
          <w:tcPr>
            <w:tcW w:w="1191" w:type="dxa"/>
          </w:tcPr>
          <w:p w14:paraId="5BEB6177"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0.049***</w:t>
            </w:r>
          </w:p>
        </w:tc>
        <w:tc>
          <w:tcPr>
            <w:tcW w:w="1191" w:type="dxa"/>
          </w:tcPr>
          <w:p w14:paraId="7006EEFD"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0.047***</w:t>
            </w:r>
          </w:p>
        </w:tc>
      </w:tr>
      <w:tr w:rsidR="007E0F3E" w:rsidRPr="007048BA" w14:paraId="47756139" w14:textId="77777777" w:rsidTr="005D120E">
        <w:trPr>
          <w:jc w:val="center"/>
        </w:trPr>
        <w:tc>
          <w:tcPr>
            <w:tcW w:w="1336" w:type="dxa"/>
          </w:tcPr>
          <w:p w14:paraId="5B5730A5" w14:textId="77777777"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p>
        </w:tc>
        <w:tc>
          <w:tcPr>
            <w:tcW w:w="1192" w:type="dxa"/>
          </w:tcPr>
          <w:p w14:paraId="5A36FFBB" w14:textId="5F47AA25"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0AFD80AE"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3A3E3B39"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0072D367"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5024B3CA"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2B122E0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737C286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7D267577"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7E0F3E" w:rsidRPr="007048BA" w14:paraId="7E9452A4" w14:textId="77777777" w:rsidTr="005D120E">
        <w:trPr>
          <w:jc w:val="center"/>
        </w:trPr>
        <w:tc>
          <w:tcPr>
            <w:tcW w:w="1336" w:type="dxa"/>
          </w:tcPr>
          <w:p w14:paraId="745C40BC" w14:textId="0E354613"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r w:rsidRPr="007048BA">
              <w:rPr>
                <w:rFonts w:eastAsia="Times New Roman" w:cs="Times New Roman"/>
                <w:i/>
                <w:szCs w:val="24"/>
                <w:lang w:val="en-GB" w:eastAsia="en-GB"/>
              </w:rPr>
              <w:t>LIQ</w:t>
            </w:r>
          </w:p>
        </w:tc>
        <w:tc>
          <w:tcPr>
            <w:tcW w:w="1192" w:type="dxa"/>
          </w:tcPr>
          <w:p w14:paraId="4134CD27" w14:textId="3AF216AA"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0.106***</w:t>
            </w:r>
          </w:p>
        </w:tc>
        <w:tc>
          <w:tcPr>
            <w:tcW w:w="1191" w:type="dxa"/>
          </w:tcPr>
          <w:p w14:paraId="21AF2B02"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0.121***</w:t>
            </w:r>
          </w:p>
        </w:tc>
        <w:tc>
          <w:tcPr>
            <w:tcW w:w="1191" w:type="dxa"/>
          </w:tcPr>
          <w:p w14:paraId="5811BD66"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0.120***</w:t>
            </w:r>
          </w:p>
        </w:tc>
        <w:tc>
          <w:tcPr>
            <w:tcW w:w="1191" w:type="dxa"/>
          </w:tcPr>
          <w:p w14:paraId="3B9BCB72"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0.109***</w:t>
            </w:r>
          </w:p>
        </w:tc>
        <w:tc>
          <w:tcPr>
            <w:tcW w:w="1191" w:type="dxa"/>
          </w:tcPr>
          <w:p w14:paraId="62D8A2A3"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-0.052</w:t>
            </w:r>
          </w:p>
        </w:tc>
        <w:tc>
          <w:tcPr>
            <w:tcW w:w="1191" w:type="dxa"/>
          </w:tcPr>
          <w:p w14:paraId="2BE43955"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-0.040</w:t>
            </w:r>
          </w:p>
        </w:tc>
        <w:tc>
          <w:tcPr>
            <w:tcW w:w="1191" w:type="dxa"/>
          </w:tcPr>
          <w:p w14:paraId="6D783DDB"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-0.043</w:t>
            </w:r>
          </w:p>
        </w:tc>
        <w:tc>
          <w:tcPr>
            <w:tcW w:w="1191" w:type="dxa"/>
          </w:tcPr>
          <w:p w14:paraId="38E9DB71"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-0.051</w:t>
            </w:r>
          </w:p>
        </w:tc>
      </w:tr>
      <w:tr w:rsidR="007E0F3E" w:rsidRPr="007048BA" w14:paraId="52A4AFD4" w14:textId="77777777" w:rsidTr="005D120E">
        <w:trPr>
          <w:jc w:val="center"/>
        </w:trPr>
        <w:tc>
          <w:tcPr>
            <w:tcW w:w="1336" w:type="dxa"/>
          </w:tcPr>
          <w:p w14:paraId="4CD281AE" w14:textId="77777777"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p>
        </w:tc>
        <w:tc>
          <w:tcPr>
            <w:tcW w:w="1192" w:type="dxa"/>
          </w:tcPr>
          <w:p w14:paraId="1D0BEE8C" w14:textId="122C695B"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6DCB24DB"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2551E803"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523E77B5"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41833292"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(0.122)</w:t>
            </w:r>
          </w:p>
        </w:tc>
        <w:tc>
          <w:tcPr>
            <w:tcW w:w="1191" w:type="dxa"/>
          </w:tcPr>
          <w:p w14:paraId="6137E061"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(0.234)</w:t>
            </w:r>
          </w:p>
        </w:tc>
        <w:tc>
          <w:tcPr>
            <w:tcW w:w="1191" w:type="dxa"/>
          </w:tcPr>
          <w:p w14:paraId="37A7E52C"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(0.200)</w:t>
            </w:r>
          </w:p>
        </w:tc>
        <w:tc>
          <w:tcPr>
            <w:tcW w:w="1191" w:type="dxa"/>
          </w:tcPr>
          <w:p w14:paraId="3F0F8D18"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(0.132)</w:t>
            </w:r>
          </w:p>
        </w:tc>
      </w:tr>
      <w:tr w:rsidR="007E0F3E" w:rsidRPr="007048BA" w14:paraId="67FE0E35" w14:textId="77777777" w:rsidTr="005D120E">
        <w:trPr>
          <w:jc w:val="center"/>
        </w:trPr>
        <w:tc>
          <w:tcPr>
            <w:tcW w:w="1336" w:type="dxa"/>
          </w:tcPr>
          <w:p w14:paraId="37109B7A" w14:textId="2CCE077E"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r w:rsidRPr="007048BA">
              <w:rPr>
                <w:rFonts w:eastAsia="Times New Roman" w:cs="Times New Roman"/>
                <w:i/>
                <w:szCs w:val="24"/>
                <w:lang w:val="en-GB" w:eastAsia="en-GB"/>
              </w:rPr>
              <w:t>LEV</w:t>
            </w:r>
          </w:p>
        </w:tc>
        <w:tc>
          <w:tcPr>
            <w:tcW w:w="1192" w:type="dxa"/>
          </w:tcPr>
          <w:p w14:paraId="242666EC" w14:textId="42C5BDD6"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704728F3"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0.001</w:t>
            </w:r>
          </w:p>
        </w:tc>
        <w:tc>
          <w:tcPr>
            <w:tcW w:w="1191" w:type="dxa"/>
          </w:tcPr>
          <w:p w14:paraId="74FADB79"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0.001</w:t>
            </w:r>
          </w:p>
        </w:tc>
        <w:tc>
          <w:tcPr>
            <w:tcW w:w="1191" w:type="dxa"/>
          </w:tcPr>
          <w:p w14:paraId="56C2B20F"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0635C218"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0.004</w:t>
            </w:r>
          </w:p>
        </w:tc>
        <w:tc>
          <w:tcPr>
            <w:tcW w:w="1191" w:type="dxa"/>
          </w:tcPr>
          <w:p w14:paraId="5763C19F"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0.004</w:t>
            </w:r>
          </w:p>
        </w:tc>
        <w:tc>
          <w:tcPr>
            <w:tcW w:w="1191" w:type="dxa"/>
          </w:tcPr>
          <w:p w14:paraId="2907E5BA"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0.004</w:t>
            </w:r>
          </w:p>
        </w:tc>
        <w:tc>
          <w:tcPr>
            <w:tcW w:w="1191" w:type="dxa"/>
          </w:tcPr>
          <w:p w14:paraId="2F04D8CD"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0.004</w:t>
            </w:r>
          </w:p>
        </w:tc>
      </w:tr>
      <w:tr w:rsidR="007E0F3E" w:rsidRPr="007048BA" w14:paraId="6D9069D6" w14:textId="77777777" w:rsidTr="005D120E">
        <w:trPr>
          <w:jc w:val="center"/>
        </w:trPr>
        <w:tc>
          <w:tcPr>
            <w:tcW w:w="1336" w:type="dxa"/>
          </w:tcPr>
          <w:p w14:paraId="350444CE" w14:textId="77777777"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p>
        </w:tc>
        <w:tc>
          <w:tcPr>
            <w:tcW w:w="1192" w:type="dxa"/>
          </w:tcPr>
          <w:p w14:paraId="31E53801" w14:textId="13295DE8"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(0.769)</w:t>
            </w:r>
          </w:p>
        </w:tc>
        <w:tc>
          <w:tcPr>
            <w:tcW w:w="1191" w:type="dxa"/>
          </w:tcPr>
          <w:p w14:paraId="41A239B5"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(0.613)</w:t>
            </w:r>
          </w:p>
        </w:tc>
        <w:tc>
          <w:tcPr>
            <w:tcW w:w="1191" w:type="dxa"/>
          </w:tcPr>
          <w:p w14:paraId="078CA93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(0.676)</w:t>
            </w:r>
          </w:p>
        </w:tc>
        <w:tc>
          <w:tcPr>
            <w:tcW w:w="1191" w:type="dxa"/>
          </w:tcPr>
          <w:p w14:paraId="3A43D83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(0.773)</w:t>
            </w:r>
          </w:p>
        </w:tc>
        <w:tc>
          <w:tcPr>
            <w:tcW w:w="1191" w:type="dxa"/>
          </w:tcPr>
          <w:p w14:paraId="57CA1217"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(0.321)</w:t>
            </w:r>
          </w:p>
        </w:tc>
        <w:tc>
          <w:tcPr>
            <w:tcW w:w="1191" w:type="dxa"/>
          </w:tcPr>
          <w:p w14:paraId="7E24D5F7"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(0.297)</w:t>
            </w:r>
          </w:p>
        </w:tc>
        <w:tc>
          <w:tcPr>
            <w:tcW w:w="1191" w:type="dxa"/>
          </w:tcPr>
          <w:p w14:paraId="66316E39"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(0.335)</w:t>
            </w:r>
          </w:p>
        </w:tc>
        <w:tc>
          <w:tcPr>
            <w:tcW w:w="1191" w:type="dxa"/>
          </w:tcPr>
          <w:p w14:paraId="115E668A"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(0.325)</w:t>
            </w:r>
          </w:p>
        </w:tc>
      </w:tr>
      <w:tr w:rsidR="007E0F3E" w:rsidRPr="007048BA" w14:paraId="37A0CD35" w14:textId="77777777" w:rsidTr="005D120E">
        <w:trPr>
          <w:jc w:val="center"/>
        </w:trPr>
        <w:tc>
          <w:tcPr>
            <w:tcW w:w="1336" w:type="dxa"/>
          </w:tcPr>
          <w:p w14:paraId="7792F549" w14:textId="77023646"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r w:rsidRPr="007048BA">
              <w:rPr>
                <w:rFonts w:eastAsia="Times New Roman" w:cs="Times New Roman"/>
                <w:i/>
                <w:szCs w:val="24"/>
                <w:lang w:val="en-GB" w:eastAsia="en-GB"/>
              </w:rPr>
              <w:t>SGW</w:t>
            </w:r>
          </w:p>
        </w:tc>
        <w:tc>
          <w:tcPr>
            <w:tcW w:w="1192" w:type="dxa"/>
          </w:tcPr>
          <w:p w14:paraId="24D880DB" w14:textId="7FD05D29"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0.002</w:t>
            </w:r>
          </w:p>
        </w:tc>
        <w:tc>
          <w:tcPr>
            <w:tcW w:w="1191" w:type="dxa"/>
          </w:tcPr>
          <w:p w14:paraId="20D409E8"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0.002</w:t>
            </w:r>
          </w:p>
        </w:tc>
        <w:tc>
          <w:tcPr>
            <w:tcW w:w="1191" w:type="dxa"/>
          </w:tcPr>
          <w:p w14:paraId="018CD38A"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0.002</w:t>
            </w:r>
          </w:p>
        </w:tc>
        <w:tc>
          <w:tcPr>
            <w:tcW w:w="1191" w:type="dxa"/>
          </w:tcPr>
          <w:p w14:paraId="129C08D6"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0.002</w:t>
            </w:r>
          </w:p>
        </w:tc>
        <w:tc>
          <w:tcPr>
            <w:tcW w:w="1191" w:type="dxa"/>
          </w:tcPr>
          <w:p w14:paraId="070BB9F6"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0.006</w:t>
            </w:r>
          </w:p>
        </w:tc>
        <w:tc>
          <w:tcPr>
            <w:tcW w:w="1191" w:type="dxa"/>
          </w:tcPr>
          <w:p w14:paraId="67E9C488"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0.006</w:t>
            </w:r>
          </w:p>
        </w:tc>
        <w:tc>
          <w:tcPr>
            <w:tcW w:w="1191" w:type="dxa"/>
          </w:tcPr>
          <w:p w14:paraId="0E257368"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0.006</w:t>
            </w:r>
          </w:p>
        </w:tc>
        <w:tc>
          <w:tcPr>
            <w:tcW w:w="1191" w:type="dxa"/>
          </w:tcPr>
          <w:p w14:paraId="4DC91E6B"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0.006</w:t>
            </w:r>
          </w:p>
        </w:tc>
      </w:tr>
      <w:tr w:rsidR="007E0F3E" w:rsidRPr="007048BA" w14:paraId="42333BDB" w14:textId="77777777" w:rsidTr="005D120E">
        <w:trPr>
          <w:jc w:val="center"/>
        </w:trPr>
        <w:tc>
          <w:tcPr>
            <w:tcW w:w="1336" w:type="dxa"/>
          </w:tcPr>
          <w:p w14:paraId="2E0B88F4" w14:textId="77777777"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p>
        </w:tc>
        <w:tc>
          <w:tcPr>
            <w:tcW w:w="1192" w:type="dxa"/>
          </w:tcPr>
          <w:p w14:paraId="5D8B5336" w14:textId="5BD8FA6A"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(0.145)</w:t>
            </w:r>
          </w:p>
        </w:tc>
        <w:tc>
          <w:tcPr>
            <w:tcW w:w="1191" w:type="dxa"/>
          </w:tcPr>
          <w:p w14:paraId="45042352"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(0.103)</w:t>
            </w:r>
          </w:p>
        </w:tc>
        <w:tc>
          <w:tcPr>
            <w:tcW w:w="1191" w:type="dxa"/>
          </w:tcPr>
          <w:p w14:paraId="4ACBDF6C"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(0.138)</w:t>
            </w:r>
          </w:p>
        </w:tc>
        <w:tc>
          <w:tcPr>
            <w:tcW w:w="1191" w:type="dxa"/>
          </w:tcPr>
          <w:p w14:paraId="0A471BE3"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(0.152)</w:t>
            </w:r>
          </w:p>
        </w:tc>
        <w:tc>
          <w:tcPr>
            <w:tcW w:w="1191" w:type="dxa"/>
          </w:tcPr>
          <w:p w14:paraId="65058B49"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(0.116)</w:t>
            </w:r>
          </w:p>
        </w:tc>
        <w:tc>
          <w:tcPr>
            <w:tcW w:w="1191" w:type="dxa"/>
          </w:tcPr>
          <w:p w14:paraId="20BD55B9"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(0.110)</w:t>
            </w:r>
          </w:p>
        </w:tc>
        <w:tc>
          <w:tcPr>
            <w:tcW w:w="1191" w:type="dxa"/>
          </w:tcPr>
          <w:p w14:paraId="1A8E6AC2"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(0.137)</w:t>
            </w:r>
          </w:p>
        </w:tc>
        <w:tc>
          <w:tcPr>
            <w:tcW w:w="1191" w:type="dxa"/>
          </w:tcPr>
          <w:p w14:paraId="64A25211"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(0.118)</w:t>
            </w:r>
          </w:p>
        </w:tc>
      </w:tr>
      <w:tr w:rsidR="007E0F3E" w:rsidRPr="007048BA" w14:paraId="72B2BA2B" w14:textId="77777777" w:rsidTr="005D120E">
        <w:trPr>
          <w:jc w:val="center"/>
        </w:trPr>
        <w:tc>
          <w:tcPr>
            <w:tcW w:w="1336" w:type="dxa"/>
          </w:tcPr>
          <w:p w14:paraId="72983D9F" w14:textId="2AE922E7"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r w:rsidRPr="007048BA">
              <w:rPr>
                <w:rFonts w:eastAsia="Times New Roman" w:cs="Times New Roman"/>
                <w:i/>
                <w:szCs w:val="24"/>
                <w:lang w:val="en-GB" w:eastAsia="en-GB"/>
              </w:rPr>
              <w:t>SIZE</w:t>
            </w:r>
          </w:p>
        </w:tc>
        <w:tc>
          <w:tcPr>
            <w:tcW w:w="1192" w:type="dxa"/>
          </w:tcPr>
          <w:p w14:paraId="10E98EBE" w14:textId="0B91C752"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-0.018***</w:t>
            </w:r>
          </w:p>
        </w:tc>
        <w:tc>
          <w:tcPr>
            <w:tcW w:w="1191" w:type="dxa"/>
          </w:tcPr>
          <w:p w14:paraId="6B15CBB7"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-0.018***</w:t>
            </w:r>
          </w:p>
        </w:tc>
        <w:tc>
          <w:tcPr>
            <w:tcW w:w="1191" w:type="dxa"/>
          </w:tcPr>
          <w:p w14:paraId="3E350A4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-0.017***</w:t>
            </w:r>
          </w:p>
        </w:tc>
        <w:tc>
          <w:tcPr>
            <w:tcW w:w="1191" w:type="dxa"/>
          </w:tcPr>
          <w:p w14:paraId="13D7A401"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-0.019***</w:t>
            </w:r>
          </w:p>
        </w:tc>
        <w:tc>
          <w:tcPr>
            <w:tcW w:w="1191" w:type="dxa"/>
          </w:tcPr>
          <w:p w14:paraId="52BB70E9"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-0.051***</w:t>
            </w:r>
          </w:p>
        </w:tc>
        <w:tc>
          <w:tcPr>
            <w:tcW w:w="1191" w:type="dxa"/>
          </w:tcPr>
          <w:p w14:paraId="7BE77D79"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-0.049***</w:t>
            </w:r>
          </w:p>
        </w:tc>
        <w:tc>
          <w:tcPr>
            <w:tcW w:w="1191" w:type="dxa"/>
          </w:tcPr>
          <w:p w14:paraId="7AC57B32"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-0.047***</w:t>
            </w:r>
          </w:p>
        </w:tc>
        <w:tc>
          <w:tcPr>
            <w:tcW w:w="1191" w:type="dxa"/>
          </w:tcPr>
          <w:p w14:paraId="0514314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-0.051***</w:t>
            </w:r>
          </w:p>
        </w:tc>
      </w:tr>
      <w:tr w:rsidR="007E0F3E" w:rsidRPr="007048BA" w14:paraId="7810843A" w14:textId="77777777" w:rsidTr="005D120E">
        <w:trPr>
          <w:jc w:val="center"/>
        </w:trPr>
        <w:tc>
          <w:tcPr>
            <w:tcW w:w="1336" w:type="dxa"/>
          </w:tcPr>
          <w:p w14:paraId="506CC1CA" w14:textId="77777777"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p>
        </w:tc>
        <w:tc>
          <w:tcPr>
            <w:tcW w:w="1192" w:type="dxa"/>
          </w:tcPr>
          <w:p w14:paraId="19444306" w14:textId="5580FCBD"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6ACBF992"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2E323F51"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58B3C1D8"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032056E3"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0AB1E6A9"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65EA8A9B"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71D4496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7E0F3E" w:rsidRPr="007048BA" w14:paraId="29DA0A51" w14:textId="77777777" w:rsidTr="005D120E">
        <w:trPr>
          <w:jc w:val="center"/>
        </w:trPr>
        <w:tc>
          <w:tcPr>
            <w:tcW w:w="1336" w:type="dxa"/>
          </w:tcPr>
          <w:p w14:paraId="510333D1" w14:textId="4CECBAFA"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r w:rsidRPr="007048BA">
              <w:rPr>
                <w:rFonts w:eastAsia="Times New Roman" w:cs="Times New Roman"/>
                <w:i/>
                <w:szCs w:val="24"/>
                <w:lang w:val="en-GB" w:eastAsia="en-GB"/>
              </w:rPr>
              <w:t>TANG</w:t>
            </w:r>
          </w:p>
        </w:tc>
        <w:tc>
          <w:tcPr>
            <w:tcW w:w="1192" w:type="dxa"/>
          </w:tcPr>
          <w:p w14:paraId="18CD6CAB" w14:textId="77534822"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0.062***</w:t>
            </w:r>
          </w:p>
        </w:tc>
        <w:tc>
          <w:tcPr>
            <w:tcW w:w="1191" w:type="dxa"/>
          </w:tcPr>
          <w:p w14:paraId="1BCE9452"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0.051***</w:t>
            </w:r>
          </w:p>
        </w:tc>
        <w:tc>
          <w:tcPr>
            <w:tcW w:w="1191" w:type="dxa"/>
          </w:tcPr>
          <w:p w14:paraId="5F1CCA1B"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0.049***</w:t>
            </w:r>
          </w:p>
        </w:tc>
        <w:tc>
          <w:tcPr>
            <w:tcW w:w="1191" w:type="dxa"/>
          </w:tcPr>
          <w:p w14:paraId="6E82501D"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0.060***</w:t>
            </w:r>
          </w:p>
        </w:tc>
        <w:tc>
          <w:tcPr>
            <w:tcW w:w="1191" w:type="dxa"/>
          </w:tcPr>
          <w:p w14:paraId="18484E5E"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0.028</w:t>
            </w:r>
          </w:p>
        </w:tc>
        <w:tc>
          <w:tcPr>
            <w:tcW w:w="1191" w:type="dxa"/>
          </w:tcPr>
          <w:p w14:paraId="28F319EE"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0.015</w:t>
            </w:r>
          </w:p>
        </w:tc>
        <w:tc>
          <w:tcPr>
            <w:tcW w:w="1191" w:type="dxa"/>
          </w:tcPr>
          <w:p w14:paraId="113698A1"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0.010</w:t>
            </w:r>
          </w:p>
        </w:tc>
        <w:tc>
          <w:tcPr>
            <w:tcW w:w="1191" w:type="dxa"/>
          </w:tcPr>
          <w:p w14:paraId="768A11CE"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0.026</w:t>
            </w:r>
          </w:p>
        </w:tc>
      </w:tr>
      <w:tr w:rsidR="007E0F3E" w:rsidRPr="007048BA" w14:paraId="453989F8" w14:textId="77777777" w:rsidTr="005D120E">
        <w:trPr>
          <w:jc w:val="center"/>
        </w:trPr>
        <w:tc>
          <w:tcPr>
            <w:tcW w:w="1336" w:type="dxa"/>
          </w:tcPr>
          <w:p w14:paraId="0D3DA0D4" w14:textId="77777777"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p>
        </w:tc>
        <w:tc>
          <w:tcPr>
            <w:tcW w:w="1192" w:type="dxa"/>
          </w:tcPr>
          <w:p w14:paraId="720DDF3D" w14:textId="02E7AF52"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193A1322"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63FCCF73"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74AF4F48"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04817B90"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(0.488)</w:t>
            </w:r>
          </w:p>
        </w:tc>
        <w:tc>
          <w:tcPr>
            <w:tcW w:w="1191" w:type="dxa"/>
          </w:tcPr>
          <w:p w14:paraId="766E0745"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(0.714)</w:t>
            </w:r>
          </w:p>
        </w:tc>
        <w:tc>
          <w:tcPr>
            <w:tcW w:w="1191" w:type="dxa"/>
          </w:tcPr>
          <w:p w14:paraId="7619D89A"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(0.804)</w:t>
            </w:r>
          </w:p>
        </w:tc>
        <w:tc>
          <w:tcPr>
            <w:tcW w:w="1191" w:type="dxa"/>
          </w:tcPr>
          <w:p w14:paraId="58977392"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(0.513)</w:t>
            </w:r>
          </w:p>
        </w:tc>
      </w:tr>
      <w:tr w:rsidR="007E0F3E" w:rsidRPr="007048BA" w14:paraId="55C68FA8" w14:textId="77777777" w:rsidTr="005D120E">
        <w:trPr>
          <w:jc w:val="center"/>
        </w:trPr>
        <w:tc>
          <w:tcPr>
            <w:tcW w:w="1336" w:type="dxa"/>
          </w:tcPr>
          <w:p w14:paraId="58328718" w14:textId="30CDF877"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r w:rsidRPr="007048BA">
              <w:rPr>
                <w:rFonts w:eastAsia="Times New Roman" w:cs="Times New Roman"/>
                <w:i/>
                <w:szCs w:val="24"/>
                <w:lang w:val="en-GB" w:eastAsia="en-GB"/>
              </w:rPr>
              <w:t>AGE</w:t>
            </w:r>
          </w:p>
        </w:tc>
        <w:tc>
          <w:tcPr>
            <w:tcW w:w="1192" w:type="dxa"/>
          </w:tcPr>
          <w:p w14:paraId="76724FB9" w14:textId="104F95CD"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-0.012***</w:t>
            </w:r>
          </w:p>
        </w:tc>
        <w:tc>
          <w:tcPr>
            <w:tcW w:w="1191" w:type="dxa"/>
          </w:tcPr>
          <w:p w14:paraId="1A6962E5"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-0.012***</w:t>
            </w:r>
          </w:p>
        </w:tc>
        <w:tc>
          <w:tcPr>
            <w:tcW w:w="1191" w:type="dxa"/>
          </w:tcPr>
          <w:p w14:paraId="5803BA3D"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-0.011***</w:t>
            </w:r>
          </w:p>
        </w:tc>
        <w:tc>
          <w:tcPr>
            <w:tcW w:w="1191" w:type="dxa"/>
          </w:tcPr>
          <w:p w14:paraId="220CA83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-0.012***</w:t>
            </w:r>
          </w:p>
        </w:tc>
        <w:tc>
          <w:tcPr>
            <w:tcW w:w="1191" w:type="dxa"/>
          </w:tcPr>
          <w:p w14:paraId="5A9D97E6"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-0.030***</w:t>
            </w:r>
          </w:p>
        </w:tc>
        <w:tc>
          <w:tcPr>
            <w:tcW w:w="1191" w:type="dxa"/>
          </w:tcPr>
          <w:p w14:paraId="6AD9378E"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-0.028***</w:t>
            </w:r>
          </w:p>
        </w:tc>
        <w:tc>
          <w:tcPr>
            <w:tcW w:w="1191" w:type="dxa"/>
          </w:tcPr>
          <w:p w14:paraId="2A353D18"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-0.027***</w:t>
            </w:r>
          </w:p>
        </w:tc>
        <w:tc>
          <w:tcPr>
            <w:tcW w:w="1191" w:type="dxa"/>
          </w:tcPr>
          <w:p w14:paraId="57759AF5"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-0.030***</w:t>
            </w:r>
          </w:p>
        </w:tc>
      </w:tr>
      <w:tr w:rsidR="007E0F3E" w:rsidRPr="007048BA" w14:paraId="476F48D9" w14:textId="77777777" w:rsidTr="005D120E">
        <w:trPr>
          <w:jc w:val="center"/>
        </w:trPr>
        <w:tc>
          <w:tcPr>
            <w:tcW w:w="1336" w:type="dxa"/>
          </w:tcPr>
          <w:p w14:paraId="28A4E9FB" w14:textId="77777777"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p>
        </w:tc>
        <w:tc>
          <w:tcPr>
            <w:tcW w:w="1192" w:type="dxa"/>
          </w:tcPr>
          <w:p w14:paraId="3D7B7BC5" w14:textId="25758610"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45481C7E"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7A79E523"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315867FA"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2799A9D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4D14F2D8"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37B53797"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3E225DA5"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7E0F3E" w:rsidRPr="007048BA" w14:paraId="31C7C0C6" w14:textId="77777777" w:rsidTr="005D120E">
        <w:trPr>
          <w:jc w:val="center"/>
        </w:trPr>
        <w:tc>
          <w:tcPr>
            <w:tcW w:w="1336" w:type="dxa"/>
          </w:tcPr>
          <w:p w14:paraId="79E62B59" w14:textId="68C1B96E"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r w:rsidRPr="007048BA">
              <w:rPr>
                <w:rFonts w:eastAsia="Times New Roman" w:cs="Times New Roman"/>
                <w:i/>
                <w:szCs w:val="24"/>
                <w:lang w:val="en-GB" w:eastAsia="en-GB"/>
              </w:rPr>
              <w:t>Constant</w:t>
            </w:r>
          </w:p>
        </w:tc>
        <w:tc>
          <w:tcPr>
            <w:tcW w:w="1192" w:type="dxa"/>
          </w:tcPr>
          <w:p w14:paraId="2FD206FD" w14:textId="59B117AD"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0.427***</w:t>
            </w:r>
          </w:p>
        </w:tc>
        <w:tc>
          <w:tcPr>
            <w:tcW w:w="1191" w:type="dxa"/>
          </w:tcPr>
          <w:p w14:paraId="2762F593"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0.398***</w:t>
            </w:r>
          </w:p>
        </w:tc>
        <w:tc>
          <w:tcPr>
            <w:tcW w:w="1191" w:type="dxa"/>
          </w:tcPr>
          <w:p w14:paraId="1A73BDD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0.369***</w:t>
            </w:r>
          </w:p>
        </w:tc>
        <w:tc>
          <w:tcPr>
            <w:tcW w:w="1191" w:type="dxa"/>
          </w:tcPr>
          <w:p w14:paraId="6546350C"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0.443***</w:t>
            </w:r>
          </w:p>
        </w:tc>
        <w:tc>
          <w:tcPr>
            <w:tcW w:w="1191" w:type="dxa"/>
          </w:tcPr>
          <w:p w14:paraId="516DEEB1"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1.272***</w:t>
            </w:r>
          </w:p>
        </w:tc>
        <w:tc>
          <w:tcPr>
            <w:tcW w:w="1191" w:type="dxa"/>
          </w:tcPr>
          <w:p w14:paraId="016AD445"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1.211***</w:t>
            </w:r>
          </w:p>
        </w:tc>
        <w:tc>
          <w:tcPr>
            <w:tcW w:w="1191" w:type="dxa"/>
          </w:tcPr>
          <w:p w14:paraId="7A5E17FB"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1.148***</w:t>
            </w:r>
          </w:p>
        </w:tc>
        <w:tc>
          <w:tcPr>
            <w:tcW w:w="1191" w:type="dxa"/>
          </w:tcPr>
          <w:p w14:paraId="06CAEBE1"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1.284***</w:t>
            </w:r>
          </w:p>
        </w:tc>
      </w:tr>
      <w:tr w:rsidR="007E0F3E" w:rsidRPr="007048BA" w14:paraId="0635F1D4" w14:textId="77777777" w:rsidTr="005D120E">
        <w:trPr>
          <w:jc w:val="center"/>
        </w:trPr>
        <w:tc>
          <w:tcPr>
            <w:tcW w:w="1336" w:type="dxa"/>
          </w:tcPr>
          <w:p w14:paraId="162F4C09" w14:textId="77777777"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p>
        </w:tc>
        <w:tc>
          <w:tcPr>
            <w:tcW w:w="1192" w:type="dxa"/>
          </w:tcPr>
          <w:p w14:paraId="175DCED6" w14:textId="0E19FDEE"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04D4AD21"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6E02861B"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71DF9FB5"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2AFEE428"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0F83A0AF"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47B81E5C"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191" w:type="dxa"/>
          </w:tcPr>
          <w:p w14:paraId="7D717F84"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7E0F3E" w:rsidRPr="007048BA" w14:paraId="51D61495" w14:textId="77777777" w:rsidTr="005D120E">
        <w:trPr>
          <w:jc w:val="center"/>
        </w:trPr>
        <w:tc>
          <w:tcPr>
            <w:tcW w:w="1336" w:type="dxa"/>
          </w:tcPr>
          <w:p w14:paraId="10168FE1" w14:textId="6AF3A6BF"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r w:rsidRPr="007048BA">
              <w:rPr>
                <w:rFonts w:eastAsia="Times New Roman" w:cs="Times New Roman"/>
                <w:i/>
                <w:szCs w:val="24"/>
                <w:lang w:val="en-GB" w:eastAsia="en-GB"/>
              </w:rPr>
              <w:t>Industry</w:t>
            </w:r>
          </w:p>
        </w:tc>
        <w:tc>
          <w:tcPr>
            <w:tcW w:w="1192" w:type="dxa"/>
          </w:tcPr>
          <w:p w14:paraId="61772CC9" w14:textId="2F84AE11"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191" w:type="dxa"/>
          </w:tcPr>
          <w:p w14:paraId="33FE0292" w14:textId="1285B520"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191" w:type="dxa"/>
          </w:tcPr>
          <w:p w14:paraId="32B575EE" w14:textId="2E824473"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191" w:type="dxa"/>
          </w:tcPr>
          <w:p w14:paraId="7679EB99" w14:textId="5688AF9D"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191" w:type="dxa"/>
          </w:tcPr>
          <w:p w14:paraId="3E503901" w14:textId="54C610F2"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191" w:type="dxa"/>
          </w:tcPr>
          <w:p w14:paraId="26A7AEE9" w14:textId="4D84F7DE"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191" w:type="dxa"/>
          </w:tcPr>
          <w:p w14:paraId="09EDE86E" w14:textId="0125E555"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191" w:type="dxa"/>
          </w:tcPr>
          <w:p w14:paraId="06FA77E4" w14:textId="25DB8DA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r>
      <w:tr w:rsidR="007E0F3E" w:rsidRPr="007048BA" w14:paraId="07F21C26" w14:textId="77777777" w:rsidTr="005D120E">
        <w:trPr>
          <w:jc w:val="center"/>
        </w:trPr>
        <w:tc>
          <w:tcPr>
            <w:tcW w:w="1336" w:type="dxa"/>
          </w:tcPr>
          <w:p w14:paraId="5B30FDBA" w14:textId="2050DBE9"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r w:rsidRPr="007048BA">
              <w:rPr>
                <w:rFonts w:eastAsia="Times New Roman" w:cs="Times New Roman"/>
                <w:i/>
                <w:szCs w:val="24"/>
                <w:lang w:val="en-GB" w:eastAsia="en-GB"/>
              </w:rPr>
              <w:t>Year</w:t>
            </w:r>
          </w:p>
        </w:tc>
        <w:tc>
          <w:tcPr>
            <w:tcW w:w="1192" w:type="dxa"/>
          </w:tcPr>
          <w:p w14:paraId="0D93B277" w14:textId="4C9A6C13"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191" w:type="dxa"/>
          </w:tcPr>
          <w:p w14:paraId="76323121" w14:textId="14F4AE95"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191" w:type="dxa"/>
          </w:tcPr>
          <w:p w14:paraId="7E93BE23" w14:textId="09DA513D"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191" w:type="dxa"/>
          </w:tcPr>
          <w:p w14:paraId="04F24E5D" w14:textId="176B531A"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191" w:type="dxa"/>
          </w:tcPr>
          <w:p w14:paraId="5EB4ECD2" w14:textId="0B5FB9EE"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191" w:type="dxa"/>
          </w:tcPr>
          <w:p w14:paraId="5DEE267A" w14:textId="726C9CC0"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191" w:type="dxa"/>
          </w:tcPr>
          <w:p w14:paraId="14470FA2" w14:textId="4BC661EB"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191" w:type="dxa"/>
          </w:tcPr>
          <w:p w14:paraId="052F7041" w14:textId="14A74B11"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r>
      <w:tr w:rsidR="007E0F3E" w:rsidRPr="007048BA" w14:paraId="52BF52F0" w14:textId="77777777" w:rsidTr="005D120E">
        <w:trPr>
          <w:jc w:val="center"/>
        </w:trPr>
        <w:tc>
          <w:tcPr>
            <w:tcW w:w="1336" w:type="dxa"/>
          </w:tcPr>
          <w:p w14:paraId="0C470031" w14:textId="343F3F4F" w:rsidR="00151912" w:rsidRPr="007048BA" w:rsidRDefault="00151912" w:rsidP="00151912">
            <w:pPr>
              <w:widowControl w:val="0"/>
              <w:autoSpaceDE w:val="0"/>
              <w:autoSpaceDN w:val="0"/>
              <w:adjustRightInd w:val="0"/>
              <w:spacing w:after="0" w:line="240" w:lineRule="auto"/>
              <w:ind w:firstLine="0"/>
              <w:jc w:val="left"/>
              <w:rPr>
                <w:rFonts w:eastAsia="Times New Roman" w:cs="Times New Roman"/>
                <w:szCs w:val="24"/>
                <w:lang w:val="en-GB" w:eastAsia="en-GB"/>
              </w:rPr>
            </w:pPr>
            <w:r w:rsidRPr="007048BA">
              <w:rPr>
                <w:rFonts w:eastAsia="Times New Roman" w:cs="Times New Roman"/>
                <w:i/>
                <w:szCs w:val="24"/>
                <w:lang w:val="en-GB" w:eastAsia="en-GB"/>
              </w:rPr>
              <w:t>Obs</w:t>
            </w:r>
            <w:r w:rsidR="00997519" w:rsidRPr="007048BA">
              <w:rPr>
                <w:rFonts w:eastAsia="Times New Roman" w:cs="Times New Roman"/>
                <w:i/>
                <w:szCs w:val="24"/>
                <w:lang w:val="en-GB" w:eastAsia="en-GB"/>
              </w:rPr>
              <w:t>.</w:t>
            </w:r>
          </w:p>
        </w:tc>
        <w:tc>
          <w:tcPr>
            <w:tcW w:w="1192" w:type="dxa"/>
          </w:tcPr>
          <w:p w14:paraId="1619878D" w14:textId="0182A6D6"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30,655</w:t>
            </w:r>
          </w:p>
        </w:tc>
        <w:tc>
          <w:tcPr>
            <w:tcW w:w="1191" w:type="dxa"/>
          </w:tcPr>
          <w:p w14:paraId="6C71F56D"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30,655</w:t>
            </w:r>
          </w:p>
        </w:tc>
        <w:tc>
          <w:tcPr>
            <w:tcW w:w="1191" w:type="dxa"/>
          </w:tcPr>
          <w:p w14:paraId="6AE14231"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30,655</w:t>
            </w:r>
          </w:p>
        </w:tc>
        <w:tc>
          <w:tcPr>
            <w:tcW w:w="1191" w:type="dxa"/>
          </w:tcPr>
          <w:p w14:paraId="5EB54BB5"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30,655</w:t>
            </w:r>
          </w:p>
        </w:tc>
        <w:tc>
          <w:tcPr>
            <w:tcW w:w="1191" w:type="dxa"/>
          </w:tcPr>
          <w:p w14:paraId="6C264CF9"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30,500</w:t>
            </w:r>
          </w:p>
        </w:tc>
        <w:tc>
          <w:tcPr>
            <w:tcW w:w="1191" w:type="dxa"/>
          </w:tcPr>
          <w:p w14:paraId="1463CDB8"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30,500</w:t>
            </w:r>
          </w:p>
        </w:tc>
        <w:tc>
          <w:tcPr>
            <w:tcW w:w="1191" w:type="dxa"/>
          </w:tcPr>
          <w:p w14:paraId="53D7B6A0"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30,500</w:t>
            </w:r>
          </w:p>
        </w:tc>
        <w:tc>
          <w:tcPr>
            <w:tcW w:w="1191" w:type="dxa"/>
          </w:tcPr>
          <w:p w14:paraId="15860D77" w14:textId="77777777" w:rsidR="00151912" w:rsidRPr="007048BA" w:rsidRDefault="00151912" w:rsidP="0015191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30,500</w:t>
            </w:r>
          </w:p>
        </w:tc>
      </w:tr>
    </w:tbl>
    <w:p w14:paraId="4DD45E2E" w14:textId="77777777" w:rsidR="0060367E" w:rsidRPr="007048BA" w:rsidRDefault="0060367E" w:rsidP="0060367E">
      <w:pPr>
        <w:rPr>
          <w:rFonts w:eastAsia="PMingLiU" w:cs="Times New Roman"/>
          <w:sz w:val="28"/>
          <w:szCs w:val="24"/>
          <w:lang w:val="en-GB" w:eastAsia="zh-TW"/>
        </w:rPr>
        <w:sectPr w:rsidR="0060367E" w:rsidRPr="007048BA" w:rsidSect="007B5ED9">
          <w:pgSz w:w="12240" w:h="15840"/>
          <w:pgMar w:top="1304" w:right="964" w:bottom="1304" w:left="1077" w:header="720" w:footer="720" w:gutter="0"/>
          <w:cols w:space="720"/>
          <w:docGrid w:linePitch="360"/>
        </w:sectPr>
      </w:pPr>
    </w:p>
    <w:p w14:paraId="55A37F01" w14:textId="77777777" w:rsidR="00650959" w:rsidRPr="007048BA" w:rsidRDefault="00650959" w:rsidP="00D8280C">
      <w:pPr>
        <w:rPr>
          <w:b/>
          <w:sz w:val="28"/>
          <w:lang w:val="en-GB" w:eastAsia="en-GB"/>
        </w:rPr>
        <w:sectPr w:rsidR="00650959" w:rsidRPr="007048BA" w:rsidSect="007B5ED9">
          <w:type w:val="continuous"/>
          <w:pgSz w:w="12240" w:h="15840"/>
          <w:pgMar w:top="1304" w:right="964" w:bottom="1304" w:left="1077" w:header="720" w:footer="720" w:gutter="0"/>
          <w:cols w:space="720"/>
          <w:docGrid w:linePitch="360"/>
        </w:sectPr>
      </w:pPr>
    </w:p>
    <w:p w14:paraId="54363FB5" w14:textId="78E26FF5" w:rsidR="0060367E" w:rsidRPr="007048BA" w:rsidRDefault="005254B8" w:rsidP="00D8280C">
      <w:pPr>
        <w:rPr>
          <w:rFonts w:eastAsia="Times New Roman" w:cs="Times New Roman"/>
          <w:b/>
          <w:color w:val="000000"/>
          <w:sz w:val="28"/>
          <w:szCs w:val="28"/>
          <w:lang w:val="en-GB" w:eastAsia="en-GB"/>
        </w:rPr>
      </w:pPr>
      <w:r w:rsidRPr="007048BA">
        <w:rPr>
          <w:b/>
          <w:sz w:val="28"/>
          <w:lang w:val="en-GB" w:eastAsia="en-GB"/>
        </w:rPr>
        <w:lastRenderedPageBreak/>
        <w:t>Table 5</w:t>
      </w:r>
      <w:r w:rsidR="00D8280C" w:rsidRPr="007048BA">
        <w:rPr>
          <w:b/>
          <w:sz w:val="28"/>
          <w:lang w:val="en-GB" w:eastAsia="en-GB"/>
        </w:rPr>
        <w:t xml:space="preserve">: </w:t>
      </w:r>
      <w:r w:rsidR="00630C26" w:rsidRPr="007048BA">
        <w:rPr>
          <w:b/>
          <w:sz w:val="28"/>
          <w:lang w:val="en-GB" w:eastAsia="en-GB"/>
        </w:rPr>
        <w:t>D</w:t>
      </w:r>
      <w:r w:rsidR="0060367E" w:rsidRPr="007048BA">
        <w:rPr>
          <w:rFonts w:eastAsia="Times New Roman" w:cs="Times New Roman"/>
          <w:b/>
          <w:color w:val="000000"/>
          <w:sz w:val="28"/>
          <w:szCs w:val="28"/>
          <w:lang w:val="en-GB" w:eastAsia="en-GB"/>
        </w:rPr>
        <w:t>iscretionary accruals and management performance</w:t>
      </w:r>
    </w:p>
    <w:p w14:paraId="17A4B7C2" w14:textId="19C42D46" w:rsidR="0060367E" w:rsidRPr="007048BA" w:rsidRDefault="0060367E" w:rsidP="0060367E">
      <w:pPr>
        <w:spacing w:after="0" w:line="240" w:lineRule="auto"/>
        <w:ind w:firstLine="0"/>
        <w:rPr>
          <w:rFonts w:eastAsia="PMingLiU" w:cs="cmr12"/>
          <w:sz w:val="20"/>
          <w:szCs w:val="24"/>
          <w:lang w:val="en-GB" w:eastAsia="zh-TW"/>
        </w:rPr>
      </w:pPr>
      <w:r w:rsidRPr="007048BA">
        <w:rPr>
          <w:rFonts w:eastAsia="PMingLiU" w:cs="cmr12"/>
          <w:sz w:val="20"/>
          <w:szCs w:val="24"/>
          <w:lang w:val="en-GB" w:eastAsia="zh-TW"/>
        </w:rPr>
        <w:t xml:space="preserve">This table reports </w:t>
      </w:r>
      <w:r w:rsidR="00630C26" w:rsidRPr="007048BA">
        <w:rPr>
          <w:rFonts w:eastAsia="PMingLiU" w:cs="cmr12"/>
          <w:sz w:val="20"/>
          <w:szCs w:val="24"/>
          <w:lang w:val="en-GB" w:eastAsia="zh-TW"/>
        </w:rPr>
        <w:t>differences in mean and median</w:t>
      </w:r>
      <w:r w:rsidRPr="007048BA">
        <w:rPr>
          <w:rFonts w:eastAsia="PMingLiU" w:cs="cmr12"/>
          <w:sz w:val="20"/>
          <w:szCs w:val="24"/>
          <w:lang w:val="en-GB" w:eastAsia="zh-TW"/>
        </w:rPr>
        <w:t xml:space="preserve"> discretionary accruals</w:t>
      </w:r>
      <w:r w:rsidR="00630C26" w:rsidRPr="007048BA">
        <w:rPr>
          <w:rFonts w:eastAsia="PMingLiU" w:cs="cmr12"/>
          <w:sz w:val="20"/>
          <w:szCs w:val="24"/>
          <w:lang w:val="en-GB" w:eastAsia="zh-TW"/>
        </w:rPr>
        <w:t xml:space="preserve"> (current and total)</w:t>
      </w:r>
      <w:r w:rsidRPr="007048BA">
        <w:rPr>
          <w:rFonts w:eastAsia="PMingLiU" w:cs="cmr12"/>
          <w:sz w:val="20"/>
          <w:szCs w:val="24"/>
          <w:lang w:val="en-GB" w:eastAsia="zh-TW"/>
        </w:rPr>
        <w:t xml:space="preserve"> reported by firms classified under the four </w:t>
      </w:r>
      <w:r w:rsidR="006B3320" w:rsidRPr="007048BA">
        <w:rPr>
          <w:rFonts w:eastAsia="PMingLiU" w:cs="cmr12"/>
          <w:sz w:val="20"/>
          <w:szCs w:val="24"/>
          <w:lang w:val="en-GB" w:eastAsia="zh-TW"/>
        </w:rPr>
        <w:t>attributes</w:t>
      </w:r>
      <w:r w:rsidRPr="007048BA">
        <w:rPr>
          <w:rFonts w:eastAsia="PMingLiU" w:cs="cmr12"/>
          <w:sz w:val="20"/>
          <w:szCs w:val="24"/>
          <w:lang w:val="en-GB" w:eastAsia="zh-TW"/>
        </w:rPr>
        <w:t xml:space="preserve">: (1) </w:t>
      </w:r>
      <w:r w:rsidR="00ED262D" w:rsidRPr="007048BA">
        <w:rPr>
          <w:rFonts w:eastAsia="PMingLiU" w:cs="cmr12"/>
          <w:i/>
          <w:sz w:val="20"/>
          <w:szCs w:val="24"/>
          <w:lang w:val="en-GB" w:eastAsia="zh-TW"/>
        </w:rPr>
        <w:t>poor</w:t>
      </w:r>
      <w:r w:rsidRPr="007048BA">
        <w:rPr>
          <w:rFonts w:eastAsia="PMingLiU" w:cs="cmr12"/>
          <w:sz w:val="20"/>
          <w:szCs w:val="24"/>
          <w:lang w:val="en-GB" w:eastAsia="zh-TW"/>
        </w:rPr>
        <w:t xml:space="preserve">; (2) </w:t>
      </w:r>
      <w:r w:rsidR="00ED262D" w:rsidRPr="007048BA">
        <w:rPr>
          <w:rFonts w:eastAsia="PMingLiU" w:cs="cmr12"/>
          <w:i/>
          <w:sz w:val="20"/>
          <w:szCs w:val="24"/>
          <w:lang w:val="en-GB" w:eastAsia="zh-TW"/>
        </w:rPr>
        <w:t>myopia</w:t>
      </w:r>
      <w:r w:rsidRPr="007048BA">
        <w:rPr>
          <w:rFonts w:eastAsia="PMingLiU" w:cs="cmr12"/>
          <w:sz w:val="20"/>
          <w:szCs w:val="24"/>
          <w:lang w:val="en-GB" w:eastAsia="zh-TW"/>
        </w:rPr>
        <w:t xml:space="preserve">; (3) </w:t>
      </w:r>
      <w:r w:rsidR="00ED262D" w:rsidRPr="007048BA">
        <w:rPr>
          <w:rFonts w:eastAsia="PMingLiU" w:cs="cmr12"/>
          <w:i/>
          <w:sz w:val="20"/>
          <w:szCs w:val="24"/>
          <w:lang w:val="en-GB" w:eastAsia="zh-TW"/>
        </w:rPr>
        <w:t>hyperopia</w:t>
      </w:r>
      <w:r w:rsidRPr="007048BA">
        <w:rPr>
          <w:rFonts w:eastAsia="PMingLiU" w:cs="cmr12"/>
          <w:sz w:val="20"/>
          <w:szCs w:val="24"/>
          <w:lang w:val="en-GB" w:eastAsia="zh-TW"/>
        </w:rPr>
        <w:t xml:space="preserve">; (4) </w:t>
      </w:r>
      <w:r w:rsidR="00ED262D" w:rsidRPr="007048BA">
        <w:rPr>
          <w:rFonts w:eastAsia="PMingLiU" w:cs="cmr12"/>
          <w:i/>
          <w:sz w:val="20"/>
          <w:szCs w:val="24"/>
          <w:lang w:val="en-GB" w:eastAsia="zh-TW"/>
        </w:rPr>
        <w:t>efficient</w:t>
      </w:r>
      <w:r w:rsidR="000A2F04" w:rsidRPr="007048BA">
        <w:rPr>
          <w:rFonts w:eastAsia="PMingLiU" w:cs="cmr12"/>
          <w:sz w:val="20"/>
          <w:szCs w:val="24"/>
          <w:lang w:val="en-GB" w:eastAsia="zh-TW"/>
        </w:rPr>
        <w:t xml:space="preserve"> and (5) the full sample (</w:t>
      </w:r>
      <w:r w:rsidR="000A2F04" w:rsidRPr="007048BA">
        <w:rPr>
          <w:rFonts w:eastAsia="PMingLiU" w:cs="cmr12"/>
          <w:i/>
          <w:sz w:val="20"/>
          <w:szCs w:val="24"/>
          <w:lang w:val="en-GB" w:eastAsia="zh-TW"/>
        </w:rPr>
        <w:t>All firms</w:t>
      </w:r>
      <w:r w:rsidR="000A2F04" w:rsidRPr="007048BA">
        <w:rPr>
          <w:rFonts w:eastAsia="PMingLiU" w:cs="cmr12"/>
          <w:sz w:val="20"/>
          <w:szCs w:val="24"/>
          <w:lang w:val="en-GB" w:eastAsia="zh-TW"/>
        </w:rPr>
        <w:t>)</w:t>
      </w:r>
      <w:r w:rsidRPr="007048BA">
        <w:rPr>
          <w:rFonts w:eastAsia="PMingLiU" w:cs="cmr12"/>
          <w:sz w:val="20"/>
          <w:szCs w:val="24"/>
          <w:lang w:val="en-GB" w:eastAsia="zh-TW"/>
        </w:rPr>
        <w:t xml:space="preserve">. The table </w:t>
      </w:r>
      <w:r w:rsidR="000A2F04" w:rsidRPr="007048BA">
        <w:rPr>
          <w:rFonts w:eastAsia="PMingLiU" w:cs="cmr12"/>
          <w:sz w:val="20"/>
          <w:szCs w:val="24"/>
          <w:lang w:val="en-GB" w:eastAsia="zh-TW"/>
        </w:rPr>
        <w:t xml:space="preserve">also </w:t>
      </w:r>
      <w:r w:rsidRPr="007048BA">
        <w:rPr>
          <w:rFonts w:eastAsia="PMingLiU" w:cs="cmr12"/>
          <w:sz w:val="20"/>
          <w:szCs w:val="24"/>
          <w:lang w:val="en-GB" w:eastAsia="zh-TW"/>
        </w:rPr>
        <w:t>reports difference of means</w:t>
      </w:r>
      <w:r w:rsidR="00FB10D8" w:rsidRPr="007048BA">
        <w:rPr>
          <w:rFonts w:eastAsia="PMingLiU" w:cs="cmr12"/>
          <w:sz w:val="20"/>
          <w:szCs w:val="24"/>
          <w:lang w:val="en-GB" w:eastAsia="zh-TW"/>
        </w:rPr>
        <w:t xml:space="preserve"> and medians</w:t>
      </w:r>
      <w:r w:rsidRPr="007048BA">
        <w:rPr>
          <w:rFonts w:eastAsia="PMingLiU" w:cs="cmr12"/>
          <w:sz w:val="20"/>
          <w:szCs w:val="24"/>
          <w:lang w:val="en-GB" w:eastAsia="zh-TW"/>
        </w:rPr>
        <w:t xml:space="preserve"> between groups. </w:t>
      </w:r>
      <w:r w:rsidR="00630C26" w:rsidRPr="007048BA">
        <w:rPr>
          <w:rFonts w:eastAsia="PMingLiU" w:cs="cmr12"/>
          <w:sz w:val="20"/>
          <w:szCs w:val="24"/>
          <w:lang w:val="en-GB" w:eastAsia="zh-TW"/>
        </w:rPr>
        <w:t>Total d</w:t>
      </w:r>
      <w:r w:rsidRPr="007048BA">
        <w:rPr>
          <w:rFonts w:eastAsia="PMingLiU" w:cs="cmr12"/>
          <w:sz w:val="20"/>
          <w:szCs w:val="24"/>
          <w:lang w:val="en-GB" w:eastAsia="zh-TW"/>
        </w:rPr>
        <w:t xml:space="preserve">iscretionary accruals </w:t>
      </w:r>
      <w:r w:rsidR="000A2F04" w:rsidRPr="007048BA">
        <w:rPr>
          <w:rFonts w:eastAsia="PMingLiU" w:cs="cmr12"/>
          <w:sz w:val="20"/>
          <w:szCs w:val="24"/>
          <w:lang w:val="en-GB" w:eastAsia="zh-TW"/>
        </w:rPr>
        <w:t>are</w:t>
      </w:r>
      <w:r w:rsidRPr="007048BA">
        <w:rPr>
          <w:rFonts w:eastAsia="PMingLiU" w:cs="cmr12"/>
          <w:sz w:val="20"/>
          <w:szCs w:val="24"/>
          <w:lang w:val="en-GB" w:eastAsia="zh-TW"/>
        </w:rPr>
        <w:t xml:space="preserve"> estimated </w:t>
      </w:r>
      <w:r w:rsidR="0024181C" w:rsidRPr="007048BA">
        <w:rPr>
          <w:rFonts w:eastAsia="PMingLiU" w:cs="cmr12"/>
          <w:sz w:val="20"/>
          <w:szCs w:val="24"/>
          <w:lang w:val="en-GB" w:eastAsia="zh-TW"/>
        </w:rPr>
        <w:t>as the residual of the</w:t>
      </w:r>
      <w:r w:rsidRPr="007048BA">
        <w:rPr>
          <w:rFonts w:eastAsia="PMingLiU" w:cs="cmr12"/>
          <w:sz w:val="20"/>
          <w:szCs w:val="24"/>
          <w:lang w:val="en-GB" w:eastAsia="zh-TW"/>
        </w:rPr>
        <w:t xml:space="preserve"> Modified-Jones model (</w:t>
      </w:r>
      <w:r w:rsidR="00630C26" w:rsidRPr="007048BA">
        <w:rPr>
          <w:rFonts w:eastAsia="PMingLiU" w:cs="cmr12"/>
          <w:sz w:val="20"/>
          <w:szCs w:val="24"/>
          <w:lang w:val="en-GB" w:eastAsia="zh-TW"/>
        </w:rPr>
        <w:t>equation 5) while current discretionary accruals are estimated as the residual of an adjusted (for PPE) Modified-Jones model (equation 8)</w:t>
      </w:r>
      <w:r w:rsidRPr="007048BA">
        <w:rPr>
          <w:rFonts w:eastAsia="PMingLiU" w:cs="cmr12"/>
          <w:sz w:val="20"/>
          <w:szCs w:val="24"/>
          <w:lang w:val="en-GB" w:eastAsia="zh-TW"/>
        </w:rPr>
        <w:t>:</w:t>
      </w:r>
    </w:p>
    <w:p w14:paraId="252A5410" w14:textId="79D9EBDC" w:rsidR="0060367E" w:rsidRPr="007048BA" w:rsidRDefault="007048BA" w:rsidP="00B06780">
      <w:pPr>
        <w:autoSpaceDE w:val="0"/>
        <w:autoSpaceDN w:val="0"/>
        <w:adjustRightInd w:val="0"/>
        <w:spacing w:after="0" w:line="240" w:lineRule="auto"/>
        <w:ind w:firstLine="227"/>
        <w:jc w:val="center"/>
        <w:rPr>
          <w:rFonts w:eastAsia="PMingLiU" w:cs="Times New Roman"/>
          <w:sz w:val="22"/>
          <w:szCs w:val="24"/>
          <w:lang w:val="en-GB" w:eastAsia="zh-TW"/>
        </w:rPr>
      </w:pPr>
      <m:oMath>
        <m:f>
          <m:fPr>
            <m:ctrlPr>
              <w:rPr>
                <w:rFonts w:ascii="Cambria Math" w:eastAsia="PMingLiU" w:hAnsi="Cambria Math" w:cs="Times New Roman"/>
                <w:i/>
                <w:sz w:val="22"/>
                <w:szCs w:val="24"/>
                <w:lang w:val="en-GB" w:eastAsia="zh-TW"/>
              </w:rPr>
            </m:ctrlPr>
          </m:fPr>
          <m:num>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Total Accruals</m:t>
                </m:r>
              </m:e>
              <m:sub>
                <m:r>
                  <w:rPr>
                    <w:rFonts w:ascii="Cambria Math" w:eastAsia="PMingLiU" w:hAnsi="Cambria Math" w:cs="Times New Roman"/>
                    <w:sz w:val="22"/>
                    <w:szCs w:val="24"/>
                    <w:lang w:val="en-GB" w:eastAsia="zh-TW"/>
                  </w:rPr>
                  <m:t>it</m:t>
                </m:r>
              </m:sub>
            </m:sSub>
          </m:num>
          <m:den>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Assets</m:t>
                </m:r>
              </m:e>
              <m:sub>
                <m:r>
                  <w:rPr>
                    <w:rFonts w:ascii="Cambria Math" w:eastAsia="PMingLiU" w:hAnsi="Cambria Math" w:cs="Times New Roman"/>
                    <w:sz w:val="22"/>
                    <w:szCs w:val="24"/>
                    <w:lang w:val="en-GB" w:eastAsia="zh-TW"/>
                  </w:rPr>
                  <m:t>it-1</m:t>
                </m:r>
              </m:sub>
            </m:sSub>
          </m:den>
        </m:f>
        <m:r>
          <w:rPr>
            <w:rFonts w:ascii="Cambria Math" w:eastAsia="PMingLiU" w:hAnsi="Cambria Math" w:cs="Times New Roman"/>
            <w:sz w:val="22"/>
            <w:szCs w:val="24"/>
            <w:lang w:val="en-GB" w:eastAsia="zh-TW"/>
          </w:rPr>
          <m:t xml:space="preserve">= </m:t>
        </m:r>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β</m:t>
            </m:r>
          </m:e>
          <m:sub>
            <m:r>
              <w:rPr>
                <w:rFonts w:ascii="Cambria Math" w:eastAsia="PMingLiU" w:hAnsi="Cambria Math" w:cs="Times New Roman"/>
                <w:sz w:val="22"/>
                <w:szCs w:val="24"/>
                <w:lang w:val="en-GB" w:eastAsia="zh-TW"/>
              </w:rPr>
              <m:t>1</m:t>
            </m:r>
          </m:sub>
        </m:sSub>
        <m:f>
          <m:fPr>
            <m:ctrlPr>
              <w:rPr>
                <w:rFonts w:ascii="Cambria Math" w:eastAsia="PMingLiU" w:hAnsi="Cambria Math" w:cs="Times New Roman"/>
                <w:i/>
                <w:sz w:val="22"/>
                <w:szCs w:val="24"/>
                <w:lang w:val="en-GB" w:eastAsia="zh-TW"/>
              </w:rPr>
            </m:ctrlPr>
          </m:fPr>
          <m:num>
            <m:r>
              <w:rPr>
                <w:rFonts w:ascii="Cambria Math" w:eastAsia="PMingLiU" w:hAnsi="Cambria Math" w:cs="Times New Roman"/>
                <w:sz w:val="22"/>
                <w:szCs w:val="24"/>
                <w:lang w:val="en-GB" w:eastAsia="zh-TW"/>
              </w:rPr>
              <m:t>1</m:t>
            </m:r>
          </m:num>
          <m:den>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Assets</m:t>
                </m:r>
              </m:e>
              <m:sub>
                <m:r>
                  <w:rPr>
                    <w:rFonts w:ascii="Cambria Math" w:eastAsia="PMingLiU" w:hAnsi="Cambria Math" w:cs="Times New Roman"/>
                    <w:sz w:val="22"/>
                    <w:szCs w:val="24"/>
                    <w:lang w:val="en-GB" w:eastAsia="zh-TW"/>
                  </w:rPr>
                  <m:t>it-1</m:t>
                </m:r>
              </m:sub>
            </m:sSub>
          </m:den>
        </m:f>
        <m:r>
          <w:rPr>
            <w:rFonts w:ascii="Cambria Math" w:eastAsia="PMingLiU" w:hAnsi="Cambria Math" w:cs="Times New Roman"/>
            <w:sz w:val="22"/>
            <w:szCs w:val="24"/>
            <w:lang w:val="en-GB" w:eastAsia="zh-TW"/>
          </w:rPr>
          <m:t>+</m:t>
        </m:r>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β</m:t>
            </m:r>
          </m:e>
          <m:sub>
            <m:r>
              <w:rPr>
                <w:rFonts w:ascii="Cambria Math" w:eastAsia="PMingLiU" w:hAnsi="Cambria Math" w:cs="Times New Roman"/>
                <w:sz w:val="22"/>
                <w:szCs w:val="24"/>
                <w:lang w:val="en-GB" w:eastAsia="zh-TW"/>
              </w:rPr>
              <m:t>2</m:t>
            </m:r>
          </m:sub>
        </m:sSub>
        <m:f>
          <m:fPr>
            <m:ctrlPr>
              <w:rPr>
                <w:rFonts w:ascii="Cambria Math" w:eastAsia="PMingLiU" w:hAnsi="Cambria Math" w:cs="Times New Roman"/>
                <w:i/>
                <w:sz w:val="22"/>
                <w:szCs w:val="24"/>
                <w:lang w:val="en-GB" w:eastAsia="zh-TW"/>
              </w:rPr>
            </m:ctrlPr>
          </m:fPr>
          <m:num>
            <m:d>
              <m:dPr>
                <m:ctrlPr>
                  <w:rPr>
                    <w:rFonts w:ascii="Cambria Math" w:eastAsia="PMingLiU" w:hAnsi="Cambria Math" w:cs="Times New Roman"/>
                    <w:i/>
                    <w:sz w:val="22"/>
                    <w:szCs w:val="24"/>
                    <w:lang w:val="en-GB" w:eastAsia="zh-TW"/>
                  </w:rPr>
                </m:ctrlPr>
              </m:dPr>
              <m:e>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∆REV</m:t>
                    </m:r>
                  </m:e>
                  <m:sub>
                    <m:r>
                      <w:rPr>
                        <w:rFonts w:ascii="Cambria Math" w:eastAsia="PMingLiU" w:hAnsi="Cambria Math" w:cs="Times New Roman"/>
                        <w:sz w:val="22"/>
                        <w:szCs w:val="24"/>
                        <w:lang w:val="en-GB" w:eastAsia="zh-TW"/>
                      </w:rPr>
                      <m:t>it</m:t>
                    </m:r>
                  </m:sub>
                </m:sSub>
                <m:r>
                  <w:rPr>
                    <w:rFonts w:ascii="Cambria Math" w:eastAsia="PMingLiU" w:hAnsi="Cambria Math" w:cs="Times New Roman"/>
                    <w:sz w:val="22"/>
                    <w:szCs w:val="24"/>
                    <w:lang w:val="en-GB" w:eastAsia="zh-TW"/>
                  </w:rPr>
                  <m:t>-</m:t>
                </m:r>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∆REC</m:t>
                    </m:r>
                  </m:e>
                  <m:sub>
                    <m:r>
                      <w:rPr>
                        <w:rFonts w:ascii="Cambria Math" w:eastAsia="PMingLiU" w:hAnsi="Cambria Math" w:cs="Times New Roman"/>
                        <w:sz w:val="22"/>
                        <w:szCs w:val="24"/>
                        <w:lang w:val="en-GB" w:eastAsia="zh-TW"/>
                      </w:rPr>
                      <m:t>it</m:t>
                    </m:r>
                  </m:sub>
                </m:sSub>
              </m:e>
            </m:d>
          </m:num>
          <m:den>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Assets</m:t>
                </m:r>
              </m:e>
              <m:sub>
                <m:r>
                  <w:rPr>
                    <w:rFonts w:ascii="Cambria Math" w:eastAsia="PMingLiU" w:hAnsi="Cambria Math" w:cs="Times New Roman"/>
                    <w:sz w:val="22"/>
                    <w:szCs w:val="24"/>
                    <w:lang w:val="en-GB" w:eastAsia="zh-TW"/>
                  </w:rPr>
                  <m:t>it-1</m:t>
                </m:r>
              </m:sub>
            </m:sSub>
          </m:den>
        </m:f>
        <m:r>
          <w:rPr>
            <w:rFonts w:ascii="Cambria Math" w:eastAsia="PMingLiU" w:hAnsi="Cambria Math" w:cs="Times New Roman"/>
            <w:sz w:val="22"/>
            <w:szCs w:val="24"/>
            <w:lang w:val="en-GB" w:eastAsia="zh-TW"/>
          </w:rPr>
          <m:t>+</m:t>
        </m:r>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β</m:t>
            </m:r>
          </m:e>
          <m:sub>
            <m:r>
              <w:rPr>
                <w:rFonts w:ascii="Cambria Math" w:eastAsia="PMingLiU" w:hAnsi="Cambria Math" w:cs="Times New Roman"/>
                <w:sz w:val="22"/>
                <w:szCs w:val="24"/>
                <w:lang w:val="en-GB" w:eastAsia="zh-TW"/>
              </w:rPr>
              <m:t>3</m:t>
            </m:r>
          </m:sub>
        </m:sSub>
        <m:f>
          <m:fPr>
            <m:ctrlPr>
              <w:rPr>
                <w:rFonts w:ascii="Cambria Math" w:eastAsia="PMingLiU" w:hAnsi="Cambria Math" w:cs="Times New Roman"/>
                <w:i/>
                <w:sz w:val="22"/>
                <w:szCs w:val="24"/>
                <w:lang w:val="en-GB" w:eastAsia="zh-TW"/>
              </w:rPr>
            </m:ctrlPr>
          </m:fPr>
          <m:num>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PPE</m:t>
                </m:r>
              </m:e>
              <m:sub>
                <m:r>
                  <w:rPr>
                    <w:rFonts w:ascii="Cambria Math" w:eastAsia="PMingLiU" w:hAnsi="Cambria Math" w:cs="Times New Roman"/>
                    <w:sz w:val="22"/>
                    <w:szCs w:val="24"/>
                    <w:lang w:val="en-GB" w:eastAsia="zh-TW"/>
                  </w:rPr>
                  <m:t>it</m:t>
                </m:r>
              </m:sub>
            </m:sSub>
          </m:num>
          <m:den>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Assets</m:t>
                </m:r>
              </m:e>
              <m:sub>
                <m:r>
                  <w:rPr>
                    <w:rFonts w:ascii="Cambria Math" w:eastAsia="PMingLiU" w:hAnsi="Cambria Math" w:cs="Times New Roman"/>
                    <w:sz w:val="22"/>
                    <w:szCs w:val="24"/>
                    <w:lang w:val="en-GB" w:eastAsia="zh-TW"/>
                  </w:rPr>
                  <m:t>it-1</m:t>
                </m:r>
              </m:sub>
            </m:sSub>
          </m:den>
        </m:f>
        <m:r>
          <w:rPr>
            <w:rFonts w:ascii="Cambria Math" w:eastAsia="PMingLiU" w:hAnsi="Cambria Math" w:cs="Times New Roman"/>
            <w:sz w:val="22"/>
            <w:szCs w:val="24"/>
            <w:lang w:val="en-GB" w:eastAsia="zh-TW"/>
          </w:rPr>
          <m:t>+</m:t>
        </m:r>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ε</m:t>
            </m:r>
          </m:e>
          <m:sub>
            <m:r>
              <w:rPr>
                <w:rFonts w:ascii="Cambria Math" w:eastAsia="PMingLiU" w:hAnsi="Cambria Math" w:cs="Times New Roman"/>
                <w:sz w:val="22"/>
                <w:szCs w:val="24"/>
                <w:lang w:val="en-GB" w:eastAsia="zh-TW"/>
              </w:rPr>
              <m:t>it</m:t>
            </m:r>
          </m:sub>
        </m:sSub>
      </m:oMath>
      <w:r w:rsidR="0060367E" w:rsidRPr="007048BA">
        <w:rPr>
          <w:rFonts w:eastAsia="PMingLiU" w:cs="Times New Roman"/>
          <w:sz w:val="22"/>
          <w:szCs w:val="24"/>
          <w:lang w:val="en-GB" w:eastAsia="zh-TW"/>
        </w:rPr>
        <w:t xml:space="preserve">      (</w:t>
      </w:r>
      <w:r w:rsidR="00630C26" w:rsidRPr="007048BA">
        <w:rPr>
          <w:rFonts w:eastAsia="PMingLiU" w:cs="Times New Roman"/>
          <w:sz w:val="22"/>
          <w:szCs w:val="24"/>
          <w:lang w:val="en-GB" w:eastAsia="zh-TW"/>
        </w:rPr>
        <w:t>5</w:t>
      </w:r>
      <w:r w:rsidR="0060367E" w:rsidRPr="007048BA">
        <w:rPr>
          <w:rFonts w:eastAsia="PMingLiU" w:cs="Times New Roman"/>
          <w:sz w:val="22"/>
          <w:szCs w:val="24"/>
          <w:lang w:val="en-GB" w:eastAsia="zh-TW"/>
        </w:rPr>
        <w:t>)</w:t>
      </w:r>
    </w:p>
    <w:p w14:paraId="0B39C89B" w14:textId="1E76AC56" w:rsidR="00630C26" w:rsidRPr="007048BA" w:rsidRDefault="007048BA" w:rsidP="00630C26">
      <w:pPr>
        <w:autoSpaceDE w:val="0"/>
        <w:autoSpaceDN w:val="0"/>
        <w:adjustRightInd w:val="0"/>
        <w:spacing w:after="0" w:line="240" w:lineRule="auto"/>
        <w:ind w:firstLine="227"/>
        <w:jc w:val="center"/>
        <w:rPr>
          <w:rFonts w:eastAsia="PMingLiU" w:cs="Times New Roman"/>
          <w:sz w:val="22"/>
          <w:szCs w:val="24"/>
          <w:lang w:val="en-GB" w:eastAsia="zh-TW"/>
        </w:rPr>
      </w:pPr>
      <m:oMath>
        <m:f>
          <m:fPr>
            <m:ctrlPr>
              <w:rPr>
                <w:rFonts w:ascii="Cambria Math" w:eastAsia="PMingLiU" w:hAnsi="Cambria Math" w:cs="Times New Roman"/>
                <w:i/>
                <w:sz w:val="22"/>
                <w:szCs w:val="24"/>
                <w:lang w:val="en-GB" w:eastAsia="zh-TW"/>
              </w:rPr>
            </m:ctrlPr>
          </m:fPr>
          <m:num>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Current Accruals</m:t>
                </m:r>
              </m:e>
              <m:sub>
                <m:r>
                  <w:rPr>
                    <w:rFonts w:ascii="Cambria Math" w:eastAsia="PMingLiU" w:hAnsi="Cambria Math" w:cs="Times New Roman"/>
                    <w:sz w:val="22"/>
                    <w:szCs w:val="24"/>
                    <w:lang w:val="en-GB" w:eastAsia="zh-TW"/>
                  </w:rPr>
                  <m:t>it</m:t>
                </m:r>
              </m:sub>
            </m:sSub>
          </m:num>
          <m:den>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Assets</m:t>
                </m:r>
              </m:e>
              <m:sub>
                <m:r>
                  <w:rPr>
                    <w:rFonts w:ascii="Cambria Math" w:eastAsia="PMingLiU" w:hAnsi="Cambria Math" w:cs="Times New Roman"/>
                    <w:sz w:val="22"/>
                    <w:szCs w:val="24"/>
                    <w:lang w:val="en-GB" w:eastAsia="zh-TW"/>
                  </w:rPr>
                  <m:t>it-1</m:t>
                </m:r>
              </m:sub>
            </m:sSub>
          </m:den>
        </m:f>
        <m:r>
          <w:rPr>
            <w:rFonts w:ascii="Cambria Math" w:eastAsia="PMingLiU" w:hAnsi="Cambria Math" w:cs="Times New Roman"/>
            <w:sz w:val="22"/>
            <w:szCs w:val="24"/>
            <w:lang w:val="en-GB" w:eastAsia="zh-TW"/>
          </w:rPr>
          <m:t xml:space="preserve">= </m:t>
        </m:r>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β</m:t>
            </m:r>
          </m:e>
          <m:sub>
            <m:r>
              <w:rPr>
                <w:rFonts w:ascii="Cambria Math" w:eastAsia="PMingLiU" w:hAnsi="Cambria Math" w:cs="Times New Roman"/>
                <w:sz w:val="22"/>
                <w:szCs w:val="24"/>
                <w:lang w:val="en-GB" w:eastAsia="zh-TW"/>
              </w:rPr>
              <m:t>1</m:t>
            </m:r>
          </m:sub>
        </m:sSub>
        <m:f>
          <m:fPr>
            <m:ctrlPr>
              <w:rPr>
                <w:rFonts w:ascii="Cambria Math" w:eastAsia="PMingLiU" w:hAnsi="Cambria Math" w:cs="Times New Roman"/>
                <w:i/>
                <w:sz w:val="22"/>
                <w:szCs w:val="24"/>
                <w:lang w:val="en-GB" w:eastAsia="zh-TW"/>
              </w:rPr>
            </m:ctrlPr>
          </m:fPr>
          <m:num>
            <m:r>
              <w:rPr>
                <w:rFonts w:ascii="Cambria Math" w:eastAsia="PMingLiU" w:hAnsi="Cambria Math" w:cs="Times New Roman"/>
                <w:sz w:val="22"/>
                <w:szCs w:val="24"/>
                <w:lang w:val="en-GB" w:eastAsia="zh-TW"/>
              </w:rPr>
              <m:t>1</m:t>
            </m:r>
          </m:num>
          <m:den>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Assets</m:t>
                </m:r>
              </m:e>
              <m:sub>
                <m:r>
                  <w:rPr>
                    <w:rFonts w:ascii="Cambria Math" w:eastAsia="PMingLiU" w:hAnsi="Cambria Math" w:cs="Times New Roman"/>
                    <w:sz w:val="22"/>
                    <w:szCs w:val="24"/>
                    <w:lang w:val="en-GB" w:eastAsia="zh-TW"/>
                  </w:rPr>
                  <m:t>it-1</m:t>
                </m:r>
              </m:sub>
            </m:sSub>
          </m:den>
        </m:f>
        <m:r>
          <w:rPr>
            <w:rFonts w:ascii="Cambria Math" w:eastAsia="PMingLiU" w:hAnsi="Cambria Math" w:cs="Times New Roman"/>
            <w:sz w:val="22"/>
            <w:szCs w:val="24"/>
            <w:lang w:val="en-GB" w:eastAsia="zh-TW"/>
          </w:rPr>
          <m:t>+</m:t>
        </m:r>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β</m:t>
            </m:r>
          </m:e>
          <m:sub>
            <m:r>
              <w:rPr>
                <w:rFonts w:ascii="Cambria Math" w:eastAsia="PMingLiU" w:hAnsi="Cambria Math" w:cs="Times New Roman"/>
                <w:sz w:val="22"/>
                <w:szCs w:val="24"/>
                <w:lang w:val="en-GB" w:eastAsia="zh-TW"/>
              </w:rPr>
              <m:t>2</m:t>
            </m:r>
          </m:sub>
        </m:sSub>
        <m:f>
          <m:fPr>
            <m:ctrlPr>
              <w:rPr>
                <w:rFonts w:ascii="Cambria Math" w:eastAsia="PMingLiU" w:hAnsi="Cambria Math" w:cs="Times New Roman"/>
                <w:i/>
                <w:sz w:val="22"/>
                <w:szCs w:val="24"/>
                <w:lang w:val="en-GB" w:eastAsia="zh-TW"/>
              </w:rPr>
            </m:ctrlPr>
          </m:fPr>
          <m:num>
            <m:d>
              <m:dPr>
                <m:ctrlPr>
                  <w:rPr>
                    <w:rFonts w:ascii="Cambria Math" w:eastAsia="PMingLiU" w:hAnsi="Cambria Math" w:cs="Times New Roman"/>
                    <w:i/>
                    <w:sz w:val="22"/>
                    <w:szCs w:val="24"/>
                    <w:lang w:val="en-GB" w:eastAsia="zh-TW"/>
                  </w:rPr>
                </m:ctrlPr>
              </m:dPr>
              <m:e>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∆REV</m:t>
                    </m:r>
                  </m:e>
                  <m:sub>
                    <m:r>
                      <w:rPr>
                        <w:rFonts w:ascii="Cambria Math" w:eastAsia="PMingLiU" w:hAnsi="Cambria Math" w:cs="Times New Roman"/>
                        <w:sz w:val="22"/>
                        <w:szCs w:val="24"/>
                        <w:lang w:val="en-GB" w:eastAsia="zh-TW"/>
                      </w:rPr>
                      <m:t>it</m:t>
                    </m:r>
                  </m:sub>
                </m:sSub>
                <m:r>
                  <w:rPr>
                    <w:rFonts w:ascii="Cambria Math" w:eastAsia="PMingLiU" w:hAnsi="Cambria Math" w:cs="Times New Roman"/>
                    <w:sz w:val="22"/>
                    <w:szCs w:val="24"/>
                    <w:lang w:val="en-GB" w:eastAsia="zh-TW"/>
                  </w:rPr>
                  <m:t>-</m:t>
                </m:r>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∆REC</m:t>
                    </m:r>
                  </m:e>
                  <m:sub>
                    <m:r>
                      <w:rPr>
                        <w:rFonts w:ascii="Cambria Math" w:eastAsia="PMingLiU" w:hAnsi="Cambria Math" w:cs="Times New Roman"/>
                        <w:sz w:val="22"/>
                        <w:szCs w:val="24"/>
                        <w:lang w:val="en-GB" w:eastAsia="zh-TW"/>
                      </w:rPr>
                      <m:t>it</m:t>
                    </m:r>
                  </m:sub>
                </m:sSub>
              </m:e>
            </m:d>
          </m:num>
          <m:den>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Assets</m:t>
                </m:r>
              </m:e>
              <m:sub>
                <m:r>
                  <w:rPr>
                    <w:rFonts w:ascii="Cambria Math" w:eastAsia="PMingLiU" w:hAnsi="Cambria Math" w:cs="Times New Roman"/>
                    <w:sz w:val="22"/>
                    <w:szCs w:val="24"/>
                    <w:lang w:val="en-GB" w:eastAsia="zh-TW"/>
                  </w:rPr>
                  <m:t>it-1</m:t>
                </m:r>
              </m:sub>
            </m:sSub>
          </m:den>
        </m:f>
        <m:r>
          <w:rPr>
            <w:rFonts w:ascii="Cambria Math" w:eastAsia="PMingLiU" w:hAnsi="Cambria Math" w:cs="Times New Roman"/>
            <w:sz w:val="22"/>
            <w:szCs w:val="24"/>
            <w:lang w:val="en-GB" w:eastAsia="zh-TW"/>
          </w:rPr>
          <m:t>+</m:t>
        </m:r>
        <m:sSub>
          <m:sSubPr>
            <m:ctrlPr>
              <w:rPr>
                <w:rFonts w:ascii="Cambria Math" w:eastAsia="PMingLiU" w:hAnsi="Cambria Math" w:cs="Times New Roman"/>
                <w:i/>
                <w:sz w:val="22"/>
                <w:szCs w:val="24"/>
                <w:lang w:val="en-GB" w:eastAsia="zh-TW"/>
              </w:rPr>
            </m:ctrlPr>
          </m:sSubPr>
          <m:e>
            <m:r>
              <w:rPr>
                <w:rFonts w:ascii="Cambria Math" w:eastAsia="PMingLiU" w:hAnsi="Cambria Math" w:cs="Times New Roman"/>
                <w:sz w:val="22"/>
                <w:szCs w:val="24"/>
                <w:lang w:val="en-GB" w:eastAsia="zh-TW"/>
              </w:rPr>
              <m:t>ε</m:t>
            </m:r>
          </m:e>
          <m:sub>
            <m:r>
              <w:rPr>
                <w:rFonts w:ascii="Cambria Math" w:eastAsia="PMingLiU" w:hAnsi="Cambria Math" w:cs="Times New Roman"/>
                <w:sz w:val="22"/>
                <w:szCs w:val="24"/>
                <w:lang w:val="en-GB" w:eastAsia="zh-TW"/>
              </w:rPr>
              <m:t>it</m:t>
            </m:r>
          </m:sub>
        </m:sSub>
      </m:oMath>
      <w:r w:rsidR="00630C26" w:rsidRPr="007048BA">
        <w:rPr>
          <w:rFonts w:eastAsia="PMingLiU" w:cs="Times New Roman"/>
          <w:sz w:val="22"/>
          <w:szCs w:val="24"/>
          <w:lang w:val="en-GB" w:eastAsia="zh-TW"/>
        </w:rPr>
        <w:t xml:space="preserve">                         (8)</w:t>
      </w:r>
    </w:p>
    <w:p w14:paraId="63E7A155" w14:textId="77777777" w:rsidR="0060367E" w:rsidRPr="007048BA" w:rsidRDefault="0060367E" w:rsidP="0060367E">
      <w:pPr>
        <w:autoSpaceDE w:val="0"/>
        <w:autoSpaceDN w:val="0"/>
        <w:adjustRightInd w:val="0"/>
        <w:spacing w:after="0" w:line="240" w:lineRule="auto"/>
        <w:ind w:firstLine="227"/>
        <w:rPr>
          <w:rFonts w:eastAsia="PMingLiU" w:cs="Times New Roman"/>
          <w:sz w:val="22"/>
          <w:szCs w:val="24"/>
          <w:lang w:val="en-GB" w:eastAsia="zh-TW"/>
        </w:rPr>
      </w:pPr>
    </w:p>
    <w:p w14:paraId="48252A92" w14:textId="2D240422" w:rsidR="0060367E" w:rsidRPr="007048BA" w:rsidRDefault="0060367E" w:rsidP="0060367E">
      <w:pPr>
        <w:tabs>
          <w:tab w:val="left" w:pos="3420"/>
        </w:tabs>
        <w:autoSpaceDE w:val="0"/>
        <w:autoSpaceDN w:val="0"/>
        <w:adjustRightInd w:val="0"/>
        <w:spacing w:after="0" w:line="240" w:lineRule="auto"/>
        <w:ind w:firstLine="0"/>
        <w:rPr>
          <w:rFonts w:eastAsia="Times New Roman" w:cs="Times New Roman"/>
          <w:color w:val="000000"/>
          <w:sz w:val="20"/>
          <w:lang w:val="en-GB" w:eastAsia="en-GB"/>
        </w:rPr>
      </w:pPr>
      <w:r w:rsidRPr="007048BA">
        <w:rPr>
          <w:rFonts w:eastAsia="PMingLiU" w:cs="Times New Roman"/>
          <w:i/>
          <w:sz w:val="20"/>
          <w:szCs w:val="24"/>
          <w:lang w:val="en-GB" w:eastAsia="zh-TW"/>
        </w:rPr>
        <w:t>REV</w:t>
      </w:r>
      <w:r w:rsidRPr="007048BA">
        <w:rPr>
          <w:rFonts w:eastAsia="PMingLiU" w:cs="Times New Roman"/>
          <w:sz w:val="20"/>
          <w:szCs w:val="24"/>
          <w:lang w:val="en-GB" w:eastAsia="zh-TW"/>
        </w:rPr>
        <w:t xml:space="preserve">, </w:t>
      </w:r>
      <w:r w:rsidRPr="007048BA">
        <w:rPr>
          <w:rFonts w:eastAsia="PMingLiU" w:cs="Times New Roman"/>
          <w:i/>
          <w:sz w:val="20"/>
          <w:szCs w:val="24"/>
          <w:lang w:val="en-GB" w:eastAsia="zh-TW"/>
        </w:rPr>
        <w:t>REC</w:t>
      </w:r>
      <w:r w:rsidRPr="007048BA">
        <w:rPr>
          <w:rFonts w:eastAsia="PMingLiU" w:cs="Times New Roman"/>
          <w:sz w:val="20"/>
          <w:szCs w:val="24"/>
          <w:lang w:val="en-GB" w:eastAsia="zh-TW"/>
        </w:rPr>
        <w:t xml:space="preserve"> and </w:t>
      </w:r>
      <w:r w:rsidRPr="007048BA">
        <w:rPr>
          <w:rFonts w:eastAsia="PMingLiU" w:cs="Times New Roman"/>
          <w:i/>
          <w:sz w:val="20"/>
          <w:szCs w:val="24"/>
          <w:lang w:val="en-GB" w:eastAsia="zh-TW"/>
        </w:rPr>
        <w:t>PPE</w:t>
      </w:r>
      <w:r w:rsidRPr="007048BA">
        <w:rPr>
          <w:rFonts w:eastAsia="PMingLiU" w:cs="Times New Roman"/>
          <w:sz w:val="20"/>
          <w:szCs w:val="24"/>
          <w:lang w:val="en-GB" w:eastAsia="zh-TW"/>
        </w:rPr>
        <w:t xml:space="preserve"> are firm-specific measures of total revenues, total receivables and property, plant </w:t>
      </w:r>
      <w:r w:rsidR="000A2F04" w:rsidRPr="007048BA">
        <w:rPr>
          <w:rFonts w:eastAsia="PMingLiU" w:cs="Times New Roman"/>
          <w:sz w:val="20"/>
          <w:szCs w:val="24"/>
          <w:lang w:val="en-GB" w:eastAsia="zh-TW"/>
        </w:rPr>
        <w:t>&amp;</w:t>
      </w:r>
      <w:r w:rsidRPr="007048BA">
        <w:rPr>
          <w:rFonts w:eastAsia="PMingLiU" w:cs="Times New Roman"/>
          <w:sz w:val="20"/>
          <w:szCs w:val="24"/>
          <w:lang w:val="en-GB" w:eastAsia="zh-TW"/>
        </w:rPr>
        <w:t xml:space="preserve"> </w:t>
      </w:r>
      <w:r w:rsidR="000A2F04" w:rsidRPr="007048BA">
        <w:rPr>
          <w:rFonts w:eastAsia="PMingLiU" w:cs="Times New Roman"/>
          <w:sz w:val="20"/>
          <w:szCs w:val="24"/>
          <w:lang w:val="en-GB" w:eastAsia="zh-TW"/>
        </w:rPr>
        <w:t>equipment</w:t>
      </w:r>
      <w:r w:rsidRPr="007048BA">
        <w:rPr>
          <w:rFonts w:eastAsia="PMingLiU" w:cs="Times New Roman"/>
          <w:sz w:val="20"/>
          <w:szCs w:val="24"/>
          <w:lang w:val="en-GB" w:eastAsia="zh-TW"/>
        </w:rPr>
        <w:t xml:space="preserve">, respectively. </w:t>
      </w:r>
      <m:oMath>
        <m:sSub>
          <m:sSubPr>
            <m:ctrlPr>
              <w:rPr>
                <w:rFonts w:ascii="Cambria Math" w:eastAsia="PMingLiU" w:hAnsi="Cambria Math" w:cs="Times New Roman"/>
                <w:i/>
                <w:sz w:val="20"/>
                <w:szCs w:val="24"/>
                <w:lang w:val="en-GB" w:eastAsia="zh-TW"/>
              </w:rPr>
            </m:ctrlPr>
          </m:sSubPr>
          <m:e>
            <m:r>
              <w:rPr>
                <w:rFonts w:ascii="Cambria Math" w:eastAsia="PMingLiU" w:hAnsi="Cambria Math" w:cs="Times New Roman"/>
                <w:sz w:val="20"/>
                <w:szCs w:val="24"/>
                <w:lang w:val="en-GB" w:eastAsia="zh-TW"/>
              </w:rPr>
              <m:t>∆REV</m:t>
            </m:r>
          </m:e>
          <m:sub>
            <m:r>
              <w:rPr>
                <w:rFonts w:ascii="Cambria Math" w:eastAsia="PMingLiU" w:hAnsi="Cambria Math" w:cs="Times New Roman"/>
                <w:sz w:val="20"/>
                <w:szCs w:val="24"/>
                <w:lang w:val="en-GB" w:eastAsia="zh-TW"/>
              </w:rPr>
              <m:t>it</m:t>
            </m:r>
          </m:sub>
        </m:sSub>
      </m:oMath>
      <w:r w:rsidRPr="007048BA">
        <w:rPr>
          <w:rFonts w:eastAsia="PMingLiU" w:cs="Times New Roman"/>
          <w:sz w:val="20"/>
          <w:szCs w:val="24"/>
          <w:lang w:val="en-GB" w:eastAsia="zh-TW"/>
        </w:rPr>
        <w:t xml:space="preserve"> and </w:t>
      </w:r>
      <m:oMath>
        <m:sSub>
          <m:sSubPr>
            <m:ctrlPr>
              <w:rPr>
                <w:rFonts w:ascii="Cambria Math" w:eastAsia="PMingLiU" w:hAnsi="Cambria Math" w:cs="Times New Roman"/>
                <w:i/>
                <w:sz w:val="20"/>
                <w:szCs w:val="24"/>
                <w:lang w:val="en-GB" w:eastAsia="zh-TW"/>
              </w:rPr>
            </m:ctrlPr>
          </m:sSubPr>
          <m:e>
            <m:r>
              <w:rPr>
                <w:rFonts w:ascii="Cambria Math" w:eastAsia="PMingLiU" w:hAnsi="Cambria Math" w:cs="Times New Roman"/>
                <w:sz w:val="20"/>
                <w:szCs w:val="24"/>
                <w:lang w:val="en-GB" w:eastAsia="zh-TW"/>
              </w:rPr>
              <m:t>∆REC</m:t>
            </m:r>
          </m:e>
          <m:sub>
            <m:r>
              <w:rPr>
                <w:rFonts w:ascii="Cambria Math" w:eastAsia="PMingLiU" w:hAnsi="Cambria Math" w:cs="Times New Roman"/>
                <w:sz w:val="20"/>
                <w:szCs w:val="24"/>
                <w:lang w:val="en-GB" w:eastAsia="zh-TW"/>
              </w:rPr>
              <m:t>it</m:t>
            </m:r>
          </m:sub>
        </m:sSub>
      </m:oMath>
      <w:r w:rsidRPr="007048BA">
        <w:rPr>
          <w:rFonts w:eastAsia="PMingLiU" w:cs="Times New Roman"/>
          <w:sz w:val="20"/>
          <w:szCs w:val="24"/>
          <w:lang w:val="en-GB" w:eastAsia="zh-TW"/>
        </w:rPr>
        <w:t xml:space="preserve"> measure the firm-specific 1-year change in total revenues and total receivabl</w:t>
      </w:r>
      <w:r w:rsidR="000A2F04" w:rsidRPr="007048BA">
        <w:rPr>
          <w:rFonts w:eastAsia="PMingLiU" w:cs="Times New Roman"/>
          <w:sz w:val="20"/>
          <w:szCs w:val="24"/>
          <w:lang w:val="en-GB" w:eastAsia="zh-TW"/>
        </w:rPr>
        <w:t>es, respectively. Total accrual</w:t>
      </w:r>
      <w:r w:rsidRPr="007048BA">
        <w:rPr>
          <w:rFonts w:eastAsia="PMingLiU" w:cs="Times New Roman"/>
          <w:sz w:val="20"/>
          <w:szCs w:val="24"/>
          <w:lang w:val="en-GB" w:eastAsia="zh-TW"/>
        </w:rPr>
        <w:t xml:space="preserve"> (TA) is computed as the difference between operating income and cash flows from op</w:t>
      </w:r>
      <w:r w:rsidR="000A2F04" w:rsidRPr="007048BA">
        <w:rPr>
          <w:rFonts w:eastAsia="PMingLiU" w:cs="Times New Roman"/>
          <w:sz w:val="20"/>
          <w:szCs w:val="24"/>
          <w:lang w:val="en-GB" w:eastAsia="zh-TW"/>
        </w:rPr>
        <w:t xml:space="preserve">erations. </w:t>
      </w:r>
      <w:r w:rsidRPr="007048BA">
        <w:rPr>
          <w:rFonts w:eastAsia="PMingLiU" w:cs="Times New Roman"/>
          <w:sz w:val="20"/>
          <w:szCs w:val="24"/>
          <w:lang w:val="en-GB" w:eastAsia="zh-TW"/>
        </w:rPr>
        <w:t xml:space="preserve">We do the regression analysis across </w:t>
      </w:r>
      <w:r w:rsidRPr="007048BA">
        <w:rPr>
          <w:rFonts w:eastAsia="PMingLiU" w:cs="Times New Roman"/>
          <w:i/>
          <w:sz w:val="20"/>
          <w:szCs w:val="24"/>
          <w:lang w:val="en-GB" w:eastAsia="zh-TW"/>
        </w:rPr>
        <w:t>industry-year</w:t>
      </w:r>
      <w:r w:rsidRPr="007048BA">
        <w:rPr>
          <w:rFonts w:eastAsia="PMingLiU" w:cs="Times New Roman"/>
          <w:sz w:val="20"/>
          <w:szCs w:val="24"/>
          <w:lang w:val="en-GB" w:eastAsia="zh-TW"/>
        </w:rPr>
        <w:t xml:space="preserve"> subgroups. </w:t>
      </w:r>
      <w:r w:rsidRPr="007048BA">
        <w:rPr>
          <w:rFonts w:eastAsia="Times New Roman" w:cs="Times New Roman"/>
          <w:color w:val="000000"/>
          <w:sz w:val="20"/>
          <w:lang w:val="en-GB" w:eastAsia="en-GB"/>
        </w:rPr>
        <w:t xml:space="preserve">The </w:t>
      </w:r>
      <w:r w:rsidR="00D44A7E" w:rsidRPr="007048BA">
        <w:rPr>
          <w:rFonts w:eastAsia="Times New Roman" w:cs="Times New Roman"/>
          <w:i/>
          <w:color w:val="000000"/>
          <w:sz w:val="20"/>
          <w:lang w:val="en-GB" w:eastAsia="en-GB"/>
        </w:rPr>
        <w:t>p-values</w:t>
      </w:r>
      <w:r w:rsidRPr="007048BA">
        <w:rPr>
          <w:rFonts w:eastAsia="Times New Roman" w:cs="Times New Roman"/>
          <w:color w:val="000000"/>
          <w:sz w:val="20"/>
          <w:lang w:val="en-GB" w:eastAsia="en-GB"/>
        </w:rPr>
        <w:t xml:space="preserve"> are presented in parenthesis. ***, **, * indicate statistical significance at the 1%, 5% and 10% levels, respectively.</w:t>
      </w:r>
    </w:p>
    <w:p w14:paraId="54DF0412" w14:textId="77777777" w:rsidR="0060367E" w:rsidRPr="007048BA" w:rsidRDefault="0060367E" w:rsidP="0060367E">
      <w:pPr>
        <w:spacing w:after="0"/>
        <w:ind w:firstLine="0"/>
        <w:rPr>
          <w:rFonts w:eastAsia="PMingLiU" w:cs="Times New Roman"/>
          <w:sz w:val="28"/>
          <w:szCs w:val="24"/>
          <w:lang w:val="en-GB" w:eastAsia="zh-TW"/>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583"/>
        <w:gridCol w:w="1389"/>
        <w:gridCol w:w="1814"/>
        <w:gridCol w:w="1475"/>
        <w:gridCol w:w="1475"/>
      </w:tblGrid>
      <w:tr w:rsidR="002C592B" w:rsidRPr="007048BA" w14:paraId="5A4A6F6E" w14:textId="77777777" w:rsidTr="003C273B">
        <w:trPr>
          <w:trHeight w:val="300"/>
          <w:jc w:val="center"/>
        </w:trPr>
        <w:tc>
          <w:tcPr>
            <w:tcW w:w="0" w:type="auto"/>
            <w:tcBorders>
              <w:top w:val="single" w:sz="4" w:space="0" w:color="auto"/>
              <w:bottom w:val="single" w:sz="4" w:space="0" w:color="auto"/>
            </w:tcBorders>
            <w:shd w:val="clear" w:color="auto" w:fill="auto"/>
            <w:noWrap/>
            <w:vAlign w:val="bottom"/>
            <w:hideMark/>
          </w:tcPr>
          <w:p w14:paraId="2601E365" w14:textId="77777777" w:rsidR="002C592B" w:rsidRPr="007048BA" w:rsidRDefault="002C592B" w:rsidP="002C592B">
            <w:pPr>
              <w:spacing w:after="0" w:line="240" w:lineRule="auto"/>
              <w:ind w:firstLine="0"/>
              <w:jc w:val="left"/>
              <w:rPr>
                <w:rFonts w:eastAsia="Times New Roman" w:cs="Times New Roman"/>
                <w:i/>
                <w:szCs w:val="24"/>
                <w:lang w:val="en-GB" w:eastAsia="en-GB"/>
              </w:rPr>
            </w:pPr>
          </w:p>
        </w:tc>
        <w:tc>
          <w:tcPr>
            <w:tcW w:w="0" w:type="auto"/>
            <w:gridSpan w:val="2"/>
            <w:tcBorders>
              <w:top w:val="single" w:sz="4" w:space="0" w:color="auto"/>
              <w:bottom w:val="single" w:sz="4" w:space="0" w:color="auto"/>
            </w:tcBorders>
            <w:shd w:val="clear" w:color="auto" w:fill="auto"/>
            <w:noWrap/>
            <w:vAlign w:val="bottom"/>
            <w:hideMark/>
          </w:tcPr>
          <w:p w14:paraId="317D4DFE" w14:textId="34D14242" w:rsidR="002C592B" w:rsidRPr="007048BA" w:rsidRDefault="00630C26" w:rsidP="00630C26">
            <w:pPr>
              <w:spacing w:after="0" w:line="240" w:lineRule="auto"/>
              <w:ind w:firstLine="0"/>
              <w:jc w:val="center"/>
              <w:rPr>
                <w:rFonts w:eastAsia="Times New Roman" w:cs="Times New Roman"/>
                <w:i/>
                <w:color w:val="000000"/>
                <w:szCs w:val="24"/>
                <w:lang w:val="en-GB" w:eastAsia="en-GB"/>
              </w:rPr>
            </w:pPr>
            <w:r w:rsidRPr="007048BA">
              <w:rPr>
                <w:rFonts w:eastAsia="Times New Roman" w:cs="Times New Roman"/>
                <w:i/>
                <w:color w:val="000000"/>
                <w:szCs w:val="24"/>
                <w:lang w:val="en-GB" w:eastAsia="en-GB"/>
              </w:rPr>
              <w:t>Current d</w:t>
            </w:r>
            <w:r w:rsidR="002C592B" w:rsidRPr="007048BA">
              <w:rPr>
                <w:rFonts w:eastAsia="Times New Roman" w:cs="Times New Roman"/>
                <w:i/>
                <w:color w:val="000000"/>
                <w:szCs w:val="24"/>
                <w:lang w:val="en-GB" w:eastAsia="en-GB"/>
              </w:rPr>
              <w:t>is</w:t>
            </w:r>
            <w:r w:rsidRPr="007048BA">
              <w:rPr>
                <w:rFonts w:eastAsia="Times New Roman" w:cs="Times New Roman"/>
                <w:i/>
                <w:color w:val="000000"/>
                <w:szCs w:val="24"/>
                <w:lang w:val="en-GB" w:eastAsia="en-GB"/>
              </w:rPr>
              <w:t>cretionary</w:t>
            </w:r>
            <w:r w:rsidR="002C592B" w:rsidRPr="007048BA">
              <w:rPr>
                <w:rFonts w:eastAsia="Times New Roman" w:cs="Times New Roman"/>
                <w:i/>
                <w:color w:val="000000"/>
                <w:szCs w:val="24"/>
                <w:lang w:val="en-GB" w:eastAsia="en-GB"/>
              </w:rPr>
              <w:t xml:space="preserve"> accrual</w:t>
            </w:r>
            <w:r w:rsidRPr="007048BA">
              <w:rPr>
                <w:rFonts w:eastAsia="Times New Roman" w:cs="Times New Roman"/>
                <w:i/>
                <w:color w:val="000000"/>
                <w:szCs w:val="24"/>
                <w:lang w:val="en-GB" w:eastAsia="en-GB"/>
              </w:rPr>
              <w:t>s</w:t>
            </w:r>
          </w:p>
        </w:tc>
        <w:tc>
          <w:tcPr>
            <w:tcW w:w="0" w:type="auto"/>
            <w:gridSpan w:val="2"/>
            <w:tcBorders>
              <w:top w:val="single" w:sz="4" w:space="0" w:color="auto"/>
              <w:bottom w:val="single" w:sz="4" w:space="0" w:color="auto"/>
            </w:tcBorders>
            <w:shd w:val="clear" w:color="auto" w:fill="auto"/>
            <w:noWrap/>
            <w:vAlign w:val="bottom"/>
            <w:hideMark/>
          </w:tcPr>
          <w:p w14:paraId="2F25DADF" w14:textId="43B56BE5" w:rsidR="002C592B" w:rsidRPr="007048BA" w:rsidRDefault="00630C26" w:rsidP="002C592B">
            <w:pPr>
              <w:spacing w:after="0" w:line="240" w:lineRule="auto"/>
              <w:ind w:firstLine="0"/>
              <w:jc w:val="center"/>
              <w:rPr>
                <w:rFonts w:eastAsia="Times New Roman" w:cs="Times New Roman"/>
                <w:i/>
                <w:color w:val="000000"/>
                <w:szCs w:val="24"/>
                <w:lang w:val="en-GB" w:eastAsia="en-GB"/>
              </w:rPr>
            </w:pPr>
            <w:r w:rsidRPr="007048BA">
              <w:rPr>
                <w:rFonts w:eastAsia="Times New Roman" w:cs="Times New Roman"/>
                <w:i/>
                <w:color w:val="000000"/>
                <w:szCs w:val="24"/>
                <w:lang w:val="en-GB" w:eastAsia="en-GB"/>
              </w:rPr>
              <w:t>Total discretionary accruals</w:t>
            </w:r>
          </w:p>
        </w:tc>
      </w:tr>
      <w:tr w:rsidR="002C592B" w:rsidRPr="007048BA" w14:paraId="50C47EB0" w14:textId="77777777" w:rsidTr="003C273B">
        <w:trPr>
          <w:trHeight w:val="300"/>
          <w:jc w:val="center"/>
        </w:trPr>
        <w:tc>
          <w:tcPr>
            <w:tcW w:w="0" w:type="auto"/>
            <w:tcBorders>
              <w:top w:val="single" w:sz="4" w:space="0" w:color="auto"/>
            </w:tcBorders>
            <w:shd w:val="clear" w:color="auto" w:fill="auto"/>
            <w:noWrap/>
            <w:vAlign w:val="bottom"/>
            <w:hideMark/>
          </w:tcPr>
          <w:p w14:paraId="74A1C7AB" w14:textId="77777777" w:rsidR="002C592B" w:rsidRPr="007048BA" w:rsidRDefault="002C592B" w:rsidP="002C592B">
            <w:pPr>
              <w:spacing w:after="0" w:line="240" w:lineRule="auto"/>
              <w:ind w:firstLine="0"/>
              <w:jc w:val="center"/>
              <w:rPr>
                <w:rFonts w:eastAsia="Times New Roman" w:cs="Times New Roman"/>
                <w:i/>
                <w:color w:val="000000"/>
                <w:szCs w:val="24"/>
                <w:lang w:val="en-GB" w:eastAsia="en-GB"/>
              </w:rPr>
            </w:pPr>
          </w:p>
        </w:tc>
        <w:tc>
          <w:tcPr>
            <w:tcW w:w="0" w:type="auto"/>
            <w:tcBorders>
              <w:top w:val="single" w:sz="4" w:space="0" w:color="auto"/>
            </w:tcBorders>
            <w:shd w:val="clear" w:color="auto" w:fill="auto"/>
            <w:noWrap/>
            <w:vAlign w:val="bottom"/>
            <w:hideMark/>
          </w:tcPr>
          <w:p w14:paraId="7D75DCDC" w14:textId="02896C8F" w:rsidR="002C592B" w:rsidRPr="007048BA" w:rsidRDefault="002C592B" w:rsidP="002C592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Mean</w:t>
            </w:r>
          </w:p>
        </w:tc>
        <w:tc>
          <w:tcPr>
            <w:tcW w:w="0" w:type="auto"/>
            <w:tcBorders>
              <w:top w:val="single" w:sz="4" w:space="0" w:color="auto"/>
            </w:tcBorders>
            <w:shd w:val="clear" w:color="auto" w:fill="auto"/>
            <w:noWrap/>
            <w:vAlign w:val="bottom"/>
            <w:hideMark/>
          </w:tcPr>
          <w:p w14:paraId="2DA6D9EF" w14:textId="3A7998B9" w:rsidR="002C592B" w:rsidRPr="007048BA" w:rsidRDefault="002C592B" w:rsidP="002C592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Median</w:t>
            </w:r>
          </w:p>
        </w:tc>
        <w:tc>
          <w:tcPr>
            <w:tcW w:w="0" w:type="auto"/>
            <w:tcBorders>
              <w:top w:val="single" w:sz="4" w:space="0" w:color="auto"/>
            </w:tcBorders>
            <w:shd w:val="clear" w:color="auto" w:fill="auto"/>
            <w:noWrap/>
            <w:vAlign w:val="bottom"/>
            <w:hideMark/>
          </w:tcPr>
          <w:p w14:paraId="750382F5" w14:textId="21CDD2B7" w:rsidR="002C592B" w:rsidRPr="007048BA" w:rsidRDefault="002C592B" w:rsidP="002C592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Mean</w:t>
            </w:r>
          </w:p>
        </w:tc>
        <w:tc>
          <w:tcPr>
            <w:tcW w:w="0" w:type="auto"/>
            <w:tcBorders>
              <w:top w:val="single" w:sz="4" w:space="0" w:color="auto"/>
            </w:tcBorders>
            <w:shd w:val="clear" w:color="auto" w:fill="auto"/>
            <w:noWrap/>
            <w:vAlign w:val="bottom"/>
            <w:hideMark/>
          </w:tcPr>
          <w:p w14:paraId="22C3E8BE" w14:textId="223D78F2" w:rsidR="002C592B" w:rsidRPr="007048BA" w:rsidRDefault="002C592B" w:rsidP="002C592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Median</w:t>
            </w:r>
          </w:p>
        </w:tc>
      </w:tr>
      <w:tr w:rsidR="002C592B" w:rsidRPr="007048BA" w14:paraId="17307DE8" w14:textId="77777777" w:rsidTr="003C273B">
        <w:trPr>
          <w:trHeight w:val="300"/>
          <w:jc w:val="center"/>
        </w:trPr>
        <w:tc>
          <w:tcPr>
            <w:tcW w:w="0" w:type="auto"/>
            <w:shd w:val="clear" w:color="auto" w:fill="auto"/>
            <w:noWrap/>
            <w:vAlign w:val="bottom"/>
            <w:hideMark/>
          </w:tcPr>
          <w:p w14:paraId="1D3D1296" w14:textId="7FC9FCAB" w:rsidR="002C592B" w:rsidRPr="007048BA" w:rsidRDefault="00073260" w:rsidP="00073260">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 xml:space="preserve">(1) </w:t>
            </w:r>
            <w:r w:rsidR="00421037" w:rsidRPr="007048BA">
              <w:rPr>
                <w:rFonts w:eastAsia="Times New Roman" w:cs="Times New Roman"/>
                <w:i/>
                <w:color w:val="000000"/>
                <w:szCs w:val="24"/>
                <w:lang w:val="en-GB" w:eastAsia="en-GB"/>
              </w:rPr>
              <w:t>P</w:t>
            </w:r>
            <w:r w:rsidR="00ED262D" w:rsidRPr="007048BA">
              <w:rPr>
                <w:rFonts w:eastAsia="Times New Roman" w:cs="Times New Roman"/>
                <w:i/>
                <w:color w:val="000000"/>
                <w:szCs w:val="24"/>
                <w:lang w:val="en-GB" w:eastAsia="en-GB"/>
              </w:rPr>
              <w:t>oor</w:t>
            </w:r>
            <w:r w:rsidR="002C592B" w:rsidRPr="007048BA">
              <w:rPr>
                <w:rFonts w:eastAsia="Times New Roman" w:cs="Times New Roman"/>
                <w:i/>
                <w:color w:val="000000"/>
                <w:szCs w:val="24"/>
                <w:lang w:val="en-GB" w:eastAsia="en-GB"/>
              </w:rPr>
              <w:t xml:space="preserve"> </w:t>
            </w:r>
          </w:p>
        </w:tc>
        <w:tc>
          <w:tcPr>
            <w:tcW w:w="0" w:type="auto"/>
            <w:shd w:val="clear" w:color="auto" w:fill="auto"/>
            <w:noWrap/>
            <w:vAlign w:val="bottom"/>
            <w:hideMark/>
          </w:tcPr>
          <w:p w14:paraId="4AFEC681" w14:textId="09929B66" w:rsidR="002C592B" w:rsidRPr="007048BA" w:rsidRDefault="00C439D9" w:rsidP="002C592B">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0.002</w:t>
            </w:r>
          </w:p>
        </w:tc>
        <w:tc>
          <w:tcPr>
            <w:tcW w:w="0" w:type="auto"/>
            <w:shd w:val="clear" w:color="auto" w:fill="auto"/>
            <w:noWrap/>
            <w:vAlign w:val="bottom"/>
            <w:hideMark/>
          </w:tcPr>
          <w:p w14:paraId="2B121DAE" w14:textId="16DE1810" w:rsidR="002C592B" w:rsidRPr="007048BA" w:rsidRDefault="005118F9"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-0.007</w:t>
            </w:r>
          </w:p>
        </w:tc>
        <w:tc>
          <w:tcPr>
            <w:tcW w:w="0" w:type="auto"/>
            <w:shd w:val="clear" w:color="auto" w:fill="auto"/>
            <w:noWrap/>
            <w:vAlign w:val="bottom"/>
            <w:hideMark/>
          </w:tcPr>
          <w:p w14:paraId="71095561" w14:textId="32023326" w:rsidR="002C592B" w:rsidRPr="007048BA" w:rsidRDefault="001A4C5F"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-0.007</w:t>
            </w:r>
          </w:p>
        </w:tc>
        <w:tc>
          <w:tcPr>
            <w:tcW w:w="0" w:type="auto"/>
            <w:shd w:val="clear" w:color="auto" w:fill="auto"/>
            <w:noWrap/>
            <w:vAlign w:val="bottom"/>
            <w:hideMark/>
          </w:tcPr>
          <w:p w14:paraId="0E1D5AC9" w14:textId="4A6C772B" w:rsidR="002C592B" w:rsidRPr="007048BA" w:rsidRDefault="00542B4D"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-0.002</w:t>
            </w:r>
          </w:p>
        </w:tc>
      </w:tr>
      <w:tr w:rsidR="002C592B" w:rsidRPr="007048BA" w14:paraId="1F605B98" w14:textId="77777777" w:rsidTr="003C273B">
        <w:trPr>
          <w:trHeight w:val="300"/>
          <w:jc w:val="center"/>
        </w:trPr>
        <w:tc>
          <w:tcPr>
            <w:tcW w:w="0" w:type="auto"/>
            <w:shd w:val="clear" w:color="auto" w:fill="auto"/>
            <w:noWrap/>
            <w:vAlign w:val="bottom"/>
            <w:hideMark/>
          </w:tcPr>
          <w:p w14:paraId="02EACB98" w14:textId="76BB9972" w:rsidR="002C592B" w:rsidRPr="007048BA" w:rsidRDefault="00073260" w:rsidP="00073260">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 xml:space="preserve">(2) </w:t>
            </w:r>
            <w:r w:rsidR="00421037" w:rsidRPr="007048BA">
              <w:rPr>
                <w:rFonts w:eastAsia="Times New Roman" w:cs="Times New Roman"/>
                <w:i/>
                <w:color w:val="000000"/>
                <w:szCs w:val="24"/>
                <w:lang w:val="en-GB" w:eastAsia="en-GB"/>
              </w:rPr>
              <w:t>M</w:t>
            </w:r>
            <w:r w:rsidR="00ED262D" w:rsidRPr="007048BA">
              <w:rPr>
                <w:rFonts w:eastAsia="Times New Roman" w:cs="Times New Roman"/>
                <w:i/>
                <w:color w:val="000000"/>
                <w:szCs w:val="24"/>
                <w:lang w:val="en-GB" w:eastAsia="en-GB"/>
              </w:rPr>
              <w:t>yopia</w:t>
            </w:r>
            <w:r w:rsidR="002C592B" w:rsidRPr="007048BA">
              <w:rPr>
                <w:rFonts w:eastAsia="Times New Roman" w:cs="Times New Roman"/>
                <w:i/>
                <w:color w:val="000000"/>
                <w:szCs w:val="24"/>
                <w:lang w:val="en-GB" w:eastAsia="en-GB"/>
              </w:rPr>
              <w:t xml:space="preserve"> </w:t>
            </w:r>
          </w:p>
        </w:tc>
        <w:tc>
          <w:tcPr>
            <w:tcW w:w="0" w:type="auto"/>
            <w:shd w:val="clear" w:color="auto" w:fill="auto"/>
            <w:noWrap/>
            <w:vAlign w:val="bottom"/>
            <w:hideMark/>
          </w:tcPr>
          <w:p w14:paraId="04914217" w14:textId="62E0CF82" w:rsidR="002C592B" w:rsidRPr="007048BA" w:rsidRDefault="004A3D88" w:rsidP="002C592B">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0.030</w:t>
            </w:r>
          </w:p>
        </w:tc>
        <w:tc>
          <w:tcPr>
            <w:tcW w:w="0" w:type="auto"/>
            <w:shd w:val="clear" w:color="auto" w:fill="auto"/>
            <w:noWrap/>
            <w:vAlign w:val="bottom"/>
            <w:hideMark/>
          </w:tcPr>
          <w:p w14:paraId="53A124DA" w14:textId="14F010C1" w:rsidR="002C592B" w:rsidRPr="007048BA" w:rsidRDefault="005118F9"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shd w:val="clear" w:color="auto" w:fill="auto"/>
            <w:noWrap/>
            <w:vAlign w:val="bottom"/>
            <w:hideMark/>
          </w:tcPr>
          <w:p w14:paraId="680FAE61" w14:textId="1FA354F3" w:rsidR="002C592B" w:rsidRPr="007048BA" w:rsidRDefault="001A4C5F"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0.007</w:t>
            </w:r>
          </w:p>
        </w:tc>
        <w:tc>
          <w:tcPr>
            <w:tcW w:w="0" w:type="auto"/>
            <w:shd w:val="clear" w:color="auto" w:fill="auto"/>
            <w:noWrap/>
            <w:vAlign w:val="bottom"/>
            <w:hideMark/>
          </w:tcPr>
          <w:p w14:paraId="3CA19F12" w14:textId="10C5D64A" w:rsidR="002C592B" w:rsidRPr="007048BA" w:rsidRDefault="00542B4D"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0.003</w:t>
            </w:r>
          </w:p>
        </w:tc>
      </w:tr>
      <w:tr w:rsidR="002C592B" w:rsidRPr="007048BA" w14:paraId="3CD73A52" w14:textId="77777777" w:rsidTr="003C273B">
        <w:trPr>
          <w:trHeight w:val="300"/>
          <w:jc w:val="center"/>
        </w:trPr>
        <w:tc>
          <w:tcPr>
            <w:tcW w:w="0" w:type="auto"/>
            <w:shd w:val="clear" w:color="auto" w:fill="auto"/>
            <w:noWrap/>
            <w:vAlign w:val="bottom"/>
            <w:hideMark/>
          </w:tcPr>
          <w:p w14:paraId="29D399B3" w14:textId="6654FF98" w:rsidR="002C592B" w:rsidRPr="007048BA" w:rsidRDefault="00073260" w:rsidP="00421037">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 xml:space="preserve">(3) </w:t>
            </w:r>
            <w:r w:rsidR="00421037" w:rsidRPr="007048BA">
              <w:rPr>
                <w:rFonts w:eastAsia="Times New Roman" w:cs="Times New Roman"/>
                <w:i/>
                <w:color w:val="000000"/>
                <w:szCs w:val="24"/>
                <w:lang w:val="en-GB" w:eastAsia="en-GB"/>
              </w:rPr>
              <w:t>H</w:t>
            </w:r>
            <w:r w:rsidR="00ED262D" w:rsidRPr="007048BA">
              <w:rPr>
                <w:rFonts w:eastAsia="Times New Roman" w:cs="Times New Roman"/>
                <w:i/>
                <w:color w:val="000000"/>
                <w:szCs w:val="24"/>
                <w:lang w:val="en-GB" w:eastAsia="en-GB"/>
              </w:rPr>
              <w:t>yperopia</w:t>
            </w:r>
            <w:r w:rsidR="002C592B" w:rsidRPr="007048BA">
              <w:rPr>
                <w:rFonts w:eastAsia="Times New Roman" w:cs="Times New Roman"/>
                <w:i/>
                <w:color w:val="000000"/>
                <w:szCs w:val="24"/>
                <w:lang w:val="en-GB" w:eastAsia="en-GB"/>
              </w:rPr>
              <w:t xml:space="preserve"> </w:t>
            </w:r>
          </w:p>
        </w:tc>
        <w:tc>
          <w:tcPr>
            <w:tcW w:w="0" w:type="auto"/>
            <w:shd w:val="clear" w:color="auto" w:fill="auto"/>
            <w:noWrap/>
            <w:vAlign w:val="bottom"/>
            <w:hideMark/>
          </w:tcPr>
          <w:p w14:paraId="35BC435E" w14:textId="51B71816" w:rsidR="002C592B" w:rsidRPr="007048BA" w:rsidRDefault="004A3D88" w:rsidP="002C592B">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-0.018</w:t>
            </w:r>
          </w:p>
        </w:tc>
        <w:tc>
          <w:tcPr>
            <w:tcW w:w="0" w:type="auto"/>
            <w:shd w:val="clear" w:color="auto" w:fill="auto"/>
            <w:noWrap/>
            <w:vAlign w:val="bottom"/>
            <w:hideMark/>
          </w:tcPr>
          <w:p w14:paraId="127130BD" w14:textId="10630B66" w:rsidR="002C592B" w:rsidRPr="007048BA" w:rsidRDefault="005118F9"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-0.006</w:t>
            </w:r>
          </w:p>
        </w:tc>
        <w:tc>
          <w:tcPr>
            <w:tcW w:w="0" w:type="auto"/>
            <w:shd w:val="clear" w:color="auto" w:fill="auto"/>
            <w:noWrap/>
            <w:vAlign w:val="bottom"/>
            <w:hideMark/>
          </w:tcPr>
          <w:p w14:paraId="1B676FFF" w14:textId="19646857" w:rsidR="002C592B" w:rsidRPr="007048BA" w:rsidRDefault="001A4C5F"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-0.006</w:t>
            </w:r>
          </w:p>
        </w:tc>
        <w:tc>
          <w:tcPr>
            <w:tcW w:w="0" w:type="auto"/>
            <w:shd w:val="clear" w:color="auto" w:fill="auto"/>
            <w:noWrap/>
            <w:vAlign w:val="bottom"/>
            <w:hideMark/>
          </w:tcPr>
          <w:p w14:paraId="6A4038FD" w14:textId="02A55400" w:rsidR="002C592B" w:rsidRPr="007048BA" w:rsidRDefault="00542B4D"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-0.000</w:t>
            </w:r>
          </w:p>
        </w:tc>
      </w:tr>
      <w:tr w:rsidR="002C592B" w:rsidRPr="007048BA" w14:paraId="2C9BC803" w14:textId="77777777" w:rsidTr="003C273B">
        <w:trPr>
          <w:trHeight w:val="300"/>
          <w:jc w:val="center"/>
        </w:trPr>
        <w:tc>
          <w:tcPr>
            <w:tcW w:w="0" w:type="auto"/>
            <w:tcBorders>
              <w:bottom w:val="nil"/>
            </w:tcBorders>
            <w:shd w:val="clear" w:color="auto" w:fill="auto"/>
            <w:noWrap/>
            <w:vAlign w:val="bottom"/>
            <w:hideMark/>
          </w:tcPr>
          <w:p w14:paraId="7A214CC7" w14:textId="003A830D" w:rsidR="002C592B" w:rsidRPr="007048BA" w:rsidRDefault="00073260" w:rsidP="00421037">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 xml:space="preserve">(4) </w:t>
            </w:r>
            <w:r w:rsidR="00421037" w:rsidRPr="007048BA">
              <w:rPr>
                <w:rFonts w:eastAsia="Times New Roman" w:cs="Times New Roman"/>
                <w:i/>
                <w:color w:val="000000"/>
                <w:szCs w:val="24"/>
                <w:lang w:val="en-GB" w:eastAsia="en-GB"/>
              </w:rPr>
              <w:t>E</w:t>
            </w:r>
            <w:r w:rsidR="00ED262D" w:rsidRPr="007048BA">
              <w:rPr>
                <w:rFonts w:eastAsia="Times New Roman" w:cs="Times New Roman"/>
                <w:i/>
                <w:color w:val="000000"/>
                <w:szCs w:val="24"/>
                <w:lang w:val="en-GB" w:eastAsia="en-GB"/>
              </w:rPr>
              <w:t>fficient</w:t>
            </w:r>
            <w:r w:rsidR="002C592B" w:rsidRPr="007048BA">
              <w:rPr>
                <w:rFonts w:eastAsia="Times New Roman" w:cs="Times New Roman"/>
                <w:i/>
                <w:color w:val="000000"/>
                <w:szCs w:val="24"/>
                <w:lang w:val="en-GB" w:eastAsia="en-GB"/>
              </w:rPr>
              <w:t xml:space="preserve"> </w:t>
            </w:r>
          </w:p>
        </w:tc>
        <w:tc>
          <w:tcPr>
            <w:tcW w:w="0" w:type="auto"/>
            <w:tcBorders>
              <w:bottom w:val="nil"/>
            </w:tcBorders>
            <w:shd w:val="clear" w:color="auto" w:fill="auto"/>
            <w:noWrap/>
            <w:vAlign w:val="bottom"/>
            <w:hideMark/>
          </w:tcPr>
          <w:p w14:paraId="6A8B75B0" w14:textId="42916566" w:rsidR="002C592B" w:rsidRPr="007048BA" w:rsidRDefault="00C439D9" w:rsidP="002C592B">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-0.018</w:t>
            </w:r>
          </w:p>
        </w:tc>
        <w:tc>
          <w:tcPr>
            <w:tcW w:w="0" w:type="auto"/>
            <w:tcBorders>
              <w:bottom w:val="nil"/>
            </w:tcBorders>
            <w:shd w:val="clear" w:color="auto" w:fill="auto"/>
            <w:noWrap/>
            <w:vAlign w:val="bottom"/>
            <w:hideMark/>
          </w:tcPr>
          <w:p w14:paraId="032EC379" w14:textId="6E3ED5F4" w:rsidR="002C592B" w:rsidRPr="007048BA" w:rsidRDefault="005118F9"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Borders>
              <w:bottom w:val="nil"/>
            </w:tcBorders>
            <w:shd w:val="clear" w:color="auto" w:fill="auto"/>
            <w:noWrap/>
            <w:vAlign w:val="bottom"/>
            <w:hideMark/>
          </w:tcPr>
          <w:p w14:paraId="340DA6F7" w14:textId="372ECBDE" w:rsidR="002C592B" w:rsidRPr="007048BA" w:rsidRDefault="001A4C5F"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0.004</w:t>
            </w:r>
          </w:p>
        </w:tc>
        <w:tc>
          <w:tcPr>
            <w:tcW w:w="0" w:type="auto"/>
            <w:tcBorders>
              <w:bottom w:val="nil"/>
            </w:tcBorders>
            <w:shd w:val="clear" w:color="auto" w:fill="auto"/>
            <w:noWrap/>
            <w:vAlign w:val="bottom"/>
            <w:hideMark/>
          </w:tcPr>
          <w:p w14:paraId="0ACB1971" w14:textId="72EA5AB6" w:rsidR="002C592B" w:rsidRPr="007048BA" w:rsidRDefault="00542B4D"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0.000</w:t>
            </w:r>
          </w:p>
        </w:tc>
      </w:tr>
      <w:tr w:rsidR="003C273B" w:rsidRPr="007048BA" w14:paraId="349D9851" w14:textId="77777777" w:rsidTr="003C273B">
        <w:trPr>
          <w:trHeight w:val="300"/>
          <w:jc w:val="center"/>
        </w:trPr>
        <w:tc>
          <w:tcPr>
            <w:tcW w:w="0" w:type="auto"/>
            <w:tcBorders>
              <w:bottom w:val="nil"/>
            </w:tcBorders>
            <w:shd w:val="clear" w:color="auto" w:fill="auto"/>
            <w:noWrap/>
            <w:vAlign w:val="bottom"/>
          </w:tcPr>
          <w:p w14:paraId="19961E87" w14:textId="77777777" w:rsidR="003C273B" w:rsidRPr="007048BA" w:rsidRDefault="003C273B" w:rsidP="00421037">
            <w:pPr>
              <w:spacing w:after="0" w:line="240" w:lineRule="auto"/>
              <w:ind w:firstLine="0"/>
              <w:jc w:val="left"/>
              <w:rPr>
                <w:rFonts w:eastAsia="Times New Roman" w:cs="Times New Roman"/>
                <w:i/>
                <w:color w:val="000000"/>
                <w:szCs w:val="24"/>
                <w:lang w:val="en-GB" w:eastAsia="en-GB"/>
              </w:rPr>
            </w:pPr>
          </w:p>
        </w:tc>
        <w:tc>
          <w:tcPr>
            <w:tcW w:w="0" w:type="auto"/>
            <w:tcBorders>
              <w:bottom w:val="nil"/>
            </w:tcBorders>
            <w:shd w:val="clear" w:color="auto" w:fill="auto"/>
            <w:noWrap/>
            <w:vAlign w:val="bottom"/>
          </w:tcPr>
          <w:p w14:paraId="2F1DE6CD" w14:textId="77777777" w:rsidR="003C273B" w:rsidRPr="007048BA" w:rsidRDefault="003C273B" w:rsidP="002C592B">
            <w:pPr>
              <w:spacing w:after="0" w:line="240" w:lineRule="auto"/>
              <w:ind w:firstLine="0"/>
              <w:jc w:val="left"/>
              <w:rPr>
                <w:rFonts w:eastAsia="Times New Roman" w:cs="Times New Roman"/>
                <w:color w:val="000000"/>
                <w:szCs w:val="24"/>
                <w:lang w:val="en-GB" w:eastAsia="en-GB"/>
              </w:rPr>
            </w:pPr>
          </w:p>
        </w:tc>
        <w:tc>
          <w:tcPr>
            <w:tcW w:w="0" w:type="auto"/>
            <w:tcBorders>
              <w:bottom w:val="nil"/>
            </w:tcBorders>
            <w:shd w:val="clear" w:color="auto" w:fill="auto"/>
            <w:noWrap/>
            <w:vAlign w:val="bottom"/>
          </w:tcPr>
          <w:p w14:paraId="292C246F" w14:textId="77777777" w:rsidR="003C273B" w:rsidRPr="007048BA" w:rsidRDefault="003C273B" w:rsidP="002C592B">
            <w:pPr>
              <w:spacing w:after="0" w:line="240" w:lineRule="auto"/>
              <w:ind w:firstLine="0"/>
              <w:jc w:val="left"/>
              <w:rPr>
                <w:rFonts w:eastAsia="Times New Roman" w:cs="Times New Roman"/>
                <w:szCs w:val="24"/>
                <w:lang w:val="en-GB" w:eastAsia="en-GB"/>
              </w:rPr>
            </w:pPr>
          </w:p>
        </w:tc>
        <w:tc>
          <w:tcPr>
            <w:tcW w:w="0" w:type="auto"/>
            <w:tcBorders>
              <w:bottom w:val="nil"/>
            </w:tcBorders>
            <w:shd w:val="clear" w:color="auto" w:fill="auto"/>
            <w:noWrap/>
            <w:vAlign w:val="bottom"/>
          </w:tcPr>
          <w:p w14:paraId="1D7E87A0" w14:textId="77777777" w:rsidR="003C273B" w:rsidRPr="007048BA" w:rsidRDefault="003C273B" w:rsidP="002C592B">
            <w:pPr>
              <w:spacing w:after="0" w:line="240" w:lineRule="auto"/>
              <w:ind w:firstLine="0"/>
              <w:jc w:val="left"/>
              <w:rPr>
                <w:rFonts w:eastAsia="Times New Roman" w:cs="Times New Roman"/>
                <w:szCs w:val="24"/>
                <w:lang w:val="en-GB" w:eastAsia="en-GB"/>
              </w:rPr>
            </w:pPr>
          </w:p>
        </w:tc>
        <w:tc>
          <w:tcPr>
            <w:tcW w:w="0" w:type="auto"/>
            <w:tcBorders>
              <w:bottom w:val="nil"/>
            </w:tcBorders>
            <w:shd w:val="clear" w:color="auto" w:fill="auto"/>
            <w:noWrap/>
            <w:vAlign w:val="bottom"/>
          </w:tcPr>
          <w:p w14:paraId="1A25BBAD" w14:textId="77777777" w:rsidR="003C273B" w:rsidRPr="007048BA" w:rsidRDefault="003C273B" w:rsidP="002C592B">
            <w:pPr>
              <w:spacing w:after="0" w:line="240" w:lineRule="auto"/>
              <w:ind w:firstLine="0"/>
              <w:jc w:val="left"/>
              <w:rPr>
                <w:rFonts w:eastAsia="Times New Roman" w:cs="Times New Roman"/>
                <w:szCs w:val="24"/>
                <w:lang w:val="en-GB" w:eastAsia="en-GB"/>
              </w:rPr>
            </w:pPr>
          </w:p>
        </w:tc>
      </w:tr>
      <w:tr w:rsidR="002C592B" w:rsidRPr="007048BA" w14:paraId="5E020E73" w14:textId="77777777" w:rsidTr="003C273B">
        <w:trPr>
          <w:trHeight w:val="300"/>
          <w:jc w:val="center"/>
        </w:trPr>
        <w:tc>
          <w:tcPr>
            <w:tcW w:w="0" w:type="auto"/>
            <w:tcBorders>
              <w:top w:val="nil"/>
              <w:bottom w:val="single" w:sz="4" w:space="0" w:color="auto"/>
            </w:tcBorders>
            <w:shd w:val="clear" w:color="auto" w:fill="auto"/>
            <w:noWrap/>
            <w:vAlign w:val="bottom"/>
            <w:hideMark/>
          </w:tcPr>
          <w:p w14:paraId="6E5F9B9E" w14:textId="11BFD879" w:rsidR="002C592B" w:rsidRPr="007048BA" w:rsidRDefault="003C273B" w:rsidP="002C592B">
            <w:pPr>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D</w:t>
            </w:r>
            <w:r w:rsidR="00492AC6" w:rsidRPr="007048BA">
              <w:rPr>
                <w:rFonts w:eastAsia="Times New Roman" w:cs="Times New Roman"/>
                <w:i/>
                <w:szCs w:val="24"/>
                <w:lang w:val="en-GB" w:eastAsia="en-GB"/>
              </w:rPr>
              <w:t>ifferences</w:t>
            </w:r>
          </w:p>
        </w:tc>
        <w:tc>
          <w:tcPr>
            <w:tcW w:w="0" w:type="auto"/>
            <w:tcBorders>
              <w:top w:val="nil"/>
              <w:bottom w:val="single" w:sz="4" w:space="0" w:color="auto"/>
            </w:tcBorders>
            <w:shd w:val="clear" w:color="auto" w:fill="auto"/>
            <w:noWrap/>
            <w:vAlign w:val="bottom"/>
            <w:hideMark/>
          </w:tcPr>
          <w:p w14:paraId="64E1E5D2" w14:textId="1B28F6EF" w:rsidR="002C592B" w:rsidRPr="007048BA" w:rsidRDefault="002C592B" w:rsidP="002C592B">
            <w:pPr>
              <w:spacing w:after="0" w:line="240" w:lineRule="auto"/>
              <w:ind w:firstLine="0"/>
              <w:jc w:val="left"/>
              <w:rPr>
                <w:rFonts w:eastAsia="Times New Roman" w:cs="Times New Roman"/>
                <w:szCs w:val="24"/>
                <w:lang w:val="en-GB" w:eastAsia="en-GB"/>
              </w:rPr>
            </w:pPr>
          </w:p>
        </w:tc>
        <w:tc>
          <w:tcPr>
            <w:tcW w:w="0" w:type="auto"/>
            <w:tcBorders>
              <w:top w:val="nil"/>
              <w:bottom w:val="single" w:sz="4" w:space="0" w:color="auto"/>
            </w:tcBorders>
            <w:shd w:val="clear" w:color="auto" w:fill="auto"/>
            <w:noWrap/>
            <w:vAlign w:val="bottom"/>
            <w:hideMark/>
          </w:tcPr>
          <w:p w14:paraId="493A9902" w14:textId="77777777" w:rsidR="002C592B" w:rsidRPr="007048BA" w:rsidRDefault="002C592B" w:rsidP="002C592B">
            <w:pPr>
              <w:spacing w:after="0" w:line="240" w:lineRule="auto"/>
              <w:ind w:firstLine="0"/>
              <w:jc w:val="left"/>
              <w:rPr>
                <w:rFonts w:eastAsia="Times New Roman" w:cs="Times New Roman"/>
                <w:szCs w:val="24"/>
                <w:lang w:val="en-GB" w:eastAsia="en-GB"/>
              </w:rPr>
            </w:pPr>
          </w:p>
        </w:tc>
        <w:tc>
          <w:tcPr>
            <w:tcW w:w="0" w:type="auto"/>
            <w:tcBorders>
              <w:top w:val="nil"/>
              <w:bottom w:val="single" w:sz="4" w:space="0" w:color="auto"/>
            </w:tcBorders>
            <w:shd w:val="clear" w:color="auto" w:fill="auto"/>
            <w:noWrap/>
            <w:vAlign w:val="bottom"/>
            <w:hideMark/>
          </w:tcPr>
          <w:p w14:paraId="680CB4E5" w14:textId="77777777" w:rsidR="002C592B" w:rsidRPr="007048BA" w:rsidRDefault="002C592B" w:rsidP="002C592B">
            <w:pPr>
              <w:spacing w:after="0" w:line="240" w:lineRule="auto"/>
              <w:ind w:firstLine="0"/>
              <w:jc w:val="left"/>
              <w:rPr>
                <w:rFonts w:eastAsia="Times New Roman" w:cs="Times New Roman"/>
                <w:szCs w:val="24"/>
                <w:lang w:val="en-GB" w:eastAsia="en-GB"/>
              </w:rPr>
            </w:pPr>
          </w:p>
        </w:tc>
        <w:tc>
          <w:tcPr>
            <w:tcW w:w="0" w:type="auto"/>
            <w:tcBorders>
              <w:top w:val="nil"/>
              <w:bottom w:val="single" w:sz="4" w:space="0" w:color="auto"/>
            </w:tcBorders>
            <w:shd w:val="clear" w:color="auto" w:fill="auto"/>
            <w:noWrap/>
            <w:vAlign w:val="bottom"/>
            <w:hideMark/>
          </w:tcPr>
          <w:p w14:paraId="4A84A6DB" w14:textId="77777777" w:rsidR="002C592B" w:rsidRPr="007048BA" w:rsidRDefault="002C592B" w:rsidP="002C592B">
            <w:pPr>
              <w:spacing w:after="0" w:line="240" w:lineRule="auto"/>
              <w:ind w:firstLine="0"/>
              <w:jc w:val="left"/>
              <w:rPr>
                <w:rFonts w:eastAsia="Times New Roman" w:cs="Times New Roman"/>
                <w:szCs w:val="24"/>
                <w:lang w:val="en-GB" w:eastAsia="en-GB"/>
              </w:rPr>
            </w:pPr>
          </w:p>
        </w:tc>
      </w:tr>
      <w:tr w:rsidR="002C592B" w:rsidRPr="007048BA" w14:paraId="686C2E9B" w14:textId="77777777" w:rsidTr="003C273B">
        <w:trPr>
          <w:trHeight w:val="300"/>
          <w:jc w:val="center"/>
        </w:trPr>
        <w:tc>
          <w:tcPr>
            <w:tcW w:w="0" w:type="auto"/>
            <w:tcBorders>
              <w:top w:val="single" w:sz="4" w:space="0" w:color="auto"/>
            </w:tcBorders>
            <w:shd w:val="clear" w:color="auto" w:fill="auto"/>
            <w:noWrap/>
            <w:vAlign w:val="bottom"/>
            <w:hideMark/>
          </w:tcPr>
          <w:p w14:paraId="0FF14B64" w14:textId="77777777" w:rsidR="002C592B" w:rsidRPr="007048BA" w:rsidRDefault="002C592B" w:rsidP="002C592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(1)-(2)</w:t>
            </w:r>
          </w:p>
        </w:tc>
        <w:tc>
          <w:tcPr>
            <w:tcW w:w="0" w:type="auto"/>
            <w:tcBorders>
              <w:top w:val="single" w:sz="4" w:space="0" w:color="auto"/>
            </w:tcBorders>
            <w:shd w:val="clear" w:color="auto" w:fill="auto"/>
            <w:noWrap/>
            <w:vAlign w:val="bottom"/>
            <w:hideMark/>
          </w:tcPr>
          <w:p w14:paraId="36E5E73D" w14:textId="0F393FB3" w:rsidR="002C592B" w:rsidRPr="007048BA" w:rsidRDefault="004A3D88" w:rsidP="002C592B">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-0.028</w:t>
            </w:r>
          </w:p>
        </w:tc>
        <w:tc>
          <w:tcPr>
            <w:tcW w:w="0" w:type="auto"/>
            <w:tcBorders>
              <w:top w:val="single" w:sz="4" w:space="0" w:color="auto"/>
            </w:tcBorders>
            <w:shd w:val="clear" w:color="auto" w:fill="auto"/>
            <w:noWrap/>
            <w:vAlign w:val="bottom"/>
            <w:hideMark/>
          </w:tcPr>
          <w:p w14:paraId="2CE4D392" w14:textId="0AC13288" w:rsidR="002C592B" w:rsidRPr="007048BA" w:rsidRDefault="00680879"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-0.007</w:t>
            </w:r>
            <w:r w:rsidR="00F37B77" w:rsidRPr="007048BA">
              <w:rPr>
                <w:rFonts w:eastAsia="Times New Roman" w:cs="Times New Roman"/>
                <w:szCs w:val="24"/>
                <w:lang w:val="en-GB" w:eastAsia="en-GB"/>
              </w:rPr>
              <w:t>***</w:t>
            </w:r>
          </w:p>
        </w:tc>
        <w:tc>
          <w:tcPr>
            <w:tcW w:w="0" w:type="auto"/>
            <w:tcBorders>
              <w:top w:val="single" w:sz="4" w:space="0" w:color="auto"/>
            </w:tcBorders>
            <w:shd w:val="clear" w:color="auto" w:fill="auto"/>
            <w:noWrap/>
            <w:vAlign w:val="bottom"/>
            <w:hideMark/>
          </w:tcPr>
          <w:p w14:paraId="61955BA8" w14:textId="0CCB4EE7" w:rsidR="002C592B" w:rsidRPr="007048BA" w:rsidRDefault="001A4C5F"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-0.014***</w:t>
            </w:r>
          </w:p>
        </w:tc>
        <w:tc>
          <w:tcPr>
            <w:tcW w:w="0" w:type="auto"/>
            <w:tcBorders>
              <w:top w:val="single" w:sz="4" w:space="0" w:color="auto"/>
            </w:tcBorders>
            <w:shd w:val="clear" w:color="auto" w:fill="auto"/>
            <w:noWrap/>
            <w:vAlign w:val="bottom"/>
            <w:hideMark/>
          </w:tcPr>
          <w:p w14:paraId="39EA3125" w14:textId="28AEF798" w:rsidR="002C592B" w:rsidRPr="007048BA" w:rsidRDefault="00680879"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-0.005</w:t>
            </w:r>
            <w:r w:rsidR="00F37B77" w:rsidRPr="007048BA">
              <w:rPr>
                <w:rFonts w:eastAsia="Times New Roman" w:cs="Times New Roman"/>
                <w:szCs w:val="24"/>
                <w:lang w:val="en-GB" w:eastAsia="en-GB"/>
              </w:rPr>
              <w:t>***</w:t>
            </w:r>
          </w:p>
        </w:tc>
      </w:tr>
      <w:tr w:rsidR="002C592B" w:rsidRPr="007048BA" w14:paraId="37ADA9B6" w14:textId="77777777" w:rsidTr="003C273B">
        <w:trPr>
          <w:trHeight w:val="300"/>
          <w:jc w:val="center"/>
        </w:trPr>
        <w:tc>
          <w:tcPr>
            <w:tcW w:w="0" w:type="auto"/>
            <w:shd w:val="clear" w:color="auto" w:fill="auto"/>
            <w:noWrap/>
            <w:vAlign w:val="bottom"/>
            <w:hideMark/>
          </w:tcPr>
          <w:p w14:paraId="1944EC2B" w14:textId="77777777" w:rsidR="002C592B" w:rsidRPr="007048BA" w:rsidRDefault="002C592B" w:rsidP="002C592B">
            <w:pPr>
              <w:spacing w:after="0" w:line="240" w:lineRule="auto"/>
              <w:ind w:firstLine="0"/>
              <w:jc w:val="left"/>
              <w:rPr>
                <w:rFonts w:eastAsia="Times New Roman" w:cs="Times New Roman"/>
                <w:i/>
                <w:szCs w:val="24"/>
                <w:lang w:val="en-GB" w:eastAsia="en-GB"/>
              </w:rPr>
            </w:pPr>
          </w:p>
        </w:tc>
        <w:tc>
          <w:tcPr>
            <w:tcW w:w="0" w:type="auto"/>
            <w:shd w:val="clear" w:color="auto" w:fill="auto"/>
            <w:noWrap/>
            <w:vAlign w:val="bottom"/>
            <w:hideMark/>
          </w:tcPr>
          <w:p w14:paraId="0424EAC4" w14:textId="19F3B4C2" w:rsidR="002C592B" w:rsidRPr="007048BA" w:rsidRDefault="004A3D88"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(0.300)</w:t>
            </w:r>
          </w:p>
        </w:tc>
        <w:tc>
          <w:tcPr>
            <w:tcW w:w="0" w:type="auto"/>
            <w:shd w:val="clear" w:color="auto" w:fill="auto"/>
            <w:noWrap/>
            <w:vAlign w:val="bottom"/>
            <w:hideMark/>
          </w:tcPr>
          <w:p w14:paraId="174F1D13" w14:textId="5BAD9FC6" w:rsidR="002C592B" w:rsidRPr="007048BA" w:rsidRDefault="0066697B"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shd w:val="clear" w:color="auto" w:fill="auto"/>
            <w:noWrap/>
            <w:vAlign w:val="bottom"/>
            <w:hideMark/>
          </w:tcPr>
          <w:p w14:paraId="511B1A66" w14:textId="1F28757C" w:rsidR="002C592B" w:rsidRPr="007048BA" w:rsidRDefault="001A4C5F"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shd w:val="clear" w:color="auto" w:fill="auto"/>
            <w:noWrap/>
            <w:vAlign w:val="bottom"/>
            <w:hideMark/>
          </w:tcPr>
          <w:p w14:paraId="17D09340" w14:textId="7815CC48" w:rsidR="002C592B" w:rsidRPr="007048BA" w:rsidRDefault="00861C9F"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(0.000)</w:t>
            </w:r>
          </w:p>
        </w:tc>
      </w:tr>
      <w:tr w:rsidR="002C592B" w:rsidRPr="007048BA" w14:paraId="466F7CA5" w14:textId="77777777" w:rsidTr="003C273B">
        <w:trPr>
          <w:trHeight w:val="300"/>
          <w:jc w:val="center"/>
        </w:trPr>
        <w:tc>
          <w:tcPr>
            <w:tcW w:w="0" w:type="auto"/>
            <w:shd w:val="clear" w:color="auto" w:fill="auto"/>
            <w:noWrap/>
            <w:vAlign w:val="bottom"/>
            <w:hideMark/>
          </w:tcPr>
          <w:p w14:paraId="1C546C15" w14:textId="77777777" w:rsidR="002C592B" w:rsidRPr="007048BA" w:rsidRDefault="002C592B" w:rsidP="002C592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(2)-(3)</w:t>
            </w:r>
          </w:p>
        </w:tc>
        <w:tc>
          <w:tcPr>
            <w:tcW w:w="0" w:type="auto"/>
            <w:shd w:val="clear" w:color="auto" w:fill="auto"/>
            <w:noWrap/>
            <w:vAlign w:val="bottom"/>
            <w:hideMark/>
          </w:tcPr>
          <w:p w14:paraId="6DC3279C" w14:textId="6D34D8AF" w:rsidR="002C592B" w:rsidRPr="007048BA" w:rsidRDefault="004A3D88" w:rsidP="002C592B">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0.048*</w:t>
            </w:r>
          </w:p>
        </w:tc>
        <w:tc>
          <w:tcPr>
            <w:tcW w:w="0" w:type="auto"/>
            <w:shd w:val="clear" w:color="auto" w:fill="auto"/>
            <w:noWrap/>
            <w:vAlign w:val="bottom"/>
            <w:hideMark/>
          </w:tcPr>
          <w:p w14:paraId="72D37E89" w14:textId="086B57CE" w:rsidR="002C592B" w:rsidRPr="007048BA" w:rsidRDefault="00680879"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0.006</w:t>
            </w:r>
            <w:r w:rsidR="00F37B77" w:rsidRPr="007048BA">
              <w:rPr>
                <w:rFonts w:eastAsia="Times New Roman" w:cs="Times New Roman"/>
                <w:szCs w:val="24"/>
                <w:lang w:val="en-GB" w:eastAsia="en-GB"/>
              </w:rPr>
              <w:t>***</w:t>
            </w:r>
          </w:p>
        </w:tc>
        <w:tc>
          <w:tcPr>
            <w:tcW w:w="0" w:type="auto"/>
            <w:shd w:val="clear" w:color="auto" w:fill="auto"/>
            <w:noWrap/>
            <w:vAlign w:val="bottom"/>
            <w:hideMark/>
          </w:tcPr>
          <w:p w14:paraId="36AA3925" w14:textId="63CFA455" w:rsidR="002C592B" w:rsidRPr="007048BA" w:rsidRDefault="00096A33"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0.013</w:t>
            </w:r>
            <w:r w:rsidR="001A4C5F" w:rsidRPr="007048BA">
              <w:rPr>
                <w:rFonts w:eastAsia="Times New Roman" w:cs="Times New Roman"/>
                <w:szCs w:val="24"/>
                <w:lang w:val="en-GB" w:eastAsia="en-GB"/>
              </w:rPr>
              <w:t>***</w:t>
            </w:r>
          </w:p>
        </w:tc>
        <w:tc>
          <w:tcPr>
            <w:tcW w:w="0" w:type="auto"/>
            <w:shd w:val="clear" w:color="auto" w:fill="auto"/>
            <w:noWrap/>
            <w:vAlign w:val="bottom"/>
            <w:hideMark/>
          </w:tcPr>
          <w:p w14:paraId="3B5EFF28" w14:textId="2EBE6664" w:rsidR="002C592B" w:rsidRPr="007048BA" w:rsidRDefault="00680879"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0.003</w:t>
            </w:r>
            <w:r w:rsidR="00F37B77" w:rsidRPr="007048BA">
              <w:rPr>
                <w:rFonts w:eastAsia="Times New Roman" w:cs="Times New Roman"/>
                <w:szCs w:val="24"/>
                <w:lang w:val="en-GB" w:eastAsia="en-GB"/>
              </w:rPr>
              <w:t>***</w:t>
            </w:r>
          </w:p>
        </w:tc>
      </w:tr>
      <w:tr w:rsidR="002C592B" w:rsidRPr="007048BA" w14:paraId="19AF073A" w14:textId="77777777" w:rsidTr="003C273B">
        <w:trPr>
          <w:trHeight w:val="300"/>
          <w:jc w:val="center"/>
        </w:trPr>
        <w:tc>
          <w:tcPr>
            <w:tcW w:w="0" w:type="auto"/>
            <w:shd w:val="clear" w:color="auto" w:fill="auto"/>
            <w:noWrap/>
            <w:vAlign w:val="bottom"/>
            <w:hideMark/>
          </w:tcPr>
          <w:p w14:paraId="3E0D9AFC" w14:textId="77777777" w:rsidR="002C592B" w:rsidRPr="007048BA" w:rsidRDefault="002C592B" w:rsidP="002C592B">
            <w:pPr>
              <w:spacing w:after="0" w:line="240" w:lineRule="auto"/>
              <w:ind w:firstLine="0"/>
              <w:jc w:val="left"/>
              <w:rPr>
                <w:rFonts w:eastAsia="Times New Roman" w:cs="Times New Roman"/>
                <w:i/>
                <w:szCs w:val="24"/>
                <w:lang w:val="en-GB" w:eastAsia="en-GB"/>
              </w:rPr>
            </w:pPr>
          </w:p>
        </w:tc>
        <w:tc>
          <w:tcPr>
            <w:tcW w:w="0" w:type="auto"/>
            <w:shd w:val="clear" w:color="auto" w:fill="auto"/>
            <w:noWrap/>
            <w:vAlign w:val="bottom"/>
            <w:hideMark/>
          </w:tcPr>
          <w:p w14:paraId="2AFF959B" w14:textId="56FF40DD" w:rsidR="002C592B" w:rsidRPr="007048BA" w:rsidRDefault="004A3D88"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(0.068)</w:t>
            </w:r>
          </w:p>
        </w:tc>
        <w:tc>
          <w:tcPr>
            <w:tcW w:w="0" w:type="auto"/>
            <w:shd w:val="clear" w:color="auto" w:fill="auto"/>
            <w:noWrap/>
            <w:vAlign w:val="bottom"/>
            <w:hideMark/>
          </w:tcPr>
          <w:p w14:paraId="2A1B2FE8" w14:textId="53284468" w:rsidR="002C592B" w:rsidRPr="007048BA" w:rsidRDefault="0066697B"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shd w:val="clear" w:color="auto" w:fill="auto"/>
            <w:noWrap/>
            <w:vAlign w:val="bottom"/>
            <w:hideMark/>
          </w:tcPr>
          <w:p w14:paraId="70098D87" w14:textId="6C99A545" w:rsidR="002C592B" w:rsidRPr="007048BA" w:rsidRDefault="00096A33"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shd w:val="clear" w:color="auto" w:fill="auto"/>
            <w:noWrap/>
            <w:vAlign w:val="bottom"/>
            <w:hideMark/>
          </w:tcPr>
          <w:p w14:paraId="3987615D" w14:textId="4122685E" w:rsidR="002C592B" w:rsidRPr="007048BA" w:rsidRDefault="00861C9F"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(0.000)</w:t>
            </w:r>
          </w:p>
        </w:tc>
      </w:tr>
      <w:tr w:rsidR="002C592B" w:rsidRPr="007048BA" w14:paraId="2D12AF1C" w14:textId="77777777" w:rsidTr="003C273B">
        <w:trPr>
          <w:trHeight w:val="300"/>
          <w:jc w:val="center"/>
        </w:trPr>
        <w:tc>
          <w:tcPr>
            <w:tcW w:w="0" w:type="auto"/>
            <w:shd w:val="clear" w:color="auto" w:fill="auto"/>
            <w:noWrap/>
            <w:vAlign w:val="bottom"/>
            <w:hideMark/>
          </w:tcPr>
          <w:p w14:paraId="6AB4F8C3" w14:textId="77777777" w:rsidR="002C592B" w:rsidRPr="007048BA" w:rsidRDefault="002C592B" w:rsidP="002C592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(1)-(3)</w:t>
            </w:r>
          </w:p>
        </w:tc>
        <w:tc>
          <w:tcPr>
            <w:tcW w:w="0" w:type="auto"/>
            <w:shd w:val="clear" w:color="auto" w:fill="auto"/>
            <w:noWrap/>
            <w:vAlign w:val="bottom"/>
            <w:hideMark/>
          </w:tcPr>
          <w:p w14:paraId="3BB82FA0" w14:textId="31A484A3" w:rsidR="002C592B" w:rsidRPr="007048BA" w:rsidRDefault="004A3D88" w:rsidP="004A3D88">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0.020</w:t>
            </w:r>
          </w:p>
        </w:tc>
        <w:tc>
          <w:tcPr>
            <w:tcW w:w="0" w:type="auto"/>
            <w:shd w:val="clear" w:color="auto" w:fill="auto"/>
            <w:noWrap/>
            <w:vAlign w:val="bottom"/>
            <w:hideMark/>
          </w:tcPr>
          <w:p w14:paraId="2407DE59" w14:textId="1F07786A" w:rsidR="002C592B" w:rsidRPr="007048BA" w:rsidRDefault="00680879"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-0.013</w:t>
            </w:r>
          </w:p>
        </w:tc>
        <w:tc>
          <w:tcPr>
            <w:tcW w:w="0" w:type="auto"/>
            <w:shd w:val="clear" w:color="auto" w:fill="auto"/>
            <w:noWrap/>
            <w:vAlign w:val="bottom"/>
            <w:hideMark/>
          </w:tcPr>
          <w:p w14:paraId="5CE9D246" w14:textId="7793C0DD" w:rsidR="002C592B" w:rsidRPr="007048BA" w:rsidRDefault="00096A33"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-0.001</w:t>
            </w:r>
          </w:p>
        </w:tc>
        <w:tc>
          <w:tcPr>
            <w:tcW w:w="0" w:type="auto"/>
            <w:shd w:val="clear" w:color="auto" w:fill="auto"/>
            <w:noWrap/>
            <w:vAlign w:val="bottom"/>
            <w:hideMark/>
          </w:tcPr>
          <w:p w14:paraId="1134AE62" w14:textId="283C9855" w:rsidR="002C592B" w:rsidRPr="007048BA" w:rsidRDefault="00680879"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-0.002</w:t>
            </w:r>
          </w:p>
        </w:tc>
      </w:tr>
      <w:tr w:rsidR="002C592B" w:rsidRPr="007048BA" w14:paraId="003CE89D" w14:textId="77777777" w:rsidTr="003C273B">
        <w:trPr>
          <w:trHeight w:val="300"/>
          <w:jc w:val="center"/>
        </w:trPr>
        <w:tc>
          <w:tcPr>
            <w:tcW w:w="0" w:type="auto"/>
            <w:shd w:val="clear" w:color="auto" w:fill="auto"/>
            <w:noWrap/>
            <w:vAlign w:val="bottom"/>
            <w:hideMark/>
          </w:tcPr>
          <w:p w14:paraId="40D47FEA" w14:textId="77777777" w:rsidR="002C592B" w:rsidRPr="007048BA" w:rsidRDefault="002C592B" w:rsidP="002C592B">
            <w:pPr>
              <w:spacing w:after="0" w:line="240" w:lineRule="auto"/>
              <w:ind w:firstLine="0"/>
              <w:jc w:val="left"/>
              <w:rPr>
                <w:rFonts w:eastAsia="Times New Roman" w:cs="Times New Roman"/>
                <w:i/>
                <w:szCs w:val="24"/>
                <w:lang w:val="en-GB" w:eastAsia="en-GB"/>
              </w:rPr>
            </w:pPr>
          </w:p>
        </w:tc>
        <w:tc>
          <w:tcPr>
            <w:tcW w:w="0" w:type="auto"/>
            <w:shd w:val="clear" w:color="auto" w:fill="auto"/>
            <w:noWrap/>
            <w:vAlign w:val="bottom"/>
            <w:hideMark/>
          </w:tcPr>
          <w:p w14:paraId="333C1D6F" w14:textId="2ED3DCEF" w:rsidR="002C592B" w:rsidRPr="007048BA" w:rsidRDefault="004A3D88" w:rsidP="004A3D88">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(0.227)</w:t>
            </w:r>
          </w:p>
        </w:tc>
        <w:tc>
          <w:tcPr>
            <w:tcW w:w="0" w:type="auto"/>
            <w:shd w:val="clear" w:color="auto" w:fill="auto"/>
            <w:noWrap/>
            <w:vAlign w:val="bottom"/>
            <w:hideMark/>
          </w:tcPr>
          <w:p w14:paraId="2441F49B" w14:textId="25864D5C" w:rsidR="002C592B" w:rsidRPr="007048BA" w:rsidRDefault="0066697B"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(0.632)</w:t>
            </w:r>
          </w:p>
        </w:tc>
        <w:tc>
          <w:tcPr>
            <w:tcW w:w="0" w:type="auto"/>
            <w:shd w:val="clear" w:color="auto" w:fill="auto"/>
            <w:noWrap/>
            <w:vAlign w:val="bottom"/>
            <w:hideMark/>
          </w:tcPr>
          <w:p w14:paraId="1151AA84" w14:textId="144E8E0B" w:rsidR="002C592B" w:rsidRPr="007048BA" w:rsidRDefault="00096A33"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(0.622)</w:t>
            </w:r>
          </w:p>
        </w:tc>
        <w:tc>
          <w:tcPr>
            <w:tcW w:w="0" w:type="auto"/>
            <w:shd w:val="clear" w:color="auto" w:fill="auto"/>
            <w:noWrap/>
            <w:vAlign w:val="bottom"/>
            <w:hideMark/>
          </w:tcPr>
          <w:p w14:paraId="05073305" w14:textId="1D6EAFBC" w:rsidR="002C592B" w:rsidRPr="007048BA" w:rsidRDefault="00861C9F"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(0.165)</w:t>
            </w:r>
          </w:p>
        </w:tc>
      </w:tr>
      <w:tr w:rsidR="002C592B" w:rsidRPr="007048BA" w14:paraId="0C366C0D" w14:textId="77777777" w:rsidTr="003C273B">
        <w:trPr>
          <w:trHeight w:val="300"/>
          <w:jc w:val="center"/>
        </w:trPr>
        <w:tc>
          <w:tcPr>
            <w:tcW w:w="0" w:type="auto"/>
            <w:shd w:val="clear" w:color="auto" w:fill="auto"/>
            <w:noWrap/>
            <w:vAlign w:val="bottom"/>
            <w:hideMark/>
          </w:tcPr>
          <w:p w14:paraId="3BB47F70" w14:textId="77777777" w:rsidR="002C592B" w:rsidRPr="007048BA" w:rsidRDefault="002C592B" w:rsidP="002C592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(2)-(4)</w:t>
            </w:r>
          </w:p>
        </w:tc>
        <w:tc>
          <w:tcPr>
            <w:tcW w:w="0" w:type="auto"/>
            <w:shd w:val="clear" w:color="auto" w:fill="auto"/>
            <w:noWrap/>
            <w:vAlign w:val="bottom"/>
            <w:hideMark/>
          </w:tcPr>
          <w:p w14:paraId="1689D292" w14:textId="56762AFA" w:rsidR="002C592B" w:rsidRPr="007048BA" w:rsidRDefault="004A3D88" w:rsidP="002C592B">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0.047</w:t>
            </w:r>
          </w:p>
        </w:tc>
        <w:tc>
          <w:tcPr>
            <w:tcW w:w="0" w:type="auto"/>
            <w:shd w:val="clear" w:color="auto" w:fill="auto"/>
            <w:noWrap/>
            <w:vAlign w:val="bottom"/>
            <w:hideMark/>
          </w:tcPr>
          <w:p w14:paraId="405FD599" w14:textId="06B5DBB8" w:rsidR="002C592B" w:rsidRPr="007048BA" w:rsidRDefault="00680879"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shd w:val="clear" w:color="auto" w:fill="auto"/>
            <w:noWrap/>
            <w:vAlign w:val="bottom"/>
            <w:hideMark/>
          </w:tcPr>
          <w:p w14:paraId="37922F04" w14:textId="309C35B2" w:rsidR="002C592B" w:rsidRPr="007048BA" w:rsidRDefault="00096A33"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0.002</w:t>
            </w:r>
          </w:p>
        </w:tc>
        <w:tc>
          <w:tcPr>
            <w:tcW w:w="0" w:type="auto"/>
            <w:shd w:val="clear" w:color="auto" w:fill="auto"/>
            <w:noWrap/>
            <w:vAlign w:val="bottom"/>
            <w:hideMark/>
          </w:tcPr>
          <w:p w14:paraId="7E227D86" w14:textId="1ACAA8B4" w:rsidR="002C592B" w:rsidRPr="007048BA" w:rsidRDefault="00680879"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0.003</w:t>
            </w:r>
            <w:r w:rsidR="00F37B77" w:rsidRPr="007048BA">
              <w:rPr>
                <w:rFonts w:eastAsia="Times New Roman" w:cs="Times New Roman"/>
                <w:szCs w:val="24"/>
                <w:lang w:val="en-GB" w:eastAsia="en-GB"/>
              </w:rPr>
              <w:t>*</w:t>
            </w:r>
          </w:p>
        </w:tc>
      </w:tr>
      <w:tr w:rsidR="002C592B" w:rsidRPr="007048BA" w14:paraId="6B38FB5A" w14:textId="77777777" w:rsidTr="003C273B">
        <w:trPr>
          <w:trHeight w:val="300"/>
          <w:jc w:val="center"/>
        </w:trPr>
        <w:tc>
          <w:tcPr>
            <w:tcW w:w="0" w:type="auto"/>
            <w:shd w:val="clear" w:color="auto" w:fill="auto"/>
            <w:noWrap/>
            <w:vAlign w:val="bottom"/>
            <w:hideMark/>
          </w:tcPr>
          <w:p w14:paraId="1EDBF7A1" w14:textId="77777777" w:rsidR="002C592B" w:rsidRPr="007048BA" w:rsidRDefault="002C592B" w:rsidP="002C592B">
            <w:pPr>
              <w:spacing w:after="0" w:line="240" w:lineRule="auto"/>
              <w:ind w:firstLine="0"/>
              <w:jc w:val="left"/>
              <w:rPr>
                <w:rFonts w:eastAsia="Times New Roman" w:cs="Times New Roman"/>
                <w:i/>
                <w:szCs w:val="24"/>
                <w:lang w:val="en-GB" w:eastAsia="en-GB"/>
              </w:rPr>
            </w:pPr>
          </w:p>
        </w:tc>
        <w:tc>
          <w:tcPr>
            <w:tcW w:w="0" w:type="auto"/>
            <w:shd w:val="clear" w:color="auto" w:fill="auto"/>
            <w:noWrap/>
            <w:vAlign w:val="bottom"/>
            <w:hideMark/>
          </w:tcPr>
          <w:p w14:paraId="77B7AB35" w14:textId="5DA7F556" w:rsidR="002C592B" w:rsidRPr="007048BA" w:rsidRDefault="004A3D88"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(0.116)</w:t>
            </w:r>
          </w:p>
        </w:tc>
        <w:tc>
          <w:tcPr>
            <w:tcW w:w="0" w:type="auto"/>
            <w:shd w:val="clear" w:color="auto" w:fill="auto"/>
            <w:noWrap/>
            <w:vAlign w:val="bottom"/>
            <w:hideMark/>
          </w:tcPr>
          <w:p w14:paraId="5C301AA5" w14:textId="1577DE99" w:rsidR="002C592B" w:rsidRPr="007048BA" w:rsidRDefault="0066697B"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(0.699)</w:t>
            </w:r>
          </w:p>
        </w:tc>
        <w:tc>
          <w:tcPr>
            <w:tcW w:w="0" w:type="auto"/>
            <w:shd w:val="clear" w:color="auto" w:fill="auto"/>
            <w:noWrap/>
            <w:vAlign w:val="bottom"/>
            <w:hideMark/>
          </w:tcPr>
          <w:p w14:paraId="3C7B18AA" w14:textId="478E0964" w:rsidR="002C592B" w:rsidRPr="007048BA" w:rsidRDefault="00096A33"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(0.132)</w:t>
            </w:r>
          </w:p>
        </w:tc>
        <w:tc>
          <w:tcPr>
            <w:tcW w:w="0" w:type="auto"/>
            <w:shd w:val="clear" w:color="auto" w:fill="auto"/>
            <w:noWrap/>
            <w:vAlign w:val="bottom"/>
            <w:hideMark/>
          </w:tcPr>
          <w:p w14:paraId="596DFABD" w14:textId="17A1F7B9" w:rsidR="002C592B" w:rsidRPr="007048BA" w:rsidRDefault="00861C9F"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(0.061)</w:t>
            </w:r>
          </w:p>
        </w:tc>
      </w:tr>
      <w:tr w:rsidR="002C592B" w:rsidRPr="007048BA" w14:paraId="7A445C41" w14:textId="77777777" w:rsidTr="003C273B">
        <w:trPr>
          <w:trHeight w:val="300"/>
          <w:jc w:val="center"/>
        </w:trPr>
        <w:tc>
          <w:tcPr>
            <w:tcW w:w="0" w:type="auto"/>
            <w:shd w:val="clear" w:color="auto" w:fill="auto"/>
            <w:noWrap/>
            <w:vAlign w:val="bottom"/>
            <w:hideMark/>
          </w:tcPr>
          <w:p w14:paraId="040F8B9C" w14:textId="77777777" w:rsidR="002C592B" w:rsidRPr="007048BA" w:rsidRDefault="002C592B" w:rsidP="002C592B">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(3)-(4)</w:t>
            </w:r>
          </w:p>
        </w:tc>
        <w:tc>
          <w:tcPr>
            <w:tcW w:w="0" w:type="auto"/>
            <w:shd w:val="clear" w:color="auto" w:fill="auto"/>
            <w:noWrap/>
            <w:vAlign w:val="bottom"/>
            <w:hideMark/>
          </w:tcPr>
          <w:p w14:paraId="636B7FF7" w14:textId="69A5A548" w:rsidR="002C592B" w:rsidRPr="007048BA" w:rsidRDefault="004A3D88" w:rsidP="002C592B">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-0.001</w:t>
            </w:r>
          </w:p>
        </w:tc>
        <w:tc>
          <w:tcPr>
            <w:tcW w:w="0" w:type="auto"/>
            <w:shd w:val="clear" w:color="auto" w:fill="auto"/>
            <w:noWrap/>
            <w:vAlign w:val="bottom"/>
            <w:hideMark/>
          </w:tcPr>
          <w:p w14:paraId="2E190B96" w14:textId="2E06B5B3" w:rsidR="002C592B" w:rsidRPr="007048BA" w:rsidRDefault="00680879"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-0.006</w:t>
            </w:r>
            <w:r w:rsidR="00F37B77" w:rsidRPr="007048BA">
              <w:rPr>
                <w:rFonts w:eastAsia="Times New Roman" w:cs="Times New Roman"/>
                <w:szCs w:val="24"/>
                <w:lang w:val="en-GB" w:eastAsia="en-GB"/>
              </w:rPr>
              <w:t>***</w:t>
            </w:r>
          </w:p>
        </w:tc>
        <w:tc>
          <w:tcPr>
            <w:tcW w:w="0" w:type="auto"/>
            <w:shd w:val="clear" w:color="auto" w:fill="auto"/>
            <w:noWrap/>
            <w:vAlign w:val="bottom"/>
            <w:hideMark/>
          </w:tcPr>
          <w:p w14:paraId="11DE3FB4" w14:textId="70EB5C2C" w:rsidR="002C592B" w:rsidRPr="007048BA" w:rsidRDefault="00096A33"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-0.010***</w:t>
            </w:r>
          </w:p>
        </w:tc>
        <w:tc>
          <w:tcPr>
            <w:tcW w:w="0" w:type="auto"/>
            <w:shd w:val="clear" w:color="auto" w:fill="auto"/>
            <w:noWrap/>
            <w:vAlign w:val="bottom"/>
            <w:hideMark/>
          </w:tcPr>
          <w:p w14:paraId="163E9770" w14:textId="50822FBB" w:rsidR="002C592B" w:rsidRPr="007048BA" w:rsidRDefault="00680879"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-0.000</w:t>
            </w:r>
            <w:r w:rsidR="00F37B77" w:rsidRPr="007048BA">
              <w:rPr>
                <w:rFonts w:eastAsia="Times New Roman" w:cs="Times New Roman"/>
                <w:szCs w:val="24"/>
                <w:lang w:val="en-GB" w:eastAsia="en-GB"/>
              </w:rPr>
              <w:t>***</w:t>
            </w:r>
          </w:p>
        </w:tc>
      </w:tr>
      <w:tr w:rsidR="004A3D88" w:rsidRPr="007048BA" w14:paraId="2E230073" w14:textId="77777777" w:rsidTr="003C273B">
        <w:trPr>
          <w:trHeight w:val="300"/>
          <w:jc w:val="center"/>
        </w:trPr>
        <w:tc>
          <w:tcPr>
            <w:tcW w:w="0" w:type="auto"/>
            <w:shd w:val="clear" w:color="auto" w:fill="auto"/>
            <w:noWrap/>
            <w:vAlign w:val="bottom"/>
          </w:tcPr>
          <w:p w14:paraId="0DBF8439" w14:textId="77777777" w:rsidR="004A3D88" w:rsidRPr="007048BA" w:rsidRDefault="004A3D88" w:rsidP="002C592B">
            <w:pPr>
              <w:spacing w:after="0" w:line="240" w:lineRule="auto"/>
              <w:ind w:firstLine="0"/>
              <w:jc w:val="left"/>
              <w:rPr>
                <w:rFonts w:eastAsia="Times New Roman" w:cs="Times New Roman"/>
                <w:i/>
                <w:color w:val="000000"/>
                <w:szCs w:val="24"/>
                <w:lang w:val="en-GB" w:eastAsia="en-GB"/>
              </w:rPr>
            </w:pPr>
          </w:p>
        </w:tc>
        <w:tc>
          <w:tcPr>
            <w:tcW w:w="0" w:type="auto"/>
            <w:shd w:val="clear" w:color="auto" w:fill="auto"/>
            <w:noWrap/>
            <w:vAlign w:val="bottom"/>
          </w:tcPr>
          <w:p w14:paraId="074047FE" w14:textId="09DDB18F" w:rsidR="004A3D88" w:rsidRPr="007048BA" w:rsidRDefault="004A3D88" w:rsidP="002C592B">
            <w:pPr>
              <w:spacing w:after="0" w:line="240" w:lineRule="auto"/>
              <w:ind w:firstLine="0"/>
              <w:jc w:val="left"/>
              <w:rPr>
                <w:rFonts w:eastAsia="Times New Roman" w:cs="Times New Roman"/>
                <w:color w:val="000000"/>
                <w:szCs w:val="24"/>
                <w:lang w:val="en-GB" w:eastAsia="en-GB"/>
              </w:rPr>
            </w:pPr>
            <w:r w:rsidRPr="007048BA">
              <w:rPr>
                <w:rFonts w:eastAsia="Times New Roman" w:cs="Times New Roman"/>
                <w:color w:val="000000"/>
                <w:szCs w:val="24"/>
                <w:lang w:val="en-GB" w:eastAsia="en-GB"/>
              </w:rPr>
              <w:t>(0.981)</w:t>
            </w:r>
          </w:p>
        </w:tc>
        <w:tc>
          <w:tcPr>
            <w:tcW w:w="0" w:type="auto"/>
            <w:shd w:val="clear" w:color="auto" w:fill="auto"/>
            <w:noWrap/>
            <w:vAlign w:val="bottom"/>
          </w:tcPr>
          <w:p w14:paraId="4816811D" w14:textId="7917762A" w:rsidR="004A3D88" w:rsidRPr="007048BA" w:rsidRDefault="0066697B"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shd w:val="clear" w:color="auto" w:fill="auto"/>
            <w:noWrap/>
            <w:vAlign w:val="bottom"/>
          </w:tcPr>
          <w:p w14:paraId="226404F6" w14:textId="233AD56F" w:rsidR="004A3D88" w:rsidRPr="007048BA" w:rsidRDefault="00096A33"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shd w:val="clear" w:color="auto" w:fill="auto"/>
            <w:noWrap/>
            <w:vAlign w:val="bottom"/>
          </w:tcPr>
          <w:p w14:paraId="721F1985" w14:textId="7133AE78" w:rsidR="004A3D88" w:rsidRPr="007048BA" w:rsidRDefault="00861C9F" w:rsidP="002C592B">
            <w:pPr>
              <w:spacing w:after="0" w:line="240" w:lineRule="auto"/>
              <w:ind w:firstLine="0"/>
              <w:jc w:val="left"/>
              <w:rPr>
                <w:rFonts w:eastAsia="Times New Roman" w:cs="Times New Roman"/>
                <w:szCs w:val="24"/>
                <w:lang w:val="en-GB" w:eastAsia="en-GB"/>
              </w:rPr>
            </w:pPr>
            <w:r w:rsidRPr="007048BA">
              <w:rPr>
                <w:rFonts w:eastAsia="Times New Roman" w:cs="Times New Roman"/>
                <w:szCs w:val="24"/>
                <w:lang w:val="en-GB" w:eastAsia="en-GB"/>
              </w:rPr>
              <w:t>(0.000)</w:t>
            </w:r>
          </w:p>
        </w:tc>
      </w:tr>
    </w:tbl>
    <w:p w14:paraId="2ACB4C88" w14:textId="77777777" w:rsidR="002C592B" w:rsidRPr="007048BA" w:rsidRDefault="002C592B" w:rsidP="0060367E">
      <w:pPr>
        <w:rPr>
          <w:rFonts w:eastAsia="PMingLiU" w:cs="Times New Roman"/>
          <w:sz w:val="28"/>
          <w:szCs w:val="24"/>
          <w:lang w:val="en-GB" w:eastAsia="zh-TW"/>
        </w:rPr>
      </w:pPr>
    </w:p>
    <w:p w14:paraId="3DAFE2BC" w14:textId="2C4B4D8C" w:rsidR="0060367E" w:rsidRPr="007048BA" w:rsidRDefault="0060367E" w:rsidP="0060367E">
      <w:pPr>
        <w:rPr>
          <w:rFonts w:eastAsia="PMingLiU" w:cs="Times New Roman"/>
          <w:sz w:val="28"/>
          <w:szCs w:val="24"/>
          <w:lang w:val="en-GB" w:eastAsia="zh-TW"/>
        </w:rPr>
      </w:pPr>
    </w:p>
    <w:p w14:paraId="5FEAC7C7" w14:textId="77777777" w:rsidR="00A8453F" w:rsidRPr="007048BA" w:rsidRDefault="00A8453F" w:rsidP="0060367E">
      <w:pPr>
        <w:rPr>
          <w:rFonts w:eastAsia="PMingLiU" w:cs="Times New Roman"/>
          <w:sz w:val="28"/>
          <w:szCs w:val="24"/>
          <w:lang w:val="en-GB" w:eastAsia="zh-TW"/>
        </w:rPr>
        <w:sectPr w:rsidR="00A8453F" w:rsidRPr="007048BA" w:rsidSect="007B5ED9">
          <w:pgSz w:w="12240" w:h="15840"/>
          <w:pgMar w:top="1304" w:right="964" w:bottom="1304" w:left="1077" w:header="720" w:footer="720" w:gutter="0"/>
          <w:cols w:space="720"/>
          <w:docGrid w:linePitch="360"/>
        </w:sectPr>
      </w:pPr>
    </w:p>
    <w:p w14:paraId="341A31B7" w14:textId="77777777" w:rsidR="00650959" w:rsidRPr="007048BA" w:rsidRDefault="00650959" w:rsidP="00022753">
      <w:pPr>
        <w:rPr>
          <w:b/>
          <w:sz w:val="28"/>
          <w:lang w:val="en-GB" w:eastAsia="zh-TW"/>
        </w:rPr>
        <w:sectPr w:rsidR="00650959" w:rsidRPr="007048BA" w:rsidSect="007B5ED9">
          <w:type w:val="continuous"/>
          <w:pgSz w:w="12240" w:h="15840"/>
          <w:pgMar w:top="1304" w:right="964" w:bottom="1304" w:left="1077" w:header="720" w:footer="720" w:gutter="0"/>
          <w:cols w:space="720"/>
          <w:docGrid w:linePitch="360"/>
        </w:sectPr>
      </w:pPr>
    </w:p>
    <w:p w14:paraId="566F5EA9" w14:textId="13E5831B" w:rsidR="00573C4C" w:rsidRPr="007048BA" w:rsidRDefault="005254B8" w:rsidP="00022753">
      <w:pPr>
        <w:rPr>
          <w:rFonts w:eastAsia="PMingLiU" w:cs="Times New Roman"/>
          <w:b/>
          <w:sz w:val="28"/>
          <w:lang w:val="en-GB" w:eastAsia="zh-TW"/>
        </w:rPr>
      </w:pPr>
      <w:r w:rsidRPr="007048BA">
        <w:rPr>
          <w:b/>
          <w:sz w:val="28"/>
          <w:lang w:val="en-GB" w:eastAsia="zh-TW"/>
        </w:rPr>
        <w:lastRenderedPageBreak/>
        <w:t>Table 6</w:t>
      </w:r>
      <w:r w:rsidR="00022753" w:rsidRPr="007048BA">
        <w:rPr>
          <w:b/>
          <w:sz w:val="28"/>
          <w:lang w:val="en-GB" w:eastAsia="zh-TW"/>
        </w:rPr>
        <w:t xml:space="preserve">: </w:t>
      </w:r>
      <w:r w:rsidR="00573C4C" w:rsidRPr="007048BA">
        <w:rPr>
          <w:rFonts w:eastAsia="PMingLiU" w:cs="Times New Roman"/>
          <w:b/>
          <w:sz w:val="28"/>
          <w:lang w:val="en-GB" w:eastAsia="zh-TW"/>
        </w:rPr>
        <w:t>Discretionary accruals and management performance</w:t>
      </w:r>
    </w:p>
    <w:p w14:paraId="3A636DDF" w14:textId="3AE18216" w:rsidR="007170C1" w:rsidRPr="007048BA" w:rsidRDefault="00573C4C" w:rsidP="00031D30">
      <w:pPr>
        <w:widowControl w:val="0"/>
        <w:autoSpaceDE w:val="0"/>
        <w:autoSpaceDN w:val="0"/>
        <w:adjustRightInd w:val="0"/>
        <w:spacing w:after="0" w:line="240" w:lineRule="auto"/>
        <w:ind w:firstLine="0"/>
        <w:rPr>
          <w:rFonts w:eastAsia="PMingLiU" w:cs="Times New Roman"/>
          <w:sz w:val="20"/>
          <w:lang w:val="en-GB" w:eastAsia="zh-TW"/>
        </w:rPr>
      </w:pPr>
      <w:r w:rsidRPr="007048BA">
        <w:rPr>
          <w:rFonts w:eastAsia="PMingLiU" w:cs="Times New Roman"/>
          <w:sz w:val="20"/>
          <w:lang w:val="en-GB" w:eastAsia="zh-TW"/>
        </w:rPr>
        <w:t>The table reports</w:t>
      </w:r>
      <w:r w:rsidR="009F06D3" w:rsidRPr="007048BA">
        <w:rPr>
          <w:rFonts w:eastAsia="PMingLiU" w:cs="Times New Roman"/>
          <w:sz w:val="20"/>
          <w:lang w:val="en-GB" w:eastAsia="zh-TW"/>
        </w:rPr>
        <w:t xml:space="preserve"> panel</w:t>
      </w:r>
      <w:r w:rsidRPr="007048BA">
        <w:rPr>
          <w:rFonts w:eastAsia="PMingLiU" w:cs="Times New Roman"/>
          <w:sz w:val="20"/>
          <w:lang w:val="en-GB" w:eastAsia="zh-TW"/>
        </w:rPr>
        <w:t xml:space="preserve"> r</w:t>
      </w:r>
      <w:r w:rsidR="0060367E" w:rsidRPr="007048BA">
        <w:rPr>
          <w:rFonts w:eastAsia="PMingLiU" w:cs="Times New Roman"/>
          <w:sz w:val="20"/>
          <w:lang w:val="en-GB" w:eastAsia="zh-TW"/>
        </w:rPr>
        <w:t xml:space="preserve">egression </w:t>
      </w:r>
      <w:r w:rsidRPr="007048BA">
        <w:rPr>
          <w:rFonts w:eastAsia="PMingLiU" w:cs="Times New Roman"/>
          <w:sz w:val="20"/>
          <w:lang w:val="en-GB" w:eastAsia="zh-TW"/>
        </w:rPr>
        <w:t xml:space="preserve">results </w:t>
      </w:r>
      <w:r w:rsidR="009F06D3" w:rsidRPr="007048BA">
        <w:rPr>
          <w:rFonts w:eastAsia="PMingLiU" w:cs="Times New Roman"/>
          <w:sz w:val="20"/>
          <w:lang w:val="en-GB" w:eastAsia="zh-TW"/>
        </w:rPr>
        <w:t xml:space="preserve">(with firm and year fixed effects) </w:t>
      </w:r>
      <w:r w:rsidR="007170C1" w:rsidRPr="007048BA">
        <w:rPr>
          <w:rFonts w:eastAsia="PMingLiU" w:cs="Times New Roman"/>
          <w:sz w:val="20"/>
          <w:lang w:val="en-GB" w:eastAsia="zh-TW"/>
        </w:rPr>
        <w:t>from equation (</w:t>
      </w:r>
      <w:r w:rsidR="00350BCD" w:rsidRPr="007048BA">
        <w:rPr>
          <w:rFonts w:eastAsia="PMingLiU" w:cs="Times New Roman"/>
          <w:sz w:val="20"/>
          <w:lang w:val="en-GB" w:eastAsia="zh-TW"/>
        </w:rPr>
        <w:t>9</w:t>
      </w:r>
      <w:r w:rsidR="007170C1" w:rsidRPr="007048BA">
        <w:rPr>
          <w:rFonts w:eastAsia="PMingLiU" w:cs="Times New Roman"/>
          <w:sz w:val="20"/>
          <w:lang w:val="en-GB" w:eastAsia="zh-TW"/>
        </w:rPr>
        <w:t xml:space="preserve">) </w:t>
      </w:r>
      <w:r w:rsidR="009F06D3" w:rsidRPr="007048BA">
        <w:rPr>
          <w:rFonts w:eastAsia="PMingLiU" w:cs="Times New Roman"/>
          <w:sz w:val="20"/>
          <w:lang w:val="en-GB" w:eastAsia="zh-TW"/>
        </w:rPr>
        <w:t>which explores</w:t>
      </w:r>
      <w:r w:rsidRPr="007048BA">
        <w:rPr>
          <w:rFonts w:eastAsia="PMingLiU" w:cs="Times New Roman"/>
          <w:sz w:val="20"/>
          <w:lang w:val="en-GB" w:eastAsia="zh-TW"/>
        </w:rPr>
        <w:t xml:space="preserve"> whether </w:t>
      </w:r>
      <w:r w:rsidR="006B3320" w:rsidRPr="007048BA">
        <w:rPr>
          <w:rFonts w:eastAsia="PMingLiU" w:cs="Times New Roman"/>
          <w:sz w:val="20"/>
          <w:lang w:val="en-GB" w:eastAsia="zh-TW"/>
        </w:rPr>
        <w:t>attributes</w:t>
      </w:r>
      <w:r w:rsidRPr="007048BA">
        <w:rPr>
          <w:rFonts w:eastAsia="PMingLiU" w:cs="Times New Roman"/>
          <w:sz w:val="20"/>
          <w:lang w:val="en-GB" w:eastAsia="zh-TW"/>
        </w:rPr>
        <w:t xml:space="preserve"> of </w:t>
      </w:r>
      <w:r w:rsidR="00EF63A8" w:rsidRPr="007048BA">
        <w:rPr>
          <w:rFonts w:eastAsia="PMingLiU" w:cs="Times New Roman"/>
          <w:i/>
          <w:sz w:val="20"/>
          <w:lang w:val="en-GB" w:eastAsia="zh-TW"/>
        </w:rPr>
        <w:t>performance</w:t>
      </w:r>
      <w:r w:rsidR="007170C1" w:rsidRPr="007048BA">
        <w:rPr>
          <w:rFonts w:eastAsia="PMingLiU" w:cs="Times New Roman"/>
          <w:sz w:val="20"/>
          <w:lang w:val="en-GB" w:eastAsia="zh-TW"/>
        </w:rPr>
        <w:t xml:space="preserve"> </w:t>
      </w:r>
      <w:r w:rsidRPr="007048BA">
        <w:rPr>
          <w:rFonts w:eastAsia="PMingLiU" w:cs="Times New Roman"/>
          <w:sz w:val="20"/>
          <w:lang w:val="en-GB" w:eastAsia="zh-TW"/>
        </w:rPr>
        <w:t>(</w:t>
      </w:r>
      <w:r w:rsidR="00ED262D" w:rsidRPr="007048BA">
        <w:rPr>
          <w:rFonts w:eastAsia="PMingLiU" w:cs="Times New Roman"/>
          <w:i/>
          <w:sz w:val="20"/>
          <w:lang w:val="en-GB" w:eastAsia="zh-TW"/>
        </w:rPr>
        <w:t>poor</w:t>
      </w:r>
      <w:r w:rsidRPr="007048BA">
        <w:rPr>
          <w:rFonts w:eastAsia="PMingLiU" w:cs="Times New Roman"/>
          <w:i/>
          <w:sz w:val="20"/>
          <w:lang w:val="en-GB" w:eastAsia="zh-TW"/>
        </w:rPr>
        <w:t xml:space="preserve">, </w:t>
      </w:r>
      <w:r w:rsidR="00ED262D" w:rsidRPr="007048BA">
        <w:rPr>
          <w:rFonts w:eastAsia="PMingLiU" w:cs="Times New Roman"/>
          <w:i/>
          <w:sz w:val="20"/>
          <w:lang w:val="en-GB" w:eastAsia="zh-TW"/>
        </w:rPr>
        <w:t>myopia</w:t>
      </w:r>
      <w:r w:rsidRPr="007048BA">
        <w:rPr>
          <w:rFonts w:eastAsia="PMingLiU" w:cs="Times New Roman"/>
          <w:i/>
          <w:sz w:val="20"/>
          <w:lang w:val="en-GB" w:eastAsia="zh-TW"/>
        </w:rPr>
        <w:t xml:space="preserve">, </w:t>
      </w:r>
      <w:r w:rsidR="00ED262D" w:rsidRPr="007048BA">
        <w:rPr>
          <w:rFonts w:eastAsia="PMingLiU" w:cs="Times New Roman"/>
          <w:i/>
          <w:sz w:val="20"/>
          <w:lang w:val="en-GB" w:eastAsia="zh-TW"/>
        </w:rPr>
        <w:t>hyperopia</w:t>
      </w:r>
      <w:r w:rsidRPr="007048BA">
        <w:rPr>
          <w:rFonts w:eastAsia="PMingLiU" w:cs="Times New Roman"/>
          <w:sz w:val="20"/>
          <w:lang w:val="en-GB" w:eastAsia="zh-TW"/>
        </w:rPr>
        <w:t xml:space="preserve"> and </w:t>
      </w:r>
      <w:r w:rsidR="00ED262D" w:rsidRPr="007048BA">
        <w:rPr>
          <w:rFonts w:eastAsia="PMingLiU" w:cs="Times New Roman"/>
          <w:i/>
          <w:sz w:val="20"/>
          <w:lang w:val="en-GB" w:eastAsia="zh-TW"/>
        </w:rPr>
        <w:t>efficient</w:t>
      </w:r>
      <w:r w:rsidRPr="007048BA">
        <w:rPr>
          <w:rFonts w:eastAsia="PMingLiU" w:cs="Times New Roman"/>
          <w:sz w:val="20"/>
          <w:lang w:val="en-GB" w:eastAsia="zh-TW"/>
        </w:rPr>
        <w:t xml:space="preserve">) explain variations in levels of </w:t>
      </w:r>
      <w:r w:rsidR="0060367E" w:rsidRPr="007048BA">
        <w:rPr>
          <w:rFonts w:eastAsia="PMingLiU" w:cs="Times New Roman"/>
          <w:sz w:val="20"/>
          <w:lang w:val="en-GB" w:eastAsia="zh-TW"/>
        </w:rPr>
        <w:t>discretionary accruals</w:t>
      </w:r>
      <w:r w:rsidR="007170C1" w:rsidRPr="007048BA">
        <w:rPr>
          <w:rFonts w:eastAsia="PMingLiU" w:cs="Times New Roman"/>
          <w:sz w:val="20"/>
          <w:lang w:val="en-GB" w:eastAsia="zh-TW"/>
        </w:rPr>
        <w:t xml:space="preserve"> (</w:t>
      </w:r>
      <w:r w:rsidR="007170C1" w:rsidRPr="007048BA">
        <w:rPr>
          <w:rFonts w:eastAsia="PMingLiU" w:cs="Times New Roman"/>
          <w:i/>
          <w:sz w:val="20"/>
          <w:lang w:val="en-GB" w:eastAsia="zh-TW"/>
        </w:rPr>
        <w:t>DA</w:t>
      </w:r>
      <w:r w:rsidR="007170C1" w:rsidRPr="007048BA">
        <w:rPr>
          <w:rFonts w:eastAsia="PMingLiU" w:cs="Times New Roman"/>
          <w:sz w:val="20"/>
          <w:lang w:val="en-GB" w:eastAsia="zh-TW"/>
        </w:rPr>
        <w:t>)</w:t>
      </w:r>
      <w:r w:rsidR="0060367E" w:rsidRPr="007048BA">
        <w:rPr>
          <w:rFonts w:eastAsia="PMingLiU" w:cs="Times New Roman"/>
          <w:sz w:val="20"/>
          <w:lang w:val="en-GB" w:eastAsia="zh-TW"/>
        </w:rPr>
        <w:t xml:space="preserve"> </w:t>
      </w:r>
      <w:r w:rsidRPr="007048BA">
        <w:rPr>
          <w:rFonts w:eastAsia="PMingLiU" w:cs="Times New Roman"/>
          <w:sz w:val="20"/>
          <w:lang w:val="en-GB" w:eastAsia="zh-TW"/>
        </w:rPr>
        <w:t>across firms.</w:t>
      </w:r>
      <w:r w:rsidR="007170C1" w:rsidRPr="007048BA">
        <w:rPr>
          <w:rFonts w:eastAsia="PMingLiU" w:cs="Times New Roman"/>
          <w:sz w:val="20"/>
          <w:lang w:val="en-GB" w:eastAsia="zh-TW"/>
        </w:rPr>
        <w:t xml:space="preserve"> </w:t>
      </w:r>
    </w:p>
    <w:p w14:paraId="322D9C63" w14:textId="4FB320F6" w:rsidR="007170C1" w:rsidRPr="007048BA" w:rsidRDefault="007048BA" w:rsidP="007170C1">
      <w:pPr>
        <w:spacing w:line="240" w:lineRule="auto"/>
        <w:jc w:val="center"/>
        <w:rPr>
          <w:sz w:val="20"/>
          <w:lang w:val="en-GB"/>
        </w:rPr>
      </w:pPr>
      <m:oMath>
        <m:sSub>
          <m:sSubPr>
            <m:ctrlPr>
              <w:rPr>
                <w:rFonts w:ascii="Cambria Math" w:hAnsi="Cambria Math"/>
                <w:i/>
                <w:sz w:val="20"/>
                <w:lang w:val="en-GB"/>
              </w:rPr>
            </m:ctrlPr>
          </m:sSubPr>
          <m:e>
            <m:r>
              <w:rPr>
                <w:rFonts w:ascii="Cambria Math" w:hAnsi="Cambria Math"/>
                <w:sz w:val="20"/>
                <w:lang w:val="en-GB"/>
              </w:rPr>
              <m:t>DA</m:t>
            </m:r>
          </m:e>
          <m:sub>
            <m:r>
              <w:rPr>
                <w:rFonts w:ascii="Cambria Math" w:hAnsi="Cambria Math"/>
                <w:sz w:val="20"/>
                <w:lang w:val="en-GB"/>
              </w:rPr>
              <m:t>it</m:t>
            </m:r>
          </m:sub>
        </m:sSub>
        <m:r>
          <w:rPr>
            <w:rFonts w:ascii="Cambria Math" w:hAnsi="Cambria Math"/>
            <w:sz w:val="20"/>
            <w:lang w:val="en-GB"/>
          </w:rPr>
          <m:t>=α+β*</m:t>
        </m:r>
        <m:sSub>
          <m:sSubPr>
            <m:ctrlPr>
              <w:rPr>
                <w:rFonts w:ascii="Cambria Math" w:hAnsi="Cambria Math"/>
                <w:i/>
                <w:sz w:val="20"/>
                <w:lang w:val="en-GB"/>
              </w:rPr>
            </m:ctrlPr>
          </m:sSubPr>
          <m:e>
            <m:r>
              <w:rPr>
                <w:rFonts w:ascii="Cambria Math" w:hAnsi="Cambria Math"/>
                <w:sz w:val="20"/>
                <w:lang w:val="en-GB"/>
              </w:rPr>
              <m:t>Performance</m:t>
            </m:r>
          </m:e>
          <m:sub>
            <m:r>
              <w:rPr>
                <w:rFonts w:ascii="Cambria Math" w:hAnsi="Cambria Math"/>
                <w:sz w:val="20"/>
                <w:lang w:val="en-GB"/>
              </w:rPr>
              <m:t>it</m:t>
            </m:r>
          </m:sub>
        </m:sSub>
        <m:r>
          <w:rPr>
            <w:rFonts w:ascii="Cambria Math" w:hAnsi="Cambria Math"/>
            <w:sz w:val="20"/>
            <w:lang w:val="en-GB"/>
          </w:rPr>
          <m:t>+</m:t>
        </m:r>
        <m:sSub>
          <m:sSubPr>
            <m:ctrlPr>
              <w:rPr>
                <w:rFonts w:ascii="Cambria Math" w:hAnsi="Cambria Math"/>
                <w:i/>
                <w:sz w:val="20"/>
                <w:lang w:val="en-GB"/>
              </w:rPr>
            </m:ctrlPr>
          </m:sSubPr>
          <m:e>
            <m:r>
              <w:rPr>
                <w:rFonts w:ascii="Cambria Math" w:hAnsi="Cambria Math"/>
                <w:sz w:val="20"/>
                <w:lang w:val="en-GB"/>
              </w:rPr>
              <m:t>γ*Controls</m:t>
            </m:r>
          </m:e>
          <m:sub>
            <m:r>
              <w:rPr>
                <w:rFonts w:ascii="Cambria Math" w:hAnsi="Cambria Math"/>
                <w:sz w:val="20"/>
                <w:lang w:val="en-GB"/>
              </w:rPr>
              <m:t>it</m:t>
            </m:r>
          </m:sub>
        </m:sSub>
        <m:r>
          <w:rPr>
            <w:rFonts w:ascii="Cambria Math" w:hAnsi="Cambria Math"/>
            <w:sz w:val="20"/>
            <w:lang w:val="en-GB"/>
          </w:rPr>
          <m:t>+</m:t>
        </m:r>
        <m:sSub>
          <m:sSubPr>
            <m:ctrlPr>
              <w:rPr>
                <w:rFonts w:ascii="Cambria Math" w:hAnsi="Cambria Math"/>
                <w:i/>
                <w:sz w:val="20"/>
                <w:lang w:val="en-GB"/>
              </w:rPr>
            </m:ctrlPr>
          </m:sSubPr>
          <m:e>
            <m:r>
              <w:rPr>
                <w:rFonts w:ascii="Cambria Math" w:hAnsi="Cambria Math"/>
                <w:sz w:val="20"/>
                <w:lang w:val="en-GB"/>
              </w:rPr>
              <m:t>ε</m:t>
            </m:r>
          </m:e>
          <m:sub>
            <m:r>
              <w:rPr>
                <w:rFonts w:ascii="Cambria Math" w:hAnsi="Cambria Math"/>
                <w:sz w:val="20"/>
                <w:lang w:val="en-GB"/>
              </w:rPr>
              <m:t>it</m:t>
            </m:r>
          </m:sub>
        </m:sSub>
      </m:oMath>
      <w:r w:rsidR="007170C1" w:rsidRPr="007048BA">
        <w:rPr>
          <w:sz w:val="20"/>
          <w:lang w:val="en-GB"/>
        </w:rPr>
        <w:t xml:space="preserve">                            (</w:t>
      </w:r>
      <w:r w:rsidR="00396951" w:rsidRPr="007048BA">
        <w:rPr>
          <w:sz w:val="20"/>
          <w:lang w:val="en-GB"/>
        </w:rPr>
        <w:t>9</w:t>
      </w:r>
      <w:r w:rsidR="007170C1" w:rsidRPr="007048BA">
        <w:rPr>
          <w:sz w:val="20"/>
          <w:lang w:val="en-GB"/>
        </w:rPr>
        <w:t>)</w:t>
      </w:r>
    </w:p>
    <w:p w14:paraId="5DAAF79A" w14:textId="5C36291D" w:rsidR="0060367E" w:rsidRPr="007048BA" w:rsidRDefault="005D120E" w:rsidP="00031D30">
      <w:pPr>
        <w:spacing w:line="240" w:lineRule="auto"/>
        <w:ind w:firstLine="0"/>
        <w:rPr>
          <w:rFonts w:eastAsia="Times New Roman" w:cs="Times New Roman"/>
          <w:color w:val="000000"/>
          <w:sz w:val="20"/>
          <w:lang w:val="en-GB" w:eastAsia="en-GB"/>
        </w:rPr>
      </w:pPr>
      <w:r w:rsidRPr="007048BA">
        <w:rPr>
          <w:rFonts w:eastAsia="PMingLiU" w:cs="Times New Roman"/>
          <w:sz w:val="20"/>
          <w:szCs w:val="20"/>
          <w:lang w:val="en-GB" w:eastAsia="zh-TW"/>
        </w:rPr>
        <w:t xml:space="preserve">The dependent variable is </w:t>
      </w:r>
      <w:r w:rsidRPr="007048BA">
        <w:rPr>
          <w:rFonts w:eastAsia="PMingLiU" w:cs="Times New Roman"/>
          <w:sz w:val="20"/>
          <w:lang w:val="en-GB" w:eastAsia="zh-TW"/>
        </w:rPr>
        <w:t xml:space="preserve">current </w:t>
      </w:r>
      <w:r w:rsidR="00396951" w:rsidRPr="007048BA">
        <w:rPr>
          <w:rFonts w:eastAsia="PMingLiU" w:cs="Times New Roman"/>
          <w:sz w:val="20"/>
          <w:lang w:val="en-GB" w:eastAsia="zh-TW"/>
        </w:rPr>
        <w:t>discretionary accruals</w:t>
      </w:r>
      <w:r w:rsidRPr="007048BA">
        <w:rPr>
          <w:rFonts w:eastAsia="PMingLiU" w:cs="Times New Roman"/>
          <w:sz w:val="20"/>
          <w:lang w:val="en-GB" w:eastAsia="zh-TW"/>
        </w:rPr>
        <w:t xml:space="preserve">. </w:t>
      </w:r>
      <w:r w:rsidR="00031D30" w:rsidRPr="007048BA">
        <w:rPr>
          <w:rFonts w:eastAsia="PMingLiU" w:cs="Times New Roman"/>
          <w:sz w:val="20"/>
          <w:szCs w:val="20"/>
          <w:lang w:val="en-GB" w:eastAsia="zh-TW"/>
        </w:rPr>
        <w:t>The control variables in the model are fully discussed in Appendix 1.</w:t>
      </w:r>
      <w:r w:rsidR="00396951" w:rsidRPr="007048BA">
        <w:rPr>
          <w:rFonts w:eastAsia="PMingLiU" w:cs="Times New Roman"/>
          <w:sz w:val="20"/>
          <w:szCs w:val="20"/>
          <w:lang w:val="en-GB" w:eastAsia="zh-TW"/>
        </w:rPr>
        <w:t xml:space="preserve"> </w:t>
      </w:r>
      <w:r w:rsidR="007170C1" w:rsidRPr="007048BA">
        <w:rPr>
          <w:rFonts w:eastAsia="Times New Roman" w:cs="Times New Roman"/>
          <w:color w:val="000000"/>
          <w:sz w:val="20"/>
          <w:lang w:val="en-GB" w:eastAsia="en-GB"/>
        </w:rPr>
        <w:t xml:space="preserve">The </w:t>
      </w:r>
      <w:r w:rsidR="007170C1" w:rsidRPr="007048BA">
        <w:rPr>
          <w:rFonts w:eastAsia="Times New Roman" w:cs="Times New Roman"/>
          <w:i/>
          <w:color w:val="000000"/>
          <w:sz w:val="20"/>
          <w:lang w:val="en-GB" w:eastAsia="en-GB"/>
        </w:rPr>
        <w:t>p-values</w:t>
      </w:r>
      <w:r w:rsidR="007170C1" w:rsidRPr="007048BA">
        <w:rPr>
          <w:rFonts w:eastAsia="Times New Roman" w:cs="Times New Roman"/>
          <w:color w:val="000000"/>
          <w:sz w:val="20"/>
          <w:lang w:val="en-GB" w:eastAsia="en-GB"/>
        </w:rPr>
        <w:t xml:space="preserve"> are presented in parenthesis. ***, **, * indicate significance at the 1%, 5% and 10% levels, respectively.</w:t>
      </w:r>
    </w:p>
    <w:tbl>
      <w:tblPr>
        <w:tblW w:w="0" w:type="auto"/>
        <w:jc w:val="center"/>
        <w:tblCellMar>
          <w:left w:w="75" w:type="dxa"/>
          <w:right w:w="75" w:type="dxa"/>
        </w:tblCellMar>
        <w:tblLook w:val="0000" w:firstRow="0" w:lastRow="0" w:firstColumn="0" w:lastColumn="0" w:noHBand="0" w:noVBand="0"/>
      </w:tblPr>
      <w:tblGrid>
        <w:gridCol w:w="1744"/>
        <w:gridCol w:w="1697"/>
        <w:gridCol w:w="1697"/>
        <w:gridCol w:w="1697"/>
        <w:gridCol w:w="1697"/>
      </w:tblGrid>
      <w:tr w:rsidR="005D120E" w:rsidRPr="007048BA" w14:paraId="68B26FFB" w14:textId="77777777" w:rsidTr="001B7B25">
        <w:trPr>
          <w:jc w:val="center"/>
        </w:trPr>
        <w:tc>
          <w:tcPr>
            <w:tcW w:w="0" w:type="auto"/>
            <w:tcBorders>
              <w:top w:val="single" w:sz="6" w:space="0" w:color="auto"/>
              <w:left w:val="nil"/>
              <w:bottom w:val="nil"/>
              <w:right w:val="nil"/>
            </w:tcBorders>
          </w:tcPr>
          <w:p w14:paraId="368BBF62" w14:textId="77777777" w:rsidR="005D120E" w:rsidRPr="007048BA" w:rsidRDefault="005D120E" w:rsidP="00BC701D">
            <w:pPr>
              <w:widowControl w:val="0"/>
              <w:autoSpaceDE w:val="0"/>
              <w:autoSpaceDN w:val="0"/>
              <w:adjustRightInd w:val="0"/>
              <w:spacing w:after="0" w:line="240" w:lineRule="auto"/>
              <w:rPr>
                <w:rFonts w:cs="Times New Roman"/>
                <w:szCs w:val="24"/>
              </w:rPr>
            </w:pPr>
          </w:p>
        </w:tc>
        <w:tc>
          <w:tcPr>
            <w:tcW w:w="0" w:type="auto"/>
            <w:tcBorders>
              <w:top w:val="single" w:sz="6" w:space="0" w:color="auto"/>
              <w:left w:val="nil"/>
              <w:bottom w:val="single" w:sz="4" w:space="0" w:color="auto"/>
              <w:right w:val="nil"/>
            </w:tcBorders>
          </w:tcPr>
          <w:p w14:paraId="2A39E2B4" w14:textId="77777777" w:rsidR="005D120E" w:rsidRPr="007048BA" w:rsidRDefault="005D120E" w:rsidP="00BC701D">
            <w:pPr>
              <w:widowControl w:val="0"/>
              <w:autoSpaceDE w:val="0"/>
              <w:autoSpaceDN w:val="0"/>
              <w:adjustRightInd w:val="0"/>
              <w:spacing w:after="0" w:line="240" w:lineRule="auto"/>
              <w:jc w:val="center"/>
              <w:rPr>
                <w:rFonts w:cs="Times New Roman"/>
                <w:szCs w:val="24"/>
              </w:rPr>
            </w:pPr>
            <w:r w:rsidRPr="007048BA">
              <w:rPr>
                <w:rFonts w:cs="Times New Roman"/>
                <w:szCs w:val="24"/>
              </w:rPr>
              <w:t>(1)</w:t>
            </w:r>
          </w:p>
        </w:tc>
        <w:tc>
          <w:tcPr>
            <w:tcW w:w="0" w:type="auto"/>
            <w:tcBorders>
              <w:top w:val="single" w:sz="6" w:space="0" w:color="auto"/>
              <w:left w:val="nil"/>
              <w:bottom w:val="single" w:sz="4" w:space="0" w:color="auto"/>
              <w:right w:val="nil"/>
            </w:tcBorders>
          </w:tcPr>
          <w:p w14:paraId="09BACD8A" w14:textId="77777777" w:rsidR="005D120E" w:rsidRPr="007048BA" w:rsidRDefault="005D120E" w:rsidP="00BC701D">
            <w:pPr>
              <w:widowControl w:val="0"/>
              <w:autoSpaceDE w:val="0"/>
              <w:autoSpaceDN w:val="0"/>
              <w:adjustRightInd w:val="0"/>
              <w:spacing w:after="0" w:line="240" w:lineRule="auto"/>
              <w:jc w:val="center"/>
              <w:rPr>
                <w:rFonts w:cs="Times New Roman"/>
                <w:szCs w:val="24"/>
              </w:rPr>
            </w:pPr>
            <w:r w:rsidRPr="007048BA">
              <w:rPr>
                <w:rFonts w:cs="Times New Roman"/>
                <w:szCs w:val="24"/>
              </w:rPr>
              <w:t>(2)</w:t>
            </w:r>
          </w:p>
        </w:tc>
        <w:tc>
          <w:tcPr>
            <w:tcW w:w="0" w:type="auto"/>
            <w:tcBorders>
              <w:top w:val="single" w:sz="6" w:space="0" w:color="auto"/>
              <w:left w:val="nil"/>
              <w:bottom w:val="single" w:sz="4" w:space="0" w:color="auto"/>
              <w:right w:val="nil"/>
            </w:tcBorders>
          </w:tcPr>
          <w:p w14:paraId="5E6BD8CF" w14:textId="77777777" w:rsidR="005D120E" w:rsidRPr="007048BA" w:rsidRDefault="005D120E" w:rsidP="00BC701D">
            <w:pPr>
              <w:widowControl w:val="0"/>
              <w:autoSpaceDE w:val="0"/>
              <w:autoSpaceDN w:val="0"/>
              <w:adjustRightInd w:val="0"/>
              <w:spacing w:after="0" w:line="240" w:lineRule="auto"/>
              <w:jc w:val="center"/>
              <w:rPr>
                <w:rFonts w:cs="Times New Roman"/>
                <w:szCs w:val="24"/>
              </w:rPr>
            </w:pPr>
            <w:r w:rsidRPr="007048BA">
              <w:rPr>
                <w:rFonts w:cs="Times New Roman"/>
                <w:szCs w:val="24"/>
              </w:rPr>
              <w:t>(3)</w:t>
            </w:r>
          </w:p>
        </w:tc>
        <w:tc>
          <w:tcPr>
            <w:tcW w:w="0" w:type="auto"/>
            <w:tcBorders>
              <w:top w:val="single" w:sz="6" w:space="0" w:color="auto"/>
              <w:left w:val="nil"/>
              <w:bottom w:val="single" w:sz="4" w:space="0" w:color="auto"/>
              <w:right w:val="nil"/>
            </w:tcBorders>
          </w:tcPr>
          <w:p w14:paraId="6A696772" w14:textId="77777777" w:rsidR="005D120E" w:rsidRPr="007048BA" w:rsidRDefault="005D120E" w:rsidP="00BC701D">
            <w:pPr>
              <w:widowControl w:val="0"/>
              <w:autoSpaceDE w:val="0"/>
              <w:autoSpaceDN w:val="0"/>
              <w:adjustRightInd w:val="0"/>
              <w:spacing w:after="0" w:line="240" w:lineRule="auto"/>
              <w:jc w:val="center"/>
              <w:rPr>
                <w:rFonts w:cs="Times New Roman"/>
                <w:szCs w:val="24"/>
              </w:rPr>
            </w:pPr>
            <w:r w:rsidRPr="007048BA">
              <w:rPr>
                <w:rFonts w:cs="Times New Roman"/>
                <w:szCs w:val="24"/>
              </w:rPr>
              <w:t>(4)</w:t>
            </w:r>
          </w:p>
        </w:tc>
      </w:tr>
      <w:tr w:rsidR="005579BB" w:rsidRPr="007048BA" w14:paraId="770EF3CD" w14:textId="77777777" w:rsidTr="001B7B25">
        <w:trPr>
          <w:jc w:val="center"/>
        </w:trPr>
        <w:tc>
          <w:tcPr>
            <w:tcW w:w="0" w:type="auto"/>
            <w:tcBorders>
              <w:top w:val="nil"/>
              <w:left w:val="nil"/>
              <w:bottom w:val="nil"/>
              <w:right w:val="nil"/>
            </w:tcBorders>
          </w:tcPr>
          <w:p w14:paraId="245B9C1B"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Poor</w:t>
            </w:r>
          </w:p>
        </w:tc>
        <w:tc>
          <w:tcPr>
            <w:tcW w:w="0" w:type="auto"/>
            <w:tcBorders>
              <w:top w:val="single" w:sz="4" w:space="0" w:color="auto"/>
              <w:left w:val="nil"/>
              <w:bottom w:val="nil"/>
              <w:right w:val="nil"/>
            </w:tcBorders>
          </w:tcPr>
          <w:p w14:paraId="698072ED"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-0.012***</w:t>
            </w:r>
          </w:p>
        </w:tc>
        <w:tc>
          <w:tcPr>
            <w:tcW w:w="0" w:type="auto"/>
            <w:tcBorders>
              <w:top w:val="single" w:sz="4" w:space="0" w:color="auto"/>
              <w:left w:val="nil"/>
              <w:bottom w:val="nil"/>
              <w:right w:val="nil"/>
            </w:tcBorders>
          </w:tcPr>
          <w:p w14:paraId="7FC5D3FF"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single" w:sz="4" w:space="0" w:color="auto"/>
              <w:left w:val="nil"/>
              <w:bottom w:val="nil"/>
              <w:right w:val="nil"/>
            </w:tcBorders>
          </w:tcPr>
          <w:p w14:paraId="6362DF09"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single" w:sz="4" w:space="0" w:color="auto"/>
              <w:left w:val="nil"/>
              <w:bottom w:val="nil"/>
              <w:right w:val="nil"/>
            </w:tcBorders>
          </w:tcPr>
          <w:p w14:paraId="631350C8"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r>
      <w:tr w:rsidR="005579BB" w:rsidRPr="007048BA" w14:paraId="5AA391B2" w14:textId="77777777" w:rsidTr="00821FD2">
        <w:trPr>
          <w:jc w:val="center"/>
        </w:trPr>
        <w:tc>
          <w:tcPr>
            <w:tcW w:w="0" w:type="auto"/>
            <w:tcBorders>
              <w:top w:val="nil"/>
              <w:left w:val="nil"/>
              <w:bottom w:val="nil"/>
              <w:right w:val="nil"/>
            </w:tcBorders>
          </w:tcPr>
          <w:p w14:paraId="13ABF5F0"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4706B268"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66F71ECA"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nil"/>
              <w:left w:val="nil"/>
              <w:bottom w:val="nil"/>
              <w:right w:val="nil"/>
            </w:tcBorders>
          </w:tcPr>
          <w:p w14:paraId="31651183"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nil"/>
              <w:left w:val="nil"/>
              <w:bottom w:val="nil"/>
              <w:right w:val="nil"/>
            </w:tcBorders>
          </w:tcPr>
          <w:p w14:paraId="0D5D982C"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r>
      <w:tr w:rsidR="005579BB" w:rsidRPr="007048BA" w14:paraId="6ADC2FE5" w14:textId="77777777" w:rsidTr="00821FD2">
        <w:trPr>
          <w:jc w:val="center"/>
        </w:trPr>
        <w:tc>
          <w:tcPr>
            <w:tcW w:w="0" w:type="auto"/>
            <w:tcBorders>
              <w:top w:val="nil"/>
              <w:left w:val="nil"/>
              <w:bottom w:val="nil"/>
              <w:right w:val="nil"/>
            </w:tcBorders>
          </w:tcPr>
          <w:p w14:paraId="50193EF7"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Myopia</w:t>
            </w:r>
          </w:p>
        </w:tc>
        <w:tc>
          <w:tcPr>
            <w:tcW w:w="0" w:type="auto"/>
            <w:tcBorders>
              <w:top w:val="nil"/>
              <w:left w:val="nil"/>
              <w:bottom w:val="nil"/>
              <w:right w:val="nil"/>
            </w:tcBorders>
          </w:tcPr>
          <w:p w14:paraId="739179BF"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nil"/>
              <w:left w:val="nil"/>
              <w:bottom w:val="nil"/>
              <w:right w:val="nil"/>
            </w:tcBorders>
          </w:tcPr>
          <w:p w14:paraId="2EF8836F"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0.005***</w:t>
            </w:r>
          </w:p>
        </w:tc>
        <w:tc>
          <w:tcPr>
            <w:tcW w:w="0" w:type="auto"/>
            <w:tcBorders>
              <w:top w:val="nil"/>
              <w:left w:val="nil"/>
              <w:bottom w:val="nil"/>
              <w:right w:val="nil"/>
            </w:tcBorders>
          </w:tcPr>
          <w:p w14:paraId="0ED6F44C"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nil"/>
              <w:left w:val="nil"/>
              <w:bottom w:val="nil"/>
              <w:right w:val="nil"/>
            </w:tcBorders>
          </w:tcPr>
          <w:p w14:paraId="6766B93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r>
      <w:tr w:rsidR="005579BB" w:rsidRPr="007048BA" w14:paraId="45916D22" w14:textId="77777777" w:rsidTr="00821FD2">
        <w:trPr>
          <w:jc w:val="center"/>
        </w:trPr>
        <w:tc>
          <w:tcPr>
            <w:tcW w:w="0" w:type="auto"/>
            <w:tcBorders>
              <w:top w:val="nil"/>
              <w:left w:val="nil"/>
              <w:bottom w:val="nil"/>
              <w:right w:val="nil"/>
            </w:tcBorders>
          </w:tcPr>
          <w:p w14:paraId="1C2657E2"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06063DF7"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nil"/>
              <w:left w:val="nil"/>
              <w:bottom w:val="nil"/>
              <w:right w:val="nil"/>
            </w:tcBorders>
          </w:tcPr>
          <w:p w14:paraId="3883DD6F"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(0.004)</w:t>
            </w:r>
          </w:p>
        </w:tc>
        <w:tc>
          <w:tcPr>
            <w:tcW w:w="0" w:type="auto"/>
            <w:tcBorders>
              <w:top w:val="nil"/>
              <w:left w:val="nil"/>
              <w:bottom w:val="nil"/>
              <w:right w:val="nil"/>
            </w:tcBorders>
          </w:tcPr>
          <w:p w14:paraId="35D2C7B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nil"/>
              <w:left w:val="nil"/>
              <w:bottom w:val="nil"/>
              <w:right w:val="nil"/>
            </w:tcBorders>
          </w:tcPr>
          <w:p w14:paraId="72446988"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r>
      <w:tr w:rsidR="005579BB" w:rsidRPr="007048BA" w14:paraId="4AE39C5A" w14:textId="77777777" w:rsidTr="00821FD2">
        <w:trPr>
          <w:jc w:val="center"/>
        </w:trPr>
        <w:tc>
          <w:tcPr>
            <w:tcW w:w="0" w:type="auto"/>
            <w:tcBorders>
              <w:top w:val="nil"/>
              <w:left w:val="nil"/>
              <w:bottom w:val="nil"/>
              <w:right w:val="nil"/>
            </w:tcBorders>
          </w:tcPr>
          <w:p w14:paraId="77148C63"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Hyperopia</w:t>
            </w:r>
          </w:p>
        </w:tc>
        <w:tc>
          <w:tcPr>
            <w:tcW w:w="0" w:type="auto"/>
            <w:tcBorders>
              <w:top w:val="nil"/>
              <w:left w:val="nil"/>
              <w:bottom w:val="nil"/>
              <w:right w:val="nil"/>
            </w:tcBorders>
          </w:tcPr>
          <w:p w14:paraId="6A5AA667"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nil"/>
              <w:left w:val="nil"/>
              <w:bottom w:val="nil"/>
              <w:right w:val="nil"/>
            </w:tcBorders>
          </w:tcPr>
          <w:p w14:paraId="32AEA1C0"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nil"/>
              <w:left w:val="nil"/>
              <w:bottom w:val="nil"/>
              <w:right w:val="nil"/>
            </w:tcBorders>
          </w:tcPr>
          <w:p w14:paraId="707FFE8A"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-0.016***</w:t>
            </w:r>
          </w:p>
        </w:tc>
        <w:tc>
          <w:tcPr>
            <w:tcW w:w="0" w:type="auto"/>
            <w:tcBorders>
              <w:top w:val="nil"/>
              <w:left w:val="nil"/>
              <w:bottom w:val="nil"/>
              <w:right w:val="nil"/>
            </w:tcBorders>
          </w:tcPr>
          <w:p w14:paraId="7954F262"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r>
      <w:tr w:rsidR="005579BB" w:rsidRPr="007048BA" w14:paraId="1A323586" w14:textId="77777777" w:rsidTr="00821FD2">
        <w:trPr>
          <w:jc w:val="center"/>
        </w:trPr>
        <w:tc>
          <w:tcPr>
            <w:tcW w:w="0" w:type="auto"/>
            <w:tcBorders>
              <w:top w:val="nil"/>
              <w:left w:val="nil"/>
              <w:bottom w:val="nil"/>
              <w:right w:val="nil"/>
            </w:tcBorders>
          </w:tcPr>
          <w:p w14:paraId="18F20130"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172455C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nil"/>
              <w:left w:val="nil"/>
              <w:bottom w:val="nil"/>
              <w:right w:val="nil"/>
            </w:tcBorders>
          </w:tcPr>
          <w:p w14:paraId="67FB3D68"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nil"/>
              <w:left w:val="nil"/>
              <w:bottom w:val="nil"/>
              <w:right w:val="nil"/>
            </w:tcBorders>
          </w:tcPr>
          <w:p w14:paraId="2C6FACA1"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533E5AE7"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r>
      <w:tr w:rsidR="005579BB" w:rsidRPr="007048BA" w14:paraId="459D0CBD" w14:textId="77777777" w:rsidTr="00821FD2">
        <w:trPr>
          <w:jc w:val="center"/>
        </w:trPr>
        <w:tc>
          <w:tcPr>
            <w:tcW w:w="0" w:type="auto"/>
            <w:tcBorders>
              <w:top w:val="nil"/>
              <w:left w:val="nil"/>
              <w:bottom w:val="nil"/>
              <w:right w:val="nil"/>
            </w:tcBorders>
          </w:tcPr>
          <w:p w14:paraId="133C14D9"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Efficient</w:t>
            </w:r>
          </w:p>
        </w:tc>
        <w:tc>
          <w:tcPr>
            <w:tcW w:w="0" w:type="auto"/>
            <w:tcBorders>
              <w:top w:val="nil"/>
              <w:left w:val="nil"/>
              <w:bottom w:val="nil"/>
              <w:right w:val="nil"/>
            </w:tcBorders>
          </w:tcPr>
          <w:p w14:paraId="02F88108"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nil"/>
              <w:left w:val="nil"/>
              <w:bottom w:val="nil"/>
              <w:right w:val="nil"/>
            </w:tcBorders>
          </w:tcPr>
          <w:p w14:paraId="127ACC3A"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nil"/>
              <w:left w:val="nil"/>
              <w:bottom w:val="nil"/>
              <w:right w:val="nil"/>
            </w:tcBorders>
          </w:tcPr>
          <w:p w14:paraId="0BF98905"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nil"/>
              <w:left w:val="nil"/>
              <w:bottom w:val="nil"/>
              <w:right w:val="nil"/>
            </w:tcBorders>
          </w:tcPr>
          <w:p w14:paraId="7F0A34EB"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0.009***</w:t>
            </w:r>
          </w:p>
        </w:tc>
      </w:tr>
      <w:tr w:rsidR="005579BB" w:rsidRPr="007048BA" w14:paraId="2C508DAB" w14:textId="77777777" w:rsidTr="00821FD2">
        <w:trPr>
          <w:jc w:val="center"/>
        </w:trPr>
        <w:tc>
          <w:tcPr>
            <w:tcW w:w="0" w:type="auto"/>
            <w:tcBorders>
              <w:top w:val="nil"/>
              <w:left w:val="nil"/>
              <w:bottom w:val="nil"/>
              <w:right w:val="nil"/>
            </w:tcBorders>
          </w:tcPr>
          <w:p w14:paraId="34FE81C2"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22C4B3D0"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nil"/>
              <w:left w:val="nil"/>
              <w:bottom w:val="nil"/>
              <w:right w:val="nil"/>
            </w:tcBorders>
          </w:tcPr>
          <w:p w14:paraId="6F32FF3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nil"/>
              <w:left w:val="nil"/>
              <w:bottom w:val="nil"/>
              <w:right w:val="nil"/>
            </w:tcBorders>
          </w:tcPr>
          <w:p w14:paraId="1275B3DB"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p>
        </w:tc>
        <w:tc>
          <w:tcPr>
            <w:tcW w:w="0" w:type="auto"/>
            <w:tcBorders>
              <w:top w:val="nil"/>
              <w:left w:val="nil"/>
              <w:bottom w:val="nil"/>
              <w:right w:val="nil"/>
            </w:tcBorders>
          </w:tcPr>
          <w:p w14:paraId="48818823"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r>
      <w:tr w:rsidR="005579BB" w:rsidRPr="007048BA" w14:paraId="7D1E10E1" w14:textId="77777777" w:rsidTr="00821FD2">
        <w:trPr>
          <w:jc w:val="center"/>
        </w:trPr>
        <w:tc>
          <w:tcPr>
            <w:tcW w:w="0" w:type="auto"/>
            <w:tcBorders>
              <w:top w:val="nil"/>
              <w:left w:val="nil"/>
              <w:bottom w:val="nil"/>
              <w:right w:val="nil"/>
            </w:tcBorders>
          </w:tcPr>
          <w:p w14:paraId="2957A2A1"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TBQ</w:t>
            </w:r>
          </w:p>
        </w:tc>
        <w:tc>
          <w:tcPr>
            <w:tcW w:w="0" w:type="auto"/>
            <w:tcBorders>
              <w:top w:val="nil"/>
              <w:left w:val="nil"/>
              <w:bottom w:val="nil"/>
              <w:right w:val="nil"/>
            </w:tcBorders>
          </w:tcPr>
          <w:p w14:paraId="2206B53C"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0.001</w:t>
            </w:r>
          </w:p>
        </w:tc>
        <w:tc>
          <w:tcPr>
            <w:tcW w:w="0" w:type="auto"/>
            <w:tcBorders>
              <w:top w:val="nil"/>
              <w:left w:val="nil"/>
              <w:bottom w:val="nil"/>
              <w:right w:val="nil"/>
            </w:tcBorders>
          </w:tcPr>
          <w:p w14:paraId="766381DB"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62799E33"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6EB6FD3D"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0.001</w:t>
            </w:r>
          </w:p>
        </w:tc>
      </w:tr>
      <w:tr w:rsidR="005579BB" w:rsidRPr="007048BA" w14:paraId="0C2B8AC6" w14:textId="77777777" w:rsidTr="00821FD2">
        <w:trPr>
          <w:jc w:val="center"/>
        </w:trPr>
        <w:tc>
          <w:tcPr>
            <w:tcW w:w="0" w:type="auto"/>
            <w:tcBorders>
              <w:top w:val="nil"/>
              <w:left w:val="nil"/>
              <w:bottom w:val="nil"/>
              <w:right w:val="nil"/>
            </w:tcBorders>
          </w:tcPr>
          <w:p w14:paraId="057A9488"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4AA0E492"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(0.232)</w:t>
            </w:r>
          </w:p>
        </w:tc>
        <w:tc>
          <w:tcPr>
            <w:tcW w:w="0" w:type="auto"/>
            <w:tcBorders>
              <w:top w:val="nil"/>
              <w:left w:val="nil"/>
              <w:bottom w:val="nil"/>
              <w:right w:val="nil"/>
            </w:tcBorders>
          </w:tcPr>
          <w:p w14:paraId="196D939A"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(0.493)</w:t>
            </w:r>
          </w:p>
        </w:tc>
        <w:tc>
          <w:tcPr>
            <w:tcW w:w="0" w:type="auto"/>
            <w:tcBorders>
              <w:top w:val="nil"/>
              <w:left w:val="nil"/>
              <w:bottom w:val="nil"/>
              <w:right w:val="nil"/>
            </w:tcBorders>
          </w:tcPr>
          <w:p w14:paraId="1BC43744"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(0.866)</w:t>
            </w:r>
          </w:p>
        </w:tc>
        <w:tc>
          <w:tcPr>
            <w:tcW w:w="0" w:type="auto"/>
            <w:tcBorders>
              <w:top w:val="nil"/>
              <w:left w:val="nil"/>
              <w:bottom w:val="nil"/>
              <w:right w:val="nil"/>
            </w:tcBorders>
          </w:tcPr>
          <w:p w14:paraId="5188E7A5"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(0.215)</w:t>
            </w:r>
          </w:p>
        </w:tc>
      </w:tr>
      <w:tr w:rsidR="005579BB" w:rsidRPr="007048BA" w14:paraId="4F8A9C74" w14:textId="77777777" w:rsidTr="00821FD2">
        <w:trPr>
          <w:jc w:val="center"/>
        </w:trPr>
        <w:tc>
          <w:tcPr>
            <w:tcW w:w="0" w:type="auto"/>
            <w:tcBorders>
              <w:top w:val="nil"/>
              <w:left w:val="nil"/>
              <w:bottom w:val="nil"/>
              <w:right w:val="nil"/>
            </w:tcBorders>
          </w:tcPr>
          <w:p w14:paraId="7D777BA2"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LIQ</w:t>
            </w:r>
          </w:p>
        </w:tc>
        <w:tc>
          <w:tcPr>
            <w:tcW w:w="0" w:type="auto"/>
            <w:tcBorders>
              <w:top w:val="nil"/>
              <w:left w:val="nil"/>
              <w:bottom w:val="nil"/>
              <w:right w:val="nil"/>
            </w:tcBorders>
          </w:tcPr>
          <w:p w14:paraId="6BCEEE69"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-0.082***</w:t>
            </w:r>
          </w:p>
        </w:tc>
        <w:tc>
          <w:tcPr>
            <w:tcW w:w="0" w:type="auto"/>
            <w:tcBorders>
              <w:top w:val="nil"/>
              <w:left w:val="nil"/>
              <w:bottom w:val="nil"/>
              <w:right w:val="nil"/>
            </w:tcBorders>
          </w:tcPr>
          <w:p w14:paraId="7C9D1605"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-0.082***</w:t>
            </w:r>
          </w:p>
        </w:tc>
        <w:tc>
          <w:tcPr>
            <w:tcW w:w="0" w:type="auto"/>
            <w:tcBorders>
              <w:top w:val="nil"/>
              <w:left w:val="nil"/>
              <w:bottom w:val="nil"/>
              <w:right w:val="nil"/>
            </w:tcBorders>
          </w:tcPr>
          <w:p w14:paraId="3162C2F7"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-0.081***</w:t>
            </w:r>
          </w:p>
        </w:tc>
        <w:tc>
          <w:tcPr>
            <w:tcW w:w="0" w:type="auto"/>
            <w:tcBorders>
              <w:top w:val="nil"/>
              <w:left w:val="nil"/>
              <w:bottom w:val="nil"/>
              <w:right w:val="nil"/>
            </w:tcBorders>
          </w:tcPr>
          <w:p w14:paraId="34DE4F07"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-0.082***</w:t>
            </w:r>
          </w:p>
        </w:tc>
      </w:tr>
      <w:tr w:rsidR="005579BB" w:rsidRPr="007048BA" w14:paraId="0B38693A" w14:textId="77777777" w:rsidTr="00821FD2">
        <w:trPr>
          <w:jc w:val="center"/>
        </w:trPr>
        <w:tc>
          <w:tcPr>
            <w:tcW w:w="0" w:type="auto"/>
            <w:tcBorders>
              <w:top w:val="nil"/>
              <w:left w:val="nil"/>
              <w:bottom w:val="nil"/>
              <w:right w:val="nil"/>
            </w:tcBorders>
          </w:tcPr>
          <w:p w14:paraId="13A0F0F9"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20494A57"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36B5A2D4"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713473D5"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044CA3E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r>
      <w:tr w:rsidR="005579BB" w:rsidRPr="007048BA" w14:paraId="09EB2A02" w14:textId="77777777" w:rsidTr="00821FD2">
        <w:trPr>
          <w:jc w:val="center"/>
        </w:trPr>
        <w:tc>
          <w:tcPr>
            <w:tcW w:w="0" w:type="auto"/>
            <w:tcBorders>
              <w:top w:val="nil"/>
              <w:left w:val="nil"/>
              <w:bottom w:val="nil"/>
              <w:right w:val="nil"/>
            </w:tcBorders>
          </w:tcPr>
          <w:p w14:paraId="0E29922B"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LEV</w:t>
            </w:r>
          </w:p>
        </w:tc>
        <w:tc>
          <w:tcPr>
            <w:tcW w:w="0" w:type="auto"/>
            <w:tcBorders>
              <w:top w:val="nil"/>
              <w:left w:val="nil"/>
              <w:bottom w:val="nil"/>
              <w:right w:val="nil"/>
            </w:tcBorders>
          </w:tcPr>
          <w:p w14:paraId="6BD922A8"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-0.002***</w:t>
            </w:r>
          </w:p>
        </w:tc>
        <w:tc>
          <w:tcPr>
            <w:tcW w:w="0" w:type="auto"/>
            <w:tcBorders>
              <w:top w:val="nil"/>
              <w:left w:val="nil"/>
              <w:bottom w:val="nil"/>
              <w:right w:val="nil"/>
            </w:tcBorders>
          </w:tcPr>
          <w:p w14:paraId="0413793A"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-0.002***</w:t>
            </w:r>
          </w:p>
        </w:tc>
        <w:tc>
          <w:tcPr>
            <w:tcW w:w="0" w:type="auto"/>
            <w:tcBorders>
              <w:top w:val="nil"/>
              <w:left w:val="nil"/>
              <w:bottom w:val="nil"/>
              <w:right w:val="nil"/>
            </w:tcBorders>
          </w:tcPr>
          <w:p w14:paraId="7A1E52A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-0.002***</w:t>
            </w:r>
          </w:p>
        </w:tc>
        <w:tc>
          <w:tcPr>
            <w:tcW w:w="0" w:type="auto"/>
            <w:tcBorders>
              <w:top w:val="nil"/>
              <w:left w:val="nil"/>
              <w:bottom w:val="nil"/>
              <w:right w:val="nil"/>
            </w:tcBorders>
          </w:tcPr>
          <w:p w14:paraId="7855AD6D"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-0.002***</w:t>
            </w:r>
          </w:p>
        </w:tc>
      </w:tr>
      <w:tr w:rsidR="005579BB" w:rsidRPr="007048BA" w14:paraId="69886349" w14:textId="77777777" w:rsidTr="00821FD2">
        <w:trPr>
          <w:jc w:val="center"/>
        </w:trPr>
        <w:tc>
          <w:tcPr>
            <w:tcW w:w="0" w:type="auto"/>
            <w:tcBorders>
              <w:top w:val="nil"/>
              <w:left w:val="nil"/>
              <w:bottom w:val="nil"/>
              <w:right w:val="nil"/>
            </w:tcBorders>
          </w:tcPr>
          <w:p w14:paraId="1DB74880"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1B650BB4"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(0.001)</w:t>
            </w:r>
          </w:p>
        </w:tc>
        <w:tc>
          <w:tcPr>
            <w:tcW w:w="0" w:type="auto"/>
            <w:tcBorders>
              <w:top w:val="nil"/>
              <w:left w:val="nil"/>
              <w:bottom w:val="nil"/>
              <w:right w:val="nil"/>
            </w:tcBorders>
          </w:tcPr>
          <w:p w14:paraId="0E7EAA85"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(0.001)</w:t>
            </w:r>
          </w:p>
        </w:tc>
        <w:tc>
          <w:tcPr>
            <w:tcW w:w="0" w:type="auto"/>
            <w:tcBorders>
              <w:top w:val="nil"/>
              <w:left w:val="nil"/>
              <w:bottom w:val="nil"/>
              <w:right w:val="nil"/>
            </w:tcBorders>
          </w:tcPr>
          <w:p w14:paraId="2C6077A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(0.001)</w:t>
            </w:r>
          </w:p>
        </w:tc>
        <w:tc>
          <w:tcPr>
            <w:tcW w:w="0" w:type="auto"/>
            <w:tcBorders>
              <w:top w:val="nil"/>
              <w:left w:val="nil"/>
              <w:bottom w:val="nil"/>
              <w:right w:val="nil"/>
            </w:tcBorders>
          </w:tcPr>
          <w:p w14:paraId="0BDAF22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(0.001)</w:t>
            </w:r>
          </w:p>
        </w:tc>
      </w:tr>
      <w:tr w:rsidR="005579BB" w:rsidRPr="007048BA" w14:paraId="2999AF85" w14:textId="77777777" w:rsidTr="00821FD2">
        <w:trPr>
          <w:jc w:val="center"/>
        </w:trPr>
        <w:tc>
          <w:tcPr>
            <w:tcW w:w="0" w:type="auto"/>
            <w:tcBorders>
              <w:top w:val="nil"/>
              <w:left w:val="nil"/>
              <w:bottom w:val="nil"/>
              <w:right w:val="nil"/>
            </w:tcBorders>
          </w:tcPr>
          <w:p w14:paraId="3055CC4D"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SGW</w:t>
            </w:r>
          </w:p>
        </w:tc>
        <w:tc>
          <w:tcPr>
            <w:tcW w:w="0" w:type="auto"/>
            <w:tcBorders>
              <w:top w:val="nil"/>
              <w:left w:val="nil"/>
              <w:bottom w:val="nil"/>
              <w:right w:val="nil"/>
            </w:tcBorders>
          </w:tcPr>
          <w:p w14:paraId="668B653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0.003***</w:t>
            </w:r>
          </w:p>
        </w:tc>
        <w:tc>
          <w:tcPr>
            <w:tcW w:w="0" w:type="auto"/>
            <w:tcBorders>
              <w:top w:val="nil"/>
              <w:left w:val="nil"/>
              <w:bottom w:val="nil"/>
              <w:right w:val="nil"/>
            </w:tcBorders>
          </w:tcPr>
          <w:p w14:paraId="0CB6AE2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0.003***</w:t>
            </w:r>
          </w:p>
        </w:tc>
        <w:tc>
          <w:tcPr>
            <w:tcW w:w="0" w:type="auto"/>
            <w:tcBorders>
              <w:top w:val="nil"/>
              <w:left w:val="nil"/>
              <w:bottom w:val="nil"/>
              <w:right w:val="nil"/>
            </w:tcBorders>
          </w:tcPr>
          <w:p w14:paraId="5743A000"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0.003***</w:t>
            </w:r>
          </w:p>
        </w:tc>
        <w:tc>
          <w:tcPr>
            <w:tcW w:w="0" w:type="auto"/>
            <w:tcBorders>
              <w:top w:val="nil"/>
              <w:left w:val="nil"/>
              <w:bottom w:val="nil"/>
              <w:right w:val="nil"/>
            </w:tcBorders>
          </w:tcPr>
          <w:p w14:paraId="585E02AE"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0.003***</w:t>
            </w:r>
          </w:p>
        </w:tc>
      </w:tr>
      <w:tr w:rsidR="005579BB" w:rsidRPr="007048BA" w14:paraId="0F336621" w14:textId="77777777" w:rsidTr="00821FD2">
        <w:trPr>
          <w:jc w:val="center"/>
        </w:trPr>
        <w:tc>
          <w:tcPr>
            <w:tcW w:w="0" w:type="auto"/>
            <w:tcBorders>
              <w:top w:val="nil"/>
              <w:left w:val="nil"/>
              <w:bottom w:val="nil"/>
              <w:right w:val="nil"/>
            </w:tcBorders>
          </w:tcPr>
          <w:p w14:paraId="07EF40C9"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00950CBB"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71160DC4"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761AFC01"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0442BC03"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r>
      <w:tr w:rsidR="005579BB" w:rsidRPr="007048BA" w14:paraId="36CF6EC4" w14:textId="77777777" w:rsidTr="00821FD2">
        <w:trPr>
          <w:jc w:val="center"/>
        </w:trPr>
        <w:tc>
          <w:tcPr>
            <w:tcW w:w="0" w:type="auto"/>
            <w:tcBorders>
              <w:top w:val="nil"/>
              <w:left w:val="nil"/>
              <w:bottom w:val="nil"/>
              <w:right w:val="nil"/>
            </w:tcBorders>
          </w:tcPr>
          <w:p w14:paraId="41E1CBD1"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GRD</w:t>
            </w:r>
          </w:p>
        </w:tc>
        <w:tc>
          <w:tcPr>
            <w:tcW w:w="0" w:type="auto"/>
            <w:tcBorders>
              <w:top w:val="nil"/>
              <w:left w:val="nil"/>
              <w:bottom w:val="nil"/>
              <w:right w:val="nil"/>
            </w:tcBorders>
          </w:tcPr>
          <w:p w14:paraId="0E54E3E0"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69B6BEC5"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22C186D3"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755E1EC5"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r>
      <w:tr w:rsidR="005579BB" w:rsidRPr="007048BA" w14:paraId="78EB3154" w14:textId="77777777" w:rsidTr="00821FD2">
        <w:trPr>
          <w:jc w:val="center"/>
        </w:trPr>
        <w:tc>
          <w:tcPr>
            <w:tcW w:w="0" w:type="auto"/>
            <w:tcBorders>
              <w:top w:val="nil"/>
              <w:left w:val="nil"/>
              <w:bottom w:val="nil"/>
              <w:right w:val="nil"/>
            </w:tcBorders>
          </w:tcPr>
          <w:p w14:paraId="4ED93124"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7D3F070B"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(0.971)</w:t>
            </w:r>
          </w:p>
        </w:tc>
        <w:tc>
          <w:tcPr>
            <w:tcW w:w="0" w:type="auto"/>
            <w:tcBorders>
              <w:top w:val="nil"/>
              <w:left w:val="nil"/>
              <w:bottom w:val="nil"/>
              <w:right w:val="nil"/>
            </w:tcBorders>
          </w:tcPr>
          <w:p w14:paraId="75FE3072"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(0.969)</w:t>
            </w:r>
          </w:p>
        </w:tc>
        <w:tc>
          <w:tcPr>
            <w:tcW w:w="0" w:type="auto"/>
            <w:tcBorders>
              <w:top w:val="nil"/>
              <w:left w:val="nil"/>
              <w:bottom w:val="nil"/>
              <w:right w:val="nil"/>
            </w:tcBorders>
          </w:tcPr>
          <w:p w14:paraId="33958492"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(0.950)</w:t>
            </w:r>
          </w:p>
        </w:tc>
        <w:tc>
          <w:tcPr>
            <w:tcW w:w="0" w:type="auto"/>
            <w:tcBorders>
              <w:top w:val="nil"/>
              <w:left w:val="nil"/>
              <w:bottom w:val="nil"/>
              <w:right w:val="nil"/>
            </w:tcBorders>
          </w:tcPr>
          <w:p w14:paraId="0A0B91F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(1.000)</w:t>
            </w:r>
          </w:p>
        </w:tc>
      </w:tr>
      <w:tr w:rsidR="005579BB" w:rsidRPr="007048BA" w14:paraId="1DAD1FDD" w14:textId="77777777" w:rsidTr="00821FD2">
        <w:trPr>
          <w:jc w:val="center"/>
        </w:trPr>
        <w:tc>
          <w:tcPr>
            <w:tcW w:w="0" w:type="auto"/>
            <w:tcBorders>
              <w:top w:val="nil"/>
              <w:left w:val="nil"/>
              <w:bottom w:val="nil"/>
              <w:right w:val="nil"/>
            </w:tcBorders>
          </w:tcPr>
          <w:p w14:paraId="71D04EBC"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IDD</w:t>
            </w:r>
          </w:p>
        </w:tc>
        <w:tc>
          <w:tcPr>
            <w:tcW w:w="0" w:type="auto"/>
            <w:tcBorders>
              <w:top w:val="nil"/>
              <w:left w:val="nil"/>
              <w:bottom w:val="nil"/>
              <w:right w:val="nil"/>
            </w:tcBorders>
          </w:tcPr>
          <w:p w14:paraId="5F697FCD"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-0.003*</w:t>
            </w:r>
          </w:p>
        </w:tc>
        <w:tc>
          <w:tcPr>
            <w:tcW w:w="0" w:type="auto"/>
            <w:tcBorders>
              <w:top w:val="nil"/>
              <w:left w:val="nil"/>
              <w:bottom w:val="nil"/>
              <w:right w:val="nil"/>
            </w:tcBorders>
          </w:tcPr>
          <w:p w14:paraId="6D58BEE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-0.003*</w:t>
            </w:r>
          </w:p>
        </w:tc>
        <w:tc>
          <w:tcPr>
            <w:tcW w:w="0" w:type="auto"/>
            <w:tcBorders>
              <w:top w:val="nil"/>
              <w:left w:val="nil"/>
              <w:bottom w:val="nil"/>
              <w:right w:val="nil"/>
            </w:tcBorders>
          </w:tcPr>
          <w:p w14:paraId="00A07F2F"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-0.003</w:t>
            </w:r>
          </w:p>
        </w:tc>
        <w:tc>
          <w:tcPr>
            <w:tcW w:w="0" w:type="auto"/>
            <w:tcBorders>
              <w:top w:val="nil"/>
              <w:left w:val="nil"/>
              <w:bottom w:val="nil"/>
              <w:right w:val="nil"/>
            </w:tcBorders>
          </w:tcPr>
          <w:p w14:paraId="283BEAD8"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-0.003*</w:t>
            </w:r>
          </w:p>
        </w:tc>
      </w:tr>
      <w:tr w:rsidR="005579BB" w:rsidRPr="007048BA" w14:paraId="41DD11B0" w14:textId="77777777" w:rsidTr="00821FD2">
        <w:trPr>
          <w:jc w:val="center"/>
        </w:trPr>
        <w:tc>
          <w:tcPr>
            <w:tcW w:w="0" w:type="auto"/>
            <w:tcBorders>
              <w:top w:val="nil"/>
              <w:left w:val="nil"/>
              <w:bottom w:val="nil"/>
              <w:right w:val="nil"/>
            </w:tcBorders>
          </w:tcPr>
          <w:p w14:paraId="15AC1387"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0575E0A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(0.079)</w:t>
            </w:r>
          </w:p>
        </w:tc>
        <w:tc>
          <w:tcPr>
            <w:tcW w:w="0" w:type="auto"/>
            <w:tcBorders>
              <w:top w:val="nil"/>
              <w:left w:val="nil"/>
              <w:bottom w:val="nil"/>
              <w:right w:val="nil"/>
            </w:tcBorders>
          </w:tcPr>
          <w:p w14:paraId="1637FDC9"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(0.079)</w:t>
            </w:r>
          </w:p>
        </w:tc>
        <w:tc>
          <w:tcPr>
            <w:tcW w:w="0" w:type="auto"/>
            <w:tcBorders>
              <w:top w:val="nil"/>
              <w:left w:val="nil"/>
              <w:bottom w:val="nil"/>
              <w:right w:val="nil"/>
            </w:tcBorders>
          </w:tcPr>
          <w:p w14:paraId="7D0FD00F"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(0.102)</w:t>
            </w:r>
          </w:p>
        </w:tc>
        <w:tc>
          <w:tcPr>
            <w:tcW w:w="0" w:type="auto"/>
            <w:tcBorders>
              <w:top w:val="nil"/>
              <w:left w:val="nil"/>
              <w:bottom w:val="nil"/>
              <w:right w:val="nil"/>
            </w:tcBorders>
          </w:tcPr>
          <w:p w14:paraId="62ADD54F"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(0.085)</w:t>
            </w:r>
          </w:p>
        </w:tc>
      </w:tr>
      <w:tr w:rsidR="005579BB" w:rsidRPr="007048BA" w14:paraId="43855F08" w14:textId="77777777" w:rsidTr="00821FD2">
        <w:trPr>
          <w:jc w:val="center"/>
        </w:trPr>
        <w:tc>
          <w:tcPr>
            <w:tcW w:w="0" w:type="auto"/>
            <w:tcBorders>
              <w:top w:val="nil"/>
              <w:left w:val="nil"/>
              <w:bottom w:val="nil"/>
              <w:right w:val="nil"/>
            </w:tcBorders>
          </w:tcPr>
          <w:p w14:paraId="58FC6C8B"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FCF</w:t>
            </w:r>
          </w:p>
        </w:tc>
        <w:tc>
          <w:tcPr>
            <w:tcW w:w="0" w:type="auto"/>
            <w:tcBorders>
              <w:top w:val="nil"/>
              <w:left w:val="nil"/>
              <w:bottom w:val="nil"/>
              <w:right w:val="nil"/>
            </w:tcBorders>
          </w:tcPr>
          <w:p w14:paraId="66DD0801"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-0.042***</w:t>
            </w:r>
          </w:p>
        </w:tc>
        <w:tc>
          <w:tcPr>
            <w:tcW w:w="0" w:type="auto"/>
            <w:tcBorders>
              <w:top w:val="nil"/>
              <w:left w:val="nil"/>
              <w:bottom w:val="nil"/>
              <w:right w:val="nil"/>
            </w:tcBorders>
          </w:tcPr>
          <w:p w14:paraId="488903B3"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-0.040***</w:t>
            </w:r>
          </w:p>
        </w:tc>
        <w:tc>
          <w:tcPr>
            <w:tcW w:w="0" w:type="auto"/>
            <w:tcBorders>
              <w:top w:val="nil"/>
              <w:left w:val="nil"/>
              <w:bottom w:val="nil"/>
              <w:right w:val="nil"/>
            </w:tcBorders>
          </w:tcPr>
          <w:p w14:paraId="4B5FD519"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-0.043***</w:t>
            </w:r>
          </w:p>
        </w:tc>
        <w:tc>
          <w:tcPr>
            <w:tcW w:w="0" w:type="auto"/>
            <w:tcBorders>
              <w:top w:val="nil"/>
              <w:left w:val="nil"/>
              <w:bottom w:val="nil"/>
              <w:right w:val="nil"/>
            </w:tcBorders>
          </w:tcPr>
          <w:p w14:paraId="367F0F94"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-0.043***</w:t>
            </w:r>
          </w:p>
        </w:tc>
      </w:tr>
      <w:tr w:rsidR="005579BB" w:rsidRPr="007048BA" w14:paraId="037908C0" w14:textId="77777777" w:rsidTr="00821FD2">
        <w:trPr>
          <w:jc w:val="center"/>
        </w:trPr>
        <w:tc>
          <w:tcPr>
            <w:tcW w:w="0" w:type="auto"/>
            <w:tcBorders>
              <w:top w:val="nil"/>
              <w:left w:val="nil"/>
              <w:bottom w:val="nil"/>
              <w:right w:val="nil"/>
            </w:tcBorders>
          </w:tcPr>
          <w:p w14:paraId="6E9B8D92"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609307CF"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039F6E17"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164F0C53"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719886D2"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r>
      <w:tr w:rsidR="005579BB" w:rsidRPr="007048BA" w14:paraId="0B02B30C" w14:textId="77777777" w:rsidTr="00821FD2">
        <w:trPr>
          <w:jc w:val="center"/>
        </w:trPr>
        <w:tc>
          <w:tcPr>
            <w:tcW w:w="0" w:type="auto"/>
            <w:tcBorders>
              <w:top w:val="nil"/>
              <w:left w:val="nil"/>
              <w:bottom w:val="nil"/>
              <w:right w:val="nil"/>
            </w:tcBorders>
          </w:tcPr>
          <w:p w14:paraId="555154F0"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TANG</w:t>
            </w:r>
          </w:p>
        </w:tc>
        <w:tc>
          <w:tcPr>
            <w:tcW w:w="0" w:type="auto"/>
            <w:tcBorders>
              <w:top w:val="nil"/>
              <w:left w:val="nil"/>
              <w:bottom w:val="nil"/>
              <w:right w:val="nil"/>
            </w:tcBorders>
          </w:tcPr>
          <w:p w14:paraId="2C3454F4"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-0.067***</w:t>
            </w:r>
          </w:p>
        </w:tc>
        <w:tc>
          <w:tcPr>
            <w:tcW w:w="0" w:type="auto"/>
            <w:tcBorders>
              <w:top w:val="nil"/>
              <w:left w:val="nil"/>
              <w:bottom w:val="nil"/>
              <w:right w:val="nil"/>
            </w:tcBorders>
          </w:tcPr>
          <w:p w14:paraId="6EABDF57"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-0.066***</w:t>
            </w:r>
          </w:p>
        </w:tc>
        <w:tc>
          <w:tcPr>
            <w:tcW w:w="0" w:type="auto"/>
            <w:tcBorders>
              <w:top w:val="nil"/>
              <w:left w:val="nil"/>
              <w:bottom w:val="nil"/>
              <w:right w:val="nil"/>
            </w:tcBorders>
          </w:tcPr>
          <w:p w14:paraId="52A4107A"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-0.067***</w:t>
            </w:r>
          </w:p>
        </w:tc>
        <w:tc>
          <w:tcPr>
            <w:tcW w:w="0" w:type="auto"/>
            <w:tcBorders>
              <w:top w:val="nil"/>
              <w:left w:val="nil"/>
              <w:bottom w:val="nil"/>
              <w:right w:val="nil"/>
            </w:tcBorders>
          </w:tcPr>
          <w:p w14:paraId="7B190C88"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-0.067***</w:t>
            </w:r>
          </w:p>
        </w:tc>
      </w:tr>
      <w:tr w:rsidR="005579BB" w:rsidRPr="007048BA" w14:paraId="79A645C8" w14:textId="77777777" w:rsidTr="00821FD2">
        <w:trPr>
          <w:jc w:val="center"/>
        </w:trPr>
        <w:tc>
          <w:tcPr>
            <w:tcW w:w="0" w:type="auto"/>
            <w:tcBorders>
              <w:top w:val="nil"/>
              <w:left w:val="nil"/>
              <w:bottom w:val="nil"/>
              <w:right w:val="nil"/>
            </w:tcBorders>
          </w:tcPr>
          <w:p w14:paraId="019B8DBC"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47990584"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547576D7"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395CEBE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3CD2AF92"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r>
      <w:tr w:rsidR="005579BB" w:rsidRPr="007048BA" w14:paraId="120F2139" w14:textId="77777777" w:rsidTr="00821FD2">
        <w:trPr>
          <w:jc w:val="center"/>
        </w:trPr>
        <w:tc>
          <w:tcPr>
            <w:tcW w:w="0" w:type="auto"/>
            <w:tcBorders>
              <w:top w:val="nil"/>
              <w:left w:val="nil"/>
              <w:bottom w:val="nil"/>
              <w:right w:val="nil"/>
            </w:tcBorders>
          </w:tcPr>
          <w:p w14:paraId="7AD01060"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SIZE</w:t>
            </w:r>
          </w:p>
        </w:tc>
        <w:tc>
          <w:tcPr>
            <w:tcW w:w="0" w:type="auto"/>
            <w:tcBorders>
              <w:top w:val="nil"/>
              <w:left w:val="nil"/>
              <w:bottom w:val="nil"/>
              <w:right w:val="nil"/>
            </w:tcBorders>
          </w:tcPr>
          <w:p w14:paraId="1B11237F"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0.004**</w:t>
            </w:r>
          </w:p>
        </w:tc>
        <w:tc>
          <w:tcPr>
            <w:tcW w:w="0" w:type="auto"/>
            <w:tcBorders>
              <w:top w:val="nil"/>
              <w:left w:val="nil"/>
              <w:bottom w:val="nil"/>
              <w:right w:val="nil"/>
            </w:tcBorders>
          </w:tcPr>
          <w:p w14:paraId="7B8B72E9"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0.003**</w:t>
            </w:r>
          </w:p>
        </w:tc>
        <w:tc>
          <w:tcPr>
            <w:tcW w:w="0" w:type="auto"/>
            <w:tcBorders>
              <w:top w:val="nil"/>
              <w:left w:val="nil"/>
              <w:bottom w:val="nil"/>
              <w:right w:val="nil"/>
            </w:tcBorders>
          </w:tcPr>
          <w:p w14:paraId="2FC44231"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0.003*</w:t>
            </w:r>
          </w:p>
        </w:tc>
        <w:tc>
          <w:tcPr>
            <w:tcW w:w="0" w:type="auto"/>
            <w:tcBorders>
              <w:top w:val="nil"/>
              <w:left w:val="nil"/>
              <w:bottom w:val="nil"/>
              <w:right w:val="nil"/>
            </w:tcBorders>
          </w:tcPr>
          <w:p w14:paraId="172C1ADC"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0.004***</w:t>
            </w:r>
          </w:p>
        </w:tc>
      </w:tr>
      <w:tr w:rsidR="005579BB" w:rsidRPr="007048BA" w14:paraId="4A500F15" w14:textId="77777777" w:rsidTr="00821FD2">
        <w:trPr>
          <w:jc w:val="center"/>
        </w:trPr>
        <w:tc>
          <w:tcPr>
            <w:tcW w:w="0" w:type="auto"/>
            <w:tcBorders>
              <w:top w:val="nil"/>
              <w:left w:val="nil"/>
              <w:bottom w:val="nil"/>
              <w:right w:val="nil"/>
            </w:tcBorders>
          </w:tcPr>
          <w:p w14:paraId="697A3D21"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11880863"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(0.010)</w:t>
            </w:r>
          </w:p>
        </w:tc>
        <w:tc>
          <w:tcPr>
            <w:tcW w:w="0" w:type="auto"/>
            <w:tcBorders>
              <w:top w:val="nil"/>
              <w:left w:val="nil"/>
              <w:bottom w:val="nil"/>
              <w:right w:val="nil"/>
            </w:tcBorders>
          </w:tcPr>
          <w:p w14:paraId="2AB678EF"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(0.048)</w:t>
            </w:r>
          </w:p>
        </w:tc>
        <w:tc>
          <w:tcPr>
            <w:tcW w:w="0" w:type="auto"/>
            <w:tcBorders>
              <w:top w:val="nil"/>
              <w:left w:val="nil"/>
              <w:bottom w:val="nil"/>
              <w:right w:val="nil"/>
            </w:tcBorders>
          </w:tcPr>
          <w:p w14:paraId="354A40CA"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(0.062)</w:t>
            </w:r>
          </w:p>
        </w:tc>
        <w:tc>
          <w:tcPr>
            <w:tcW w:w="0" w:type="auto"/>
            <w:tcBorders>
              <w:top w:val="nil"/>
              <w:left w:val="nil"/>
              <w:bottom w:val="nil"/>
              <w:right w:val="nil"/>
            </w:tcBorders>
          </w:tcPr>
          <w:p w14:paraId="7CA468A9"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(0.004)</w:t>
            </w:r>
          </w:p>
        </w:tc>
      </w:tr>
      <w:tr w:rsidR="005579BB" w:rsidRPr="007048BA" w14:paraId="70E4BAB0" w14:textId="77777777" w:rsidTr="00821FD2">
        <w:trPr>
          <w:jc w:val="center"/>
        </w:trPr>
        <w:tc>
          <w:tcPr>
            <w:tcW w:w="0" w:type="auto"/>
            <w:tcBorders>
              <w:top w:val="nil"/>
              <w:left w:val="nil"/>
              <w:bottom w:val="nil"/>
              <w:right w:val="nil"/>
            </w:tcBorders>
          </w:tcPr>
          <w:p w14:paraId="7C5F83D9"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AGE</w:t>
            </w:r>
          </w:p>
        </w:tc>
        <w:tc>
          <w:tcPr>
            <w:tcW w:w="0" w:type="auto"/>
            <w:tcBorders>
              <w:top w:val="nil"/>
              <w:left w:val="nil"/>
              <w:bottom w:val="nil"/>
              <w:right w:val="nil"/>
            </w:tcBorders>
          </w:tcPr>
          <w:p w14:paraId="77521942"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-0.001</w:t>
            </w:r>
          </w:p>
        </w:tc>
        <w:tc>
          <w:tcPr>
            <w:tcW w:w="0" w:type="auto"/>
            <w:tcBorders>
              <w:top w:val="nil"/>
              <w:left w:val="nil"/>
              <w:bottom w:val="nil"/>
              <w:right w:val="nil"/>
            </w:tcBorders>
          </w:tcPr>
          <w:p w14:paraId="239FFBE1"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4B8EA6CD"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-0.000</w:t>
            </w:r>
          </w:p>
        </w:tc>
        <w:tc>
          <w:tcPr>
            <w:tcW w:w="0" w:type="auto"/>
            <w:tcBorders>
              <w:top w:val="nil"/>
              <w:left w:val="nil"/>
              <w:bottom w:val="nil"/>
              <w:right w:val="nil"/>
            </w:tcBorders>
          </w:tcPr>
          <w:p w14:paraId="3AA1EBED"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-0.001</w:t>
            </w:r>
          </w:p>
        </w:tc>
      </w:tr>
      <w:tr w:rsidR="005579BB" w:rsidRPr="007048BA" w14:paraId="07EDF70E" w14:textId="77777777" w:rsidTr="00821FD2">
        <w:trPr>
          <w:jc w:val="center"/>
        </w:trPr>
        <w:tc>
          <w:tcPr>
            <w:tcW w:w="0" w:type="auto"/>
            <w:tcBorders>
              <w:top w:val="nil"/>
              <w:left w:val="nil"/>
              <w:bottom w:val="nil"/>
              <w:right w:val="nil"/>
            </w:tcBorders>
          </w:tcPr>
          <w:p w14:paraId="11DAD8BE"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13B9AC98"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(0.758)</w:t>
            </w:r>
          </w:p>
        </w:tc>
        <w:tc>
          <w:tcPr>
            <w:tcW w:w="0" w:type="auto"/>
            <w:tcBorders>
              <w:top w:val="nil"/>
              <w:left w:val="nil"/>
              <w:bottom w:val="nil"/>
              <w:right w:val="nil"/>
            </w:tcBorders>
          </w:tcPr>
          <w:p w14:paraId="551F0634"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(0.858)</w:t>
            </w:r>
          </w:p>
        </w:tc>
        <w:tc>
          <w:tcPr>
            <w:tcW w:w="0" w:type="auto"/>
            <w:tcBorders>
              <w:top w:val="nil"/>
              <w:left w:val="nil"/>
              <w:bottom w:val="nil"/>
              <w:right w:val="nil"/>
            </w:tcBorders>
          </w:tcPr>
          <w:p w14:paraId="223DE191"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(0.851)</w:t>
            </w:r>
          </w:p>
        </w:tc>
        <w:tc>
          <w:tcPr>
            <w:tcW w:w="0" w:type="auto"/>
            <w:tcBorders>
              <w:top w:val="nil"/>
              <w:left w:val="nil"/>
              <w:bottom w:val="nil"/>
              <w:right w:val="nil"/>
            </w:tcBorders>
          </w:tcPr>
          <w:p w14:paraId="3B034800"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(0.736)</w:t>
            </w:r>
          </w:p>
        </w:tc>
      </w:tr>
      <w:tr w:rsidR="005579BB" w:rsidRPr="007048BA" w14:paraId="6096D026" w14:textId="77777777" w:rsidTr="00821FD2">
        <w:trPr>
          <w:jc w:val="center"/>
        </w:trPr>
        <w:tc>
          <w:tcPr>
            <w:tcW w:w="0" w:type="auto"/>
            <w:tcBorders>
              <w:top w:val="nil"/>
              <w:left w:val="nil"/>
              <w:bottom w:val="nil"/>
              <w:right w:val="nil"/>
            </w:tcBorders>
          </w:tcPr>
          <w:p w14:paraId="4F2B7966"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HHI</w:t>
            </w:r>
          </w:p>
        </w:tc>
        <w:tc>
          <w:tcPr>
            <w:tcW w:w="0" w:type="auto"/>
            <w:tcBorders>
              <w:top w:val="nil"/>
              <w:left w:val="nil"/>
              <w:bottom w:val="nil"/>
              <w:right w:val="nil"/>
            </w:tcBorders>
          </w:tcPr>
          <w:p w14:paraId="51DD296D"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-0.016**</w:t>
            </w:r>
          </w:p>
        </w:tc>
        <w:tc>
          <w:tcPr>
            <w:tcW w:w="0" w:type="auto"/>
            <w:tcBorders>
              <w:top w:val="nil"/>
              <w:left w:val="nil"/>
              <w:bottom w:val="nil"/>
              <w:right w:val="nil"/>
            </w:tcBorders>
          </w:tcPr>
          <w:p w14:paraId="2C8B1F9A"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-0.017**</w:t>
            </w:r>
          </w:p>
        </w:tc>
        <w:tc>
          <w:tcPr>
            <w:tcW w:w="0" w:type="auto"/>
            <w:tcBorders>
              <w:top w:val="nil"/>
              <w:left w:val="nil"/>
              <w:bottom w:val="nil"/>
              <w:right w:val="nil"/>
            </w:tcBorders>
          </w:tcPr>
          <w:p w14:paraId="70482B1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-0.014*</w:t>
            </w:r>
          </w:p>
        </w:tc>
        <w:tc>
          <w:tcPr>
            <w:tcW w:w="0" w:type="auto"/>
            <w:tcBorders>
              <w:top w:val="nil"/>
              <w:left w:val="nil"/>
              <w:bottom w:val="nil"/>
              <w:right w:val="nil"/>
            </w:tcBorders>
          </w:tcPr>
          <w:p w14:paraId="1BA9EA8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-0.017**</w:t>
            </w:r>
          </w:p>
        </w:tc>
      </w:tr>
      <w:tr w:rsidR="005579BB" w:rsidRPr="007048BA" w14:paraId="7C115281" w14:textId="77777777" w:rsidTr="00821FD2">
        <w:trPr>
          <w:jc w:val="center"/>
        </w:trPr>
        <w:tc>
          <w:tcPr>
            <w:tcW w:w="0" w:type="auto"/>
            <w:tcBorders>
              <w:top w:val="nil"/>
              <w:left w:val="nil"/>
              <w:bottom w:val="nil"/>
              <w:right w:val="nil"/>
            </w:tcBorders>
          </w:tcPr>
          <w:p w14:paraId="14BC27DC"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1151E589"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(0.040)</w:t>
            </w:r>
          </w:p>
        </w:tc>
        <w:tc>
          <w:tcPr>
            <w:tcW w:w="0" w:type="auto"/>
            <w:tcBorders>
              <w:top w:val="nil"/>
              <w:left w:val="nil"/>
              <w:bottom w:val="nil"/>
              <w:right w:val="nil"/>
            </w:tcBorders>
          </w:tcPr>
          <w:p w14:paraId="0DDF7E9B"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(0.034)</w:t>
            </w:r>
          </w:p>
        </w:tc>
        <w:tc>
          <w:tcPr>
            <w:tcW w:w="0" w:type="auto"/>
            <w:tcBorders>
              <w:top w:val="nil"/>
              <w:left w:val="nil"/>
              <w:bottom w:val="nil"/>
              <w:right w:val="nil"/>
            </w:tcBorders>
          </w:tcPr>
          <w:p w14:paraId="5208BEDF"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(0.084)</w:t>
            </w:r>
          </w:p>
        </w:tc>
        <w:tc>
          <w:tcPr>
            <w:tcW w:w="0" w:type="auto"/>
            <w:tcBorders>
              <w:top w:val="nil"/>
              <w:left w:val="nil"/>
              <w:bottom w:val="nil"/>
              <w:right w:val="nil"/>
            </w:tcBorders>
          </w:tcPr>
          <w:p w14:paraId="348F648D"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(0.037)</w:t>
            </w:r>
          </w:p>
        </w:tc>
      </w:tr>
      <w:tr w:rsidR="005579BB" w:rsidRPr="007048BA" w14:paraId="4ACB47EA" w14:textId="77777777" w:rsidTr="00821FD2">
        <w:trPr>
          <w:jc w:val="center"/>
        </w:trPr>
        <w:tc>
          <w:tcPr>
            <w:tcW w:w="0" w:type="auto"/>
            <w:tcBorders>
              <w:top w:val="nil"/>
              <w:left w:val="nil"/>
              <w:bottom w:val="nil"/>
              <w:right w:val="nil"/>
            </w:tcBorders>
          </w:tcPr>
          <w:p w14:paraId="3F972489" w14:textId="06FCC78C" w:rsidR="005579BB" w:rsidRPr="007048BA" w:rsidRDefault="00EF63A8" w:rsidP="00821FD2">
            <w:pPr>
              <w:widowControl w:val="0"/>
              <w:autoSpaceDE w:val="0"/>
              <w:autoSpaceDN w:val="0"/>
              <w:adjustRightInd w:val="0"/>
              <w:spacing w:after="0" w:line="240" w:lineRule="auto"/>
              <w:rPr>
                <w:rFonts w:cs="Times New Roman"/>
                <w:i/>
                <w:szCs w:val="24"/>
              </w:rPr>
            </w:pPr>
            <w:r w:rsidRPr="007048BA">
              <w:rPr>
                <w:rFonts w:cs="Times New Roman"/>
                <w:i/>
                <w:szCs w:val="24"/>
              </w:rPr>
              <w:t>BLOC</w:t>
            </w:r>
          </w:p>
        </w:tc>
        <w:tc>
          <w:tcPr>
            <w:tcW w:w="0" w:type="auto"/>
            <w:tcBorders>
              <w:top w:val="nil"/>
              <w:left w:val="nil"/>
              <w:bottom w:val="nil"/>
              <w:right w:val="nil"/>
            </w:tcBorders>
          </w:tcPr>
          <w:p w14:paraId="24617769"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-0.006***</w:t>
            </w:r>
          </w:p>
        </w:tc>
        <w:tc>
          <w:tcPr>
            <w:tcW w:w="0" w:type="auto"/>
            <w:tcBorders>
              <w:top w:val="nil"/>
              <w:left w:val="nil"/>
              <w:bottom w:val="nil"/>
              <w:right w:val="nil"/>
            </w:tcBorders>
          </w:tcPr>
          <w:p w14:paraId="4A2EB03D"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-0.005**</w:t>
            </w:r>
          </w:p>
        </w:tc>
        <w:tc>
          <w:tcPr>
            <w:tcW w:w="0" w:type="auto"/>
            <w:tcBorders>
              <w:top w:val="nil"/>
              <w:left w:val="nil"/>
              <w:bottom w:val="nil"/>
              <w:right w:val="nil"/>
            </w:tcBorders>
          </w:tcPr>
          <w:p w14:paraId="7C2BFDBB"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-0.007***</w:t>
            </w:r>
          </w:p>
        </w:tc>
        <w:tc>
          <w:tcPr>
            <w:tcW w:w="0" w:type="auto"/>
            <w:tcBorders>
              <w:top w:val="nil"/>
              <w:left w:val="nil"/>
              <w:bottom w:val="nil"/>
              <w:right w:val="nil"/>
            </w:tcBorders>
          </w:tcPr>
          <w:p w14:paraId="3EB1EC84"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-0.006***</w:t>
            </w:r>
          </w:p>
        </w:tc>
      </w:tr>
      <w:tr w:rsidR="005579BB" w:rsidRPr="007048BA" w14:paraId="53FC442C" w14:textId="77777777" w:rsidTr="00821FD2">
        <w:trPr>
          <w:jc w:val="center"/>
        </w:trPr>
        <w:tc>
          <w:tcPr>
            <w:tcW w:w="0" w:type="auto"/>
            <w:tcBorders>
              <w:top w:val="nil"/>
              <w:left w:val="nil"/>
              <w:bottom w:val="nil"/>
              <w:right w:val="nil"/>
            </w:tcBorders>
          </w:tcPr>
          <w:p w14:paraId="7392AC2E"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5CE4482F"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(0.007)</w:t>
            </w:r>
          </w:p>
        </w:tc>
        <w:tc>
          <w:tcPr>
            <w:tcW w:w="0" w:type="auto"/>
            <w:tcBorders>
              <w:top w:val="nil"/>
              <w:left w:val="nil"/>
              <w:bottom w:val="nil"/>
              <w:right w:val="nil"/>
            </w:tcBorders>
          </w:tcPr>
          <w:p w14:paraId="3CB22D6F"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(0.017)</w:t>
            </w:r>
          </w:p>
        </w:tc>
        <w:tc>
          <w:tcPr>
            <w:tcW w:w="0" w:type="auto"/>
            <w:tcBorders>
              <w:top w:val="nil"/>
              <w:left w:val="nil"/>
              <w:bottom w:val="nil"/>
              <w:right w:val="nil"/>
            </w:tcBorders>
          </w:tcPr>
          <w:p w14:paraId="1A85C68E"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(0.002)</w:t>
            </w:r>
          </w:p>
        </w:tc>
        <w:tc>
          <w:tcPr>
            <w:tcW w:w="0" w:type="auto"/>
            <w:tcBorders>
              <w:top w:val="nil"/>
              <w:left w:val="nil"/>
              <w:bottom w:val="nil"/>
              <w:right w:val="nil"/>
            </w:tcBorders>
          </w:tcPr>
          <w:p w14:paraId="191EF727"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(0.004)</w:t>
            </w:r>
          </w:p>
        </w:tc>
      </w:tr>
      <w:tr w:rsidR="005579BB" w:rsidRPr="007048BA" w14:paraId="2AE83957" w14:textId="77777777" w:rsidTr="00821FD2">
        <w:trPr>
          <w:jc w:val="center"/>
        </w:trPr>
        <w:tc>
          <w:tcPr>
            <w:tcW w:w="0" w:type="auto"/>
            <w:tcBorders>
              <w:top w:val="nil"/>
              <w:left w:val="nil"/>
              <w:bottom w:val="nil"/>
              <w:right w:val="nil"/>
            </w:tcBorders>
          </w:tcPr>
          <w:p w14:paraId="0FD01DE2"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Constant</w:t>
            </w:r>
          </w:p>
        </w:tc>
        <w:tc>
          <w:tcPr>
            <w:tcW w:w="0" w:type="auto"/>
            <w:tcBorders>
              <w:top w:val="nil"/>
              <w:left w:val="nil"/>
              <w:bottom w:val="nil"/>
              <w:right w:val="nil"/>
            </w:tcBorders>
          </w:tcPr>
          <w:p w14:paraId="3E172F08"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-0.030</w:t>
            </w:r>
          </w:p>
        </w:tc>
        <w:tc>
          <w:tcPr>
            <w:tcW w:w="0" w:type="auto"/>
            <w:tcBorders>
              <w:top w:val="nil"/>
              <w:left w:val="nil"/>
              <w:bottom w:val="nil"/>
              <w:right w:val="nil"/>
            </w:tcBorders>
          </w:tcPr>
          <w:p w14:paraId="1A742E22"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-0.020</w:t>
            </w:r>
          </w:p>
        </w:tc>
        <w:tc>
          <w:tcPr>
            <w:tcW w:w="0" w:type="auto"/>
            <w:tcBorders>
              <w:top w:val="nil"/>
              <w:left w:val="nil"/>
              <w:bottom w:val="nil"/>
              <w:right w:val="nil"/>
            </w:tcBorders>
          </w:tcPr>
          <w:p w14:paraId="761A9B3A"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-0.012</w:t>
            </w:r>
          </w:p>
        </w:tc>
        <w:tc>
          <w:tcPr>
            <w:tcW w:w="0" w:type="auto"/>
            <w:tcBorders>
              <w:top w:val="nil"/>
              <w:left w:val="nil"/>
              <w:bottom w:val="nil"/>
              <w:right w:val="nil"/>
            </w:tcBorders>
          </w:tcPr>
          <w:p w14:paraId="75C1E7D8"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-0.045*</w:t>
            </w:r>
          </w:p>
        </w:tc>
      </w:tr>
      <w:tr w:rsidR="005579BB" w:rsidRPr="007048BA" w14:paraId="55BB052B" w14:textId="77777777" w:rsidTr="00821FD2">
        <w:trPr>
          <w:jc w:val="center"/>
        </w:trPr>
        <w:tc>
          <w:tcPr>
            <w:tcW w:w="0" w:type="auto"/>
            <w:tcBorders>
              <w:top w:val="nil"/>
              <w:left w:val="nil"/>
              <w:bottom w:val="nil"/>
              <w:right w:val="nil"/>
            </w:tcBorders>
          </w:tcPr>
          <w:p w14:paraId="29EC796D" w14:textId="77777777" w:rsidR="005579BB" w:rsidRPr="007048BA" w:rsidRDefault="005579BB" w:rsidP="00821FD2">
            <w:pPr>
              <w:widowControl w:val="0"/>
              <w:autoSpaceDE w:val="0"/>
              <w:autoSpaceDN w:val="0"/>
              <w:adjustRightInd w:val="0"/>
              <w:spacing w:after="0" w:line="240" w:lineRule="auto"/>
              <w:rPr>
                <w:rFonts w:cs="Times New Roman"/>
                <w:i/>
                <w:szCs w:val="24"/>
              </w:rPr>
            </w:pPr>
          </w:p>
        </w:tc>
        <w:tc>
          <w:tcPr>
            <w:tcW w:w="0" w:type="auto"/>
            <w:tcBorders>
              <w:top w:val="nil"/>
              <w:left w:val="nil"/>
              <w:bottom w:val="nil"/>
              <w:right w:val="nil"/>
            </w:tcBorders>
          </w:tcPr>
          <w:p w14:paraId="6FFB14A0"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(0.235)</w:t>
            </w:r>
          </w:p>
        </w:tc>
        <w:tc>
          <w:tcPr>
            <w:tcW w:w="0" w:type="auto"/>
            <w:tcBorders>
              <w:top w:val="nil"/>
              <w:left w:val="nil"/>
              <w:bottom w:val="nil"/>
              <w:right w:val="nil"/>
            </w:tcBorders>
          </w:tcPr>
          <w:p w14:paraId="0E5329A7"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(0.436)</w:t>
            </w:r>
          </w:p>
        </w:tc>
        <w:tc>
          <w:tcPr>
            <w:tcW w:w="0" w:type="auto"/>
            <w:tcBorders>
              <w:top w:val="nil"/>
              <w:left w:val="nil"/>
              <w:bottom w:val="nil"/>
              <w:right w:val="nil"/>
            </w:tcBorders>
          </w:tcPr>
          <w:p w14:paraId="277191F5"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(0.641)</w:t>
            </w:r>
          </w:p>
        </w:tc>
        <w:tc>
          <w:tcPr>
            <w:tcW w:w="0" w:type="auto"/>
            <w:tcBorders>
              <w:top w:val="nil"/>
              <w:left w:val="nil"/>
              <w:bottom w:val="nil"/>
              <w:right w:val="nil"/>
            </w:tcBorders>
          </w:tcPr>
          <w:p w14:paraId="4AF936E0"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(0.083)</w:t>
            </w:r>
          </w:p>
        </w:tc>
      </w:tr>
      <w:tr w:rsidR="005579BB" w:rsidRPr="007048BA" w14:paraId="567D7C99" w14:textId="77777777" w:rsidTr="00821FD2">
        <w:trPr>
          <w:jc w:val="center"/>
        </w:trPr>
        <w:tc>
          <w:tcPr>
            <w:tcW w:w="0" w:type="auto"/>
            <w:tcBorders>
              <w:top w:val="nil"/>
              <w:left w:val="nil"/>
              <w:bottom w:val="nil"/>
              <w:right w:val="nil"/>
            </w:tcBorders>
          </w:tcPr>
          <w:p w14:paraId="02C21BA4" w14:textId="20A0D7D2" w:rsidR="005579BB" w:rsidRPr="007048BA" w:rsidRDefault="00173067" w:rsidP="00821FD2">
            <w:pPr>
              <w:widowControl w:val="0"/>
              <w:autoSpaceDE w:val="0"/>
              <w:autoSpaceDN w:val="0"/>
              <w:adjustRightInd w:val="0"/>
              <w:spacing w:after="0" w:line="240" w:lineRule="auto"/>
              <w:rPr>
                <w:rFonts w:cs="Times New Roman"/>
                <w:i/>
                <w:szCs w:val="24"/>
              </w:rPr>
            </w:pPr>
            <w:r w:rsidRPr="007048BA">
              <w:rPr>
                <w:rFonts w:cs="Times New Roman"/>
                <w:i/>
                <w:szCs w:val="24"/>
              </w:rPr>
              <w:t>Obs.</w:t>
            </w:r>
          </w:p>
        </w:tc>
        <w:tc>
          <w:tcPr>
            <w:tcW w:w="0" w:type="auto"/>
            <w:tcBorders>
              <w:top w:val="nil"/>
              <w:left w:val="nil"/>
              <w:bottom w:val="nil"/>
              <w:right w:val="nil"/>
            </w:tcBorders>
          </w:tcPr>
          <w:p w14:paraId="6BAB0DF6"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23,165</w:t>
            </w:r>
          </w:p>
        </w:tc>
        <w:tc>
          <w:tcPr>
            <w:tcW w:w="0" w:type="auto"/>
            <w:tcBorders>
              <w:top w:val="nil"/>
              <w:left w:val="nil"/>
              <w:bottom w:val="nil"/>
              <w:right w:val="nil"/>
            </w:tcBorders>
          </w:tcPr>
          <w:p w14:paraId="1C4376BB"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23,165</w:t>
            </w:r>
          </w:p>
        </w:tc>
        <w:tc>
          <w:tcPr>
            <w:tcW w:w="0" w:type="auto"/>
            <w:tcBorders>
              <w:top w:val="nil"/>
              <w:left w:val="nil"/>
              <w:bottom w:val="nil"/>
              <w:right w:val="nil"/>
            </w:tcBorders>
          </w:tcPr>
          <w:p w14:paraId="632E9EC0"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23,165</w:t>
            </w:r>
          </w:p>
        </w:tc>
        <w:tc>
          <w:tcPr>
            <w:tcW w:w="0" w:type="auto"/>
            <w:tcBorders>
              <w:top w:val="nil"/>
              <w:left w:val="nil"/>
              <w:bottom w:val="nil"/>
              <w:right w:val="nil"/>
            </w:tcBorders>
          </w:tcPr>
          <w:p w14:paraId="0E8D1C25"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23,165</w:t>
            </w:r>
          </w:p>
        </w:tc>
      </w:tr>
      <w:tr w:rsidR="005579BB" w:rsidRPr="007048BA" w14:paraId="4C298DA5" w14:textId="77777777" w:rsidTr="00194DA7">
        <w:trPr>
          <w:jc w:val="center"/>
        </w:trPr>
        <w:tc>
          <w:tcPr>
            <w:tcW w:w="0" w:type="auto"/>
            <w:tcBorders>
              <w:top w:val="nil"/>
              <w:left w:val="nil"/>
              <w:right w:val="nil"/>
            </w:tcBorders>
          </w:tcPr>
          <w:p w14:paraId="2721EC86"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R-squared</w:t>
            </w:r>
          </w:p>
        </w:tc>
        <w:tc>
          <w:tcPr>
            <w:tcW w:w="0" w:type="auto"/>
            <w:tcBorders>
              <w:top w:val="nil"/>
              <w:left w:val="nil"/>
              <w:right w:val="nil"/>
            </w:tcBorders>
          </w:tcPr>
          <w:p w14:paraId="5B7B9C95"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0.013</w:t>
            </w:r>
          </w:p>
        </w:tc>
        <w:tc>
          <w:tcPr>
            <w:tcW w:w="0" w:type="auto"/>
            <w:tcBorders>
              <w:top w:val="nil"/>
              <w:left w:val="nil"/>
              <w:right w:val="nil"/>
            </w:tcBorders>
          </w:tcPr>
          <w:p w14:paraId="3032DA0B"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0.012</w:t>
            </w:r>
          </w:p>
        </w:tc>
        <w:tc>
          <w:tcPr>
            <w:tcW w:w="0" w:type="auto"/>
            <w:tcBorders>
              <w:top w:val="nil"/>
              <w:left w:val="nil"/>
              <w:right w:val="nil"/>
            </w:tcBorders>
          </w:tcPr>
          <w:p w14:paraId="29E3B0A3"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0.014</w:t>
            </w:r>
          </w:p>
        </w:tc>
        <w:tc>
          <w:tcPr>
            <w:tcW w:w="0" w:type="auto"/>
            <w:tcBorders>
              <w:top w:val="nil"/>
              <w:left w:val="nil"/>
              <w:right w:val="nil"/>
            </w:tcBorders>
          </w:tcPr>
          <w:p w14:paraId="1EFC327C"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0.013</w:t>
            </w:r>
          </w:p>
        </w:tc>
      </w:tr>
      <w:tr w:rsidR="005579BB" w:rsidRPr="007048BA" w14:paraId="1F2E1F86" w14:textId="77777777" w:rsidTr="00194DA7">
        <w:tblPrEx>
          <w:tblBorders>
            <w:bottom w:val="single" w:sz="6" w:space="0" w:color="auto"/>
          </w:tblBorders>
        </w:tblPrEx>
        <w:trPr>
          <w:jc w:val="center"/>
        </w:trPr>
        <w:tc>
          <w:tcPr>
            <w:tcW w:w="0" w:type="auto"/>
            <w:tcBorders>
              <w:top w:val="nil"/>
              <w:left w:val="nil"/>
              <w:bottom w:val="single" w:sz="4" w:space="0" w:color="auto"/>
              <w:right w:val="nil"/>
            </w:tcBorders>
          </w:tcPr>
          <w:p w14:paraId="712BE188" w14:textId="77777777" w:rsidR="005579BB" w:rsidRPr="007048BA" w:rsidRDefault="005579BB" w:rsidP="00821FD2">
            <w:pPr>
              <w:widowControl w:val="0"/>
              <w:autoSpaceDE w:val="0"/>
              <w:autoSpaceDN w:val="0"/>
              <w:adjustRightInd w:val="0"/>
              <w:spacing w:after="0" w:line="240" w:lineRule="auto"/>
              <w:rPr>
                <w:rFonts w:cs="Times New Roman"/>
                <w:i/>
                <w:szCs w:val="24"/>
              </w:rPr>
            </w:pPr>
            <w:r w:rsidRPr="007048BA">
              <w:rPr>
                <w:rFonts w:cs="Times New Roman"/>
                <w:i/>
                <w:szCs w:val="24"/>
              </w:rPr>
              <w:t>Firms</w:t>
            </w:r>
          </w:p>
        </w:tc>
        <w:tc>
          <w:tcPr>
            <w:tcW w:w="0" w:type="auto"/>
            <w:tcBorders>
              <w:top w:val="nil"/>
              <w:left w:val="nil"/>
              <w:bottom w:val="single" w:sz="4" w:space="0" w:color="auto"/>
              <w:right w:val="nil"/>
            </w:tcBorders>
          </w:tcPr>
          <w:p w14:paraId="3B782281"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2,758</w:t>
            </w:r>
          </w:p>
        </w:tc>
        <w:tc>
          <w:tcPr>
            <w:tcW w:w="0" w:type="auto"/>
            <w:tcBorders>
              <w:top w:val="nil"/>
              <w:left w:val="nil"/>
              <w:bottom w:val="single" w:sz="4" w:space="0" w:color="auto"/>
              <w:right w:val="nil"/>
            </w:tcBorders>
          </w:tcPr>
          <w:p w14:paraId="0AD091B3"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2,758</w:t>
            </w:r>
          </w:p>
        </w:tc>
        <w:tc>
          <w:tcPr>
            <w:tcW w:w="0" w:type="auto"/>
            <w:tcBorders>
              <w:top w:val="nil"/>
              <w:left w:val="nil"/>
              <w:bottom w:val="single" w:sz="4" w:space="0" w:color="auto"/>
              <w:right w:val="nil"/>
            </w:tcBorders>
          </w:tcPr>
          <w:p w14:paraId="7E72238A"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2,758</w:t>
            </w:r>
          </w:p>
        </w:tc>
        <w:tc>
          <w:tcPr>
            <w:tcW w:w="0" w:type="auto"/>
            <w:tcBorders>
              <w:top w:val="nil"/>
              <w:left w:val="nil"/>
              <w:bottom w:val="single" w:sz="4" w:space="0" w:color="auto"/>
              <w:right w:val="nil"/>
            </w:tcBorders>
          </w:tcPr>
          <w:p w14:paraId="7BCA6914" w14:textId="77777777" w:rsidR="005579BB" w:rsidRPr="007048BA" w:rsidRDefault="005579BB" w:rsidP="00821FD2">
            <w:pPr>
              <w:widowControl w:val="0"/>
              <w:autoSpaceDE w:val="0"/>
              <w:autoSpaceDN w:val="0"/>
              <w:adjustRightInd w:val="0"/>
              <w:spacing w:after="0" w:line="240" w:lineRule="auto"/>
              <w:jc w:val="center"/>
              <w:rPr>
                <w:rFonts w:cs="Times New Roman"/>
                <w:szCs w:val="24"/>
              </w:rPr>
            </w:pPr>
            <w:r w:rsidRPr="007048BA">
              <w:rPr>
                <w:rFonts w:cs="Times New Roman"/>
                <w:szCs w:val="24"/>
              </w:rPr>
              <w:t>2,758</w:t>
            </w:r>
          </w:p>
        </w:tc>
      </w:tr>
    </w:tbl>
    <w:p w14:paraId="08603346" w14:textId="77777777" w:rsidR="005579BB" w:rsidRPr="007048BA" w:rsidRDefault="005579BB" w:rsidP="00031D30">
      <w:pPr>
        <w:spacing w:line="240" w:lineRule="auto"/>
        <w:ind w:firstLine="0"/>
        <w:rPr>
          <w:rFonts w:eastAsia="Times New Roman" w:cs="Times New Roman"/>
          <w:color w:val="000000"/>
          <w:sz w:val="20"/>
          <w:lang w:val="en-GB" w:eastAsia="en-GB"/>
        </w:rPr>
      </w:pPr>
    </w:p>
    <w:p w14:paraId="0D3FC853" w14:textId="77777777" w:rsidR="005D120E" w:rsidRPr="007048BA" w:rsidRDefault="005D120E" w:rsidP="00022753">
      <w:pPr>
        <w:rPr>
          <w:b/>
          <w:sz w:val="28"/>
          <w:lang w:val="en-GB" w:eastAsia="zh-TW"/>
        </w:rPr>
        <w:sectPr w:rsidR="005D120E" w:rsidRPr="007048BA" w:rsidSect="007B5ED9">
          <w:pgSz w:w="12240" w:h="15840"/>
          <w:pgMar w:top="1304" w:right="964" w:bottom="1304" w:left="1077" w:header="720" w:footer="720" w:gutter="0"/>
          <w:cols w:space="720"/>
          <w:docGrid w:linePitch="360"/>
        </w:sectPr>
      </w:pPr>
    </w:p>
    <w:p w14:paraId="5AD851D7" w14:textId="62405A7D" w:rsidR="0060367E" w:rsidRPr="007048BA" w:rsidRDefault="00221127" w:rsidP="00022753">
      <w:pPr>
        <w:rPr>
          <w:rFonts w:eastAsia="PMingLiU" w:cs="Times New Roman"/>
          <w:b/>
          <w:sz w:val="28"/>
          <w:lang w:val="en-GB" w:eastAsia="zh-TW"/>
        </w:rPr>
      </w:pPr>
      <w:r w:rsidRPr="007048BA">
        <w:rPr>
          <w:b/>
          <w:sz w:val="28"/>
          <w:lang w:val="en-GB" w:eastAsia="zh-TW"/>
        </w:rPr>
        <w:lastRenderedPageBreak/>
        <w:t>T</w:t>
      </w:r>
      <w:r w:rsidR="0060367E" w:rsidRPr="007048BA">
        <w:rPr>
          <w:b/>
          <w:sz w:val="28"/>
          <w:lang w:val="en-GB" w:eastAsia="zh-TW"/>
        </w:rPr>
        <w:t>able 7</w:t>
      </w:r>
      <w:r w:rsidR="00022753" w:rsidRPr="007048BA">
        <w:rPr>
          <w:b/>
          <w:sz w:val="28"/>
          <w:lang w:val="en-GB" w:eastAsia="zh-TW"/>
        </w:rPr>
        <w:t xml:space="preserve">: </w:t>
      </w:r>
      <w:r w:rsidR="002649E7" w:rsidRPr="007048BA">
        <w:rPr>
          <w:b/>
          <w:sz w:val="28"/>
          <w:lang w:val="en-GB" w:eastAsia="zh-TW"/>
        </w:rPr>
        <w:t>T</w:t>
      </w:r>
      <w:r w:rsidR="0060367E" w:rsidRPr="007048BA">
        <w:rPr>
          <w:rFonts w:eastAsia="PMingLiU" w:cs="Times New Roman"/>
          <w:b/>
          <w:sz w:val="28"/>
          <w:lang w:val="en-GB" w:eastAsia="zh-TW"/>
        </w:rPr>
        <w:t xml:space="preserve">akeover likelihood </w:t>
      </w:r>
      <w:r w:rsidR="002649E7" w:rsidRPr="007048BA">
        <w:rPr>
          <w:rFonts w:eastAsia="PMingLiU" w:cs="Times New Roman"/>
          <w:b/>
          <w:sz w:val="28"/>
          <w:lang w:val="en-GB" w:eastAsia="zh-TW"/>
        </w:rPr>
        <w:t>and</w:t>
      </w:r>
      <w:r w:rsidR="0060367E" w:rsidRPr="007048BA">
        <w:rPr>
          <w:rFonts w:eastAsia="PMingLiU" w:cs="Times New Roman"/>
          <w:b/>
          <w:sz w:val="28"/>
          <w:lang w:val="en-GB" w:eastAsia="zh-TW"/>
        </w:rPr>
        <w:t xml:space="preserve"> </w:t>
      </w:r>
      <w:r w:rsidR="002649E7" w:rsidRPr="007048BA">
        <w:rPr>
          <w:rFonts w:eastAsia="PMingLiU" w:cs="Times New Roman"/>
          <w:b/>
          <w:sz w:val="28"/>
          <w:lang w:val="en-GB" w:eastAsia="zh-TW"/>
        </w:rPr>
        <w:t>management performance</w:t>
      </w:r>
    </w:p>
    <w:p w14:paraId="2569B12B" w14:textId="70DB9648" w:rsidR="0060367E" w:rsidRPr="007048BA" w:rsidRDefault="0060367E" w:rsidP="0060367E">
      <w:pPr>
        <w:spacing w:after="0" w:line="240" w:lineRule="auto"/>
        <w:ind w:firstLine="0"/>
        <w:rPr>
          <w:rFonts w:eastAsia="PMingLiU" w:cs="Times New Roman"/>
          <w:sz w:val="20"/>
          <w:szCs w:val="24"/>
          <w:lang w:val="en-GB" w:eastAsia="zh-TW"/>
        </w:rPr>
      </w:pPr>
      <w:r w:rsidRPr="007048BA">
        <w:rPr>
          <w:rFonts w:eastAsia="PMingLiU" w:cs="Times New Roman"/>
          <w:sz w:val="20"/>
          <w:szCs w:val="24"/>
          <w:lang w:val="en-GB" w:eastAsia="zh-TW"/>
        </w:rPr>
        <w:t>The table reports results from panel fixed effects logit models</w:t>
      </w:r>
      <w:r w:rsidR="00022753" w:rsidRPr="007048BA">
        <w:rPr>
          <w:rFonts w:eastAsia="PMingLiU" w:cs="Times New Roman"/>
          <w:sz w:val="20"/>
          <w:szCs w:val="24"/>
          <w:lang w:val="en-GB" w:eastAsia="zh-TW"/>
        </w:rPr>
        <w:t xml:space="preserve"> (equation </w:t>
      </w:r>
      <w:r w:rsidR="00AC3E31" w:rsidRPr="007048BA">
        <w:rPr>
          <w:rFonts w:eastAsia="PMingLiU" w:cs="Times New Roman"/>
          <w:sz w:val="20"/>
          <w:szCs w:val="24"/>
          <w:lang w:val="en-GB" w:eastAsia="zh-TW"/>
        </w:rPr>
        <w:t>10</w:t>
      </w:r>
      <w:r w:rsidR="00022753" w:rsidRPr="007048BA">
        <w:rPr>
          <w:rFonts w:eastAsia="PMingLiU" w:cs="Times New Roman"/>
          <w:sz w:val="20"/>
          <w:szCs w:val="24"/>
          <w:lang w:val="en-GB" w:eastAsia="zh-TW"/>
        </w:rPr>
        <w:t>)</w:t>
      </w:r>
      <w:r w:rsidRPr="007048BA">
        <w:rPr>
          <w:rFonts w:eastAsia="PMingLiU" w:cs="Times New Roman"/>
          <w:sz w:val="20"/>
          <w:szCs w:val="24"/>
          <w:lang w:val="en-GB" w:eastAsia="zh-TW"/>
        </w:rPr>
        <w:t xml:space="preserve"> estimating a firm’s takeover likelihood as logit function of firm characteristics. </w:t>
      </w:r>
    </w:p>
    <w:p w14:paraId="62BE8F04" w14:textId="324F7237" w:rsidR="0060367E" w:rsidRPr="007048BA" w:rsidRDefault="0060367E" w:rsidP="0060367E">
      <w:pPr>
        <w:autoSpaceDE w:val="0"/>
        <w:autoSpaceDN w:val="0"/>
        <w:adjustRightInd w:val="0"/>
        <w:spacing w:after="0" w:line="240" w:lineRule="auto"/>
        <w:ind w:firstLine="0"/>
        <w:rPr>
          <w:rFonts w:eastAsia="PMingLiU" w:cs="Times New Roman"/>
          <w:sz w:val="20"/>
          <w:szCs w:val="24"/>
          <w:lang w:val="en-GB" w:eastAsia="zh-TW"/>
        </w:rPr>
      </w:pPr>
      <m:oMath>
        <m:r>
          <m:rPr>
            <m:sty m:val="p"/>
          </m:rPr>
          <w:rPr>
            <w:rFonts w:ascii="Cambria Math" w:eastAsia="PMingLiU" w:hAnsi="Cambria Math" w:cs="cmr12"/>
            <w:sz w:val="20"/>
            <w:szCs w:val="24"/>
            <w:lang w:val="en-GB" w:eastAsia="zh-TW"/>
          </w:rPr>
          <m:t>Pr⁡</m:t>
        </m:r>
        <m:r>
          <w:rPr>
            <w:rFonts w:ascii="Cambria Math" w:eastAsia="PMingLiU" w:hAnsi="Cambria Math" w:cs="cmr12"/>
            <w:sz w:val="20"/>
            <w:szCs w:val="24"/>
            <w:lang w:val="en-GB" w:eastAsia="zh-TW"/>
          </w:rPr>
          <m:t>[</m:t>
        </m:r>
        <m:sSub>
          <m:sSubPr>
            <m:ctrlPr>
              <w:rPr>
                <w:rFonts w:ascii="Cambria Math" w:eastAsia="PMingLiU" w:hAnsi="Cambria Math" w:cs="cmr12"/>
                <w:i/>
                <w:sz w:val="20"/>
                <w:szCs w:val="24"/>
                <w:lang w:val="en-GB" w:eastAsia="zh-TW"/>
              </w:rPr>
            </m:ctrlPr>
          </m:sSubPr>
          <m:e>
            <m:r>
              <w:rPr>
                <w:rFonts w:ascii="Cambria Math" w:eastAsia="PMingLiU" w:hAnsi="Cambria Math" w:cs="cmr12"/>
                <w:sz w:val="20"/>
                <w:szCs w:val="24"/>
                <w:lang w:val="en-GB" w:eastAsia="zh-TW"/>
              </w:rPr>
              <m:t>Target</m:t>
            </m:r>
          </m:e>
          <m:sub>
            <m:r>
              <w:rPr>
                <w:rFonts w:ascii="Cambria Math" w:eastAsia="PMingLiU" w:hAnsi="Cambria Math" w:cs="cmr12"/>
                <w:sz w:val="20"/>
                <w:szCs w:val="24"/>
                <w:lang w:val="en-GB" w:eastAsia="zh-TW"/>
              </w:rPr>
              <m:t>it</m:t>
            </m:r>
          </m:sub>
        </m:sSub>
        <m:r>
          <w:rPr>
            <w:rFonts w:ascii="Cambria Math" w:eastAsia="PMingLiU" w:hAnsi="Cambria Math" w:cs="cmr12"/>
            <w:sz w:val="20"/>
            <w:szCs w:val="24"/>
            <w:lang w:val="en-GB" w:eastAsia="zh-TW"/>
          </w:rPr>
          <m:t>=1]=F</m:t>
        </m:r>
        <m:d>
          <m:dPr>
            <m:ctrlPr>
              <w:rPr>
                <w:rFonts w:ascii="Cambria Math" w:eastAsia="PMingLiU" w:hAnsi="Cambria Math" w:cs="cmr12"/>
                <w:i/>
                <w:sz w:val="20"/>
                <w:szCs w:val="24"/>
                <w:lang w:val="en-GB" w:eastAsia="zh-TW"/>
              </w:rPr>
            </m:ctrlPr>
          </m:dPr>
          <m:e>
            <m:r>
              <w:rPr>
                <w:rFonts w:ascii="Cambria Math" w:eastAsia="PMingLiU" w:hAnsi="Cambria Math" w:cs="cmr12"/>
                <w:sz w:val="20"/>
                <w:szCs w:val="24"/>
                <w:lang w:val="en-GB" w:eastAsia="zh-TW"/>
              </w:rPr>
              <m:t>α+β*</m:t>
            </m:r>
            <m:sSub>
              <m:sSubPr>
                <m:ctrlPr>
                  <w:rPr>
                    <w:rFonts w:ascii="Cambria Math" w:eastAsia="PMingLiU" w:hAnsi="Cambria Math" w:cs="cmr12"/>
                    <w:i/>
                    <w:sz w:val="20"/>
                    <w:szCs w:val="24"/>
                    <w:lang w:val="en-GB" w:eastAsia="zh-TW"/>
                  </w:rPr>
                </m:ctrlPr>
              </m:sSubPr>
              <m:e>
                <m:r>
                  <w:rPr>
                    <w:rFonts w:ascii="Cambria Math" w:eastAsia="PMingLiU" w:hAnsi="Cambria Math" w:cs="cmr12"/>
                    <w:sz w:val="20"/>
                    <w:szCs w:val="24"/>
                    <w:lang w:val="en-GB" w:eastAsia="zh-TW"/>
                  </w:rPr>
                  <m:t>Performance</m:t>
                </m:r>
              </m:e>
              <m:sub>
                <m:r>
                  <w:rPr>
                    <w:rFonts w:ascii="Cambria Math" w:eastAsia="PMingLiU" w:hAnsi="Cambria Math" w:cs="cmr12"/>
                    <w:sz w:val="20"/>
                    <w:szCs w:val="24"/>
                    <w:lang w:val="en-GB" w:eastAsia="zh-TW"/>
                  </w:rPr>
                  <m:t>it-1</m:t>
                </m:r>
              </m:sub>
            </m:sSub>
            <m:r>
              <w:rPr>
                <w:rFonts w:ascii="Cambria Math" w:eastAsia="PMingLiU" w:hAnsi="Cambria Math" w:cs="cmr12"/>
                <w:sz w:val="20"/>
                <w:szCs w:val="24"/>
                <w:lang w:val="en-GB" w:eastAsia="zh-TW"/>
              </w:rPr>
              <m:t>+</m:t>
            </m:r>
            <m:sSub>
              <m:sSubPr>
                <m:ctrlPr>
                  <w:rPr>
                    <w:rFonts w:ascii="Cambria Math" w:eastAsia="PMingLiU" w:hAnsi="Cambria Math" w:cs="cmr12"/>
                    <w:i/>
                    <w:sz w:val="20"/>
                    <w:szCs w:val="24"/>
                    <w:lang w:val="en-GB" w:eastAsia="zh-TW"/>
                  </w:rPr>
                </m:ctrlPr>
              </m:sSubPr>
              <m:e>
                <m:r>
                  <w:rPr>
                    <w:rFonts w:ascii="Cambria Math" w:eastAsia="PMingLiU" w:hAnsi="Cambria Math" w:cs="cmr12"/>
                    <w:sz w:val="20"/>
                    <w:szCs w:val="24"/>
                    <w:lang w:val="en-GB" w:eastAsia="zh-TW"/>
                  </w:rPr>
                  <m:t>γ*Controls</m:t>
                </m:r>
              </m:e>
              <m:sub>
                <m:r>
                  <w:rPr>
                    <w:rFonts w:ascii="Cambria Math" w:eastAsia="PMingLiU" w:hAnsi="Cambria Math" w:cs="cmr12"/>
                    <w:sz w:val="20"/>
                    <w:szCs w:val="24"/>
                    <w:lang w:val="en-GB" w:eastAsia="zh-TW"/>
                  </w:rPr>
                  <m:t>it-1</m:t>
                </m:r>
              </m:sub>
            </m:sSub>
            <m:r>
              <w:rPr>
                <w:rFonts w:ascii="Cambria Math" w:eastAsia="PMingLiU" w:hAnsi="Cambria Math" w:cs="cmr12"/>
                <w:sz w:val="20"/>
                <w:szCs w:val="24"/>
                <w:lang w:val="en-GB" w:eastAsia="zh-TW"/>
              </w:rPr>
              <m:t>+</m:t>
            </m:r>
            <m:sSub>
              <m:sSubPr>
                <m:ctrlPr>
                  <w:rPr>
                    <w:rFonts w:ascii="Cambria Math" w:eastAsia="PMingLiU" w:hAnsi="Cambria Math" w:cs="cmr12"/>
                    <w:i/>
                    <w:sz w:val="20"/>
                    <w:szCs w:val="24"/>
                    <w:lang w:val="en-GB" w:eastAsia="zh-TW"/>
                  </w:rPr>
                </m:ctrlPr>
              </m:sSubPr>
              <m:e>
                <m:r>
                  <w:rPr>
                    <w:rFonts w:ascii="Cambria Math" w:eastAsia="PMingLiU" w:hAnsi="Cambria Math" w:cs="cmr12"/>
                    <w:sz w:val="20"/>
                    <w:szCs w:val="24"/>
                    <w:lang w:val="en-GB" w:eastAsia="zh-TW"/>
                  </w:rPr>
                  <m:t>ε</m:t>
                </m:r>
              </m:e>
              <m:sub>
                <m:r>
                  <w:rPr>
                    <w:rFonts w:ascii="Cambria Math" w:eastAsia="PMingLiU" w:hAnsi="Cambria Math" w:cs="cmr12"/>
                    <w:sz w:val="20"/>
                    <w:szCs w:val="24"/>
                    <w:lang w:val="en-GB" w:eastAsia="zh-TW"/>
                  </w:rPr>
                  <m:t>it</m:t>
                </m:r>
              </m:sub>
            </m:sSub>
          </m:e>
        </m:d>
      </m:oMath>
      <w:r w:rsidRPr="007048BA">
        <w:rPr>
          <w:rFonts w:eastAsia="PMingLiU" w:cs="Times New Roman"/>
          <w:sz w:val="20"/>
          <w:szCs w:val="24"/>
          <w:lang w:val="en-GB" w:eastAsia="zh-TW"/>
        </w:rPr>
        <w:t xml:space="preserve">     (</w:t>
      </w:r>
      <w:r w:rsidR="00AC3E31" w:rsidRPr="007048BA">
        <w:rPr>
          <w:rFonts w:eastAsia="PMingLiU" w:cs="Times New Roman"/>
          <w:sz w:val="20"/>
          <w:szCs w:val="24"/>
          <w:lang w:val="en-GB" w:eastAsia="zh-TW"/>
        </w:rPr>
        <w:t>10</w:t>
      </w:r>
      <w:r w:rsidRPr="007048BA">
        <w:rPr>
          <w:rFonts w:eastAsia="PMingLiU" w:cs="Times New Roman"/>
          <w:sz w:val="20"/>
          <w:szCs w:val="24"/>
          <w:lang w:val="en-GB" w:eastAsia="zh-TW"/>
        </w:rPr>
        <w:t xml:space="preserve">)    </w:t>
      </w:r>
    </w:p>
    <w:p w14:paraId="438188D6" w14:textId="77777777" w:rsidR="0060367E" w:rsidRPr="007048BA" w:rsidRDefault="0060367E" w:rsidP="0060367E">
      <w:pPr>
        <w:autoSpaceDE w:val="0"/>
        <w:autoSpaceDN w:val="0"/>
        <w:adjustRightInd w:val="0"/>
        <w:spacing w:after="0" w:line="240" w:lineRule="auto"/>
        <w:ind w:firstLine="0"/>
        <w:rPr>
          <w:rFonts w:eastAsia="PMingLiU" w:cs="Times New Roman"/>
          <w:sz w:val="20"/>
          <w:szCs w:val="24"/>
          <w:lang w:val="en-GB" w:eastAsia="zh-TW"/>
        </w:rPr>
      </w:pPr>
      <w:r w:rsidRPr="007048BA">
        <w:rPr>
          <w:rFonts w:eastAsia="PMingLiU" w:cs="Times New Roman"/>
          <w:sz w:val="20"/>
          <w:szCs w:val="24"/>
          <w:lang w:val="en-GB" w:eastAsia="zh-TW"/>
        </w:rPr>
        <w:t xml:space="preserve"> </w:t>
      </w:r>
    </w:p>
    <w:p w14:paraId="5B6B414C" w14:textId="597AE81A" w:rsidR="0060367E" w:rsidRPr="007048BA" w:rsidRDefault="005D120E" w:rsidP="0060367E">
      <w:pPr>
        <w:autoSpaceDE w:val="0"/>
        <w:autoSpaceDN w:val="0"/>
        <w:adjustRightInd w:val="0"/>
        <w:spacing w:after="0" w:line="240" w:lineRule="auto"/>
        <w:ind w:firstLine="0"/>
        <w:rPr>
          <w:rFonts w:eastAsia="PMingLiU" w:cs="Times New Roman"/>
          <w:sz w:val="20"/>
          <w:szCs w:val="24"/>
          <w:lang w:val="en-GB" w:eastAsia="zh-TW"/>
        </w:rPr>
      </w:pPr>
      <w:r w:rsidRPr="007048BA">
        <w:rPr>
          <w:rFonts w:eastAsia="PMingLiU" w:cs="Times New Roman"/>
          <w:sz w:val="20"/>
          <w:szCs w:val="24"/>
          <w:lang w:val="en-GB" w:eastAsia="zh-TW"/>
        </w:rPr>
        <w:t>The dependent variable in the model</w:t>
      </w:r>
      <w:r w:rsidR="0060367E" w:rsidRPr="007048BA">
        <w:rPr>
          <w:rFonts w:eastAsia="PMingLiU" w:cs="Times New Roman"/>
          <w:sz w:val="20"/>
          <w:szCs w:val="24"/>
          <w:lang w:val="en-GB" w:eastAsia="zh-TW"/>
        </w:rPr>
        <w:t xml:space="preserve"> </w:t>
      </w:r>
      <w:r w:rsidRPr="007048BA">
        <w:rPr>
          <w:rFonts w:eastAsia="PMingLiU" w:cs="Times New Roman"/>
          <w:sz w:val="20"/>
          <w:szCs w:val="24"/>
          <w:lang w:val="en-GB" w:eastAsia="zh-TW"/>
        </w:rPr>
        <w:t>(</w:t>
      </w:r>
      <w:r w:rsidRPr="007048BA">
        <w:rPr>
          <w:rFonts w:eastAsia="PMingLiU" w:cs="Times New Roman"/>
          <w:i/>
          <w:sz w:val="20"/>
          <w:szCs w:val="24"/>
          <w:lang w:val="en-GB" w:eastAsia="zh-TW"/>
        </w:rPr>
        <w:t>Target</w:t>
      </w:r>
      <w:r w:rsidRPr="007048BA">
        <w:rPr>
          <w:rFonts w:eastAsia="PMingLiU" w:cs="Times New Roman"/>
          <w:sz w:val="20"/>
          <w:szCs w:val="24"/>
          <w:lang w:val="en-GB" w:eastAsia="zh-TW"/>
        </w:rPr>
        <w:t xml:space="preserve">) </w:t>
      </w:r>
      <w:r w:rsidR="0060367E" w:rsidRPr="007048BA">
        <w:rPr>
          <w:rFonts w:eastAsia="PMingLiU" w:cs="Times New Roman"/>
          <w:sz w:val="20"/>
          <w:szCs w:val="24"/>
          <w:lang w:val="en-GB" w:eastAsia="zh-TW"/>
        </w:rPr>
        <w:t>takes a value of one if a firm (</w:t>
      </w:r>
      <w:r w:rsidR="0060367E" w:rsidRPr="007048BA">
        <w:rPr>
          <w:rFonts w:eastAsia="PMingLiU" w:cs="Times New Roman"/>
          <w:i/>
          <w:sz w:val="20"/>
          <w:szCs w:val="24"/>
          <w:lang w:val="en-GB" w:eastAsia="zh-TW"/>
        </w:rPr>
        <w:t>i</w:t>
      </w:r>
      <w:r w:rsidR="0060367E" w:rsidRPr="007048BA">
        <w:rPr>
          <w:rFonts w:eastAsia="PMingLiU" w:cs="Times New Roman"/>
          <w:sz w:val="20"/>
          <w:szCs w:val="24"/>
          <w:lang w:val="en-GB" w:eastAsia="zh-TW"/>
        </w:rPr>
        <w:t>) is the subject of a takeover bid for control in a period (</w:t>
      </w:r>
      <w:r w:rsidR="0060367E" w:rsidRPr="007048BA">
        <w:rPr>
          <w:rFonts w:eastAsia="PMingLiU" w:cs="Times New Roman"/>
          <w:i/>
          <w:sz w:val="20"/>
          <w:szCs w:val="24"/>
          <w:lang w:val="en-GB" w:eastAsia="zh-TW"/>
        </w:rPr>
        <w:t>t</w:t>
      </w:r>
      <w:r w:rsidR="0060367E" w:rsidRPr="007048BA">
        <w:rPr>
          <w:rFonts w:eastAsia="PMingLiU" w:cs="Times New Roman"/>
          <w:sz w:val="20"/>
          <w:szCs w:val="24"/>
          <w:lang w:val="en-GB" w:eastAsia="zh-TW"/>
        </w:rPr>
        <w:t xml:space="preserve">) and a value of zero otherwise. In model (1), </w:t>
      </w:r>
      <w:r w:rsidR="00EF63A8" w:rsidRPr="007048BA">
        <w:rPr>
          <w:rFonts w:eastAsia="PMingLiU" w:cs="Times New Roman"/>
          <w:i/>
          <w:sz w:val="20"/>
          <w:szCs w:val="24"/>
          <w:lang w:val="en-GB" w:eastAsia="zh-TW"/>
        </w:rPr>
        <w:t>performance</w:t>
      </w:r>
      <w:r w:rsidR="0060367E" w:rsidRPr="007048BA">
        <w:rPr>
          <w:rFonts w:eastAsia="PMingLiU" w:cs="Times New Roman"/>
          <w:sz w:val="20"/>
          <w:szCs w:val="24"/>
          <w:lang w:val="en-GB" w:eastAsia="zh-TW"/>
        </w:rPr>
        <w:t xml:space="preserve"> is proxied by a firm’s return on capital employed (ROCE) and average abnormal return (AAR). Models (2) to (5) use </w:t>
      </w:r>
      <w:r w:rsidR="00ED262D" w:rsidRPr="007048BA">
        <w:rPr>
          <w:rFonts w:eastAsia="PMingLiU" w:cs="Times New Roman"/>
          <w:i/>
          <w:sz w:val="20"/>
          <w:szCs w:val="24"/>
          <w:lang w:val="en-GB" w:eastAsia="zh-TW"/>
        </w:rPr>
        <w:t>poor</w:t>
      </w:r>
      <w:r w:rsidR="0060367E" w:rsidRPr="007048BA">
        <w:rPr>
          <w:rFonts w:eastAsia="PMingLiU" w:cs="Times New Roman"/>
          <w:i/>
          <w:sz w:val="20"/>
          <w:szCs w:val="24"/>
          <w:lang w:val="en-GB" w:eastAsia="zh-TW"/>
        </w:rPr>
        <w:t xml:space="preserve">, </w:t>
      </w:r>
      <w:r w:rsidR="00ED262D" w:rsidRPr="007048BA">
        <w:rPr>
          <w:rFonts w:eastAsia="PMingLiU" w:cs="Times New Roman"/>
          <w:i/>
          <w:sz w:val="20"/>
          <w:szCs w:val="24"/>
          <w:lang w:val="en-GB" w:eastAsia="zh-TW"/>
        </w:rPr>
        <w:t>myopia</w:t>
      </w:r>
      <w:r w:rsidR="0060367E" w:rsidRPr="007048BA">
        <w:rPr>
          <w:rFonts w:eastAsia="PMingLiU" w:cs="Times New Roman"/>
          <w:i/>
          <w:sz w:val="20"/>
          <w:szCs w:val="24"/>
          <w:lang w:val="en-GB" w:eastAsia="zh-TW"/>
        </w:rPr>
        <w:t xml:space="preserve">, </w:t>
      </w:r>
      <w:r w:rsidR="00ED262D" w:rsidRPr="007048BA">
        <w:rPr>
          <w:rFonts w:eastAsia="PMingLiU" w:cs="Times New Roman"/>
          <w:i/>
          <w:sz w:val="20"/>
          <w:szCs w:val="24"/>
          <w:lang w:val="en-GB" w:eastAsia="zh-TW"/>
        </w:rPr>
        <w:t>hyperopia</w:t>
      </w:r>
      <w:r w:rsidR="0060367E" w:rsidRPr="007048BA">
        <w:rPr>
          <w:rFonts w:eastAsia="PMingLiU" w:cs="Times New Roman"/>
          <w:sz w:val="20"/>
          <w:szCs w:val="24"/>
          <w:lang w:val="en-GB" w:eastAsia="zh-TW"/>
        </w:rPr>
        <w:t xml:space="preserve"> and </w:t>
      </w:r>
      <w:r w:rsidR="00ED262D" w:rsidRPr="007048BA">
        <w:rPr>
          <w:rFonts w:eastAsia="PMingLiU" w:cs="Times New Roman"/>
          <w:i/>
          <w:sz w:val="20"/>
          <w:szCs w:val="24"/>
          <w:lang w:val="en-GB" w:eastAsia="zh-TW"/>
        </w:rPr>
        <w:t>efficient</w:t>
      </w:r>
      <w:r w:rsidR="0060367E" w:rsidRPr="007048BA">
        <w:rPr>
          <w:rFonts w:eastAsia="PMingLiU" w:cs="Times New Roman"/>
          <w:sz w:val="20"/>
          <w:szCs w:val="24"/>
          <w:lang w:val="en-GB" w:eastAsia="zh-TW"/>
        </w:rPr>
        <w:t xml:space="preserve"> as proxies of </w:t>
      </w:r>
      <w:r w:rsidR="00EF63A8" w:rsidRPr="007048BA">
        <w:rPr>
          <w:rFonts w:eastAsia="PMingLiU" w:cs="Times New Roman"/>
          <w:i/>
          <w:sz w:val="20"/>
          <w:szCs w:val="24"/>
          <w:lang w:val="en-GB" w:eastAsia="zh-TW"/>
        </w:rPr>
        <w:t>performance</w:t>
      </w:r>
      <w:r w:rsidR="00850566" w:rsidRPr="007048BA">
        <w:rPr>
          <w:rFonts w:eastAsia="PMingLiU" w:cs="Times New Roman"/>
          <w:i/>
          <w:sz w:val="20"/>
          <w:szCs w:val="24"/>
          <w:lang w:val="en-GB" w:eastAsia="zh-TW"/>
        </w:rPr>
        <w:t xml:space="preserve"> (</w:t>
      </w:r>
      <w:r w:rsidR="0060367E" w:rsidRPr="007048BA">
        <w:rPr>
          <w:rFonts w:eastAsia="PMingLiU" w:cs="Times New Roman"/>
          <w:sz w:val="20"/>
          <w:szCs w:val="24"/>
          <w:lang w:val="en-GB" w:eastAsia="zh-TW"/>
        </w:rPr>
        <w:t>see Table 2 for full definitions of these proxies). Models (6) and (7) are Two Stage panel fixed effects models controlling for po</w:t>
      </w:r>
      <w:r w:rsidR="005A1486" w:rsidRPr="007048BA">
        <w:rPr>
          <w:rFonts w:eastAsia="PMingLiU" w:cs="Times New Roman"/>
          <w:sz w:val="20"/>
          <w:szCs w:val="24"/>
          <w:lang w:val="en-GB" w:eastAsia="zh-TW"/>
        </w:rPr>
        <w:t>tential endogeneity using mean 2</w:t>
      </w:r>
      <w:r w:rsidR="0060367E" w:rsidRPr="007048BA">
        <w:rPr>
          <w:rFonts w:eastAsia="PMingLiU" w:cs="Times New Roman"/>
          <w:sz w:val="20"/>
          <w:szCs w:val="24"/>
          <w:lang w:val="en-GB" w:eastAsia="zh-TW"/>
        </w:rPr>
        <w:t>-digit SIC industry R&amp;D investment (</w:t>
      </w:r>
      <w:r w:rsidR="0060367E" w:rsidRPr="007048BA">
        <w:rPr>
          <w:rFonts w:eastAsia="PMingLiU" w:cs="Times New Roman"/>
          <w:i/>
          <w:sz w:val="20"/>
          <w:szCs w:val="24"/>
          <w:lang w:val="en-GB" w:eastAsia="zh-TW"/>
        </w:rPr>
        <w:t>RDI</w:t>
      </w:r>
      <w:r w:rsidR="0060367E" w:rsidRPr="007048BA">
        <w:rPr>
          <w:rFonts w:eastAsia="PMingLiU" w:cs="Times New Roman"/>
          <w:sz w:val="20"/>
          <w:szCs w:val="24"/>
          <w:lang w:val="en-GB" w:eastAsia="zh-TW"/>
        </w:rPr>
        <w:t xml:space="preserve">) as an instrumental variable for </w:t>
      </w:r>
      <w:r w:rsidR="00ED262D" w:rsidRPr="007048BA">
        <w:rPr>
          <w:rFonts w:eastAsia="PMingLiU" w:cs="Times New Roman"/>
          <w:i/>
          <w:sz w:val="20"/>
          <w:szCs w:val="24"/>
          <w:lang w:val="en-GB" w:eastAsia="zh-TW"/>
        </w:rPr>
        <w:t>myopia</w:t>
      </w:r>
      <w:r w:rsidR="0060367E" w:rsidRPr="007048BA">
        <w:rPr>
          <w:rFonts w:eastAsia="PMingLiU" w:cs="Times New Roman"/>
          <w:i/>
          <w:sz w:val="20"/>
          <w:szCs w:val="24"/>
          <w:lang w:val="en-GB" w:eastAsia="zh-TW"/>
        </w:rPr>
        <w:t xml:space="preserve"> </w:t>
      </w:r>
      <w:r w:rsidR="0060367E" w:rsidRPr="007048BA">
        <w:rPr>
          <w:rFonts w:eastAsia="PMingLiU" w:cs="Times New Roman"/>
          <w:sz w:val="20"/>
          <w:szCs w:val="24"/>
          <w:lang w:val="en-GB" w:eastAsia="zh-TW"/>
        </w:rPr>
        <w:t>and</w:t>
      </w:r>
      <w:r w:rsidR="0060367E" w:rsidRPr="007048BA">
        <w:rPr>
          <w:rFonts w:eastAsia="PMingLiU" w:cs="Times New Roman"/>
          <w:i/>
          <w:sz w:val="20"/>
          <w:szCs w:val="24"/>
          <w:lang w:val="en-GB" w:eastAsia="zh-TW"/>
        </w:rPr>
        <w:t xml:space="preserve"> </w:t>
      </w:r>
      <w:r w:rsidR="00ED262D" w:rsidRPr="007048BA">
        <w:rPr>
          <w:rFonts w:eastAsia="PMingLiU" w:cs="Times New Roman"/>
          <w:i/>
          <w:sz w:val="20"/>
          <w:szCs w:val="24"/>
          <w:lang w:val="en-GB" w:eastAsia="zh-TW"/>
        </w:rPr>
        <w:t>hyperopia</w:t>
      </w:r>
      <w:r w:rsidR="0060367E" w:rsidRPr="007048BA">
        <w:rPr>
          <w:rFonts w:eastAsia="PMingLiU" w:cs="Times New Roman"/>
          <w:i/>
          <w:sz w:val="20"/>
          <w:szCs w:val="24"/>
          <w:lang w:val="en-GB" w:eastAsia="zh-TW"/>
        </w:rPr>
        <w:t xml:space="preserve">. </w:t>
      </w:r>
      <m:oMath>
        <m:acc>
          <m:accPr>
            <m:ctrlPr>
              <w:rPr>
                <w:rFonts w:ascii="Cambria Math" w:eastAsia="PMingLiU" w:hAnsi="Cambria Math" w:cs="Times New Roman"/>
                <w:i/>
                <w:sz w:val="20"/>
                <w:szCs w:val="24"/>
                <w:lang w:val="en-GB" w:eastAsia="zh-TW"/>
              </w:rPr>
            </m:ctrlPr>
          </m:accPr>
          <m:e>
            <m:r>
              <w:rPr>
                <w:rFonts w:ascii="Cambria Math" w:eastAsia="PMingLiU" w:hAnsi="Cambria Math" w:cs="Times New Roman"/>
                <w:sz w:val="20"/>
                <w:szCs w:val="24"/>
                <w:lang w:val="en-GB" w:eastAsia="zh-TW"/>
              </w:rPr>
              <m:t>MYOPIA</m:t>
            </m:r>
          </m:e>
        </m:acc>
        <m:r>
          <w:rPr>
            <w:rFonts w:ascii="Cambria Math" w:eastAsia="PMingLiU" w:hAnsi="Cambria Math" w:cs="Times New Roman"/>
            <w:sz w:val="20"/>
            <w:szCs w:val="24"/>
            <w:lang w:val="en-GB" w:eastAsia="zh-TW"/>
          </w:rPr>
          <m:t xml:space="preserve"> </m:t>
        </m:r>
      </m:oMath>
      <w:r w:rsidR="0060367E" w:rsidRPr="007048BA">
        <w:rPr>
          <w:rFonts w:eastAsia="PMingLiU" w:cs="Times New Roman"/>
          <w:sz w:val="20"/>
          <w:szCs w:val="24"/>
          <w:lang w:val="en-GB" w:eastAsia="zh-TW"/>
        </w:rPr>
        <w:t xml:space="preserve">and </w:t>
      </w:r>
      <m:oMath>
        <m:acc>
          <m:accPr>
            <m:ctrlPr>
              <w:rPr>
                <w:rFonts w:ascii="Cambria Math" w:eastAsia="PMingLiU" w:hAnsi="Cambria Math" w:cs="Times New Roman"/>
                <w:i/>
                <w:sz w:val="20"/>
                <w:szCs w:val="24"/>
                <w:lang w:val="en-GB" w:eastAsia="zh-TW"/>
              </w:rPr>
            </m:ctrlPr>
          </m:accPr>
          <m:e>
            <m:r>
              <w:rPr>
                <w:rFonts w:ascii="Cambria Math" w:eastAsia="PMingLiU" w:hAnsi="Cambria Math" w:cs="Times New Roman"/>
                <w:sz w:val="20"/>
                <w:szCs w:val="24"/>
                <w:lang w:val="en-GB" w:eastAsia="zh-TW"/>
              </w:rPr>
              <m:t>HYPEROPIA</m:t>
            </m:r>
          </m:e>
        </m:acc>
      </m:oMath>
      <w:r w:rsidR="0060367E" w:rsidRPr="007048BA">
        <w:rPr>
          <w:rFonts w:eastAsia="PMingLiU" w:cs="Times New Roman"/>
          <w:sz w:val="20"/>
          <w:szCs w:val="24"/>
          <w:lang w:val="en-GB" w:eastAsia="zh-TW"/>
        </w:rPr>
        <w:t xml:space="preserve"> are predicted values of </w:t>
      </w:r>
      <w:r w:rsidR="00ED262D" w:rsidRPr="007048BA">
        <w:rPr>
          <w:rFonts w:eastAsia="PMingLiU" w:cs="Times New Roman"/>
          <w:sz w:val="20"/>
          <w:szCs w:val="24"/>
          <w:lang w:val="en-GB" w:eastAsia="zh-TW"/>
        </w:rPr>
        <w:t>myopia</w:t>
      </w:r>
      <w:r w:rsidR="0060367E" w:rsidRPr="007048BA">
        <w:rPr>
          <w:rFonts w:eastAsia="PMingLiU" w:cs="Times New Roman"/>
          <w:sz w:val="20"/>
          <w:szCs w:val="24"/>
          <w:lang w:val="en-GB" w:eastAsia="zh-TW"/>
        </w:rPr>
        <w:t xml:space="preserve"> and </w:t>
      </w:r>
      <w:r w:rsidR="00ED262D" w:rsidRPr="007048BA">
        <w:rPr>
          <w:rFonts w:eastAsia="PMingLiU" w:cs="Times New Roman"/>
          <w:sz w:val="20"/>
          <w:szCs w:val="24"/>
          <w:lang w:val="en-GB" w:eastAsia="zh-TW"/>
        </w:rPr>
        <w:t>hyperopia</w:t>
      </w:r>
      <w:r w:rsidR="0060367E" w:rsidRPr="007048BA">
        <w:rPr>
          <w:rFonts w:eastAsia="PMingLiU" w:cs="Times New Roman"/>
          <w:sz w:val="20"/>
          <w:szCs w:val="24"/>
          <w:lang w:val="en-GB" w:eastAsia="zh-TW"/>
        </w:rPr>
        <w:t xml:space="preserve">, respectively. </w:t>
      </w:r>
      <w:r w:rsidR="00791935" w:rsidRPr="007048BA">
        <w:rPr>
          <w:rFonts w:eastAsia="PMingLiU" w:cs="Times New Roman"/>
          <w:sz w:val="20"/>
          <w:szCs w:val="20"/>
          <w:lang w:val="en-GB" w:eastAsia="zh-TW"/>
        </w:rPr>
        <w:t>The control variables in the model are fully discussed in Appendix 1.</w:t>
      </w:r>
      <w:r w:rsidR="0060367E" w:rsidRPr="007048BA">
        <w:rPr>
          <w:rFonts w:eastAsia="PMingLiU" w:cs="Times New Roman"/>
          <w:sz w:val="20"/>
          <w:szCs w:val="24"/>
          <w:lang w:val="en-GB" w:eastAsia="zh-TW"/>
        </w:rPr>
        <w:t xml:space="preserve"> </w:t>
      </w:r>
      <w:r w:rsidR="0060367E" w:rsidRPr="007048BA">
        <w:rPr>
          <w:rFonts w:eastAsia="Times New Roman" w:cs="Times New Roman"/>
          <w:color w:val="000000"/>
          <w:sz w:val="20"/>
          <w:lang w:val="en-GB" w:eastAsia="en-GB"/>
        </w:rPr>
        <w:t xml:space="preserve">The </w:t>
      </w:r>
      <w:r w:rsidR="00D44A7E" w:rsidRPr="007048BA">
        <w:rPr>
          <w:rFonts w:eastAsia="Times New Roman" w:cs="Times New Roman"/>
          <w:i/>
          <w:color w:val="000000"/>
          <w:sz w:val="20"/>
          <w:lang w:val="en-GB" w:eastAsia="en-GB"/>
        </w:rPr>
        <w:t>p-values</w:t>
      </w:r>
      <w:r w:rsidR="0060367E" w:rsidRPr="007048BA">
        <w:rPr>
          <w:rFonts w:eastAsia="Times New Roman" w:cs="Times New Roman"/>
          <w:color w:val="000000"/>
          <w:sz w:val="20"/>
          <w:lang w:val="en-GB" w:eastAsia="en-GB"/>
        </w:rPr>
        <w:t xml:space="preserve"> for model coefficients are presented in parenthesis. </w:t>
      </w:r>
      <w:r w:rsidR="00E27347" w:rsidRPr="007048BA">
        <w:rPr>
          <w:rFonts w:eastAsia="Times New Roman" w:cs="Times New Roman"/>
          <w:i/>
          <w:color w:val="000000"/>
          <w:sz w:val="20"/>
          <w:lang w:val="en-GB" w:eastAsia="en-GB"/>
        </w:rPr>
        <w:t>Chi2</w:t>
      </w:r>
      <w:r w:rsidR="00E27347" w:rsidRPr="007048BA">
        <w:rPr>
          <w:rFonts w:eastAsia="Times New Roman" w:cs="Times New Roman"/>
          <w:color w:val="000000"/>
          <w:sz w:val="20"/>
          <w:lang w:val="en-GB" w:eastAsia="en-GB"/>
        </w:rPr>
        <w:t xml:space="preserve"> represents Hausman chi-square. </w:t>
      </w:r>
      <w:r w:rsidR="0060367E" w:rsidRPr="007048BA">
        <w:rPr>
          <w:rFonts w:eastAsia="PMingLiU" w:cs="Times New Roman"/>
          <w:sz w:val="20"/>
          <w:szCs w:val="24"/>
          <w:lang w:val="en-GB" w:eastAsia="zh-TW"/>
        </w:rPr>
        <w:t>***, **, * indicate statistical significance at the 1%, 5% and 10% level of significance, respectively.</w:t>
      </w:r>
    </w:p>
    <w:p w14:paraId="635046F3" w14:textId="6F92A5A9" w:rsidR="001148DB" w:rsidRPr="007048BA" w:rsidRDefault="001148DB" w:rsidP="0060367E">
      <w:pPr>
        <w:autoSpaceDE w:val="0"/>
        <w:autoSpaceDN w:val="0"/>
        <w:adjustRightInd w:val="0"/>
        <w:spacing w:after="0" w:line="240" w:lineRule="auto"/>
        <w:ind w:firstLine="0"/>
        <w:rPr>
          <w:rFonts w:eastAsia="PMingLiU" w:cs="Times New Roman"/>
          <w:sz w:val="20"/>
          <w:szCs w:val="24"/>
          <w:lang w:val="en-GB" w:eastAsia="zh-TW"/>
        </w:rPr>
      </w:pPr>
    </w:p>
    <w:tbl>
      <w:tblPr>
        <w:tblW w:w="0" w:type="auto"/>
        <w:jc w:val="center"/>
        <w:tblCellMar>
          <w:left w:w="75" w:type="dxa"/>
          <w:right w:w="75" w:type="dxa"/>
        </w:tblCellMar>
        <w:tblLook w:val="0000" w:firstRow="0" w:lastRow="0" w:firstColumn="0" w:lastColumn="0" w:noHBand="0" w:noVBand="0"/>
      </w:tblPr>
      <w:tblGrid>
        <w:gridCol w:w="1208"/>
        <w:gridCol w:w="1049"/>
        <w:gridCol w:w="1049"/>
        <w:gridCol w:w="1049"/>
        <w:gridCol w:w="1049"/>
        <w:gridCol w:w="1049"/>
        <w:gridCol w:w="1049"/>
        <w:gridCol w:w="1049"/>
        <w:gridCol w:w="1049"/>
      </w:tblGrid>
      <w:tr w:rsidR="001148DB" w:rsidRPr="007048BA" w14:paraId="2A7152F5" w14:textId="77777777" w:rsidTr="000242D3">
        <w:trPr>
          <w:jc w:val="center"/>
        </w:trPr>
        <w:tc>
          <w:tcPr>
            <w:tcW w:w="0" w:type="auto"/>
            <w:tcBorders>
              <w:top w:val="single" w:sz="6" w:space="0" w:color="auto"/>
              <w:left w:val="nil"/>
              <w:bottom w:val="nil"/>
              <w:right w:val="nil"/>
            </w:tcBorders>
          </w:tcPr>
          <w:p w14:paraId="05A830DB"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sz w:val="22"/>
                <w:szCs w:val="24"/>
                <w:lang w:val="en-GB" w:eastAsia="en-GB"/>
              </w:rPr>
            </w:pPr>
          </w:p>
        </w:tc>
        <w:tc>
          <w:tcPr>
            <w:tcW w:w="0" w:type="auto"/>
            <w:tcBorders>
              <w:top w:val="single" w:sz="6" w:space="0" w:color="auto"/>
              <w:left w:val="nil"/>
              <w:bottom w:val="single" w:sz="4" w:space="0" w:color="auto"/>
              <w:right w:val="nil"/>
            </w:tcBorders>
          </w:tcPr>
          <w:p w14:paraId="2066F98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w:t>
            </w:r>
          </w:p>
        </w:tc>
        <w:tc>
          <w:tcPr>
            <w:tcW w:w="0" w:type="auto"/>
            <w:tcBorders>
              <w:top w:val="single" w:sz="6" w:space="0" w:color="auto"/>
              <w:left w:val="nil"/>
              <w:bottom w:val="single" w:sz="4" w:space="0" w:color="auto"/>
              <w:right w:val="nil"/>
            </w:tcBorders>
          </w:tcPr>
          <w:p w14:paraId="297FA42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(2)</w:t>
            </w:r>
          </w:p>
        </w:tc>
        <w:tc>
          <w:tcPr>
            <w:tcW w:w="0" w:type="auto"/>
            <w:tcBorders>
              <w:top w:val="single" w:sz="6" w:space="0" w:color="auto"/>
              <w:left w:val="nil"/>
              <w:bottom w:val="single" w:sz="4" w:space="0" w:color="auto"/>
              <w:right w:val="nil"/>
            </w:tcBorders>
          </w:tcPr>
          <w:p w14:paraId="20CA676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(3)</w:t>
            </w:r>
          </w:p>
        </w:tc>
        <w:tc>
          <w:tcPr>
            <w:tcW w:w="0" w:type="auto"/>
            <w:tcBorders>
              <w:top w:val="single" w:sz="6" w:space="0" w:color="auto"/>
              <w:left w:val="nil"/>
              <w:bottom w:val="single" w:sz="4" w:space="0" w:color="auto"/>
              <w:right w:val="nil"/>
            </w:tcBorders>
          </w:tcPr>
          <w:p w14:paraId="0FECD8F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(4)</w:t>
            </w:r>
          </w:p>
        </w:tc>
        <w:tc>
          <w:tcPr>
            <w:tcW w:w="0" w:type="auto"/>
            <w:tcBorders>
              <w:top w:val="single" w:sz="6" w:space="0" w:color="auto"/>
              <w:left w:val="nil"/>
              <w:bottom w:val="single" w:sz="4" w:space="0" w:color="auto"/>
              <w:right w:val="nil"/>
            </w:tcBorders>
          </w:tcPr>
          <w:p w14:paraId="0C4B743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(5)</w:t>
            </w:r>
          </w:p>
        </w:tc>
        <w:tc>
          <w:tcPr>
            <w:tcW w:w="0" w:type="auto"/>
            <w:tcBorders>
              <w:top w:val="single" w:sz="6" w:space="0" w:color="auto"/>
              <w:left w:val="nil"/>
              <w:bottom w:val="single" w:sz="4" w:space="0" w:color="auto"/>
              <w:right w:val="nil"/>
            </w:tcBorders>
          </w:tcPr>
          <w:p w14:paraId="45B518B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(6)</w:t>
            </w:r>
          </w:p>
        </w:tc>
        <w:tc>
          <w:tcPr>
            <w:tcW w:w="0" w:type="auto"/>
            <w:tcBorders>
              <w:top w:val="single" w:sz="6" w:space="0" w:color="auto"/>
              <w:left w:val="nil"/>
              <w:bottom w:val="single" w:sz="4" w:space="0" w:color="auto"/>
              <w:right w:val="nil"/>
            </w:tcBorders>
          </w:tcPr>
          <w:p w14:paraId="4F824F6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(7)</w:t>
            </w:r>
          </w:p>
        </w:tc>
        <w:tc>
          <w:tcPr>
            <w:tcW w:w="0" w:type="auto"/>
            <w:tcBorders>
              <w:top w:val="single" w:sz="6" w:space="0" w:color="auto"/>
              <w:left w:val="nil"/>
              <w:bottom w:val="single" w:sz="4" w:space="0" w:color="auto"/>
              <w:right w:val="nil"/>
            </w:tcBorders>
          </w:tcPr>
          <w:p w14:paraId="552C958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(8)</w:t>
            </w:r>
          </w:p>
        </w:tc>
      </w:tr>
      <w:tr w:rsidR="001148DB" w:rsidRPr="007048BA" w14:paraId="313AD0EB" w14:textId="77777777" w:rsidTr="000242D3">
        <w:trPr>
          <w:jc w:val="center"/>
        </w:trPr>
        <w:tc>
          <w:tcPr>
            <w:tcW w:w="0" w:type="auto"/>
            <w:tcBorders>
              <w:top w:val="nil"/>
              <w:left w:val="nil"/>
              <w:bottom w:val="nil"/>
              <w:right w:val="nil"/>
            </w:tcBorders>
          </w:tcPr>
          <w:p w14:paraId="58883E98"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Poor</w:t>
            </w:r>
          </w:p>
        </w:tc>
        <w:tc>
          <w:tcPr>
            <w:tcW w:w="0" w:type="auto"/>
            <w:tcBorders>
              <w:top w:val="single" w:sz="4" w:space="0" w:color="auto"/>
              <w:left w:val="nil"/>
              <w:bottom w:val="nil"/>
              <w:right w:val="nil"/>
            </w:tcBorders>
          </w:tcPr>
          <w:p w14:paraId="7DD632E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single" w:sz="4" w:space="0" w:color="auto"/>
              <w:left w:val="nil"/>
              <w:bottom w:val="nil"/>
              <w:right w:val="nil"/>
            </w:tcBorders>
          </w:tcPr>
          <w:p w14:paraId="1D6B67B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0.142*</w:t>
            </w:r>
          </w:p>
        </w:tc>
        <w:tc>
          <w:tcPr>
            <w:tcW w:w="0" w:type="auto"/>
            <w:tcBorders>
              <w:top w:val="single" w:sz="4" w:space="0" w:color="auto"/>
              <w:left w:val="nil"/>
              <w:bottom w:val="nil"/>
              <w:right w:val="nil"/>
            </w:tcBorders>
          </w:tcPr>
          <w:p w14:paraId="3C75A56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single" w:sz="4" w:space="0" w:color="auto"/>
              <w:left w:val="nil"/>
              <w:bottom w:val="nil"/>
              <w:right w:val="nil"/>
            </w:tcBorders>
          </w:tcPr>
          <w:p w14:paraId="085636E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single" w:sz="4" w:space="0" w:color="auto"/>
              <w:left w:val="nil"/>
              <w:bottom w:val="nil"/>
              <w:right w:val="nil"/>
            </w:tcBorders>
          </w:tcPr>
          <w:p w14:paraId="6E86273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single" w:sz="4" w:space="0" w:color="auto"/>
              <w:left w:val="nil"/>
              <w:bottom w:val="nil"/>
              <w:right w:val="nil"/>
            </w:tcBorders>
          </w:tcPr>
          <w:p w14:paraId="2B9C6D1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single" w:sz="4" w:space="0" w:color="auto"/>
              <w:left w:val="nil"/>
              <w:bottom w:val="nil"/>
              <w:right w:val="nil"/>
            </w:tcBorders>
          </w:tcPr>
          <w:p w14:paraId="2B12A11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single" w:sz="4" w:space="0" w:color="auto"/>
              <w:left w:val="nil"/>
              <w:bottom w:val="nil"/>
              <w:right w:val="nil"/>
            </w:tcBorders>
          </w:tcPr>
          <w:p w14:paraId="04BBBC7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0.279***</w:t>
            </w:r>
          </w:p>
        </w:tc>
      </w:tr>
      <w:tr w:rsidR="001148DB" w:rsidRPr="007048BA" w14:paraId="0DDFA2C0" w14:textId="77777777" w:rsidTr="000242D3">
        <w:trPr>
          <w:jc w:val="center"/>
        </w:trPr>
        <w:tc>
          <w:tcPr>
            <w:tcW w:w="0" w:type="auto"/>
            <w:tcBorders>
              <w:top w:val="nil"/>
              <w:left w:val="nil"/>
              <w:bottom w:val="nil"/>
              <w:right w:val="nil"/>
            </w:tcBorders>
          </w:tcPr>
          <w:p w14:paraId="386D821E"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5C257BF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251155A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(0.080)</w:t>
            </w:r>
          </w:p>
        </w:tc>
        <w:tc>
          <w:tcPr>
            <w:tcW w:w="0" w:type="auto"/>
            <w:tcBorders>
              <w:top w:val="nil"/>
              <w:left w:val="nil"/>
              <w:bottom w:val="nil"/>
              <w:right w:val="nil"/>
            </w:tcBorders>
          </w:tcPr>
          <w:p w14:paraId="250F8D8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60B483A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082B65D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03EE266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6244BDB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0230314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(0.003)</w:t>
            </w:r>
          </w:p>
        </w:tc>
      </w:tr>
      <w:tr w:rsidR="001148DB" w:rsidRPr="007048BA" w14:paraId="2FA71D20" w14:textId="77777777" w:rsidTr="000242D3">
        <w:trPr>
          <w:jc w:val="center"/>
        </w:trPr>
        <w:tc>
          <w:tcPr>
            <w:tcW w:w="0" w:type="auto"/>
            <w:tcBorders>
              <w:top w:val="nil"/>
              <w:left w:val="nil"/>
              <w:bottom w:val="nil"/>
              <w:right w:val="nil"/>
            </w:tcBorders>
          </w:tcPr>
          <w:p w14:paraId="57736270"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Myopia</w:t>
            </w:r>
          </w:p>
        </w:tc>
        <w:tc>
          <w:tcPr>
            <w:tcW w:w="0" w:type="auto"/>
            <w:tcBorders>
              <w:top w:val="nil"/>
              <w:left w:val="nil"/>
              <w:bottom w:val="nil"/>
              <w:right w:val="nil"/>
            </w:tcBorders>
          </w:tcPr>
          <w:p w14:paraId="0094467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5361278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5135C15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0.320***</w:t>
            </w:r>
          </w:p>
        </w:tc>
        <w:tc>
          <w:tcPr>
            <w:tcW w:w="0" w:type="auto"/>
            <w:tcBorders>
              <w:top w:val="nil"/>
              <w:left w:val="nil"/>
              <w:bottom w:val="nil"/>
              <w:right w:val="nil"/>
            </w:tcBorders>
          </w:tcPr>
          <w:p w14:paraId="164698A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2D5BBA3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33032DD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C0164F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7C8C5BB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0.365***</w:t>
            </w:r>
          </w:p>
        </w:tc>
      </w:tr>
      <w:tr w:rsidR="001148DB" w:rsidRPr="007048BA" w14:paraId="1A7B03C5" w14:textId="77777777" w:rsidTr="000242D3">
        <w:trPr>
          <w:jc w:val="center"/>
        </w:trPr>
        <w:tc>
          <w:tcPr>
            <w:tcW w:w="0" w:type="auto"/>
            <w:tcBorders>
              <w:top w:val="nil"/>
              <w:left w:val="nil"/>
              <w:bottom w:val="nil"/>
              <w:right w:val="nil"/>
            </w:tcBorders>
          </w:tcPr>
          <w:p w14:paraId="39151D88"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7A1ABA2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6E63680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769A4E2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18B5DD6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3FB962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35BC38E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0E09F0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440F17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r>
      <w:tr w:rsidR="001148DB" w:rsidRPr="007048BA" w14:paraId="3E5B8F8B" w14:textId="77777777" w:rsidTr="000242D3">
        <w:trPr>
          <w:jc w:val="center"/>
        </w:trPr>
        <w:tc>
          <w:tcPr>
            <w:tcW w:w="0" w:type="auto"/>
            <w:tcBorders>
              <w:top w:val="nil"/>
              <w:left w:val="nil"/>
              <w:bottom w:val="nil"/>
              <w:right w:val="nil"/>
            </w:tcBorders>
          </w:tcPr>
          <w:p w14:paraId="7C4C6B3D"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Hyperopia</w:t>
            </w:r>
          </w:p>
        </w:tc>
        <w:tc>
          <w:tcPr>
            <w:tcW w:w="0" w:type="auto"/>
            <w:tcBorders>
              <w:top w:val="nil"/>
              <w:left w:val="nil"/>
              <w:bottom w:val="nil"/>
              <w:right w:val="nil"/>
            </w:tcBorders>
          </w:tcPr>
          <w:p w14:paraId="1ABAF8B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1E4AAE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0C7CFD4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320DE18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-0.218**</w:t>
            </w:r>
          </w:p>
        </w:tc>
        <w:tc>
          <w:tcPr>
            <w:tcW w:w="0" w:type="auto"/>
            <w:tcBorders>
              <w:top w:val="nil"/>
              <w:left w:val="nil"/>
              <w:bottom w:val="nil"/>
              <w:right w:val="nil"/>
            </w:tcBorders>
          </w:tcPr>
          <w:p w14:paraId="5991526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371418C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906994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2D33FC1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0.008</w:t>
            </w:r>
          </w:p>
        </w:tc>
      </w:tr>
      <w:tr w:rsidR="001148DB" w:rsidRPr="007048BA" w14:paraId="7A9D335F" w14:textId="77777777" w:rsidTr="000242D3">
        <w:trPr>
          <w:jc w:val="center"/>
        </w:trPr>
        <w:tc>
          <w:tcPr>
            <w:tcW w:w="0" w:type="auto"/>
            <w:tcBorders>
              <w:top w:val="nil"/>
              <w:left w:val="nil"/>
              <w:bottom w:val="nil"/>
              <w:right w:val="nil"/>
            </w:tcBorders>
          </w:tcPr>
          <w:p w14:paraId="599EAB60"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3721609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68324C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40258D7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7BB05B5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(0.013)</w:t>
            </w:r>
          </w:p>
        </w:tc>
        <w:tc>
          <w:tcPr>
            <w:tcW w:w="0" w:type="auto"/>
            <w:tcBorders>
              <w:top w:val="nil"/>
              <w:left w:val="nil"/>
              <w:bottom w:val="nil"/>
              <w:right w:val="nil"/>
            </w:tcBorders>
          </w:tcPr>
          <w:p w14:paraId="37AD7F1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5F13E5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62F1772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6475146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(0.937)</w:t>
            </w:r>
          </w:p>
        </w:tc>
      </w:tr>
      <w:tr w:rsidR="001148DB" w:rsidRPr="007048BA" w14:paraId="2D394252" w14:textId="77777777" w:rsidTr="000242D3">
        <w:trPr>
          <w:jc w:val="center"/>
        </w:trPr>
        <w:tc>
          <w:tcPr>
            <w:tcW w:w="0" w:type="auto"/>
            <w:tcBorders>
              <w:top w:val="nil"/>
              <w:left w:val="nil"/>
              <w:bottom w:val="nil"/>
              <w:right w:val="nil"/>
            </w:tcBorders>
          </w:tcPr>
          <w:p w14:paraId="7BC8AFEE"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Efficient</w:t>
            </w:r>
          </w:p>
        </w:tc>
        <w:tc>
          <w:tcPr>
            <w:tcW w:w="0" w:type="auto"/>
            <w:tcBorders>
              <w:top w:val="nil"/>
              <w:left w:val="nil"/>
              <w:bottom w:val="nil"/>
              <w:right w:val="nil"/>
            </w:tcBorders>
          </w:tcPr>
          <w:p w14:paraId="5D12375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EE2FF5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056B9A6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0C0F58C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43CDB1B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-0.314***</w:t>
            </w:r>
          </w:p>
        </w:tc>
        <w:tc>
          <w:tcPr>
            <w:tcW w:w="0" w:type="auto"/>
            <w:tcBorders>
              <w:top w:val="nil"/>
              <w:left w:val="nil"/>
              <w:bottom w:val="nil"/>
              <w:right w:val="nil"/>
            </w:tcBorders>
          </w:tcPr>
          <w:p w14:paraId="4526C69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7B9E63C7"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0666B4F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r>
      <w:tr w:rsidR="001148DB" w:rsidRPr="007048BA" w14:paraId="53F8B0F0" w14:textId="77777777" w:rsidTr="000242D3">
        <w:trPr>
          <w:jc w:val="center"/>
        </w:trPr>
        <w:tc>
          <w:tcPr>
            <w:tcW w:w="0" w:type="auto"/>
            <w:tcBorders>
              <w:top w:val="nil"/>
              <w:left w:val="nil"/>
              <w:bottom w:val="nil"/>
              <w:right w:val="nil"/>
            </w:tcBorders>
          </w:tcPr>
          <w:p w14:paraId="08B20E6C"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31DFF56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77D6B57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02FCFE9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3EBF7E4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535D70E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42C1DE8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2281F3B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6E6FD98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r>
      <w:tr w:rsidR="001148DB" w:rsidRPr="007048BA" w14:paraId="43584E57" w14:textId="77777777" w:rsidTr="000242D3">
        <w:trPr>
          <w:jc w:val="center"/>
        </w:trPr>
        <w:tc>
          <w:tcPr>
            <w:tcW w:w="0" w:type="auto"/>
            <w:tcBorders>
              <w:top w:val="nil"/>
              <w:left w:val="nil"/>
              <w:bottom w:val="nil"/>
              <w:right w:val="nil"/>
            </w:tcBorders>
          </w:tcPr>
          <w:p w14:paraId="06A8B724" w14:textId="77777777" w:rsidR="001148DB" w:rsidRPr="007048BA" w:rsidRDefault="007048BA"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m:oMathPara>
              <m:oMathParaPr>
                <m:jc m:val="left"/>
              </m:oMathParaPr>
              <m:oMath>
                <m:acc>
                  <m:accPr>
                    <m:ctrlPr>
                      <w:rPr>
                        <w:rFonts w:ascii="Cambria Math" w:eastAsia="PMingLiU" w:hAnsi="Cambria Math" w:cs="Times New Roman"/>
                        <w:i/>
                        <w:sz w:val="22"/>
                        <w:szCs w:val="24"/>
                        <w:lang w:val="en-GB" w:eastAsia="zh-TW"/>
                      </w:rPr>
                    </m:ctrlPr>
                  </m:accPr>
                  <m:e>
                    <m:r>
                      <w:rPr>
                        <w:rFonts w:ascii="Cambria Math" w:eastAsia="PMingLiU" w:hAnsi="Cambria Math" w:cs="Times New Roman"/>
                        <w:sz w:val="22"/>
                        <w:szCs w:val="24"/>
                        <w:lang w:val="en-GB" w:eastAsia="zh-TW"/>
                      </w:rPr>
                      <m:t>Myopia</m:t>
                    </m:r>
                  </m:e>
                </m:acc>
              </m:oMath>
            </m:oMathPara>
          </w:p>
        </w:tc>
        <w:tc>
          <w:tcPr>
            <w:tcW w:w="0" w:type="auto"/>
            <w:tcBorders>
              <w:top w:val="nil"/>
              <w:left w:val="nil"/>
              <w:bottom w:val="nil"/>
              <w:right w:val="nil"/>
            </w:tcBorders>
          </w:tcPr>
          <w:p w14:paraId="11868C4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71C0ACC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07B21DF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5734A9B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A5F4CD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55137D8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3.334***</w:t>
            </w:r>
          </w:p>
        </w:tc>
        <w:tc>
          <w:tcPr>
            <w:tcW w:w="0" w:type="auto"/>
            <w:tcBorders>
              <w:top w:val="nil"/>
              <w:left w:val="nil"/>
              <w:bottom w:val="nil"/>
              <w:right w:val="nil"/>
            </w:tcBorders>
          </w:tcPr>
          <w:p w14:paraId="67C4022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6592948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r>
      <w:tr w:rsidR="001148DB" w:rsidRPr="007048BA" w14:paraId="0444E92E" w14:textId="77777777" w:rsidTr="000242D3">
        <w:trPr>
          <w:jc w:val="center"/>
        </w:trPr>
        <w:tc>
          <w:tcPr>
            <w:tcW w:w="0" w:type="auto"/>
            <w:tcBorders>
              <w:top w:val="nil"/>
              <w:left w:val="nil"/>
              <w:bottom w:val="nil"/>
              <w:right w:val="nil"/>
            </w:tcBorders>
          </w:tcPr>
          <w:p w14:paraId="2DC236E6"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0EC0E07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870C11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38ACC3E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56E5783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3C41F8B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49EFBF2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0D841A6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FF48FF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r>
      <w:tr w:rsidR="001148DB" w:rsidRPr="007048BA" w14:paraId="215C3CE0" w14:textId="77777777" w:rsidTr="000242D3">
        <w:trPr>
          <w:jc w:val="center"/>
        </w:trPr>
        <w:tc>
          <w:tcPr>
            <w:tcW w:w="0" w:type="auto"/>
            <w:tcBorders>
              <w:top w:val="nil"/>
              <w:left w:val="nil"/>
              <w:bottom w:val="nil"/>
              <w:right w:val="nil"/>
            </w:tcBorders>
          </w:tcPr>
          <w:p w14:paraId="62B23E62" w14:textId="77777777" w:rsidR="001148DB" w:rsidRPr="007048BA" w:rsidRDefault="007048BA"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m:oMathPara>
              <m:oMathParaPr>
                <m:jc m:val="left"/>
              </m:oMathParaPr>
              <m:oMath>
                <m:acc>
                  <m:accPr>
                    <m:ctrlPr>
                      <w:rPr>
                        <w:rFonts w:ascii="Cambria Math" w:eastAsia="PMingLiU" w:hAnsi="Cambria Math" w:cs="Times New Roman"/>
                        <w:i/>
                        <w:sz w:val="22"/>
                        <w:szCs w:val="24"/>
                        <w:lang w:val="en-GB" w:eastAsia="zh-TW"/>
                      </w:rPr>
                    </m:ctrlPr>
                  </m:accPr>
                  <m:e>
                    <m:r>
                      <w:rPr>
                        <w:rFonts w:ascii="Cambria Math" w:eastAsia="PMingLiU" w:hAnsi="Cambria Math" w:cs="Times New Roman"/>
                        <w:sz w:val="22"/>
                        <w:szCs w:val="24"/>
                        <w:lang w:val="en-GB" w:eastAsia="zh-TW"/>
                      </w:rPr>
                      <m:t>Hyperopia</m:t>
                    </m:r>
                  </m:e>
                </m:acc>
              </m:oMath>
            </m:oMathPara>
          </w:p>
        </w:tc>
        <w:tc>
          <w:tcPr>
            <w:tcW w:w="0" w:type="auto"/>
            <w:tcBorders>
              <w:top w:val="nil"/>
              <w:left w:val="nil"/>
              <w:bottom w:val="nil"/>
              <w:right w:val="nil"/>
            </w:tcBorders>
          </w:tcPr>
          <w:p w14:paraId="6B102A0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6629A5C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66CAF0D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286E8A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5C9872D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5F7A549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730CA87B" w14:textId="4EAB260F" w:rsidR="001148DB" w:rsidRPr="007048BA" w:rsidRDefault="001148DB" w:rsidP="007D676C">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-0.663</w:t>
            </w:r>
            <w:r w:rsidR="00E27347" w:rsidRPr="007048BA">
              <w:rPr>
                <w:rFonts w:eastAsia="Times New Roman" w:cs="Times New Roman"/>
                <w:sz w:val="22"/>
                <w:szCs w:val="24"/>
                <w:lang w:val="en-GB" w:eastAsia="en-GB"/>
              </w:rPr>
              <w:t>**</w:t>
            </w:r>
          </w:p>
        </w:tc>
        <w:tc>
          <w:tcPr>
            <w:tcW w:w="0" w:type="auto"/>
            <w:tcBorders>
              <w:top w:val="nil"/>
              <w:left w:val="nil"/>
              <w:bottom w:val="nil"/>
              <w:right w:val="nil"/>
            </w:tcBorders>
          </w:tcPr>
          <w:p w14:paraId="47A85F4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r>
      <w:tr w:rsidR="001148DB" w:rsidRPr="007048BA" w14:paraId="2B6FBC18" w14:textId="77777777" w:rsidTr="000242D3">
        <w:trPr>
          <w:jc w:val="center"/>
        </w:trPr>
        <w:tc>
          <w:tcPr>
            <w:tcW w:w="0" w:type="auto"/>
            <w:tcBorders>
              <w:top w:val="nil"/>
              <w:left w:val="nil"/>
              <w:bottom w:val="nil"/>
              <w:right w:val="nil"/>
            </w:tcBorders>
          </w:tcPr>
          <w:p w14:paraId="6A98308B"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6B8B362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56A9B1C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471665A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4145A3C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27A8344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7AE94ED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63838FC2" w14:textId="42883397" w:rsidR="001148DB" w:rsidRPr="007048BA" w:rsidRDefault="001148DB" w:rsidP="007D676C">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w:t>
            </w:r>
            <w:r w:rsidR="00E27347" w:rsidRPr="007048BA">
              <w:rPr>
                <w:rFonts w:eastAsia="Times New Roman" w:cs="Times New Roman"/>
                <w:sz w:val="22"/>
                <w:szCs w:val="24"/>
                <w:lang w:val="en-GB" w:eastAsia="en-GB"/>
              </w:rPr>
              <w:t>0</w:t>
            </w:r>
            <w:r w:rsidR="007D676C" w:rsidRPr="007048BA">
              <w:rPr>
                <w:rFonts w:eastAsia="Times New Roman" w:cs="Times New Roman"/>
                <w:sz w:val="22"/>
                <w:szCs w:val="24"/>
                <w:lang w:val="en-GB" w:eastAsia="en-GB"/>
              </w:rPr>
              <w:t>48</w:t>
            </w:r>
            <w:r w:rsidRPr="007048BA">
              <w:rPr>
                <w:rFonts w:eastAsia="Times New Roman" w:cs="Times New Roman"/>
                <w:sz w:val="22"/>
                <w:szCs w:val="24"/>
                <w:lang w:val="en-GB" w:eastAsia="en-GB"/>
              </w:rPr>
              <w:t>)</w:t>
            </w:r>
          </w:p>
        </w:tc>
        <w:tc>
          <w:tcPr>
            <w:tcW w:w="0" w:type="auto"/>
            <w:tcBorders>
              <w:top w:val="nil"/>
              <w:left w:val="nil"/>
              <w:bottom w:val="nil"/>
              <w:right w:val="nil"/>
            </w:tcBorders>
          </w:tcPr>
          <w:p w14:paraId="492F021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r>
      <w:tr w:rsidR="001148DB" w:rsidRPr="007048BA" w14:paraId="6C0EDA29" w14:textId="77777777" w:rsidTr="000242D3">
        <w:trPr>
          <w:jc w:val="center"/>
        </w:trPr>
        <w:tc>
          <w:tcPr>
            <w:tcW w:w="0" w:type="auto"/>
            <w:tcBorders>
              <w:top w:val="nil"/>
              <w:left w:val="nil"/>
              <w:bottom w:val="nil"/>
              <w:right w:val="nil"/>
            </w:tcBorders>
          </w:tcPr>
          <w:p w14:paraId="788F9DBC"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ROCE</w:t>
            </w:r>
          </w:p>
        </w:tc>
        <w:tc>
          <w:tcPr>
            <w:tcW w:w="0" w:type="auto"/>
            <w:tcBorders>
              <w:top w:val="nil"/>
              <w:left w:val="nil"/>
              <w:bottom w:val="nil"/>
              <w:right w:val="nil"/>
            </w:tcBorders>
          </w:tcPr>
          <w:p w14:paraId="38A33E44" w14:textId="19A23756"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0.089</w:t>
            </w:r>
            <w:r w:rsidR="00C75162" w:rsidRPr="007048BA">
              <w:rPr>
                <w:rFonts w:eastAsia="Times New Roman" w:cs="Times New Roman"/>
                <w:sz w:val="22"/>
                <w:szCs w:val="24"/>
                <w:lang w:val="en-GB" w:eastAsia="en-GB"/>
              </w:rPr>
              <w:t>*</w:t>
            </w:r>
          </w:p>
        </w:tc>
        <w:tc>
          <w:tcPr>
            <w:tcW w:w="0" w:type="auto"/>
            <w:tcBorders>
              <w:top w:val="nil"/>
              <w:left w:val="nil"/>
              <w:bottom w:val="nil"/>
              <w:right w:val="nil"/>
            </w:tcBorders>
          </w:tcPr>
          <w:p w14:paraId="6998920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D27739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0D89EED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7F9BEA5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B7B109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5B3713E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6B02F8C7"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r>
      <w:tr w:rsidR="001148DB" w:rsidRPr="007048BA" w14:paraId="7EA52FC4" w14:textId="77777777" w:rsidTr="000242D3">
        <w:trPr>
          <w:jc w:val="center"/>
        </w:trPr>
        <w:tc>
          <w:tcPr>
            <w:tcW w:w="0" w:type="auto"/>
            <w:tcBorders>
              <w:top w:val="nil"/>
              <w:left w:val="nil"/>
              <w:bottom w:val="nil"/>
              <w:right w:val="nil"/>
            </w:tcBorders>
          </w:tcPr>
          <w:p w14:paraId="10D43814"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3878215F" w14:textId="10AC0972" w:rsidR="001148DB" w:rsidRPr="007048BA" w:rsidRDefault="001148DB" w:rsidP="00C75162">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w:t>
            </w:r>
            <w:r w:rsidR="00C75162" w:rsidRPr="007048BA">
              <w:rPr>
                <w:rFonts w:eastAsia="Times New Roman" w:cs="Times New Roman"/>
                <w:sz w:val="22"/>
                <w:szCs w:val="24"/>
                <w:lang w:val="en-GB" w:eastAsia="en-GB"/>
              </w:rPr>
              <w:t>096</w:t>
            </w:r>
            <w:r w:rsidRPr="007048BA">
              <w:rPr>
                <w:rFonts w:eastAsia="Times New Roman" w:cs="Times New Roman"/>
                <w:sz w:val="22"/>
                <w:szCs w:val="24"/>
                <w:lang w:val="en-GB" w:eastAsia="en-GB"/>
              </w:rPr>
              <w:t>)</w:t>
            </w:r>
          </w:p>
        </w:tc>
        <w:tc>
          <w:tcPr>
            <w:tcW w:w="0" w:type="auto"/>
            <w:tcBorders>
              <w:top w:val="nil"/>
              <w:left w:val="nil"/>
              <w:bottom w:val="nil"/>
              <w:right w:val="nil"/>
            </w:tcBorders>
          </w:tcPr>
          <w:p w14:paraId="73A505A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CD62D0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5F8A7E9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5F28771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2E6EC68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6AC373A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6738872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r>
      <w:tr w:rsidR="001148DB" w:rsidRPr="007048BA" w14:paraId="3B7D3C07" w14:textId="77777777" w:rsidTr="000242D3">
        <w:trPr>
          <w:jc w:val="center"/>
        </w:trPr>
        <w:tc>
          <w:tcPr>
            <w:tcW w:w="0" w:type="auto"/>
            <w:tcBorders>
              <w:top w:val="nil"/>
              <w:left w:val="nil"/>
              <w:bottom w:val="nil"/>
              <w:right w:val="nil"/>
            </w:tcBorders>
          </w:tcPr>
          <w:p w14:paraId="22265B2E"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AAR</w:t>
            </w:r>
          </w:p>
        </w:tc>
        <w:tc>
          <w:tcPr>
            <w:tcW w:w="0" w:type="auto"/>
            <w:tcBorders>
              <w:top w:val="nil"/>
              <w:left w:val="nil"/>
              <w:bottom w:val="nil"/>
              <w:right w:val="nil"/>
            </w:tcBorders>
          </w:tcPr>
          <w:p w14:paraId="3484B99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-16.179*</w:t>
            </w:r>
          </w:p>
        </w:tc>
        <w:tc>
          <w:tcPr>
            <w:tcW w:w="0" w:type="auto"/>
            <w:tcBorders>
              <w:top w:val="nil"/>
              <w:left w:val="nil"/>
              <w:bottom w:val="nil"/>
              <w:right w:val="nil"/>
            </w:tcBorders>
          </w:tcPr>
          <w:p w14:paraId="62D1CE4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25E402A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3747116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3C7411A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4BD6476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767F01E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0179DF6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r>
      <w:tr w:rsidR="001148DB" w:rsidRPr="007048BA" w14:paraId="40A3E2C8" w14:textId="77777777" w:rsidTr="000242D3">
        <w:trPr>
          <w:jc w:val="center"/>
        </w:trPr>
        <w:tc>
          <w:tcPr>
            <w:tcW w:w="0" w:type="auto"/>
            <w:tcBorders>
              <w:top w:val="nil"/>
              <w:left w:val="nil"/>
              <w:bottom w:val="nil"/>
              <w:right w:val="nil"/>
            </w:tcBorders>
          </w:tcPr>
          <w:p w14:paraId="4E74B3CE"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6E22D447"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(0.085)</w:t>
            </w:r>
          </w:p>
        </w:tc>
        <w:tc>
          <w:tcPr>
            <w:tcW w:w="0" w:type="auto"/>
            <w:tcBorders>
              <w:top w:val="nil"/>
              <w:left w:val="nil"/>
              <w:bottom w:val="nil"/>
              <w:right w:val="nil"/>
            </w:tcBorders>
          </w:tcPr>
          <w:p w14:paraId="49369DF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4F5684B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452E299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6FF2A4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5606A3A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57C091F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c>
          <w:tcPr>
            <w:tcW w:w="0" w:type="auto"/>
            <w:tcBorders>
              <w:top w:val="nil"/>
              <w:left w:val="nil"/>
              <w:bottom w:val="nil"/>
              <w:right w:val="nil"/>
            </w:tcBorders>
          </w:tcPr>
          <w:p w14:paraId="11AD4E5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p>
        </w:tc>
      </w:tr>
      <w:tr w:rsidR="001148DB" w:rsidRPr="007048BA" w14:paraId="42811562" w14:textId="77777777" w:rsidTr="000242D3">
        <w:trPr>
          <w:jc w:val="center"/>
        </w:trPr>
        <w:tc>
          <w:tcPr>
            <w:tcW w:w="0" w:type="auto"/>
            <w:tcBorders>
              <w:top w:val="nil"/>
              <w:left w:val="nil"/>
              <w:bottom w:val="nil"/>
              <w:right w:val="nil"/>
            </w:tcBorders>
          </w:tcPr>
          <w:p w14:paraId="6A3FF7CF"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TBQ</w:t>
            </w:r>
          </w:p>
        </w:tc>
        <w:tc>
          <w:tcPr>
            <w:tcW w:w="0" w:type="auto"/>
            <w:tcBorders>
              <w:top w:val="nil"/>
              <w:left w:val="nil"/>
              <w:bottom w:val="nil"/>
              <w:right w:val="nil"/>
            </w:tcBorders>
          </w:tcPr>
          <w:p w14:paraId="3312A24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-0.022</w:t>
            </w:r>
          </w:p>
        </w:tc>
        <w:tc>
          <w:tcPr>
            <w:tcW w:w="0" w:type="auto"/>
            <w:tcBorders>
              <w:top w:val="nil"/>
              <w:left w:val="nil"/>
              <w:bottom w:val="nil"/>
              <w:right w:val="nil"/>
            </w:tcBorders>
          </w:tcPr>
          <w:p w14:paraId="6CE8751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-0.003</w:t>
            </w:r>
          </w:p>
        </w:tc>
        <w:tc>
          <w:tcPr>
            <w:tcW w:w="0" w:type="auto"/>
            <w:tcBorders>
              <w:top w:val="nil"/>
              <w:left w:val="nil"/>
              <w:bottom w:val="nil"/>
              <w:right w:val="nil"/>
            </w:tcBorders>
          </w:tcPr>
          <w:p w14:paraId="2CE060B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-0.019</w:t>
            </w:r>
          </w:p>
        </w:tc>
        <w:tc>
          <w:tcPr>
            <w:tcW w:w="0" w:type="auto"/>
            <w:tcBorders>
              <w:top w:val="nil"/>
              <w:left w:val="nil"/>
              <w:bottom w:val="nil"/>
              <w:right w:val="nil"/>
            </w:tcBorders>
          </w:tcPr>
          <w:p w14:paraId="36EA842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-0.008</w:t>
            </w:r>
          </w:p>
        </w:tc>
        <w:tc>
          <w:tcPr>
            <w:tcW w:w="0" w:type="auto"/>
            <w:tcBorders>
              <w:top w:val="nil"/>
              <w:left w:val="nil"/>
              <w:bottom w:val="nil"/>
              <w:right w:val="nil"/>
            </w:tcBorders>
          </w:tcPr>
          <w:p w14:paraId="5DDD815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-0.012</w:t>
            </w:r>
          </w:p>
        </w:tc>
        <w:tc>
          <w:tcPr>
            <w:tcW w:w="0" w:type="auto"/>
            <w:tcBorders>
              <w:top w:val="nil"/>
              <w:left w:val="nil"/>
              <w:bottom w:val="nil"/>
              <w:right w:val="nil"/>
            </w:tcBorders>
          </w:tcPr>
          <w:p w14:paraId="15B711D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-0.029</w:t>
            </w:r>
          </w:p>
        </w:tc>
        <w:tc>
          <w:tcPr>
            <w:tcW w:w="0" w:type="auto"/>
            <w:tcBorders>
              <w:top w:val="nil"/>
              <w:left w:val="nil"/>
              <w:bottom w:val="nil"/>
              <w:right w:val="nil"/>
            </w:tcBorders>
          </w:tcPr>
          <w:p w14:paraId="2B35146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0.008</w:t>
            </w:r>
          </w:p>
        </w:tc>
        <w:tc>
          <w:tcPr>
            <w:tcW w:w="0" w:type="auto"/>
            <w:tcBorders>
              <w:top w:val="nil"/>
              <w:left w:val="nil"/>
              <w:bottom w:val="nil"/>
              <w:right w:val="nil"/>
            </w:tcBorders>
          </w:tcPr>
          <w:p w14:paraId="2E5D0B2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-0.026</w:t>
            </w:r>
          </w:p>
        </w:tc>
      </w:tr>
      <w:tr w:rsidR="001148DB" w:rsidRPr="007048BA" w14:paraId="3C29E516" w14:textId="77777777" w:rsidTr="000242D3">
        <w:trPr>
          <w:jc w:val="center"/>
        </w:trPr>
        <w:tc>
          <w:tcPr>
            <w:tcW w:w="0" w:type="auto"/>
            <w:tcBorders>
              <w:top w:val="nil"/>
              <w:left w:val="nil"/>
              <w:bottom w:val="nil"/>
              <w:right w:val="nil"/>
            </w:tcBorders>
          </w:tcPr>
          <w:p w14:paraId="6D1E1801"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368BE28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(0.402)</w:t>
            </w:r>
          </w:p>
        </w:tc>
        <w:tc>
          <w:tcPr>
            <w:tcW w:w="0" w:type="auto"/>
            <w:tcBorders>
              <w:top w:val="nil"/>
              <w:left w:val="nil"/>
              <w:bottom w:val="nil"/>
              <w:right w:val="nil"/>
            </w:tcBorders>
          </w:tcPr>
          <w:p w14:paraId="2F7E8B7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(0.904)</w:t>
            </w:r>
          </w:p>
        </w:tc>
        <w:tc>
          <w:tcPr>
            <w:tcW w:w="0" w:type="auto"/>
            <w:tcBorders>
              <w:top w:val="nil"/>
              <w:left w:val="nil"/>
              <w:bottom w:val="nil"/>
              <w:right w:val="nil"/>
            </w:tcBorders>
          </w:tcPr>
          <w:p w14:paraId="24BA45E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(0.440)</w:t>
            </w:r>
          </w:p>
        </w:tc>
        <w:tc>
          <w:tcPr>
            <w:tcW w:w="0" w:type="auto"/>
            <w:tcBorders>
              <w:top w:val="nil"/>
              <w:left w:val="nil"/>
              <w:bottom w:val="nil"/>
              <w:right w:val="nil"/>
            </w:tcBorders>
          </w:tcPr>
          <w:p w14:paraId="1919772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(0.729)</w:t>
            </w:r>
          </w:p>
        </w:tc>
        <w:tc>
          <w:tcPr>
            <w:tcW w:w="0" w:type="auto"/>
            <w:tcBorders>
              <w:top w:val="nil"/>
              <w:left w:val="nil"/>
              <w:bottom w:val="nil"/>
              <w:right w:val="nil"/>
            </w:tcBorders>
          </w:tcPr>
          <w:p w14:paraId="00FDF0A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(0.634)</w:t>
            </w:r>
          </w:p>
        </w:tc>
        <w:tc>
          <w:tcPr>
            <w:tcW w:w="0" w:type="auto"/>
            <w:tcBorders>
              <w:top w:val="nil"/>
              <w:left w:val="nil"/>
              <w:bottom w:val="nil"/>
              <w:right w:val="nil"/>
            </w:tcBorders>
          </w:tcPr>
          <w:p w14:paraId="2905574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(0.313)</w:t>
            </w:r>
          </w:p>
        </w:tc>
        <w:tc>
          <w:tcPr>
            <w:tcW w:w="0" w:type="auto"/>
            <w:tcBorders>
              <w:top w:val="nil"/>
              <w:left w:val="nil"/>
              <w:bottom w:val="nil"/>
              <w:right w:val="nil"/>
            </w:tcBorders>
          </w:tcPr>
          <w:p w14:paraId="4CF25C9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(0.726)</w:t>
            </w:r>
          </w:p>
        </w:tc>
        <w:tc>
          <w:tcPr>
            <w:tcW w:w="0" w:type="auto"/>
            <w:tcBorders>
              <w:top w:val="nil"/>
              <w:left w:val="nil"/>
              <w:bottom w:val="nil"/>
              <w:right w:val="nil"/>
            </w:tcBorders>
          </w:tcPr>
          <w:p w14:paraId="08D706B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(0.309)</w:t>
            </w:r>
          </w:p>
        </w:tc>
      </w:tr>
      <w:tr w:rsidR="001148DB" w:rsidRPr="007048BA" w14:paraId="7CBCD02A" w14:textId="77777777" w:rsidTr="000242D3">
        <w:trPr>
          <w:jc w:val="center"/>
        </w:trPr>
        <w:tc>
          <w:tcPr>
            <w:tcW w:w="0" w:type="auto"/>
            <w:tcBorders>
              <w:top w:val="nil"/>
              <w:left w:val="nil"/>
              <w:bottom w:val="nil"/>
              <w:right w:val="nil"/>
            </w:tcBorders>
          </w:tcPr>
          <w:p w14:paraId="2E465CD4"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LIQ</w:t>
            </w:r>
          </w:p>
        </w:tc>
        <w:tc>
          <w:tcPr>
            <w:tcW w:w="0" w:type="auto"/>
            <w:tcBorders>
              <w:top w:val="nil"/>
              <w:left w:val="nil"/>
              <w:bottom w:val="nil"/>
              <w:right w:val="nil"/>
            </w:tcBorders>
          </w:tcPr>
          <w:p w14:paraId="5C63F0B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-0.104</w:t>
            </w:r>
          </w:p>
        </w:tc>
        <w:tc>
          <w:tcPr>
            <w:tcW w:w="0" w:type="auto"/>
            <w:tcBorders>
              <w:top w:val="nil"/>
              <w:left w:val="nil"/>
              <w:bottom w:val="nil"/>
              <w:right w:val="nil"/>
            </w:tcBorders>
          </w:tcPr>
          <w:p w14:paraId="0116125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-0.097</w:t>
            </w:r>
          </w:p>
        </w:tc>
        <w:tc>
          <w:tcPr>
            <w:tcW w:w="0" w:type="auto"/>
            <w:tcBorders>
              <w:top w:val="nil"/>
              <w:left w:val="nil"/>
              <w:bottom w:val="nil"/>
              <w:right w:val="nil"/>
            </w:tcBorders>
          </w:tcPr>
          <w:p w14:paraId="46CB65F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-0.066</w:t>
            </w:r>
          </w:p>
        </w:tc>
        <w:tc>
          <w:tcPr>
            <w:tcW w:w="0" w:type="auto"/>
            <w:tcBorders>
              <w:top w:val="nil"/>
              <w:left w:val="nil"/>
              <w:bottom w:val="nil"/>
              <w:right w:val="nil"/>
            </w:tcBorders>
          </w:tcPr>
          <w:p w14:paraId="0414331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-0.089</w:t>
            </w:r>
          </w:p>
        </w:tc>
        <w:tc>
          <w:tcPr>
            <w:tcW w:w="0" w:type="auto"/>
            <w:tcBorders>
              <w:top w:val="nil"/>
              <w:left w:val="nil"/>
              <w:bottom w:val="nil"/>
              <w:right w:val="nil"/>
            </w:tcBorders>
          </w:tcPr>
          <w:p w14:paraId="15F9B82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-0.081</w:t>
            </w:r>
          </w:p>
        </w:tc>
        <w:tc>
          <w:tcPr>
            <w:tcW w:w="0" w:type="auto"/>
            <w:tcBorders>
              <w:top w:val="nil"/>
              <w:left w:val="nil"/>
              <w:bottom w:val="nil"/>
              <w:right w:val="nil"/>
            </w:tcBorders>
          </w:tcPr>
          <w:p w14:paraId="281B6B9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0.140</w:t>
            </w:r>
          </w:p>
        </w:tc>
        <w:tc>
          <w:tcPr>
            <w:tcW w:w="0" w:type="auto"/>
            <w:tcBorders>
              <w:top w:val="nil"/>
              <w:left w:val="nil"/>
              <w:bottom w:val="nil"/>
              <w:right w:val="nil"/>
            </w:tcBorders>
          </w:tcPr>
          <w:p w14:paraId="3EFC5B0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-0.104</w:t>
            </w:r>
          </w:p>
        </w:tc>
        <w:tc>
          <w:tcPr>
            <w:tcW w:w="0" w:type="auto"/>
            <w:tcBorders>
              <w:top w:val="nil"/>
              <w:left w:val="nil"/>
              <w:bottom w:val="nil"/>
              <w:right w:val="nil"/>
            </w:tcBorders>
          </w:tcPr>
          <w:p w14:paraId="723BD73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-0.067</w:t>
            </w:r>
          </w:p>
        </w:tc>
      </w:tr>
      <w:tr w:rsidR="001148DB" w:rsidRPr="007048BA" w14:paraId="13E0D06F" w14:textId="77777777" w:rsidTr="000242D3">
        <w:trPr>
          <w:jc w:val="center"/>
        </w:trPr>
        <w:tc>
          <w:tcPr>
            <w:tcW w:w="0" w:type="auto"/>
            <w:tcBorders>
              <w:top w:val="nil"/>
              <w:left w:val="nil"/>
              <w:bottom w:val="nil"/>
              <w:right w:val="nil"/>
            </w:tcBorders>
          </w:tcPr>
          <w:p w14:paraId="728AE473"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556B001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(0.721)</w:t>
            </w:r>
          </w:p>
        </w:tc>
        <w:tc>
          <w:tcPr>
            <w:tcW w:w="0" w:type="auto"/>
            <w:tcBorders>
              <w:top w:val="nil"/>
              <w:left w:val="nil"/>
              <w:bottom w:val="nil"/>
              <w:right w:val="nil"/>
            </w:tcBorders>
          </w:tcPr>
          <w:p w14:paraId="04EF7D5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(0.738)</w:t>
            </w:r>
          </w:p>
        </w:tc>
        <w:tc>
          <w:tcPr>
            <w:tcW w:w="0" w:type="auto"/>
            <w:tcBorders>
              <w:top w:val="nil"/>
              <w:left w:val="nil"/>
              <w:bottom w:val="nil"/>
              <w:right w:val="nil"/>
            </w:tcBorders>
          </w:tcPr>
          <w:p w14:paraId="72A896F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(0.821)</w:t>
            </w:r>
          </w:p>
        </w:tc>
        <w:tc>
          <w:tcPr>
            <w:tcW w:w="0" w:type="auto"/>
            <w:tcBorders>
              <w:top w:val="nil"/>
              <w:left w:val="nil"/>
              <w:bottom w:val="nil"/>
              <w:right w:val="nil"/>
            </w:tcBorders>
          </w:tcPr>
          <w:p w14:paraId="48B5A26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(0.760)</w:t>
            </w:r>
          </w:p>
        </w:tc>
        <w:tc>
          <w:tcPr>
            <w:tcW w:w="0" w:type="auto"/>
            <w:tcBorders>
              <w:top w:val="nil"/>
              <w:left w:val="nil"/>
              <w:bottom w:val="nil"/>
              <w:right w:val="nil"/>
            </w:tcBorders>
          </w:tcPr>
          <w:p w14:paraId="7B244DA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(0.781)</w:t>
            </w:r>
          </w:p>
        </w:tc>
        <w:tc>
          <w:tcPr>
            <w:tcW w:w="0" w:type="auto"/>
            <w:tcBorders>
              <w:top w:val="nil"/>
              <w:left w:val="nil"/>
              <w:bottom w:val="nil"/>
              <w:right w:val="nil"/>
            </w:tcBorders>
          </w:tcPr>
          <w:p w14:paraId="3AC4637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(0.668)</w:t>
            </w:r>
          </w:p>
        </w:tc>
        <w:tc>
          <w:tcPr>
            <w:tcW w:w="0" w:type="auto"/>
            <w:tcBorders>
              <w:top w:val="nil"/>
              <w:left w:val="nil"/>
              <w:bottom w:val="nil"/>
              <w:right w:val="nil"/>
            </w:tcBorders>
          </w:tcPr>
          <w:p w14:paraId="1B2813D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(0.724)</w:t>
            </w:r>
          </w:p>
        </w:tc>
        <w:tc>
          <w:tcPr>
            <w:tcW w:w="0" w:type="auto"/>
            <w:tcBorders>
              <w:top w:val="nil"/>
              <w:left w:val="nil"/>
              <w:bottom w:val="nil"/>
              <w:right w:val="nil"/>
            </w:tcBorders>
          </w:tcPr>
          <w:p w14:paraId="6B8CCEA7"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(0.816)</w:t>
            </w:r>
          </w:p>
        </w:tc>
      </w:tr>
      <w:tr w:rsidR="001148DB" w:rsidRPr="007048BA" w14:paraId="421E7C20" w14:textId="77777777" w:rsidTr="000242D3">
        <w:trPr>
          <w:jc w:val="center"/>
        </w:trPr>
        <w:tc>
          <w:tcPr>
            <w:tcW w:w="0" w:type="auto"/>
            <w:tcBorders>
              <w:top w:val="nil"/>
              <w:left w:val="nil"/>
              <w:bottom w:val="nil"/>
              <w:right w:val="nil"/>
            </w:tcBorders>
          </w:tcPr>
          <w:p w14:paraId="32A8FE3A"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LEV</w:t>
            </w:r>
          </w:p>
        </w:tc>
        <w:tc>
          <w:tcPr>
            <w:tcW w:w="0" w:type="auto"/>
            <w:tcBorders>
              <w:top w:val="nil"/>
              <w:left w:val="nil"/>
              <w:bottom w:val="nil"/>
              <w:right w:val="nil"/>
            </w:tcBorders>
          </w:tcPr>
          <w:p w14:paraId="182DD0F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0.039**</w:t>
            </w:r>
          </w:p>
        </w:tc>
        <w:tc>
          <w:tcPr>
            <w:tcW w:w="0" w:type="auto"/>
            <w:tcBorders>
              <w:top w:val="nil"/>
              <w:left w:val="nil"/>
              <w:bottom w:val="nil"/>
              <w:right w:val="nil"/>
            </w:tcBorders>
          </w:tcPr>
          <w:p w14:paraId="30B72C3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0.035*</w:t>
            </w:r>
          </w:p>
        </w:tc>
        <w:tc>
          <w:tcPr>
            <w:tcW w:w="0" w:type="auto"/>
            <w:tcBorders>
              <w:top w:val="nil"/>
              <w:left w:val="nil"/>
              <w:bottom w:val="nil"/>
              <w:right w:val="nil"/>
            </w:tcBorders>
          </w:tcPr>
          <w:p w14:paraId="7E2702B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0.036**</w:t>
            </w:r>
          </w:p>
        </w:tc>
        <w:tc>
          <w:tcPr>
            <w:tcW w:w="0" w:type="auto"/>
            <w:tcBorders>
              <w:top w:val="nil"/>
              <w:left w:val="nil"/>
              <w:bottom w:val="nil"/>
              <w:right w:val="nil"/>
            </w:tcBorders>
          </w:tcPr>
          <w:p w14:paraId="399FA85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0.036**</w:t>
            </w:r>
          </w:p>
        </w:tc>
        <w:tc>
          <w:tcPr>
            <w:tcW w:w="0" w:type="auto"/>
            <w:tcBorders>
              <w:top w:val="nil"/>
              <w:left w:val="nil"/>
              <w:bottom w:val="nil"/>
              <w:right w:val="nil"/>
            </w:tcBorders>
          </w:tcPr>
          <w:p w14:paraId="3D0A735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0.035*</w:t>
            </w:r>
          </w:p>
        </w:tc>
        <w:tc>
          <w:tcPr>
            <w:tcW w:w="0" w:type="auto"/>
            <w:tcBorders>
              <w:top w:val="nil"/>
              <w:left w:val="nil"/>
              <w:bottom w:val="nil"/>
              <w:right w:val="nil"/>
            </w:tcBorders>
          </w:tcPr>
          <w:p w14:paraId="54F89B7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0.040**</w:t>
            </w:r>
          </w:p>
        </w:tc>
        <w:tc>
          <w:tcPr>
            <w:tcW w:w="0" w:type="auto"/>
            <w:tcBorders>
              <w:top w:val="nil"/>
              <w:left w:val="nil"/>
              <w:bottom w:val="nil"/>
              <w:right w:val="nil"/>
            </w:tcBorders>
          </w:tcPr>
          <w:p w14:paraId="6071E90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0.036*</w:t>
            </w:r>
          </w:p>
        </w:tc>
        <w:tc>
          <w:tcPr>
            <w:tcW w:w="0" w:type="auto"/>
            <w:tcBorders>
              <w:top w:val="nil"/>
              <w:left w:val="nil"/>
              <w:bottom w:val="nil"/>
              <w:right w:val="nil"/>
            </w:tcBorders>
          </w:tcPr>
          <w:p w14:paraId="0D0634A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0.035*</w:t>
            </w:r>
          </w:p>
        </w:tc>
      </w:tr>
      <w:tr w:rsidR="001148DB" w:rsidRPr="007048BA" w14:paraId="2BE99C43" w14:textId="77777777" w:rsidTr="000242D3">
        <w:trPr>
          <w:jc w:val="center"/>
        </w:trPr>
        <w:tc>
          <w:tcPr>
            <w:tcW w:w="0" w:type="auto"/>
            <w:tcBorders>
              <w:top w:val="nil"/>
              <w:left w:val="nil"/>
              <w:bottom w:val="nil"/>
              <w:right w:val="nil"/>
            </w:tcBorders>
          </w:tcPr>
          <w:p w14:paraId="268CBDD4"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005B3E9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(0.034)</w:t>
            </w:r>
          </w:p>
        </w:tc>
        <w:tc>
          <w:tcPr>
            <w:tcW w:w="0" w:type="auto"/>
            <w:tcBorders>
              <w:top w:val="nil"/>
              <w:left w:val="nil"/>
              <w:bottom w:val="nil"/>
              <w:right w:val="nil"/>
            </w:tcBorders>
          </w:tcPr>
          <w:p w14:paraId="477BFE4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(0.052)</w:t>
            </w:r>
          </w:p>
        </w:tc>
        <w:tc>
          <w:tcPr>
            <w:tcW w:w="0" w:type="auto"/>
            <w:tcBorders>
              <w:top w:val="nil"/>
              <w:left w:val="nil"/>
              <w:bottom w:val="nil"/>
              <w:right w:val="nil"/>
            </w:tcBorders>
          </w:tcPr>
          <w:p w14:paraId="7AD65C6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(0.050)</w:t>
            </w:r>
          </w:p>
        </w:tc>
        <w:tc>
          <w:tcPr>
            <w:tcW w:w="0" w:type="auto"/>
            <w:tcBorders>
              <w:top w:val="nil"/>
              <w:left w:val="nil"/>
              <w:bottom w:val="nil"/>
              <w:right w:val="nil"/>
            </w:tcBorders>
          </w:tcPr>
          <w:p w14:paraId="0CA2F02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(0.049)</w:t>
            </w:r>
          </w:p>
        </w:tc>
        <w:tc>
          <w:tcPr>
            <w:tcW w:w="0" w:type="auto"/>
            <w:tcBorders>
              <w:top w:val="nil"/>
              <w:left w:val="nil"/>
              <w:bottom w:val="nil"/>
              <w:right w:val="nil"/>
            </w:tcBorders>
          </w:tcPr>
          <w:p w14:paraId="61E2AAE7"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(0.058)</w:t>
            </w:r>
          </w:p>
        </w:tc>
        <w:tc>
          <w:tcPr>
            <w:tcW w:w="0" w:type="auto"/>
            <w:tcBorders>
              <w:top w:val="nil"/>
              <w:left w:val="nil"/>
              <w:bottom w:val="nil"/>
              <w:right w:val="nil"/>
            </w:tcBorders>
          </w:tcPr>
          <w:p w14:paraId="4FC3515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(0.037)</w:t>
            </w:r>
          </w:p>
        </w:tc>
        <w:tc>
          <w:tcPr>
            <w:tcW w:w="0" w:type="auto"/>
            <w:tcBorders>
              <w:top w:val="nil"/>
              <w:left w:val="nil"/>
              <w:bottom w:val="nil"/>
              <w:right w:val="nil"/>
            </w:tcBorders>
          </w:tcPr>
          <w:p w14:paraId="1315106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(0.051)</w:t>
            </w:r>
          </w:p>
        </w:tc>
        <w:tc>
          <w:tcPr>
            <w:tcW w:w="0" w:type="auto"/>
            <w:tcBorders>
              <w:top w:val="nil"/>
              <w:left w:val="nil"/>
              <w:bottom w:val="nil"/>
              <w:right w:val="nil"/>
            </w:tcBorders>
          </w:tcPr>
          <w:p w14:paraId="2A236BC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(0.058)</w:t>
            </w:r>
          </w:p>
        </w:tc>
      </w:tr>
      <w:tr w:rsidR="001148DB" w:rsidRPr="007048BA" w14:paraId="4DE8E8F1" w14:textId="77777777" w:rsidTr="000242D3">
        <w:trPr>
          <w:jc w:val="center"/>
        </w:trPr>
        <w:tc>
          <w:tcPr>
            <w:tcW w:w="0" w:type="auto"/>
            <w:tcBorders>
              <w:top w:val="nil"/>
              <w:left w:val="nil"/>
              <w:bottom w:val="nil"/>
              <w:right w:val="nil"/>
            </w:tcBorders>
          </w:tcPr>
          <w:p w14:paraId="3C1C8551"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SGW</w:t>
            </w:r>
          </w:p>
        </w:tc>
        <w:tc>
          <w:tcPr>
            <w:tcW w:w="0" w:type="auto"/>
            <w:tcBorders>
              <w:top w:val="nil"/>
              <w:left w:val="nil"/>
              <w:bottom w:val="nil"/>
              <w:right w:val="nil"/>
            </w:tcBorders>
          </w:tcPr>
          <w:p w14:paraId="2D33392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-0.048*</w:t>
            </w:r>
          </w:p>
        </w:tc>
        <w:tc>
          <w:tcPr>
            <w:tcW w:w="0" w:type="auto"/>
            <w:tcBorders>
              <w:top w:val="nil"/>
              <w:left w:val="nil"/>
              <w:bottom w:val="nil"/>
              <w:right w:val="nil"/>
            </w:tcBorders>
          </w:tcPr>
          <w:p w14:paraId="2123BCD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-0.046*</w:t>
            </w:r>
          </w:p>
        </w:tc>
        <w:tc>
          <w:tcPr>
            <w:tcW w:w="0" w:type="auto"/>
            <w:tcBorders>
              <w:top w:val="nil"/>
              <w:left w:val="nil"/>
              <w:bottom w:val="nil"/>
              <w:right w:val="nil"/>
            </w:tcBorders>
          </w:tcPr>
          <w:p w14:paraId="73108F1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-0.051**</w:t>
            </w:r>
          </w:p>
        </w:tc>
        <w:tc>
          <w:tcPr>
            <w:tcW w:w="0" w:type="auto"/>
            <w:tcBorders>
              <w:top w:val="nil"/>
              <w:left w:val="nil"/>
              <w:bottom w:val="nil"/>
              <w:right w:val="nil"/>
            </w:tcBorders>
          </w:tcPr>
          <w:p w14:paraId="5D4E89B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-0.050**</w:t>
            </w:r>
          </w:p>
        </w:tc>
        <w:tc>
          <w:tcPr>
            <w:tcW w:w="0" w:type="auto"/>
            <w:tcBorders>
              <w:top w:val="nil"/>
              <w:left w:val="nil"/>
              <w:bottom w:val="nil"/>
              <w:right w:val="nil"/>
            </w:tcBorders>
          </w:tcPr>
          <w:p w14:paraId="2907524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-0.045*</w:t>
            </w:r>
          </w:p>
        </w:tc>
        <w:tc>
          <w:tcPr>
            <w:tcW w:w="0" w:type="auto"/>
            <w:tcBorders>
              <w:top w:val="nil"/>
              <w:left w:val="nil"/>
              <w:bottom w:val="nil"/>
              <w:right w:val="nil"/>
            </w:tcBorders>
          </w:tcPr>
          <w:p w14:paraId="18ED661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-0.050</w:t>
            </w:r>
          </w:p>
        </w:tc>
        <w:tc>
          <w:tcPr>
            <w:tcW w:w="0" w:type="auto"/>
            <w:tcBorders>
              <w:top w:val="nil"/>
              <w:left w:val="nil"/>
              <w:bottom w:val="nil"/>
              <w:right w:val="nil"/>
            </w:tcBorders>
          </w:tcPr>
          <w:p w14:paraId="6672151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-0.045*</w:t>
            </w:r>
          </w:p>
        </w:tc>
        <w:tc>
          <w:tcPr>
            <w:tcW w:w="0" w:type="auto"/>
            <w:tcBorders>
              <w:top w:val="nil"/>
              <w:left w:val="nil"/>
              <w:bottom w:val="nil"/>
              <w:right w:val="nil"/>
            </w:tcBorders>
          </w:tcPr>
          <w:p w14:paraId="41A0B91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-0.049**</w:t>
            </w:r>
          </w:p>
        </w:tc>
      </w:tr>
      <w:tr w:rsidR="001148DB" w:rsidRPr="007048BA" w14:paraId="4A4FE0DF" w14:textId="77777777" w:rsidTr="000242D3">
        <w:trPr>
          <w:jc w:val="center"/>
        </w:trPr>
        <w:tc>
          <w:tcPr>
            <w:tcW w:w="0" w:type="auto"/>
            <w:tcBorders>
              <w:top w:val="nil"/>
              <w:left w:val="nil"/>
              <w:bottom w:val="nil"/>
              <w:right w:val="nil"/>
            </w:tcBorders>
          </w:tcPr>
          <w:p w14:paraId="7B3D339F"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75F2654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(0.057)</w:t>
            </w:r>
          </w:p>
        </w:tc>
        <w:tc>
          <w:tcPr>
            <w:tcW w:w="0" w:type="auto"/>
            <w:tcBorders>
              <w:top w:val="nil"/>
              <w:left w:val="nil"/>
              <w:bottom w:val="nil"/>
              <w:right w:val="nil"/>
            </w:tcBorders>
          </w:tcPr>
          <w:p w14:paraId="6F2535A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(0.063)</w:t>
            </w:r>
          </w:p>
        </w:tc>
        <w:tc>
          <w:tcPr>
            <w:tcW w:w="0" w:type="auto"/>
            <w:tcBorders>
              <w:top w:val="nil"/>
              <w:left w:val="nil"/>
              <w:bottom w:val="nil"/>
              <w:right w:val="nil"/>
            </w:tcBorders>
          </w:tcPr>
          <w:p w14:paraId="018748A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(0.043)</w:t>
            </w:r>
          </w:p>
        </w:tc>
        <w:tc>
          <w:tcPr>
            <w:tcW w:w="0" w:type="auto"/>
            <w:tcBorders>
              <w:top w:val="nil"/>
              <w:left w:val="nil"/>
              <w:bottom w:val="nil"/>
              <w:right w:val="nil"/>
            </w:tcBorders>
          </w:tcPr>
          <w:p w14:paraId="3DFB803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(0.047)</w:t>
            </w:r>
          </w:p>
        </w:tc>
        <w:tc>
          <w:tcPr>
            <w:tcW w:w="0" w:type="auto"/>
            <w:tcBorders>
              <w:top w:val="nil"/>
              <w:left w:val="nil"/>
              <w:bottom w:val="nil"/>
              <w:right w:val="nil"/>
            </w:tcBorders>
          </w:tcPr>
          <w:p w14:paraId="7473A63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(0.071)</w:t>
            </w:r>
          </w:p>
        </w:tc>
        <w:tc>
          <w:tcPr>
            <w:tcW w:w="0" w:type="auto"/>
            <w:tcBorders>
              <w:top w:val="nil"/>
              <w:left w:val="nil"/>
              <w:bottom w:val="nil"/>
              <w:right w:val="nil"/>
            </w:tcBorders>
          </w:tcPr>
          <w:p w14:paraId="13BD3DB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(0.185)</w:t>
            </w:r>
          </w:p>
        </w:tc>
        <w:tc>
          <w:tcPr>
            <w:tcW w:w="0" w:type="auto"/>
            <w:tcBorders>
              <w:top w:val="nil"/>
              <w:left w:val="nil"/>
              <w:bottom w:val="nil"/>
              <w:right w:val="nil"/>
            </w:tcBorders>
          </w:tcPr>
          <w:p w14:paraId="5DF4665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(0.069)</w:t>
            </w:r>
          </w:p>
        </w:tc>
        <w:tc>
          <w:tcPr>
            <w:tcW w:w="0" w:type="auto"/>
            <w:tcBorders>
              <w:top w:val="nil"/>
              <w:left w:val="nil"/>
              <w:bottom w:val="nil"/>
              <w:right w:val="nil"/>
            </w:tcBorders>
          </w:tcPr>
          <w:p w14:paraId="040837C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(0.049)</w:t>
            </w:r>
          </w:p>
        </w:tc>
      </w:tr>
      <w:tr w:rsidR="001148DB" w:rsidRPr="007048BA" w14:paraId="0EE2D475" w14:textId="77777777" w:rsidTr="000242D3">
        <w:trPr>
          <w:jc w:val="center"/>
        </w:trPr>
        <w:tc>
          <w:tcPr>
            <w:tcW w:w="0" w:type="auto"/>
            <w:tcBorders>
              <w:top w:val="nil"/>
              <w:left w:val="nil"/>
              <w:bottom w:val="nil"/>
              <w:right w:val="nil"/>
            </w:tcBorders>
          </w:tcPr>
          <w:p w14:paraId="7572AB37"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GRD</w:t>
            </w:r>
          </w:p>
        </w:tc>
        <w:tc>
          <w:tcPr>
            <w:tcW w:w="0" w:type="auto"/>
            <w:tcBorders>
              <w:top w:val="nil"/>
              <w:left w:val="nil"/>
              <w:bottom w:val="nil"/>
              <w:right w:val="nil"/>
            </w:tcBorders>
          </w:tcPr>
          <w:p w14:paraId="4B1F65E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-0.086</w:t>
            </w:r>
          </w:p>
        </w:tc>
        <w:tc>
          <w:tcPr>
            <w:tcW w:w="0" w:type="auto"/>
            <w:tcBorders>
              <w:top w:val="nil"/>
              <w:left w:val="nil"/>
              <w:bottom w:val="nil"/>
              <w:right w:val="nil"/>
            </w:tcBorders>
          </w:tcPr>
          <w:p w14:paraId="0E9416D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-0.084</w:t>
            </w:r>
          </w:p>
        </w:tc>
        <w:tc>
          <w:tcPr>
            <w:tcW w:w="0" w:type="auto"/>
            <w:tcBorders>
              <w:top w:val="nil"/>
              <w:left w:val="nil"/>
              <w:bottom w:val="nil"/>
              <w:right w:val="nil"/>
            </w:tcBorders>
          </w:tcPr>
          <w:p w14:paraId="623C44F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-0.101</w:t>
            </w:r>
          </w:p>
        </w:tc>
        <w:tc>
          <w:tcPr>
            <w:tcW w:w="0" w:type="auto"/>
            <w:tcBorders>
              <w:top w:val="nil"/>
              <w:left w:val="nil"/>
              <w:bottom w:val="nil"/>
              <w:right w:val="nil"/>
            </w:tcBorders>
          </w:tcPr>
          <w:p w14:paraId="3D2E86E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-0.085</w:t>
            </w:r>
          </w:p>
        </w:tc>
        <w:tc>
          <w:tcPr>
            <w:tcW w:w="0" w:type="auto"/>
            <w:tcBorders>
              <w:top w:val="nil"/>
              <w:left w:val="nil"/>
              <w:bottom w:val="nil"/>
              <w:right w:val="nil"/>
            </w:tcBorders>
          </w:tcPr>
          <w:p w14:paraId="3CFB321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-0.097</w:t>
            </w:r>
          </w:p>
        </w:tc>
        <w:tc>
          <w:tcPr>
            <w:tcW w:w="0" w:type="auto"/>
            <w:tcBorders>
              <w:top w:val="nil"/>
              <w:left w:val="nil"/>
              <w:bottom w:val="nil"/>
              <w:right w:val="nil"/>
            </w:tcBorders>
          </w:tcPr>
          <w:p w14:paraId="0BBCE60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-0.060</w:t>
            </w:r>
          </w:p>
        </w:tc>
        <w:tc>
          <w:tcPr>
            <w:tcW w:w="0" w:type="auto"/>
            <w:tcBorders>
              <w:top w:val="nil"/>
              <w:left w:val="nil"/>
              <w:bottom w:val="nil"/>
              <w:right w:val="nil"/>
            </w:tcBorders>
          </w:tcPr>
          <w:p w14:paraId="68D1A6A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-0.079</w:t>
            </w:r>
          </w:p>
        </w:tc>
        <w:tc>
          <w:tcPr>
            <w:tcW w:w="0" w:type="auto"/>
            <w:tcBorders>
              <w:top w:val="nil"/>
              <w:left w:val="nil"/>
              <w:bottom w:val="nil"/>
              <w:right w:val="nil"/>
            </w:tcBorders>
          </w:tcPr>
          <w:p w14:paraId="4DF36E7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-0.098</w:t>
            </w:r>
          </w:p>
        </w:tc>
      </w:tr>
      <w:tr w:rsidR="001148DB" w:rsidRPr="007048BA" w14:paraId="0AB2D717" w14:textId="77777777" w:rsidTr="000242D3">
        <w:trPr>
          <w:jc w:val="center"/>
        </w:trPr>
        <w:tc>
          <w:tcPr>
            <w:tcW w:w="0" w:type="auto"/>
            <w:tcBorders>
              <w:top w:val="nil"/>
              <w:left w:val="nil"/>
              <w:bottom w:val="nil"/>
              <w:right w:val="nil"/>
            </w:tcBorders>
          </w:tcPr>
          <w:p w14:paraId="2EFD4992"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45FC414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(0.187)</w:t>
            </w:r>
          </w:p>
        </w:tc>
        <w:tc>
          <w:tcPr>
            <w:tcW w:w="0" w:type="auto"/>
            <w:tcBorders>
              <w:top w:val="nil"/>
              <w:left w:val="nil"/>
              <w:bottom w:val="nil"/>
              <w:right w:val="nil"/>
            </w:tcBorders>
          </w:tcPr>
          <w:p w14:paraId="796209F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(0.195)</w:t>
            </w:r>
          </w:p>
        </w:tc>
        <w:tc>
          <w:tcPr>
            <w:tcW w:w="0" w:type="auto"/>
            <w:tcBorders>
              <w:top w:val="nil"/>
              <w:left w:val="nil"/>
              <w:bottom w:val="nil"/>
              <w:right w:val="nil"/>
            </w:tcBorders>
          </w:tcPr>
          <w:p w14:paraId="4124AD7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(0.121)</w:t>
            </w:r>
          </w:p>
        </w:tc>
        <w:tc>
          <w:tcPr>
            <w:tcW w:w="0" w:type="auto"/>
            <w:tcBorders>
              <w:top w:val="nil"/>
              <w:left w:val="nil"/>
              <w:bottom w:val="nil"/>
              <w:right w:val="nil"/>
            </w:tcBorders>
          </w:tcPr>
          <w:p w14:paraId="371F36D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(0.188)</w:t>
            </w:r>
          </w:p>
        </w:tc>
        <w:tc>
          <w:tcPr>
            <w:tcW w:w="0" w:type="auto"/>
            <w:tcBorders>
              <w:top w:val="nil"/>
              <w:left w:val="nil"/>
              <w:bottom w:val="nil"/>
              <w:right w:val="nil"/>
            </w:tcBorders>
          </w:tcPr>
          <w:p w14:paraId="4387F86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(0.137)</w:t>
            </w:r>
          </w:p>
        </w:tc>
        <w:tc>
          <w:tcPr>
            <w:tcW w:w="0" w:type="auto"/>
            <w:tcBorders>
              <w:top w:val="nil"/>
              <w:left w:val="nil"/>
              <w:bottom w:val="nil"/>
              <w:right w:val="nil"/>
            </w:tcBorders>
          </w:tcPr>
          <w:p w14:paraId="52514B87"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(0.385)</w:t>
            </w:r>
          </w:p>
        </w:tc>
        <w:tc>
          <w:tcPr>
            <w:tcW w:w="0" w:type="auto"/>
            <w:tcBorders>
              <w:top w:val="nil"/>
              <w:left w:val="nil"/>
              <w:bottom w:val="nil"/>
              <w:right w:val="nil"/>
            </w:tcBorders>
          </w:tcPr>
          <w:p w14:paraId="13CB582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(0.231)</w:t>
            </w:r>
          </w:p>
        </w:tc>
        <w:tc>
          <w:tcPr>
            <w:tcW w:w="0" w:type="auto"/>
            <w:tcBorders>
              <w:top w:val="nil"/>
              <w:left w:val="nil"/>
              <w:bottom w:val="nil"/>
              <w:right w:val="nil"/>
            </w:tcBorders>
          </w:tcPr>
          <w:p w14:paraId="7B01AF6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(0.132)</w:t>
            </w:r>
          </w:p>
        </w:tc>
      </w:tr>
      <w:tr w:rsidR="001148DB" w:rsidRPr="007048BA" w14:paraId="21694D54" w14:textId="77777777" w:rsidTr="000242D3">
        <w:trPr>
          <w:jc w:val="center"/>
        </w:trPr>
        <w:tc>
          <w:tcPr>
            <w:tcW w:w="0" w:type="auto"/>
            <w:tcBorders>
              <w:top w:val="nil"/>
              <w:left w:val="nil"/>
              <w:bottom w:val="nil"/>
              <w:right w:val="nil"/>
            </w:tcBorders>
          </w:tcPr>
          <w:p w14:paraId="09F24ABA"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IDD</w:t>
            </w:r>
          </w:p>
        </w:tc>
        <w:tc>
          <w:tcPr>
            <w:tcW w:w="0" w:type="auto"/>
            <w:tcBorders>
              <w:top w:val="nil"/>
              <w:left w:val="nil"/>
              <w:bottom w:val="nil"/>
              <w:right w:val="nil"/>
            </w:tcBorders>
          </w:tcPr>
          <w:p w14:paraId="2F296BF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-0.179***</w:t>
            </w:r>
          </w:p>
        </w:tc>
        <w:tc>
          <w:tcPr>
            <w:tcW w:w="0" w:type="auto"/>
            <w:tcBorders>
              <w:top w:val="nil"/>
              <w:left w:val="nil"/>
              <w:bottom w:val="nil"/>
              <w:right w:val="nil"/>
            </w:tcBorders>
          </w:tcPr>
          <w:p w14:paraId="63204EA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-0.182***</w:t>
            </w:r>
          </w:p>
        </w:tc>
        <w:tc>
          <w:tcPr>
            <w:tcW w:w="0" w:type="auto"/>
            <w:tcBorders>
              <w:top w:val="nil"/>
              <w:left w:val="nil"/>
              <w:bottom w:val="nil"/>
              <w:right w:val="nil"/>
            </w:tcBorders>
          </w:tcPr>
          <w:p w14:paraId="6977428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-0.177***</w:t>
            </w:r>
          </w:p>
        </w:tc>
        <w:tc>
          <w:tcPr>
            <w:tcW w:w="0" w:type="auto"/>
            <w:tcBorders>
              <w:top w:val="nil"/>
              <w:left w:val="nil"/>
              <w:bottom w:val="nil"/>
              <w:right w:val="nil"/>
            </w:tcBorders>
          </w:tcPr>
          <w:p w14:paraId="1F3FFC4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-0.180***</w:t>
            </w:r>
          </w:p>
        </w:tc>
        <w:tc>
          <w:tcPr>
            <w:tcW w:w="0" w:type="auto"/>
            <w:tcBorders>
              <w:top w:val="nil"/>
              <w:left w:val="nil"/>
              <w:bottom w:val="nil"/>
              <w:right w:val="nil"/>
            </w:tcBorders>
          </w:tcPr>
          <w:p w14:paraId="74BEE5D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-0.180***</w:t>
            </w:r>
          </w:p>
        </w:tc>
        <w:tc>
          <w:tcPr>
            <w:tcW w:w="0" w:type="auto"/>
            <w:tcBorders>
              <w:top w:val="nil"/>
              <w:left w:val="nil"/>
              <w:bottom w:val="nil"/>
              <w:right w:val="nil"/>
            </w:tcBorders>
          </w:tcPr>
          <w:p w14:paraId="5A84816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-0.129*</w:t>
            </w:r>
          </w:p>
        </w:tc>
        <w:tc>
          <w:tcPr>
            <w:tcW w:w="0" w:type="auto"/>
            <w:tcBorders>
              <w:top w:val="nil"/>
              <w:left w:val="nil"/>
              <w:bottom w:val="nil"/>
              <w:right w:val="nil"/>
            </w:tcBorders>
          </w:tcPr>
          <w:p w14:paraId="286663C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-0.152**</w:t>
            </w:r>
          </w:p>
        </w:tc>
        <w:tc>
          <w:tcPr>
            <w:tcW w:w="0" w:type="auto"/>
            <w:tcBorders>
              <w:top w:val="nil"/>
              <w:left w:val="nil"/>
              <w:bottom w:val="nil"/>
              <w:right w:val="nil"/>
            </w:tcBorders>
          </w:tcPr>
          <w:p w14:paraId="7B0F9F9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-0.176***</w:t>
            </w:r>
          </w:p>
        </w:tc>
      </w:tr>
      <w:tr w:rsidR="001148DB" w:rsidRPr="007048BA" w14:paraId="31DEFF9E" w14:textId="77777777" w:rsidTr="000242D3">
        <w:trPr>
          <w:jc w:val="center"/>
        </w:trPr>
        <w:tc>
          <w:tcPr>
            <w:tcW w:w="0" w:type="auto"/>
            <w:tcBorders>
              <w:top w:val="nil"/>
              <w:left w:val="nil"/>
              <w:bottom w:val="nil"/>
              <w:right w:val="nil"/>
            </w:tcBorders>
          </w:tcPr>
          <w:p w14:paraId="5FC84649"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213D564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(0.004)</w:t>
            </w:r>
          </w:p>
        </w:tc>
        <w:tc>
          <w:tcPr>
            <w:tcW w:w="0" w:type="auto"/>
            <w:tcBorders>
              <w:top w:val="nil"/>
              <w:left w:val="nil"/>
              <w:bottom w:val="nil"/>
              <w:right w:val="nil"/>
            </w:tcBorders>
          </w:tcPr>
          <w:p w14:paraId="4922DF7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(0.003)</w:t>
            </w:r>
          </w:p>
        </w:tc>
        <w:tc>
          <w:tcPr>
            <w:tcW w:w="0" w:type="auto"/>
            <w:tcBorders>
              <w:top w:val="nil"/>
              <w:left w:val="nil"/>
              <w:bottom w:val="nil"/>
              <w:right w:val="nil"/>
            </w:tcBorders>
          </w:tcPr>
          <w:p w14:paraId="59E4C37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(0.004)</w:t>
            </w:r>
          </w:p>
        </w:tc>
        <w:tc>
          <w:tcPr>
            <w:tcW w:w="0" w:type="auto"/>
            <w:tcBorders>
              <w:top w:val="nil"/>
              <w:left w:val="nil"/>
              <w:bottom w:val="nil"/>
              <w:right w:val="nil"/>
            </w:tcBorders>
          </w:tcPr>
          <w:p w14:paraId="382C364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(0.004)</w:t>
            </w:r>
          </w:p>
        </w:tc>
        <w:tc>
          <w:tcPr>
            <w:tcW w:w="0" w:type="auto"/>
            <w:tcBorders>
              <w:top w:val="nil"/>
              <w:left w:val="nil"/>
              <w:bottom w:val="nil"/>
              <w:right w:val="nil"/>
            </w:tcBorders>
          </w:tcPr>
          <w:p w14:paraId="132C020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(0.004)</w:t>
            </w:r>
          </w:p>
        </w:tc>
        <w:tc>
          <w:tcPr>
            <w:tcW w:w="0" w:type="auto"/>
            <w:tcBorders>
              <w:top w:val="nil"/>
              <w:left w:val="nil"/>
              <w:bottom w:val="nil"/>
              <w:right w:val="nil"/>
            </w:tcBorders>
          </w:tcPr>
          <w:p w14:paraId="1A56F9D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(0.051)</w:t>
            </w:r>
          </w:p>
        </w:tc>
        <w:tc>
          <w:tcPr>
            <w:tcW w:w="0" w:type="auto"/>
            <w:tcBorders>
              <w:top w:val="nil"/>
              <w:left w:val="nil"/>
              <w:bottom w:val="nil"/>
              <w:right w:val="nil"/>
            </w:tcBorders>
          </w:tcPr>
          <w:p w14:paraId="15BBC6D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(0.017)</w:t>
            </w:r>
          </w:p>
        </w:tc>
        <w:tc>
          <w:tcPr>
            <w:tcW w:w="0" w:type="auto"/>
            <w:tcBorders>
              <w:top w:val="nil"/>
              <w:left w:val="nil"/>
              <w:bottom w:val="nil"/>
              <w:right w:val="nil"/>
            </w:tcBorders>
          </w:tcPr>
          <w:p w14:paraId="5FC8B54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(0.005)</w:t>
            </w:r>
          </w:p>
        </w:tc>
      </w:tr>
      <w:tr w:rsidR="001148DB" w:rsidRPr="007048BA" w14:paraId="6B3D1B45" w14:textId="77777777" w:rsidTr="000242D3">
        <w:trPr>
          <w:jc w:val="center"/>
        </w:trPr>
        <w:tc>
          <w:tcPr>
            <w:tcW w:w="0" w:type="auto"/>
            <w:tcBorders>
              <w:top w:val="nil"/>
              <w:left w:val="nil"/>
              <w:bottom w:val="nil"/>
              <w:right w:val="nil"/>
            </w:tcBorders>
          </w:tcPr>
          <w:p w14:paraId="53012B49"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FCF</w:t>
            </w:r>
          </w:p>
        </w:tc>
        <w:tc>
          <w:tcPr>
            <w:tcW w:w="0" w:type="auto"/>
            <w:tcBorders>
              <w:top w:val="nil"/>
              <w:left w:val="nil"/>
              <w:bottom w:val="nil"/>
              <w:right w:val="nil"/>
            </w:tcBorders>
          </w:tcPr>
          <w:p w14:paraId="6EE6760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-0.272</w:t>
            </w:r>
          </w:p>
        </w:tc>
        <w:tc>
          <w:tcPr>
            <w:tcW w:w="0" w:type="auto"/>
            <w:tcBorders>
              <w:top w:val="nil"/>
              <w:left w:val="nil"/>
              <w:bottom w:val="nil"/>
              <w:right w:val="nil"/>
            </w:tcBorders>
          </w:tcPr>
          <w:p w14:paraId="1A4A8A3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-0.139</w:t>
            </w:r>
          </w:p>
        </w:tc>
        <w:tc>
          <w:tcPr>
            <w:tcW w:w="0" w:type="auto"/>
            <w:tcBorders>
              <w:top w:val="nil"/>
              <w:left w:val="nil"/>
              <w:bottom w:val="nil"/>
              <w:right w:val="nil"/>
            </w:tcBorders>
          </w:tcPr>
          <w:p w14:paraId="38A619B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-0.214</w:t>
            </w:r>
          </w:p>
        </w:tc>
        <w:tc>
          <w:tcPr>
            <w:tcW w:w="0" w:type="auto"/>
            <w:tcBorders>
              <w:top w:val="nil"/>
              <w:left w:val="nil"/>
              <w:bottom w:val="nil"/>
              <w:right w:val="nil"/>
            </w:tcBorders>
          </w:tcPr>
          <w:p w14:paraId="5734FC8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-0.227</w:t>
            </w:r>
          </w:p>
        </w:tc>
        <w:tc>
          <w:tcPr>
            <w:tcW w:w="0" w:type="auto"/>
            <w:tcBorders>
              <w:top w:val="nil"/>
              <w:left w:val="nil"/>
              <w:bottom w:val="nil"/>
              <w:right w:val="nil"/>
            </w:tcBorders>
          </w:tcPr>
          <w:p w14:paraId="26C8EE0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-0.057</w:t>
            </w:r>
          </w:p>
        </w:tc>
        <w:tc>
          <w:tcPr>
            <w:tcW w:w="0" w:type="auto"/>
            <w:tcBorders>
              <w:top w:val="nil"/>
              <w:left w:val="nil"/>
              <w:bottom w:val="nil"/>
              <w:right w:val="nil"/>
            </w:tcBorders>
          </w:tcPr>
          <w:p w14:paraId="05618A9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-0.011</w:t>
            </w:r>
          </w:p>
        </w:tc>
        <w:tc>
          <w:tcPr>
            <w:tcW w:w="0" w:type="auto"/>
            <w:tcBorders>
              <w:top w:val="nil"/>
              <w:left w:val="nil"/>
              <w:bottom w:val="nil"/>
              <w:right w:val="nil"/>
            </w:tcBorders>
          </w:tcPr>
          <w:p w14:paraId="0A0DC3B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-0.163</w:t>
            </w:r>
          </w:p>
        </w:tc>
        <w:tc>
          <w:tcPr>
            <w:tcW w:w="0" w:type="auto"/>
            <w:tcBorders>
              <w:top w:val="nil"/>
              <w:left w:val="nil"/>
              <w:bottom w:val="nil"/>
              <w:right w:val="nil"/>
            </w:tcBorders>
          </w:tcPr>
          <w:p w14:paraId="4D19A0D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-0.142</w:t>
            </w:r>
          </w:p>
        </w:tc>
      </w:tr>
      <w:tr w:rsidR="001148DB" w:rsidRPr="007048BA" w14:paraId="7B776901" w14:textId="77777777" w:rsidTr="000242D3">
        <w:trPr>
          <w:jc w:val="center"/>
        </w:trPr>
        <w:tc>
          <w:tcPr>
            <w:tcW w:w="0" w:type="auto"/>
            <w:tcBorders>
              <w:top w:val="nil"/>
              <w:left w:val="nil"/>
              <w:bottom w:val="nil"/>
              <w:right w:val="nil"/>
            </w:tcBorders>
          </w:tcPr>
          <w:p w14:paraId="224C0FDE"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5B097D6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(0.158)</w:t>
            </w:r>
          </w:p>
        </w:tc>
        <w:tc>
          <w:tcPr>
            <w:tcW w:w="0" w:type="auto"/>
            <w:tcBorders>
              <w:top w:val="nil"/>
              <w:left w:val="nil"/>
              <w:bottom w:val="nil"/>
              <w:right w:val="nil"/>
            </w:tcBorders>
          </w:tcPr>
          <w:p w14:paraId="161CDCB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(0.468)</w:t>
            </w:r>
          </w:p>
        </w:tc>
        <w:tc>
          <w:tcPr>
            <w:tcW w:w="0" w:type="auto"/>
            <w:tcBorders>
              <w:top w:val="nil"/>
              <w:left w:val="nil"/>
              <w:bottom w:val="nil"/>
              <w:right w:val="nil"/>
            </w:tcBorders>
          </w:tcPr>
          <w:p w14:paraId="6C4D365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(0.259)</w:t>
            </w:r>
          </w:p>
        </w:tc>
        <w:tc>
          <w:tcPr>
            <w:tcW w:w="0" w:type="auto"/>
            <w:tcBorders>
              <w:top w:val="nil"/>
              <w:left w:val="nil"/>
              <w:bottom w:val="nil"/>
              <w:right w:val="nil"/>
            </w:tcBorders>
          </w:tcPr>
          <w:p w14:paraId="6929C4B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(0.232)</w:t>
            </w:r>
          </w:p>
        </w:tc>
        <w:tc>
          <w:tcPr>
            <w:tcW w:w="0" w:type="auto"/>
            <w:tcBorders>
              <w:top w:val="nil"/>
              <w:left w:val="nil"/>
              <w:bottom w:val="nil"/>
              <w:right w:val="nil"/>
            </w:tcBorders>
          </w:tcPr>
          <w:p w14:paraId="026BE9D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(0.768)</w:t>
            </w:r>
          </w:p>
        </w:tc>
        <w:tc>
          <w:tcPr>
            <w:tcW w:w="0" w:type="auto"/>
            <w:tcBorders>
              <w:top w:val="nil"/>
              <w:left w:val="nil"/>
              <w:bottom w:val="nil"/>
              <w:right w:val="nil"/>
            </w:tcBorders>
          </w:tcPr>
          <w:p w14:paraId="00F766C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(0.960)</w:t>
            </w:r>
          </w:p>
        </w:tc>
        <w:tc>
          <w:tcPr>
            <w:tcW w:w="0" w:type="auto"/>
            <w:tcBorders>
              <w:top w:val="nil"/>
              <w:left w:val="nil"/>
              <w:bottom w:val="nil"/>
              <w:right w:val="nil"/>
            </w:tcBorders>
          </w:tcPr>
          <w:p w14:paraId="2E2FA41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(0.387)</w:t>
            </w:r>
          </w:p>
        </w:tc>
        <w:tc>
          <w:tcPr>
            <w:tcW w:w="0" w:type="auto"/>
            <w:tcBorders>
              <w:top w:val="nil"/>
              <w:left w:val="nil"/>
              <w:bottom w:val="nil"/>
              <w:right w:val="nil"/>
            </w:tcBorders>
          </w:tcPr>
          <w:p w14:paraId="74B5BF4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(0.468)</w:t>
            </w:r>
          </w:p>
        </w:tc>
      </w:tr>
      <w:tr w:rsidR="001148DB" w:rsidRPr="007048BA" w14:paraId="580C7C65" w14:textId="77777777" w:rsidTr="000242D3">
        <w:trPr>
          <w:jc w:val="center"/>
        </w:trPr>
        <w:tc>
          <w:tcPr>
            <w:tcW w:w="0" w:type="auto"/>
            <w:tcBorders>
              <w:top w:val="nil"/>
              <w:left w:val="nil"/>
              <w:bottom w:val="nil"/>
              <w:right w:val="nil"/>
            </w:tcBorders>
          </w:tcPr>
          <w:p w14:paraId="2F04571B"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TANG</w:t>
            </w:r>
          </w:p>
        </w:tc>
        <w:tc>
          <w:tcPr>
            <w:tcW w:w="0" w:type="auto"/>
            <w:tcBorders>
              <w:top w:val="nil"/>
              <w:left w:val="nil"/>
              <w:bottom w:val="nil"/>
              <w:right w:val="nil"/>
            </w:tcBorders>
          </w:tcPr>
          <w:p w14:paraId="548E778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0.264</w:t>
            </w:r>
          </w:p>
        </w:tc>
        <w:tc>
          <w:tcPr>
            <w:tcW w:w="0" w:type="auto"/>
            <w:tcBorders>
              <w:top w:val="nil"/>
              <w:left w:val="nil"/>
              <w:bottom w:val="nil"/>
              <w:right w:val="nil"/>
            </w:tcBorders>
          </w:tcPr>
          <w:p w14:paraId="788B81C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0.245</w:t>
            </w:r>
          </w:p>
        </w:tc>
        <w:tc>
          <w:tcPr>
            <w:tcW w:w="0" w:type="auto"/>
            <w:tcBorders>
              <w:top w:val="nil"/>
              <w:left w:val="nil"/>
              <w:bottom w:val="nil"/>
              <w:right w:val="nil"/>
            </w:tcBorders>
          </w:tcPr>
          <w:p w14:paraId="1AFDA68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0.235</w:t>
            </w:r>
          </w:p>
        </w:tc>
        <w:tc>
          <w:tcPr>
            <w:tcW w:w="0" w:type="auto"/>
            <w:tcBorders>
              <w:top w:val="nil"/>
              <w:left w:val="nil"/>
              <w:bottom w:val="nil"/>
              <w:right w:val="nil"/>
            </w:tcBorders>
          </w:tcPr>
          <w:p w14:paraId="0FEB362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0.242</w:t>
            </w:r>
          </w:p>
        </w:tc>
        <w:tc>
          <w:tcPr>
            <w:tcW w:w="0" w:type="auto"/>
            <w:tcBorders>
              <w:top w:val="nil"/>
              <w:left w:val="nil"/>
              <w:bottom w:val="nil"/>
              <w:right w:val="nil"/>
            </w:tcBorders>
          </w:tcPr>
          <w:p w14:paraId="4D8A5D1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0.248</w:t>
            </w:r>
          </w:p>
        </w:tc>
        <w:tc>
          <w:tcPr>
            <w:tcW w:w="0" w:type="auto"/>
            <w:tcBorders>
              <w:top w:val="nil"/>
              <w:left w:val="nil"/>
              <w:bottom w:val="nil"/>
              <w:right w:val="nil"/>
            </w:tcBorders>
          </w:tcPr>
          <w:p w14:paraId="50217DF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0.495</w:t>
            </w:r>
          </w:p>
        </w:tc>
        <w:tc>
          <w:tcPr>
            <w:tcW w:w="0" w:type="auto"/>
            <w:tcBorders>
              <w:top w:val="nil"/>
              <w:left w:val="nil"/>
              <w:bottom w:val="nil"/>
              <w:right w:val="nil"/>
            </w:tcBorders>
          </w:tcPr>
          <w:p w14:paraId="2FEB35D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0.328</w:t>
            </w:r>
          </w:p>
        </w:tc>
        <w:tc>
          <w:tcPr>
            <w:tcW w:w="0" w:type="auto"/>
            <w:tcBorders>
              <w:top w:val="nil"/>
              <w:left w:val="nil"/>
              <w:bottom w:val="nil"/>
              <w:right w:val="nil"/>
            </w:tcBorders>
          </w:tcPr>
          <w:p w14:paraId="6D7C63C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0.253</w:t>
            </w:r>
          </w:p>
        </w:tc>
      </w:tr>
      <w:tr w:rsidR="001148DB" w:rsidRPr="007048BA" w14:paraId="51174C6E" w14:textId="77777777" w:rsidTr="000242D3">
        <w:trPr>
          <w:jc w:val="center"/>
        </w:trPr>
        <w:tc>
          <w:tcPr>
            <w:tcW w:w="0" w:type="auto"/>
            <w:tcBorders>
              <w:top w:val="nil"/>
              <w:left w:val="nil"/>
              <w:bottom w:val="nil"/>
              <w:right w:val="nil"/>
            </w:tcBorders>
          </w:tcPr>
          <w:p w14:paraId="720D0408"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7860A2D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(0.408)</w:t>
            </w:r>
          </w:p>
        </w:tc>
        <w:tc>
          <w:tcPr>
            <w:tcW w:w="0" w:type="auto"/>
            <w:tcBorders>
              <w:top w:val="nil"/>
              <w:left w:val="nil"/>
              <w:bottom w:val="nil"/>
              <w:right w:val="nil"/>
            </w:tcBorders>
          </w:tcPr>
          <w:p w14:paraId="2E53D65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(0.442)</w:t>
            </w:r>
          </w:p>
        </w:tc>
        <w:tc>
          <w:tcPr>
            <w:tcW w:w="0" w:type="auto"/>
            <w:tcBorders>
              <w:top w:val="nil"/>
              <w:left w:val="nil"/>
              <w:bottom w:val="nil"/>
              <w:right w:val="nil"/>
            </w:tcBorders>
          </w:tcPr>
          <w:p w14:paraId="615399E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(0.462)</w:t>
            </w:r>
          </w:p>
        </w:tc>
        <w:tc>
          <w:tcPr>
            <w:tcW w:w="0" w:type="auto"/>
            <w:tcBorders>
              <w:top w:val="nil"/>
              <w:left w:val="nil"/>
              <w:bottom w:val="nil"/>
              <w:right w:val="nil"/>
            </w:tcBorders>
          </w:tcPr>
          <w:p w14:paraId="5F44373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(0.448)</w:t>
            </w:r>
          </w:p>
        </w:tc>
        <w:tc>
          <w:tcPr>
            <w:tcW w:w="0" w:type="auto"/>
            <w:tcBorders>
              <w:top w:val="nil"/>
              <w:left w:val="nil"/>
              <w:bottom w:val="nil"/>
              <w:right w:val="nil"/>
            </w:tcBorders>
          </w:tcPr>
          <w:p w14:paraId="570816D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(0.437)</w:t>
            </w:r>
          </w:p>
        </w:tc>
        <w:tc>
          <w:tcPr>
            <w:tcW w:w="0" w:type="auto"/>
            <w:tcBorders>
              <w:top w:val="nil"/>
              <w:left w:val="nil"/>
              <w:bottom w:val="nil"/>
              <w:right w:val="nil"/>
            </w:tcBorders>
          </w:tcPr>
          <w:p w14:paraId="6C60533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(0.164)</w:t>
            </w:r>
          </w:p>
        </w:tc>
        <w:tc>
          <w:tcPr>
            <w:tcW w:w="0" w:type="auto"/>
            <w:tcBorders>
              <w:top w:val="nil"/>
              <w:left w:val="nil"/>
              <w:bottom w:val="nil"/>
              <w:right w:val="nil"/>
            </w:tcBorders>
          </w:tcPr>
          <w:p w14:paraId="4664AE5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(0.319)</w:t>
            </w:r>
          </w:p>
        </w:tc>
        <w:tc>
          <w:tcPr>
            <w:tcW w:w="0" w:type="auto"/>
            <w:tcBorders>
              <w:top w:val="nil"/>
              <w:left w:val="nil"/>
              <w:bottom w:val="nil"/>
              <w:right w:val="nil"/>
            </w:tcBorders>
          </w:tcPr>
          <w:p w14:paraId="1F81C96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(0.427)</w:t>
            </w:r>
          </w:p>
        </w:tc>
      </w:tr>
      <w:tr w:rsidR="001148DB" w:rsidRPr="007048BA" w14:paraId="6DE4ABC5" w14:textId="77777777" w:rsidTr="000242D3">
        <w:trPr>
          <w:jc w:val="center"/>
        </w:trPr>
        <w:tc>
          <w:tcPr>
            <w:tcW w:w="0" w:type="auto"/>
            <w:tcBorders>
              <w:top w:val="nil"/>
              <w:left w:val="nil"/>
              <w:bottom w:val="nil"/>
              <w:right w:val="nil"/>
            </w:tcBorders>
          </w:tcPr>
          <w:p w14:paraId="05DBE8AA"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SIZE</w:t>
            </w:r>
          </w:p>
        </w:tc>
        <w:tc>
          <w:tcPr>
            <w:tcW w:w="0" w:type="auto"/>
            <w:tcBorders>
              <w:top w:val="nil"/>
              <w:left w:val="nil"/>
              <w:bottom w:val="nil"/>
              <w:right w:val="nil"/>
            </w:tcBorders>
          </w:tcPr>
          <w:p w14:paraId="607966E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0.420***</w:t>
            </w:r>
          </w:p>
        </w:tc>
        <w:tc>
          <w:tcPr>
            <w:tcW w:w="0" w:type="auto"/>
            <w:tcBorders>
              <w:top w:val="nil"/>
              <w:left w:val="nil"/>
              <w:bottom w:val="nil"/>
              <w:right w:val="nil"/>
            </w:tcBorders>
          </w:tcPr>
          <w:p w14:paraId="2C6E492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0.437***</w:t>
            </w:r>
          </w:p>
        </w:tc>
        <w:tc>
          <w:tcPr>
            <w:tcW w:w="0" w:type="auto"/>
            <w:tcBorders>
              <w:top w:val="nil"/>
              <w:left w:val="nil"/>
              <w:bottom w:val="nil"/>
              <w:right w:val="nil"/>
            </w:tcBorders>
          </w:tcPr>
          <w:p w14:paraId="1DF9E3D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0.390***</w:t>
            </w:r>
          </w:p>
        </w:tc>
        <w:tc>
          <w:tcPr>
            <w:tcW w:w="0" w:type="auto"/>
            <w:tcBorders>
              <w:top w:val="nil"/>
              <w:left w:val="nil"/>
              <w:bottom w:val="nil"/>
              <w:right w:val="nil"/>
            </w:tcBorders>
          </w:tcPr>
          <w:p w14:paraId="16A78F0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0.428***</w:t>
            </w:r>
          </w:p>
        </w:tc>
        <w:tc>
          <w:tcPr>
            <w:tcW w:w="0" w:type="auto"/>
            <w:tcBorders>
              <w:top w:val="nil"/>
              <w:left w:val="nil"/>
              <w:bottom w:val="nil"/>
              <w:right w:val="nil"/>
            </w:tcBorders>
          </w:tcPr>
          <w:p w14:paraId="3527793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0.405***</w:t>
            </w:r>
          </w:p>
        </w:tc>
        <w:tc>
          <w:tcPr>
            <w:tcW w:w="0" w:type="auto"/>
            <w:tcBorders>
              <w:top w:val="nil"/>
              <w:left w:val="nil"/>
              <w:bottom w:val="nil"/>
              <w:right w:val="nil"/>
            </w:tcBorders>
          </w:tcPr>
          <w:p w14:paraId="4661A26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0.388***</w:t>
            </w:r>
          </w:p>
        </w:tc>
        <w:tc>
          <w:tcPr>
            <w:tcW w:w="0" w:type="auto"/>
            <w:tcBorders>
              <w:top w:val="nil"/>
              <w:left w:val="nil"/>
              <w:bottom w:val="nil"/>
              <w:right w:val="nil"/>
            </w:tcBorders>
          </w:tcPr>
          <w:p w14:paraId="2AA0DD9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0.452***</w:t>
            </w:r>
          </w:p>
        </w:tc>
        <w:tc>
          <w:tcPr>
            <w:tcW w:w="0" w:type="auto"/>
            <w:tcBorders>
              <w:top w:val="nil"/>
              <w:left w:val="nil"/>
              <w:bottom w:val="nil"/>
              <w:right w:val="nil"/>
            </w:tcBorders>
          </w:tcPr>
          <w:p w14:paraId="78624B0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0.380***</w:t>
            </w:r>
          </w:p>
        </w:tc>
      </w:tr>
      <w:tr w:rsidR="001148DB" w:rsidRPr="007048BA" w14:paraId="4BE619C7" w14:textId="77777777" w:rsidTr="000242D3">
        <w:trPr>
          <w:jc w:val="center"/>
        </w:trPr>
        <w:tc>
          <w:tcPr>
            <w:tcW w:w="0" w:type="auto"/>
            <w:tcBorders>
              <w:top w:val="nil"/>
              <w:left w:val="nil"/>
              <w:bottom w:val="nil"/>
              <w:right w:val="nil"/>
            </w:tcBorders>
          </w:tcPr>
          <w:p w14:paraId="789EA42B"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790CEC5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7FD3ED5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004623A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1DD2F59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4125857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577E110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1A5F26F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4F67604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r>
      <w:tr w:rsidR="001148DB" w:rsidRPr="007048BA" w14:paraId="1ACE8F10" w14:textId="77777777" w:rsidTr="000242D3">
        <w:trPr>
          <w:jc w:val="center"/>
        </w:trPr>
        <w:tc>
          <w:tcPr>
            <w:tcW w:w="0" w:type="auto"/>
            <w:tcBorders>
              <w:top w:val="nil"/>
              <w:left w:val="nil"/>
              <w:bottom w:val="nil"/>
              <w:right w:val="nil"/>
            </w:tcBorders>
          </w:tcPr>
          <w:p w14:paraId="5577BCC9"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AGE</w:t>
            </w:r>
          </w:p>
        </w:tc>
        <w:tc>
          <w:tcPr>
            <w:tcW w:w="0" w:type="auto"/>
            <w:tcBorders>
              <w:top w:val="nil"/>
              <w:left w:val="nil"/>
              <w:bottom w:val="nil"/>
              <w:right w:val="nil"/>
            </w:tcBorders>
          </w:tcPr>
          <w:p w14:paraId="6D924E8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0.392***</w:t>
            </w:r>
          </w:p>
        </w:tc>
        <w:tc>
          <w:tcPr>
            <w:tcW w:w="0" w:type="auto"/>
            <w:tcBorders>
              <w:top w:val="nil"/>
              <w:left w:val="nil"/>
              <w:bottom w:val="nil"/>
              <w:right w:val="nil"/>
            </w:tcBorders>
          </w:tcPr>
          <w:p w14:paraId="20DB4CE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0.385***</w:t>
            </w:r>
          </w:p>
        </w:tc>
        <w:tc>
          <w:tcPr>
            <w:tcW w:w="0" w:type="auto"/>
            <w:tcBorders>
              <w:top w:val="nil"/>
              <w:left w:val="nil"/>
              <w:bottom w:val="nil"/>
              <w:right w:val="nil"/>
            </w:tcBorders>
          </w:tcPr>
          <w:p w14:paraId="1822659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0.403***</w:t>
            </w:r>
          </w:p>
        </w:tc>
        <w:tc>
          <w:tcPr>
            <w:tcW w:w="0" w:type="auto"/>
            <w:tcBorders>
              <w:top w:val="nil"/>
              <w:left w:val="nil"/>
              <w:bottom w:val="nil"/>
              <w:right w:val="nil"/>
            </w:tcBorders>
          </w:tcPr>
          <w:p w14:paraId="7A9FBDE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0.386***</w:t>
            </w:r>
          </w:p>
        </w:tc>
        <w:tc>
          <w:tcPr>
            <w:tcW w:w="0" w:type="auto"/>
            <w:tcBorders>
              <w:top w:val="nil"/>
              <w:left w:val="nil"/>
              <w:bottom w:val="nil"/>
              <w:right w:val="nil"/>
            </w:tcBorders>
          </w:tcPr>
          <w:p w14:paraId="5D45FAC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0.402***</w:t>
            </w:r>
          </w:p>
        </w:tc>
        <w:tc>
          <w:tcPr>
            <w:tcW w:w="0" w:type="auto"/>
            <w:tcBorders>
              <w:top w:val="nil"/>
              <w:left w:val="nil"/>
              <w:bottom w:val="nil"/>
              <w:right w:val="nil"/>
            </w:tcBorders>
          </w:tcPr>
          <w:p w14:paraId="60B34BE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0.497***</w:t>
            </w:r>
          </w:p>
        </w:tc>
        <w:tc>
          <w:tcPr>
            <w:tcW w:w="0" w:type="auto"/>
            <w:tcBorders>
              <w:top w:val="nil"/>
              <w:left w:val="nil"/>
              <w:bottom w:val="nil"/>
              <w:right w:val="nil"/>
            </w:tcBorders>
          </w:tcPr>
          <w:p w14:paraId="59730CE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0.399***</w:t>
            </w:r>
          </w:p>
        </w:tc>
        <w:tc>
          <w:tcPr>
            <w:tcW w:w="0" w:type="auto"/>
            <w:tcBorders>
              <w:top w:val="nil"/>
              <w:left w:val="nil"/>
              <w:bottom w:val="nil"/>
              <w:right w:val="nil"/>
            </w:tcBorders>
          </w:tcPr>
          <w:p w14:paraId="2DC2875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0.409***</w:t>
            </w:r>
          </w:p>
        </w:tc>
      </w:tr>
      <w:tr w:rsidR="001148DB" w:rsidRPr="007048BA" w14:paraId="392A4FB3" w14:textId="77777777" w:rsidTr="000242D3">
        <w:trPr>
          <w:jc w:val="center"/>
        </w:trPr>
        <w:tc>
          <w:tcPr>
            <w:tcW w:w="0" w:type="auto"/>
            <w:tcBorders>
              <w:top w:val="nil"/>
              <w:left w:val="nil"/>
              <w:bottom w:val="nil"/>
              <w:right w:val="nil"/>
            </w:tcBorders>
          </w:tcPr>
          <w:p w14:paraId="015321B9"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6D415F9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7FFC21B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06A5EEA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26C144A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5F7469A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100700F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77BCEBE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25B2030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r>
      <w:tr w:rsidR="001148DB" w:rsidRPr="007048BA" w14:paraId="07962595" w14:textId="77777777" w:rsidTr="000242D3">
        <w:trPr>
          <w:jc w:val="center"/>
        </w:trPr>
        <w:tc>
          <w:tcPr>
            <w:tcW w:w="0" w:type="auto"/>
            <w:tcBorders>
              <w:top w:val="nil"/>
              <w:left w:val="nil"/>
              <w:bottom w:val="nil"/>
              <w:right w:val="nil"/>
            </w:tcBorders>
          </w:tcPr>
          <w:p w14:paraId="2740560D"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lastRenderedPageBreak/>
              <w:t>HHI</w:t>
            </w:r>
          </w:p>
        </w:tc>
        <w:tc>
          <w:tcPr>
            <w:tcW w:w="0" w:type="auto"/>
            <w:tcBorders>
              <w:top w:val="nil"/>
              <w:left w:val="nil"/>
              <w:bottom w:val="nil"/>
              <w:right w:val="nil"/>
            </w:tcBorders>
          </w:tcPr>
          <w:p w14:paraId="6A320A4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-1.518***</w:t>
            </w:r>
          </w:p>
        </w:tc>
        <w:tc>
          <w:tcPr>
            <w:tcW w:w="0" w:type="auto"/>
            <w:tcBorders>
              <w:top w:val="nil"/>
              <w:left w:val="nil"/>
              <w:bottom w:val="nil"/>
              <w:right w:val="nil"/>
            </w:tcBorders>
          </w:tcPr>
          <w:p w14:paraId="1CC0888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-1.560***</w:t>
            </w:r>
          </w:p>
        </w:tc>
        <w:tc>
          <w:tcPr>
            <w:tcW w:w="0" w:type="auto"/>
            <w:tcBorders>
              <w:top w:val="nil"/>
              <w:left w:val="nil"/>
              <w:bottom w:val="nil"/>
              <w:right w:val="nil"/>
            </w:tcBorders>
          </w:tcPr>
          <w:p w14:paraId="2141806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-1.473***</w:t>
            </w:r>
          </w:p>
        </w:tc>
        <w:tc>
          <w:tcPr>
            <w:tcW w:w="0" w:type="auto"/>
            <w:tcBorders>
              <w:top w:val="nil"/>
              <w:left w:val="nil"/>
              <w:bottom w:val="nil"/>
              <w:right w:val="nil"/>
            </w:tcBorders>
          </w:tcPr>
          <w:p w14:paraId="68E6AF9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-1.485***</w:t>
            </w:r>
          </w:p>
        </w:tc>
        <w:tc>
          <w:tcPr>
            <w:tcW w:w="0" w:type="auto"/>
            <w:tcBorders>
              <w:top w:val="nil"/>
              <w:left w:val="nil"/>
              <w:bottom w:val="nil"/>
              <w:right w:val="nil"/>
            </w:tcBorders>
          </w:tcPr>
          <w:p w14:paraId="74EB80C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-1.604***</w:t>
            </w:r>
          </w:p>
        </w:tc>
        <w:tc>
          <w:tcPr>
            <w:tcW w:w="0" w:type="auto"/>
            <w:tcBorders>
              <w:top w:val="nil"/>
              <w:left w:val="nil"/>
              <w:bottom w:val="nil"/>
              <w:right w:val="nil"/>
            </w:tcBorders>
          </w:tcPr>
          <w:p w14:paraId="09B870B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-1.361***</w:t>
            </w:r>
          </w:p>
        </w:tc>
        <w:tc>
          <w:tcPr>
            <w:tcW w:w="0" w:type="auto"/>
            <w:tcBorders>
              <w:top w:val="nil"/>
              <w:left w:val="nil"/>
              <w:bottom w:val="nil"/>
              <w:right w:val="nil"/>
            </w:tcBorders>
          </w:tcPr>
          <w:p w14:paraId="03C80FD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-1.407***</w:t>
            </w:r>
          </w:p>
        </w:tc>
        <w:tc>
          <w:tcPr>
            <w:tcW w:w="0" w:type="auto"/>
            <w:tcBorders>
              <w:top w:val="nil"/>
              <w:left w:val="nil"/>
              <w:bottom w:val="nil"/>
              <w:right w:val="nil"/>
            </w:tcBorders>
          </w:tcPr>
          <w:p w14:paraId="2D14874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-1.515***</w:t>
            </w:r>
          </w:p>
        </w:tc>
      </w:tr>
      <w:tr w:rsidR="001148DB" w:rsidRPr="007048BA" w14:paraId="5C197929" w14:textId="77777777" w:rsidTr="000242D3">
        <w:trPr>
          <w:jc w:val="center"/>
        </w:trPr>
        <w:tc>
          <w:tcPr>
            <w:tcW w:w="0" w:type="auto"/>
            <w:tcBorders>
              <w:top w:val="nil"/>
              <w:left w:val="nil"/>
              <w:bottom w:val="nil"/>
              <w:right w:val="nil"/>
            </w:tcBorders>
          </w:tcPr>
          <w:p w14:paraId="262C6B7E"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11249A9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444C4AB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3DDADB2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1015E8A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338BB3E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1180645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(0.002)</w:t>
            </w:r>
          </w:p>
        </w:tc>
        <w:tc>
          <w:tcPr>
            <w:tcW w:w="0" w:type="auto"/>
            <w:tcBorders>
              <w:top w:val="nil"/>
              <w:left w:val="nil"/>
              <w:bottom w:val="nil"/>
              <w:right w:val="nil"/>
            </w:tcBorders>
          </w:tcPr>
          <w:p w14:paraId="0596B19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(0.001)</w:t>
            </w:r>
          </w:p>
        </w:tc>
        <w:tc>
          <w:tcPr>
            <w:tcW w:w="0" w:type="auto"/>
            <w:tcBorders>
              <w:top w:val="nil"/>
              <w:left w:val="nil"/>
              <w:bottom w:val="nil"/>
              <w:right w:val="nil"/>
            </w:tcBorders>
          </w:tcPr>
          <w:p w14:paraId="01274F4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r>
      <w:tr w:rsidR="001148DB" w:rsidRPr="007048BA" w14:paraId="7565345D" w14:textId="77777777" w:rsidTr="000242D3">
        <w:trPr>
          <w:jc w:val="center"/>
        </w:trPr>
        <w:tc>
          <w:tcPr>
            <w:tcW w:w="0" w:type="auto"/>
            <w:tcBorders>
              <w:top w:val="nil"/>
              <w:left w:val="nil"/>
              <w:bottom w:val="nil"/>
              <w:right w:val="nil"/>
            </w:tcBorders>
          </w:tcPr>
          <w:p w14:paraId="584A0B56"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BLOC</w:t>
            </w:r>
          </w:p>
        </w:tc>
        <w:tc>
          <w:tcPr>
            <w:tcW w:w="0" w:type="auto"/>
            <w:tcBorders>
              <w:top w:val="nil"/>
              <w:left w:val="nil"/>
              <w:bottom w:val="nil"/>
              <w:right w:val="nil"/>
            </w:tcBorders>
          </w:tcPr>
          <w:p w14:paraId="2BA1C7B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0.754***</w:t>
            </w:r>
          </w:p>
        </w:tc>
        <w:tc>
          <w:tcPr>
            <w:tcW w:w="0" w:type="auto"/>
            <w:tcBorders>
              <w:top w:val="nil"/>
              <w:left w:val="nil"/>
              <w:bottom w:val="nil"/>
              <w:right w:val="nil"/>
            </w:tcBorders>
          </w:tcPr>
          <w:p w14:paraId="7876CF4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0.765***</w:t>
            </w:r>
          </w:p>
        </w:tc>
        <w:tc>
          <w:tcPr>
            <w:tcW w:w="0" w:type="auto"/>
            <w:tcBorders>
              <w:top w:val="nil"/>
              <w:left w:val="nil"/>
              <w:bottom w:val="nil"/>
              <w:right w:val="nil"/>
            </w:tcBorders>
          </w:tcPr>
          <w:p w14:paraId="00F9D76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0.730***</w:t>
            </w:r>
          </w:p>
        </w:tc>
        <w:tc>
          <w:tcPr>
            <w:tcW w:w="0" w:type="auto"/>
            <w:tcBorders>
              <w:top w:val="nil"/>
              <w:left w:val="nil"/>
              <w:bottom w:val="nil"/>
              <w:right w:val="nil"/>
            </w:tcBorders>
          </w:tcPr>
          <w:p w14:paraId="0BC9DF7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0.735***</w:t>
            </w:r>
          </w:p>
        </w:tc>
        <w:tc>
          <w:tcPr>
            <w:tcW w:w="0" w:type="auto"/>
            <w:tcBorders>
              <w:top w:val="nil"/>
              <w:left w:val="nil"/>
              <w:bottom w:val="nil"/>
              <w:right w:val="nil"/>
            </w:tcBorders>
          </w:tcPr>
          <w:p w14:paraId="5A8DB50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0.782***</w:t>
            </w:r>
          </w:p>
        </w:tc>
        <w:tc>
          <w:tcPr>
            <w:tcW w:w="0" w:type="auto"/>
            <w:tcBorders>
              <w:top w:val="nil"/>
              <w:left w:val="nil"/>
              <w:bottom w:val="nil"/>
              <w:right w:val="nil"/>
            </w:tcBorders>
          </w:tcPr>
          <w:p w14:paraId="09670E7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0.652***</w:t>
            </w:r>
          </w:p>
        </w:tc>
        <w:tc>
          <w:tcPr>
            <w:tcW w:w="0" w:type="auto"/>
            <w:tcBorders>
              <w:top w:val="nil"/>
              <w:left w:val="nil"/>
              <w:bottom w:val="nil"/>
              <w:right w:val="nil"/>
            </w:tcBorders>
          </w:tcPr>
          <w:p w14:paraId="51A20A6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0.737***</w:t>
            </w:r>
          </w:p>
        </w:tc>
        <w:tc>
          <w:tcPr>
            <w:tcW w:w="0" w:type="auto"/>
            <w:tcBorders>
              <w:top w:val="nil"/>
              <w:left w:val="nil"/>
              <w:bottom w:val="nil"/>
              <w:right w:val="nil"/>
            </w:tcBorders>
          </w:tcPr>
          <w:p w14:paraId="5076B75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0.745***</w:t>
            </w:r>
          </w:p>
        </w:tc>
      </w:tr>
      <w:tr w:rsidR="001148DB" w:rsidRPr="007048BA" w14:paraId="13090A37" w14:textId="77777777" w:rsidTr="000242D3">
        <w:trPr>
          <w:jc w:val="center"/>
        </w:trPr>
        <w:tc>
          <w:tcPr>
            <w:tcW w:w="0" w:type="auto"/>
            <w:tcBorders>
              <w:top w:val="nil"/>
              <w:left w:val="nil"/>
              <w:bottom w:val="nil"/>
              <w:right w:val="nil"/>
            </w:tcBorders>
          </w:tcPr>
          <w:p w14:paraId="4696BBDC"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1FB1CC4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02F7769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6A8D902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53DF96A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43A2C8B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56FB556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0308DF8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06735ED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r>
      <w:tr w:rsidR="001148DB" w:rsidRPr="007048BA" w14:paraId="01F05CAB" w14:textId="77777777" w:rsidTr="000242D3">
        <w:trPr>
          <w:jc w:val="center"/>
        </w:trPr>
        <w:tc>
          <w:tcPr>
            <w:tcW w:w="0" w:type="auto"/>
            <w:tcBorders>
              <w:top w:val="nil"/>
              <w:left w:val="nil"/>
              <w:bottom w:val="nil"/>
              <w:right w:val="nil"/>
            </w:tcBorders>
          </w:tcPr>
          <w:p w14:paraId="5CD99060"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RUM</w:t>
            </w:r>
          </w:p>
        </w:tc>
        <w:tc>
          <w:tcPr>
            <w:tcW w:w="0" w:type="auto"/>
            <w:tcBorders>
              <w:top w:val="nil"/>
              <w:left w:val="nil"/>
              <w:bottom w:val="nil"/>
              <w:right w:val="nil"/>
            </w:tcBorders>
          </w:tcPr>
          <w:p w14:paraId="21848A8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-0.405**</w:t>
            </w:r>
          </w:p>
        </w:tc>
        <w:tc>
          <w:tcPr>
            <w:tcW w:w="0" w:type="auto"/>
            <w:tcBorders>
              <w:top w:val="nil"/>
              <w:left w:val="nil"/>
              <w:bottom w:val="nil"/>
              <w:right w:val="nil"/>
            </w:tcBorders>
          </w:tcPr>
          <w:p w14:paraId="74C24DE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-0.404**</w:t>
            </w:r>
          </w:p>
        </w:tc>
        <w:tc>
          <w:tcPr>
            <w:tcW w:w="0" w:type="auto"/>
            <w:tcBorders>
              <w:top w:val="nil"/>
              <w:left w:val="nil"/>
              <w:bottom w:val="nil"/>
              <w:right w:val="nil"/>
            </w:tcBorders>
          </w:tcPr>
          <w:p w14:paraId="5D347FD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-0.407**</w:t>
            </w:r>
          </w:p>
        </w:tc>
        <w:tc>
          <w:tcPr>
            <w:tcW w:w="0" w:type="auto"/>
            <w:tcBorders>
              <w:top w:val="nil"/>
              <w:left w:val="nil"/>
              <w:bottom w:val="nil"/>
              <w:right w:val="nil"/>
            </w:tcBorders>
          </w:tcPr>
          <w:p w14:paraId="4219805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-0.411**</w:t>
            </w:r>
          </w:p>
        </w:tc>
        <w:tc>
          <w:tcPr>
            <w:tcW w:w="0" w:type="auto"/>
            <w:tcBorders>
              <w:top w:val="nil"/>
              <w:left w:val="nil"/>
              <w:bottom w:val="nil"/>
              <w:right w:val="nil"/>
            </w:tcBorders>
          </w:tcPr>
          <w:p w14:paraId="675CB77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-0.392*</w:t>
            </w:r>
          </w:p>
        </w:tc>
        <w:tc>
          <w:tcPr>
            <w:tcW w:w="0" w:type="auto"/>
            <w:tcBorders>
              <w:top w:val="nil"/>
              <w:left w:val="nil"/>
              <w:bottom w:val="nil"/>
              <w:right w:val="nil"/>
            </w:tcBorders>
          </w:tcPr>
          <w:p w14:paraId="6AF7E6E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-0.383*</w:t>
            </w:r>
          </w:p>
        </w:tc>
        <w:tc>
          <w:tcPr>
            <w:tcW w:w="0" w:type="auto"/>
            <w:tcBorders>
              <w:top w:val="nil"/>
              <w:left w:val="nil"/>
              <w:bottom w:val="nil"/>
              <w:right w:val="nil"/>
            </w:tcBorders>
          </w:tcPr>
          <w:p w14:paraId="4361804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-0.381*</w:t>
            </w:r>
          </w:p>
        </w:tc>
        <w:tc>
          <w:tcPr>
            <w:tcW w:w="0" w:type="auto"/>
            <w:tcBorders>
              <w:top w:val="nil"/>
              <w:left w:val="nil"/>
              <w:bottom w:val="nil"/>
              <w:right w:val="nil"/>
            </w:tcBorders>
          </w:tcPr>
          <w:p w14:paraId="0E843BA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-0.395*</w:t>
            </w:r>
          </w:p>
        </w:tc>
      </w:tr>
      <w:tr w:rsidR="001148DB" w:rsidRPr="007048BA" w14:paraId="1E808101" w14:textId="77777777" w:rsidTr="000242D3">
        <w:trPr>
          <w:jc w:val="center"/>
        </w:trPr>
        <w:tc>
          <w:tcPr>
            <w:tcW w:w="0" w:type="auto"/>
            <w:tcBorders>
              <w:top w:val="nil"/>
              <w:left w:val="nil"/>
              <w:bottom w:val="nil"/>
              <w:right w:val="nil"/>
            </w:tcBorders>
          </w:tcPr>
          <w:p w14:paraId="7D1FC30A"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468A5C4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(0.046)</w:t>
            </w:r>
          </w:p>
        </w:tc>
        <w:tc>
          <w:tcPr>
            <w:tcW w:w="0" w:type="auto"/>
            <w:tcBorders>
              <w:top w:val="nil"/>
              <w:left w:val="nil"/>
              <w:bottom w:val="nil"/>
              <w:right w:val="nil"/>
            </w:tcBorders>
          </w:tcPr>
          <w:p w14:paraId="45040F0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(0.046)</w:t>
            </w:r>
          </w:p>
        </w:tc>
        <w:tc>
          <w:tcPr>
            <w:tcW w:w="0" w:type="auto"/>
            <w:tcBorders>
              <w:top w:val="nil"/>
              <w:left w:val="nil"/>
              <w:bottom w:val="nil"/>
              <w:right w:val="nil"/>
            </w:tcBorders>
          </w:tcPr>
          <w:p w14:paraId="47C2431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(0.046)</w:t>
            </w:r>
          </w:p>
        </w:tc>
        <w:tc>
          <w:tcPr>
            <w:tcW w:w="0" w:type="auto"/>
            <w:tcBorders>
              <w:top w:val="nil"/>
              <w:left w:val="nil"/>
              <w:bottom w:val="nil"/>
              <w:right w:val="nil"/>
            </w:tcBorders>
          </w:tcPr>
          <w:p w14:paraId="029462E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(0.043)</w:t>
            </w:r>
          </w:p>
        </w:tc>
        <w:tc>
          <w:tcPr>
            <w:tcW w:w="0" w:type="auto"/>
            <w:tcBorders>
              <w:top w:val="nil"/>
              <w:left w:val="nil"/>
              <w:bottom w:val="nil"/>
              <w:right w:val="nil"/>
            </w:tcBorders>
          </w:tcPr>
          <w:p w14:paraId="11A335C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(0.054)</w:t>
            </w:r>
          </w:p>
        </w:tc>
        <w:tc>
          <w:tcPr>
            <w:tcW w:w="0" w:type="auto"/>
            <w:tcBorders>
              <w:top w:val="nil"/>
              <w:left w:val="nil"/>
              <w:bottom w:val="nil"/>
              <w:right w:val="nil"/>
            </w:tcBorders>
          </w:tcPr>
          <w:p w14:paraId="3D53B2F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(0.063)</w:t>
            </w:r>
          </w:p>
        </w:tc>
        <w:tc>
          <w:tcPr>
            <w:tcW w:w="0" w:type="auto"/>
            <w:tcBorders>
              <w:top w:val="nil"/>
              <w:left w:val="nil"/>
              <w:bottom w:val="nil"/>
              <w:right w:val="nil"/>
            </w:tcBorders>
          </w:tcPr>
          <w:p w14:paraId="4F04C49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(0.061)</w:t>
            </w:r>
          </w:p>
        </w:tc>
        <w:tc>
          <w:tcPr>
            <w:tcW w:w="0" w:type="auto"/>
            <w:tcBorders>
              <w:top w:val="nil"/>
              <w:left w:val="nil"/>
              <w:bottom w:val="nil"/>
              <w:right w:val="nil"/>
            </w:tcBorders>
          </w:tcPr>
          <w:p w14:paraId="04F74E3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(0.053)</w:t>
            </w:r>
          </w:p>
        </w:tc>
      </w:tr>
      <w:tr w:rsidR="001148DB" w:rsidRPr="007048BA" w14:paraId="04445A58" w14:textId="77777777" w:rsidTr="000242D3">
        <w:trPr>
          <w:jc w:val="center"/>
        </w:trPr>
        <w:tc>
          <w:tcPr>
            <w:tcW w:w="0" w:type="auto"/>
            <w:tcBorders>
              <w:top w:val="nil"/>
              <w:left w:val="nil"/>
              <w:bottom w:val="nil"/>
              <w:right w:val="nil"/>
            </w:tcBorders>
          </w:tcPr>
          <w:p w14:paraId="42E1C1DB"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TVOL</w:t>
            </w:r>
          </w:p>
        </w:tc>
        <w:tc>
          <w:tcPr>
            <w:tcW w:w="0" w:type="auto"/>
            <w:tcBorders>
              <w:top w:val="nil"/>
              <w:left w:val="nil"/>
              <w:bottom w:val="nil"/>
              <w:right w:val="nil"/>
            </w:tcBorders>
          </w:tcPr>
          <w:p w14:paraId="69D6B4C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0.203**</w:t>
            </w:r>
          </w:p>
        </w:tc>
        <w:tc>
          <w:tcPr>
            <w:tcW w:w="0" w:type="auto"/>
            <w:tcBorders>
              <w:top w:val="nil"/>
              <w:left w:val="nil"/>
              <w:bottom w:val="nil"/>
              <w:right w:val="nil"/>
            </w:tcBorders>
          </w:tcPr>
          <w:p w14:paraId="6CE1A49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0.206**</w:t>
            </w:r>
          </w:p>
        </w:tc>
        <w:tc>
          <w:tcPr>
            <w:tcW w:w="0" w:type="auto"/>
            <w:tcBorders>
              <w:top w:val="nil"/>
              <w:left w:val="nil"/>
              <w:bottom w:val="nil"/>
              <w:right w:val="nil"/>
            </w:tcBorders>
          </w:tcPr>
          <w:p w14:paraId="2774D39C"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0.202**</w:t>
            </w:r>
          </w:p>
        </w:tc>
        <w:tc>
          <w:tcPr>
            <w:tcW w:w="0" w:type="auto"/>
            <w:tcBorders>
              <w:top w:val="nil"/>
              <w:left w:val="nil"/>
              <w:bottom w:val="nil"/>
              <w:right w:val="nil"/>
            </w:tcBorders>
          </w:tcPr>
          <w:p w14:paraId="47E6C08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0.200*</w:t>
            </w:r>
          </w:p>
        </w:tc>
        <w:tc>
          <w:tcPr>
            <w:tcW w:w="0" w:type="auto"/>
            <w:tcBorders>
              <w:top w:val="nil"/>
              <w:left w:val="nil"/>
              <w:bottom w:val="nil"/>
              <w:right w:val="nil"/>
            </w:tcBorders>
          </w:tcPr>
          <w:p w14:paraId="7A75692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0.213**</w:t>
            </w:r>
          </w:p>
        </w:tc>
        <w:tc>
          <w:tcPr>
            <w:tcW w:w="0" w:type="auto"/>
            <w:tcBorders>
              <w:top w:val="nil"/>
              <w:left w:val="nil"/>
              <w:bottom w:val="nil"/>
              <w:right w:val="nil"/>
            </w:tcBorders>
          </w:tcPr>
          <w:p w14:paraId="055053D7"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0.189*</w:t>
            </w:r>
          </w:p>
        </w:tc>
        <w:tc>
          <w:tcPr>
            <w:tcW w:w="0" w:type="auto"/>
            <w:tcBorders>
              <w:top w:val="nil"/>
              <w:left w:val="nil"/>
              <w:bottom w:val="nil"/>
              <w:right w:val="nil"/>
            </w:tcBorders>
          </w:tcPr>
          <w:p w14:paraId="75AD220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0.186*</w:t>
            </w:r>
          </w:p>
        </w:tc>
        <w:tc>
          <w:tcPr>
            <w:tcW w:w="0" w:type="auto"/>
            <w:tcBorders>
              <w:top w:val="nil"/>
              <w:left w:val="nil"/>
              <w:bottom w:val="nil"/>
              <w:right w:val="nil"/>
            </w:tcBorders>
          </w:tcPr>
          <w:p w14:paraId="0DFED52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0.212**</w:t>
            </w:r>
          </w:p>
        </w:tc>
      </w:tr>
      <w:tr w:rsidR="001148DB" w:rsidRPr="007048BA" w14:paraId="3C094AB5" w14:textId="77777777" w:rsidTr="000242D3">
        <w:trPr>
          <w:jc w:val="center"/>
        </w:trPr>
        <w:tc>
          <w:tcPr>
            <w:tcW w:w="0" w:type="auto"/>
            <w:tcBorders>
              <w:top w:val="nil"/>
              <w:left w:val="nil"/>
              <w:bottom w:val="nil"/>
              <w:right w:val="nil"/>
            </w:tcBorders>
          </w:tcPr>
          <w:p w14:paraId="4D4A8A48"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3FA7BB5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(0.047)</w:t>
            </w:r>
          </w:p>
        </w:tc>
        <w:tc>
          <w:tcPr>
            <w:tcW w:w="0" w:type="auto"/>
            <w:tcBorders>
              <w:top w:val="nil"/>
              <w:left w:val="nil"/>
              <w:bottom w:val="nil"/>
              <w:right w:val="nil"/>
            </w:tcBorders>
          </w:tcPr>
          <w:p w14:paraId="20CB6BA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(0.045)</w:t>
            </w:r>
          </w:p>
        </w:tc>
        <w:tc>
          <w:tcPr>
            <w:tcW w:w="0" w:type="auto"/>
            <w:tcBorders>
              <w:top w:val="nil"/>
              <w:left w:val="nil"/>
              <w:bottom w:val="nil"/>
              <w:right w:val="nil"/>
            </w:tcBorders>
          </w:tcPr>
          <w:p w14:paraId="36EE889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(0.049)</w:t>
            </w:r>
          </w:p>
        </w:tc>
        <w:tc>
          <w:tcPr>
            <w:tcW w:w="0" w:type="auto"/>
            <w:tcBorders>
              <w:top w:val="nil"/>
              <w:left w:val="nil"/>
              <w:bottom w:val="nil"/>
              <w:right w:val="nil"/>
            </w:tcBorders>
          </w:tcPr>
          <w:p w14:paraId="77FBD4C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(0.050)</w:t>
            </w:r>
          </w:p>
        </w:tc>
        <w:tc>
          <w:tcPr>
            <w:tcW w:w="0" w:type="auto"/>
            <w:tcBorders>
              <w:top w:val="nil"/>
              <w:left w:val="nil"/>
              <w:bottom w:val="nil"/>
              <w:right w:val="nil"/>
            </w:tcBorders>
          </w:tcPr>
          <w:p w14:paraId="131F167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(0.038)</w:t>
            </w:r>
          </w:p>
        </w:tc>
        <w:tc>
          <w:tcPr>
            <w:tcW w:w="0" w:type="auto"/>
            <w:tcBorders>
              <w:top w:val="nil"/>
              <w:left w:val="nil"/>
              <w:bottom w:val="nil"/>
              <w:right w:val="nil"/>
            </w:tcBorders>
          </w:tcPr>
          <w:p w14:paraId="2AAE697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(0.085)</w:t>
            </w:r>
          </w:p>
        </w:tc>
        <w:tc>
          <w:tcPr>
            <w:tcW w:w="0" w:type="auto"/>
            <w:tcBorders>
              <w:top w:val="nil"/>
              <w:left w:val="nil"/>
              <w:bottom w:val="nil"/>
              <w:right w:val="nil"/>
            </w:tcBorders>
          </w:tcPr>
          <w:p w14:paraId="000FD817"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(0.076)</w:t>
            </w:r>
          </w:p>
        </w:tc>
        <w:tc>
          <w:tcPr>
            <w:tcW w:w="0" w:type="auto"/>
            <w:tcBorders>
              <w:top w:val="nil"/>
              <w:left w:val="nil"/>
              <w:bottom w:val="nil"/>
              <w:right w:val="nil"/>
            </w:tcBorders>
          </w:tcPr>
          <w:p w14:paraId="7AE19B2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(0.039)</w:t>
            </w:r>
          </w:p>
        </w:tc>
      </w:tr>
      <w:tr w:rsidR="001148DB" w:rsidRPr="007048BA" w14:paraId="39DCAA31" w14:textId="77777777" w:rsidTr="000242D3">
        <w:trPr>
          <w:jc w:val="center"/>
        </w:trPr>
        <w:tc>
          <w:tcPr>
            <w:tcW w:w="0" w:type="auto"/>
            <w:tcBorders>
              <w:top w:val="nil"/>
              <w:left w:val="nil"/>
              <w:bottom w:val="nil"/>
              <w:right w:val="nil"/>
            </w:tcBorders>
          </w:tcPr>
          <w:p w14:paraId="4B83E3D6"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SENT</w:t>
            </w:r>
          </w:p>
        </w:tc>
        <w:tc>
          <w:tcPr>
            <w:tcW w:w="0" w:type="auto"/>
            <w:tcBorders>
              <w:top w:val="nil"/>
              <w:left w:val="nil"/>
              <w:bottom w:val="nil"/>
              <w:right w:val="nil"/>
            </w:tcBorders>
          </w:tcPr>
          <w:p w14:paraId="1DC859A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0.277*</w:t>
            </w:r>
          </w:p>
        </w:tc>
        <w:tc>
          <w:tcPr>
            <w:tcW w:w="0" w:type="auto"/>
            <w:tcBorders>
              <w:top w:val="nil"/>
              <w:left w:val="nil"/>
              <w:bottom w:val="nil"/>
              <w:right w:val="nil"/>
            </w:tcBorders>
          </w:tcPr>
          <w:p w14:paraId="2A24AF3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0.262*</w:t>
            </w:r>
          </w:p>
        </w:tc>
        <w:tc>
          <w:tcPr>
            <w:tcW w:w="0" w:type="auto"/>
            <w:tcBorders>
              <w:top w:val="nil"/>
              <w:left w:val="nil"/>
              <w:bottom w:val="nil"/>
              <w:right w:val="nil"/>
            </w:tcBorders>
          </w:tcPr>
          <w:p w14:paraId="5C61BBD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0.182</w:t>
            </w:r>
          </w:p>
        </w:tc>
        <w:tc>
          <w:tcPr>
            <w:tcW w:w="0" w:type="auto"/>
            <w:tcBorders>
              <w:top w:val="nil"/>
              <w:left w:val="nil"/>
              <w:bottom w:val="nil"/>
              <w:right w:val="nil"/>
            </w:tcBorders>
          </w:tcPr>
          <w:p w14:paraId="2C71486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0.266*</w:t>
            </w:r>
          </w:p>
        </w:tc>
        <w:tc>
          <w:tcPr>
            <w:tcW w:w="0" w:type="auto"/>
            <w:tcBorders>
              <w:top w:val="nil"/>
              <w:left w:val="nil"/>
              <w:bottom w:val="nil"/>
              <w:right w:val="nil"/>
            </w:tcBorders>
          </w:tcPr>
          <w:p w14:paraId="10F2A06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0.176</w:t>
            </w:r>
          </w:p>
        </w:tc>
        <w:tc>
          <w:tcPr>
            <w:tcW w:w="0" w:type="auto"/>
            <w:tcBorders>
              <w:top w:val="nil"/>
              <w:left w:val="nil"/>
              <w:bottom w:val="nil"/>
              <w:right w:val="nil"/>
            </w:tcBorders>
          </w:tcPr>
          <w:p w14:paraId="47018B1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0.313*</w:t>
            </w:r>
          </w:p>
        </w:tc>
        <w:tc>
          <w:tcPr>
            <w:tcW w:w="0" w:type="auto"/>
            <w:tcBorders>
              <w:top w:val="nil"/>
              <w:left w:val="nil"/>
              <w:bottom w:val="nil"/>
              <w:right w:val="nil"/>
            </w:tcBorders>
          </w:tcPr>
          <w:p w14:paraId="2141666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0.262*</w:t>
            </w:r>
          </w:p>
        </w:tc>
        <w:tc>
          <w:tcPr>
            <w:tcW w:w="0" w:type="auto"/>
            <w:tcBorders>
              <w:top w:val="nil"/>
              <w:left w:val="nil"/>
              <w:bottom w:val="nil"/>
              <w:right w:val="nil"/>
            </w:tcBorders>
          </w:tcPr>
          <w:p w14:paraId="6502DCC7"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0.159</w:t>
            </w:r>
          </w:p>
        </w:tc>
      </w:tr>
      <w:tr w:rsidR="001148DB" w:rsidRPr="007048BA" w14:paraId="060CC144" w14:textId="77777777" w:rsidTr="000242D3">
        <w:trPr>
          <w:jc w:val="center"/>
        </w:trPr>
        <w:tc>
          <w:tcPr>
            <w:tcW w:w="0" w:type="auto"/>
            <w:tcBorders>
              <w:top w:val="nil"/>
              <w:left w:val="nil"/>
              <w:bottom w:val="nil"/>
              <w:right w:val="nil"/>
            </w:tcBorders>
          </w:tcPr>
          <w:p w14:paraId="6179E2DB"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1C00C93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(0.069)</w:t>
            </w:r>
          </w:p>
        </w:tc>
        <w:tc>
          <w:tcPr>
            <w:tcW w:w="0" w:type="auto"/>
            <w:tcBorders>
              <w:top w:val="nil"/>
              <w:left w:val="nil"/>
              <w:bottom w:val="nil"/>
              <w:right w:val="nil"/>
            </w:tcBorders>
          </w:tcPr>
          <w:p w14:paraId="6534452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(0.084)</w:t>
            </w:r>
          </w:p>
        </w:tc>
        <w:tc>
          <w:tcPr>
            <w:tcW w:w="0" w:type="auto"/>
            <w:tcBorders>
              <w:top w:val="nil"/>
              <w:left w:val="nil"/>
              <w:bottom w:val="nil"/>
              <w:right w:val="nil"/>
            </w:tcBorders>
          </w:tcPr>
          <w:p w14:paraId="214CF06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(0.232)</w:t>
            </w:r>
          </w:p>
        </w:tc>
        <w:tc>
          <w:tcPr>
            <w:tcW w:w="0" w:type="auto"/>
            <w:tcBorders>
              <w:top w:val="nil"/>
              <w:left w:val="nil"/>
              <w:bottom w:val="nil"/>
              <w:right w:val="nil"/>
            </w:tcBorders>
          </w:tcPr>
          <w:p w14:paraId="1FAEC0F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(0.079)</w:t>
            </w:r>
          </w:p>
        </w:tc>
        <w:tc>
          <w:tcPr>
            <w:tcW w:w="0" w:type="auto"/>
            <w:tcBorders>
              <w:top w:val="nil"/>
              <w:left w:val="nil"/>
              <w:bottom w:val="nil"/>
              <w:right w:val="nil"/>
            </w:tcBorders>
          </w:tcPr>
          <w:p w14:paraId="0E2C68C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(0.249)</w:t>
            </w:r>
          </w:p>
        </w:tc>
        <w:tc>
          <w:tcPr>
            <w:tcW w:w="0" w:type="auto"/>
            <w:tcBorders>
              <w:top w:val="nil"/>
              <w:left w:val="nil"/>
              <w:bottom w:val="nil"/>
              <w:right w:val="nil"/>
            </w:tcBorders>
          </w:tcPr>
          <w:p w14:paraId="58BCF0A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(0.051)</w:t>
            </w:r>
          </w:p>
        </w:tc>
        <w:tc>
          <w:tcPr>
            <w:tcW w:w="0" w:type="auto"/>
            <w:tcBorders>
              <w:top w:val="nil"/>
              <w:left w:val="nil"/>
              <w:bottom w:val="nil"/>
              <w:right w:val="nil"/>
            </w:tcBorders>
          </w:tcPr>
          <w:p w14:paraId="6369771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(0.086)</w:t>
            </w:r>
          </w:p>
        </w:tc>
        <w:tc>
          <w:tcPr>
            <w:tcW w:w="0" w:type="auto"/>
            <w:tcBorders>
              <w:top w:val="nil"/>
              <w:left w:val="nil"/>
              <w:bottom w:val="nil"/>
              <w:right w:val="nil"/>
            </w:tcBorders>
          </w:tcPr>
          <w:p w14:paraId="600A4BD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(0.296)</w:t>
            </w:r>
          </w:p>
        </w:tc>
      </w:tr>
      <w:tr w:rsidR="001148DB" w:rsidRPr="007048BA" w14:paraId="3AE8DF7C" w14:textId="77777777" w:rsidTr="000242D3">
        <w:trPr>
          <w:jc w:val="center"/>
        </w:trPr>
        <w:tc>
          <w:tcPr>
            <w:tcW w:w="0" w:type="auto"/>
            <w:tcBorders>
              <w:top w:val="nil"/>
              <w:left w:val="nil"/>
              <w:bottom w:val="nil"/>
              <w:right w:val="nil"/>
            </w:tcBorders>
          </w:tcPr>
          <w:p w14:paraId="325F03BA"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Chi2</w:t>
            </w:r>
          </w:p>
        </w:tc>
        <w:tc>
          <w:tcPr>
            <w:tcW w:w="0" w:type="auto"/>
            <w:tcBorders>
              <w:top w:val="nil"/>
              <w:left w:val="nil"/>
              <w:bottom w:val="nil"/>
              <w:right w:val="nil"/>
            </w:tcBorders>
          </w:tcPr>
          <w:p w14:paraId="021ECEF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862***</w:t>
            </w:r>
          </w:p>
        </w:tc>
        <w:tc>
          <w:tcPr>
            <w:tcW w:w="0" w:type="auto"/>
            <w:tcBorders>
              <w:top w:val="nil"/>
              <w:left w:val="nil"/>
              <w:bottom w:val="nil"/>
              <w:right w:val="nil"/>
            </w:tcBorders>
          </w:tcPr>
          <w:p w14:paraId="72F7804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1,048***</w:t>
            </w:r>
          </w:p>
        </w:tc>
        <w:tc>
          <w:tcPr>
            <w:tcW w:w="0" w:type="auto"/>
            <w:tcBorders>
              <w:top w:val="nil"/>
              <w:left w:val="nil"/>
              <w:bottom w:val="nil"/>
              <w:right w:val="nil"/>
            </w:tcBorders>
          </w:tcPr>
          <w:p w14:paraId="1C00D86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848***</w:t>
            </w:r>
          </w:p>
        </w:tc>
        <w:tc>
          <w:tcPr>
            <w:tcW w:w="0" w:type="auto"/>
            <w:tcBorders>
              <w:top w:val="nil"/>
              <w:left w:val="nil"/>
              <w:bottom w:val="nil"/>
              <w:right w:val="nil"/>
            </w:tcBorders>
          </w:tcPr>
          <w:p w14:paraId="677A78E0"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983***</w:t>
            </w:r>
          </w:p>
        </w:tc>
        <w:tc>
          <w:tcPr>
            <w:tcW w:w="0" w:type="auto"/>
            <w:tcBorders>
              <w:top w:val="nil"/>
              <w:left w:val="nil"/>
              <w:bottom w:val="nil"/>
              <w:right w:val="nil"/>
            </w:tcBorders>
          </w:tcPr>
          <w:p w14:paraId="607C0F9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890***</w:t>
            </w:r>
          </w:p>
        </w:tc>
        <w:tc>
          <w:tcPr>
            <w:tcW w:w="0" w:type="auto"/>
            <w:tcBorders>
              <w:top w:val="nil"/>
              <w:left w:val="nil"/>
              <w:bottom w:val="nil"/>
              <w:right w:val="nil"/>
            </w:tcBorders>
          </w:tcPr>
          <w:p w14:paraId="126E715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891***</w:t>
            </w:r>
          </w:p>
        </w:tc>
        <w:tc>
          <w:tcPr>
            <w:tcW w:w="0" w:type="auto"/>
            <w:tcBorders>
              <w:top w:val="nil"/>
              <w:left w:val="nil"/>
              <w:bottom w:val="nil"/>
              <w:right w:val="nil"/>
            </w:tcBorders>
          </w:tcPr>
          <w:p w14:paraId="31FDEE05"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857***</w:t>
            </w:r>
          </w:p>
        </w:tc>
        <w:tc>
          <w:tcPr>
            <w:tcW w:w="0" w:type="auto"/>
            <w:tcBorders>
              <w:top w:val="nil"/>
              <w:left w:val="nil"/>
              <w:bottom w:val="nil"/>
              <w:right w:val="nil"/>
            </w:tcBorders>
          </w:tcPr>
          <w:p w14:paraId="75A0F521"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819***</w:t>
            </w:r>
          </w:p>
        </w:tc>
      </w:tr>
      <w:tr w:rsidR="001148DB" w:rsidRPr="007048BA" w14:paraId="4B5E1C65" w14:textId="77777777" w:rsidTr="000242D3">
        <w:trPr>
          <w:jc w:val="center"/>
        </w:trPr>
        <w:tc>
          <w:tcPr>
            <w:tcW w:w="0" w:type="auto"/>
            <w:tcBorders>
              <w:top w:val="nil"/>
              <w:left w:val="nil"/>
              <w:bottom w:val="nil"/>
              <w:right w:val="nil"/>
            </w:tcBorders>
          </w:tcPr>
          <w:p w14:paraId="12D2727D" w14:textId="629BC03D"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p>
        </w:tc>
        <w:tc>
          <w:tcPr>
            <w:tcW w:w="0" w:type="auto"/>
            <w:tcBorders>
              <w:top w:val="nil"/>
              <w:left w:val="nil"/>
              <w:bottom w:val="nil"/>
              <w:right w:val="nil"/>
            </w:tcBorders>
          </w:tcPr>
          <w:p w14:paraId="2E7EE21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54B4DE3B"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39BE4EA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54DC58F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244E2F6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667D98A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7B55F969"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c>
          <w:tcPr>
            <w:tcW w:w="0" w:type="auto"/>
            <w:tcBorders>
              <w:top w:val="nil"/>
              <w:left w:val="nil"/>
              <w:bottom w:val="nil"/>
              <w:right w:val="nil"/>
            </w:tcBorders>
          </w:tcPr>
          <w:p w14:paraId="2C4E1A92"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(0.000)</w:t>
            </w:r>
          </w:p>
        </w:tc>
      </w:tr>
      <w:tr w:rsidR="001148DB" w:rsidRPr="007048BA" w14:paraId="49054D10" w14:textId="77777777" w:rsidTr="000242D3">
        <w:trPr>
          <w:jc w:val="center"/>
        </w:trPr>
        <w:tc>
          <w:tcPr>
            <w:tcW w:w="0" w:type="auto"/>
            <w:tcBorders>
              <w:top w:val="nil"/>
              <w:left w:val="nil"/>
              <w:bottom w:val="nil"/>
              <w:right w:val="nil"/>
            </w:tcBorders>
          </w:tcPr>
          <w:p w14:paraId="747421DC"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Obs.</w:t>
            </w:r>
          </w:p>
        </w:tc>
        <w:tc>
          <w:tcPr>
            <w:tcW w:w="0" w:type="auto"/>
            <w:tcBorders>
              <w:top w:val="nil"/>
              <w:left w:val="nil"/>
              <w:bottom w:val="nil"/>
              <w:right w:val="nil"/>
            </w:tcBorders>
          </w:tcPr>
          <w:p w14:paraId="2643E697"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13,663</w:t>
            </w:r>
          </w:p>
        </w:tc>
        <w:tc>
          <w:tcPr>
            <w:tcW w:w="0" w:type="auto"/>
            <w:tcBorders>
              <w:top w:val="nil"/>
              <w:left w:val="nil"/>
              <w:bottom w:val="nil"/>
              <w:right w:val="nil"/>
            </w:tcBorders>
          </w:tcPr>
          <w:p w14:paraId="15F1F777"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13,702</w:t>
            </w:r>
          </w:p>
        </w:tc>
        <w:tc>
          <w:tcPr>
            <w:tcW w:w="0" w:type="auto"/>
            <w:tcBorders>
              <w:top w:val="nil"/>
              <w:left w:val="nil"/>
              <w:bottom w:val="nil"/>
              <w:right w:val="nil"/>
            </w:tcBorders>
          </w:tcPr>
          <w:p w14:paraId="7EAF441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13,702</w:t>
            </w:r>
          </w:p>
        </w:tc>
        <w:tc>
          <w:tcPr>
            <w:tcW w:w="0" w:type="auto"/>
            <w:tcBorders>
              <w:top w:val="nil"/>
              <w:left w:val="nil"/>
              <w:bottom w:val="nil"/>
              <w:right w:val="nil"/>
            </w:tcBorders>
          </w:tcPr>
          <w:p w14:paraId="24D3A7C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13,702</w:t>
            </w:r>
          </w:p>
        </w:tc>
        <w:tc>
          <w:tcPr>
            <w:tcW w:w="0" w:type="auto"/>
            <w:tcBorders>
              <w:top w:val="nil"/>
              <w:left w:val="nil"/>
              <w:bottom w:val="nil"/>
              <w:right w:val="nil"/>
            </w:tcBorders>
          </w:tcPr>
          <w:p w14:paraId="66D8688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13,702</w:t>
            </w:r>
          </w:p>
        </w:tc>
        <w:tc>
          <w:tcPr>
            <w:tcW w:w="0" w:type="auto"/>
            <w:tcBorders>
              <w:top w:val="nil"/>
              <w:left w:val="nil"/>
              <w:bottom w:val="nil"/>
              <w:right w:val="nil"/>
            </w:tcBorders>
          </w:tcPr>
          <w:p w14:paraId="172E670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11,976</w:t>
            </w:r>
          </w:p>
        </w:tc>
        <w:tc>
          <w:tcPr>
            <w:tcW w:w="0" w:type="auto"/>
            <w:tcBorders>
              <w:top w:val="nil"/>
              <w:left w:val="nil"/>
              <w:bottom w:val="nil"/>
              <w:right w:val="nil"/>
            </w:tcBorders>
          </w:tcPr>
          <w:p w14:paraId="6A330733"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13,153</w:t>
            </w:r>
          </w:p>
        </w:tc>
        <w:tc>
          <w:tcPr>
            <w:tcW w:w="0" w:type="auto"/>
            <w:tcBorders>
              <w:top w:val="nil"/>
              <w:left w:val="nil"/>
              <w:bottom w:val="nil"/>
              <w:right w:val="nil"/>
            </w:tcBorders>
          </w:tcPr>
          <w:p w14:paraId="42A82E4E"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13,702</w:t>
            </w:r>
          </w:p>
        </w:tc>
      </w:tr>
      <w:tr w:rsidR="001148DB" w:rsidRPr="007048BA" w14:paraId="27DBD892" w14:textId="77777777" w:rsidTr="000242D3">
        <w:tblPrEx>
          <w:tblBorders>
            <w:bottom w:val="single" w:sz="6" w:space="0" w:color="auto"/>
          </w:tblBorders>
        </w:tblPrEx>
        <w:trPr>
          <w:jc w:val="center"/>
        </w:trPr>
        <w:tc>
          <w:tcPr>
            <w:tcW w:w="0" w:type="auto"/>
            <w:tcBorders>
              <w:top w:val="nil"/>
              <w:left w:val="nil"/>
              <w:bottom w:val="single" w:sz="6" w:space="0" w:color="auto"/>
              <w:right w:val="nil"/>
            </w:tcBorders>
          </w:tcPr>
          <w:p w14:paraId="6B6A39C6" w14:textId="77777777" w:rsidR="001148DB" w:rsidRPr="007048BA" w:rsidRDefault="001148DB" w:rsidP="001148DB">
            <w:pPr>
              <w:widowControl w:val="0"/>
              <w:autoSpaceDE w:val="0"/>
              <w:autoSpaceDN w:val="0"/>
              <w:adjustRightInd w:val="0"/>
              <w:spacing w:after="0" w:line="240" w:lineRule="auto"/>
              <w:ind w:firstLine="0"/>
              <w:jc w:val="left"/>
              <w:rPr>
                <w:rFonts w:eastAsia="Times New Roman" w:cs="Times New Roman"/>
                <w:i/>
                <w:sz w:val="22"/>
                <w:szCs w:val="24"/>
                <w:lang w:val="en-GB" w:eastAsia="en-GB"/>
              </w:rPr>
            </w:pPr>
            <w:r w:rsidRPr="007048BA">
              <w:rPr>
                <w:rFonts w:eastAsia="Times New Roman" w:cs="Times New Roman"/>
                <w:i/>
                <w:sz w:val="22"/>
                <w:szCs w:val="24"/>
                <w:lang w:val="en-GB" w:eastAsia="en-GB"/>
              </w:rPr>
              <w:t>Firms</w:t>
            </w:r>
          </w:p>
        </w:tc>
        <w:tc>
          <w:tcPr>
            <w:tcW w:w="0" w:type="auto"/>
            <w:tcBorders>
              <w:top w:val="nil"/>
              <w:left w:val="nil"/>
              <w:bottom w:val="single" w:sz="6" w:space="0" w:color="auto"/>
              <w:right w:val="nil"/>
            </w:tcBorders>
          </w:tcPr>
          <w:p w14:paraId="65374E6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1,557</w:t>
            </w:r>
          </w:p>
        </w:tc>
        <w:tc>
          <w:tcPr>
            <w:tcW w:w="0" w:type="auto"/>
            <w:tcBorders>
              <w:top w:val="nil"/>
              <w:left w:val="nil"/>
              <w:bottom w:val="single" w:sz="6" w:space="0" w:color="auto"/>
              <w:right w:val="nil"/>
            </w:tcBorders>
          </w:tcPr>
          <w:p w14:paraId="15C7876F"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1,558</w:t>
            </w:r>
          </w:p>
        </w:tc>
        <w:tc>
          <w:tcPr>
            <w:tcW w:w="0" w:type="auto"/>
            <w:tcBorders>
              <w:top w:val="nil"/>
              <w:left w:val="nil"/>
              <w:bottom w:val="single" w:sz="6" w:space="0" w:color="auto"/>
              <w:right w:val="nil"/>
            </w:tcBorders>
          </w:tcPr>
          <w:p w14:paraId="22A361C7"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1,558</w:t>
            </w:r>
          </w:p>
        </w:tc>
        <w:tc>
          <w:tcPr>
            <w:tcW w:w="0" w:type="auto"/>
            <w:tcBorders>
              <w:top w:val="nil"/>
              <w:left w:val="nil"/>
              <w:bottom w:val="single" w:sz="6" w:space="0" w:color="auto"/>
              <w:right w:val="nil"/>
            </w:tcBorders>
          </w:tcPr>
          <w:p w14:paraId="70EAC876"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1,558</w:t>
            </w:r>
          </w:p>
        </w:tc>
        <w:tc>
          <w:tcPr>
            <w:tcW w:w="0" w:type="auto"/>
            <w:tcBorders>
              <w:top w:val="nil"/>
              <w:left w:val="nil"/>
              <w:bottom w:val="single" w:sz="6" w:space="0" w:color="auto"/>
              <w:right w:val="nil"/>
            </w:tcBorders>
          </w:tcPr>
          <w:p w14:paraId="7A194768"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1,558</w:t>
            </w:r>
          </w:p>
        </w:tc>
        <w:tc>
          <w:tcPr>
            <w:tcW w:w="0" w:type="auto"/>
            <w:tcBorders>
              <w:top w:val="nil"/>
              <w:left w:val="nil"/>
              <w:bottom w:val="single" w:sz="6" w:space="0" w:color="auto"/>
              <w:right w:val="nil"/>
            </w:tcBorders>
          </w:tcPr>
          <w:p w14:paraId="36D55A64"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1,405</w:t>
            </w:r>
          </w:p>
        </w:tc>
        <w:tc>
          <w:tcPr>
            <w:tcW w:w="0" w:type="auto"/>
            <w:tcBorders>
              <w:top w:val="nil"/>
              <w:left w:val="nil"/>
              <w:bottom w:val="single" w:sz="6" w:space="0" w:color="auto"/>
              <w:right w:val="nil"/>
            </w:tcBorders>
          </w:tcPr>
          <w:p w14:paraId="31F980AD"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1,533</w:t>
            </w:r>
          </w:p>
        </w:tc>
        <w:tc>
          <w:tcPr>
            <w:tcW w:w="0" w:type="auto"/>
            <w:tcBorders>
              <w:top w:val="nil"/>
              <w:left w:val="nil"/>
              <w:bottom w:val="single" w:sz="6" w:space="0" w:color="auto"/>
              <w:right w:val="nil"/>
            </w:tcBorders>
          </w:tcPr>
          <w:p w14:paraId="4BCA383A" w14:textId="77777777" w:rsidR="001148DB" w:rsidRPr="007048BA" w:rsidRDefault="001148DB" w:rsidP="001148DB">
            <w:pPr>
              <w:widowControl w:val="0"/>
              <w:autoSpaceDE w:val="0"/>
              <w:autoSpaceDN w:val="0"/>
              <w:adjustRightInd w:val="0"/>
              <w:spacing w:after="0" w:line="240" w:lineRule="auto"/>
              <w:ind w:firstLine="0"/>
              <w:jc w:val="center"/>
              <w:rPr>
                <w:rFonts w:eastAsia="Times New Roman" w:cs="Times New Roman"/>
                <w:sz w:val="22"/>
                <w:szCs w:val="24"/>
                <w:lang w:val="en-GB" w:eastAsia="en-GB"/>
              </w:rPr>
            </w:pPr>
            <w:r w:rsidRPr="007048BA">
              <w:rPr>
                <w:rFonts w:eastAsia="Times New Roman" w:cs="Times New Roman"/>
                <w:sz w:val="22"/>
                <w:szCs w:val="24"/>
                <w:lang w:val="en-GB" w:eastAsia="en-GB"/>
              </w:rPr>
              <w:t>1,558</w:t>
            </w:r>
          </w:p>
        </w:tc>
      </w:tr>
    </w:tbl>
    <w:p w14:paraId="67EA31A3" w14:textId="4A72EEDB" w:rsidR="001148DB" w:rsidRPr="007048BA" w:rsidRDefault="001148DB" w:rsidP="0060367E">
      <w:pPr>
        <w:autoSpaceDE w:val="0"/>
        <w:autoSpaceDN w:val="0"/>
        <w:adjustRightInd w:val="0"/>
        <w:spacing w:after="0" w:line="240" w:lineRule="auto"/>
        <w:ind w:firstLine="0"/>
        <w:rPr>
          <w:rFonts w:eastAsia="PMingLiU" w:cs="Times New Roman"/>
          <w:sz w:val="20"/>
          <w:szCs w:val="24"/>
          <w:lang w:val="en-GB" w:eastAsia="zh-TW"/>
        </w:rPr>
      </w:pPr>
    </w:p>
    <w:p w14:paraId="36422F43" w14:textId="77777777" w:rsidR="001148DB" w:rsidRPr="007048BA" w:rsidRDefault="001148DB" w:rsidP="0060367E">
      <w:pPr>
        <w:autoSpaceDE w:val="0"/>
        <w:autoSpaceDN w:val="0"/>
        <w:adjustRightInd w:val="0"/>
        <w:spacing w:after="0" w:line="240" w:lineRule="auto"/>
        <w:ind w:firstLine="0"/>
        <w:rPr>
          <w:rFonts w:eastAsia="PMingLiU" w:cs="Times New Roman"/>
          <w:sz w:val="20"/>
          <w:szCs w:val="24"/>
          <w:lang w:val="en-GB" w:eastAsia="zh-TW"/>
        </w:rPr>
      </w:pPr>
    </w:p>
    <w:p w14:paraId="13C6A976" w14:textId="3C299047" w:rsidR="00A95533" w:rsidRPr="007048BA" w:rsidRDefault="00A95533" w:rsidP="0060367E">
      <w:pPr>
        <w:autoSpaceDE w:val="0"/>
        <w:autoSpaceDN w:val="0"/>
        <w:adjustRightInd w:val="0"/>
        <w:spacing w:after="0" w:line="240" w:lineRule="auto"/>
        <w:ind w:firstLine="0"/>
        <w:rPr>
          <w:rFonts w:eastAsia="PMingLiU" w:cs="Times New Roman"/>
          <w:sz w:val="20"/>
          <w:szCs w:val="24"/>
          <w:lang w:val="en-GB" w:eastAsia="zh-TW"/>
        </w:rPr>
      </w:pPr>
    </w:p>
    <w:p w14:paraId="2190C671" w14:textId="77777777" w:rsidR="00A95533" w:rsidRPr="007048BA" w:rsidRDefault="00A95533" w:rsidP="0060367E">
      <w:pPr>
        <w:autoSpaceDE w:val="0"/>
        <w:autoSpaceDN w:val="0"/>
        <w:adjustRightInd w:val="0"/>
        <w:spacing w:after="0" w:line="240" w:lineRule="auto"/>
        <w:ind w:firstLine="0"/>
        <w:rPr>
          <w:rFonts w:eastAsia="PMingLiU" w:cs="Times New Roman"/>
          <w:sz w:val="20"/>
          <w:szCs w:val="24"/>
          <w:lang w:val="en-GB" w:eastAsia="zh-TW"/>
        </w:rPr>
      </w:pPr>
    </w:p>
    <w:p w14:paraId="3CB4EC5B" w14:textId="77777777" w:rsidR="0060367E" w:rsidRPr="007048BA" w:rsidRDefault="0060367E" w:rsidP="0060367E">
      <w:pPr>
        <w:widowControl w:val="0"/>
        <w:autoSpaceDE w:val="0"/>
        <w:autoSpaceDN w:val="0"/>
        <w:adjustRightInd w:val="0"/>
        <w:spacing w:after="0" w:line="240" w:lineRule="auto"/>
        <w:ind w:firstLine="0"/>
        <w:jc w:val="center"/>
        <w:rPr>
          <w:rFonts w:eastAsia="PMingLiU" w:cs="Times New Roman"/>
          <w:b/>
          <w:sz w:val="28"/>
          <w:lang w:val="en-GB" w:eastAsia="zh-TW"/>
        </w:rPr>
      </w:pPr>
    </w:p>
    <w:p w14:paraId="03DC408B" w14:textId="2FAC0EF2" w:rsidR="0060367E" w:rsidRPr="007048BA" w:rsidRDefault="0060367E" w:rsidP="0060367E">
      <w:pPr>
        <w:widowControl w:val="0"/>
        <w:autoSpaceDE w:val="0"/>
        <w:autoSpaceDN w:val="0"/>
        <w:adjustRightInd w:val="0"/>
        <w:spacing w:after="0" w:line="240" w:lineRule="auto"/>
        <w:ind w:firstLine="0"/>
        <w:jc w:val="center"/>
        <w:rPr>
          <w:rFonts w:eastAsia="PMingLiU" w:cs="Times New Roman"/>
          <w:b/>
          <w:sz w:val="28"/>
          <w:lang w:val="en-GB" w:eastAsia="zh-TW"/>
        </w:rPr>
      </w:pPr>
    </w:p>
    <w:p w14:paraId="5567384E" w14:textId="77777777" w:rsidR="0060367E" w:rsidRPr="007048BA" w:rsidRDefault="0060367E" w:rsidP="0060367E">
      <w:pPr>
        <w:widowControl w:val="0"/>
        <w:autoSpaceDE w:val="0"/>
        <w:autoSpaceDN w:val="0"/>
        <w:adjustRightInd w:val="0"/>
        <w:spacing w:after="0" w:line="240" w:lineRule="auto"/>
        <w:ind w:firstLine="0"/>
        <w:jc w:val="center"/>
        <w:rPr>
          <w:rFonts w:eastAsia="PMingLiU" w:cs="Times New Roman"/>
          <w:b/>
          <w:sz w:val="28"/>
          <w:lang w:val="en-GB" w:eastAsia="zh-TW"/>
        </w:rPr>
      </w:pPr>
    </w:p>
    <w:p w14:paraId="74F5D6E5" w14:textId="77777777" w:rsidR="00F63862" w:rsidRPr="007048BA" w:rsidRDefault="00F63862" w:rsidP="0060367E">
      <w:pPr>
        <w:widowControl w:val="0"/>
        <w:autoSpaceDE w:val="0"/>
        <w:autoSpaceDN w:val="0"/>
        <w:adjustRightInd w:val="0"/>
        <w:spacing w:after="0" w:line="240" w:lineRule="auto"/>
        <w:ind w:firstLine="227"/>
        <w:rPr>
          <w:rFonts w:eastAsia="PMingLiU" w:cs="Times New Roman"/>
          <w:sz w:val="22"/>
          <w:szCs w:val="24"/>
          <w:lang w:val="en-GB" w:eastAsia="zh-TW"/>
        </w:rPr>
        <w:sectPr w:rsidR="00F63862" w:rsidRPr="007048BA" w:rsidSect="007B5ED9">
          <w:pgSz w:w="12240" w:h="15840"/>
          <w:pgMar w:top="1304" w:right="964" w:bottom="1304" w:left="1077" w:header="720" w:footer="720" w:gutter="0"/>
          <w:cols w:space="720"/>
          <w:docGrid w:linePitch="360"/>
        </w:sectPr>
      </w:pPr>
    </w:p>
    <w:p w14:paraId="73322514" w14:textId="53F17F15" w:rsidR="0060367E" w:rsidRPr="007048BA" w:rsidRDefault="0060367E" w:rsidP="0060367E">
      <w:pPr>
        <w:spacing w:after="0" w:line="240" w:lineRule="auto"/>
        <w:ind w:firstLine="0"/>
        <w:jc w:val="left"/>
        <w:rPr>
          <w:rFonts w:eastAsia="Times New Roman" w:cs="Times New Roman"/>
          <w:sz w:val="28"/>
          <w:lang w:val="en-GB" w:eastAsia="en-GB"/>
        </w:rPr>
      </w:pPr>
    </w:p>
    <w:p w14:paraId="76E48D94" w14:textId="715C869E" w:rsidR="0060367E" w:rsidRPr="007048BA" w:rsidRDefault="0060367E" w:rsidP="0060367E">
      <w:pPr>
        <w:jc w:val="center"/>
        <w:rPr>
          <w:rFonts w:eastAsia="Times New Roman" w:cs="Times New Roman"/>
          <w:sz w:val="28"/>
          <w:lang w:val="en-GB" w:eastAsia="en-GB"/>
        </w:rPr>
      </w:pPr>
    </w:p>
    <w:p w14:paraId="09BA2DAD" w14:textId="77777777" w:rsidR="00F63862" w:rsidRPr="007048BA" w:rsidRDefault="00F63862" w:rsidP="001C29A9">
      <w:pPr>
        <w:pStyle w:val="Heading2"/>
        <w:rPr>
          <w:rFonts w:eastAsia="PMingLiU"/>
          <w:lang w:val="en-GB" w:eastAsia="zh-TW"/>
        </w:rPr>
        <w:sectPr w:rsidR="00F63862" w:rsidRPr="007048BA" w:rsidSect="007B5ED9">
          <w:type w:val="continuous"/>
          <w:pgSz w:w="12240" w:h="15840"/>
          <w:pgMar w:top="1304" w:right="964" w:bottom="1304" w:left="1077" w:header="720" w:footer="720" w:gutter="0"/>
          <w:cols w:space="720"/>
          <w:docGrid w:linePitch="360"/>
        </w:sectPr>
      </w:pPr>
    </w:p>
    <w:p w14:paraId="2E98847C" w14:textId="77777777" w:rsidR="0088458D" w:rsidRPr="007048BA" w:rsidRDefault="0088458D" w:rsidP="00D8280C">
      <w:pPr>
        <w:rPr>
          <w:b/>
          <w:sz w:val="28"/>
          <w:lang w:val="en-GB" w:eastAsia="zh-TW"/>
        </w:rPr>
        <w:sectPr w:rsidR="0088458D" w:rsidRPr="007048BA" w:rsidSect="007B5ED9">
          <w:type w:val="continuous"/>
          <w:pgSz w:w="12240" w:h="15840"/>
          <w:pgMar w:top="1304" w:right="964" w:bottom="1304" w:left="1077" w:header="720" w:footer="720" w:gutter="0"/>
          <w:cols w:space="720"/>
          <w:docGrid w:linePitch="360"/>
        </w:sectPr>
      </w:pPr>
    </w:p>
    <w:p w14:paraId="3568E9D9" w14:textId="08DD587E" w:rsidR="001C29A9" w:rsidRPr="007048BA" w:rsidRDefault="005254B8" w:rsidP="00D8280C">
      <w:pPr>
        <w:rPr>
          <w:rFonts w:eastAsia="PMingLiU" w:cs="Times New Roman"/>
          <w:b/>
          <w:sz w:val="28"/>
          <w:szCs w:val="24"/>
          <w:lang w:val="en-GB" w:eastAsia="zh-TW"/>
        </w:rPr>
      </w:pPr>
      <w:r w:rsidRPr="007048BA">
        <w:rPr>
          <w:b/>
          <w:sz w:val="28"/>
          <w:lang w:val="en-GB" w:eastAsia="zh-TW"/>
        </w:rPr>
        <w:lastRenderedPageBreak/>
        <w:t>Table 8</w:t>
      </w:r>
      <w:r w:rsidR="00D8280C" w:rsidRPr="007048BA">
        <w:rPr>
          <w:b/>
          <w:sz w:val="28"/>
          <w:lang w:val="en-GB" w:eastAsia="zh-TW"/>
        </w:rPr>
        <w:t xml:space="preserve">: </w:t>
      </w:r>
      <w:r w:rsidR="001C29A9" w:rsidRPr="007048BA">
        <w:rPr>
          <w:rFonts w:eastAsia="PMingLiU" w:cs="Times New Roman"/>
          <w:b/>
          <w:sz w:val="28"/>
          <w:szCs w:val="24"/>
          <w:lang w:val="en-GB" w:eastAsia="zh-TW"/>
        </w:rPr>
        <w:t xml:space="preserve">Percentage of firm-year switches between </w:t>
      </w:r>
      <w:r w:rsidR="006B3320" w:rsidRPr="007048BA">
        <w:rPr>
          <w:rFonts w:eastAsia="PMingLiU" w:cs="Times New Roman"/>
          <w:b/>
          <w:sz w:val="28"/>
          <w:szCs w:val="24"/>
          <w:lang w:val="en-GB" w:eastAsia="zh-TW"/>
        </w:rPr>
        <w:t>attributes</w:t>
      </w:r>
    </w:p>
    <w:p w14:paraId="14DFE8DA" w14:textId="0F21C40A" w:rsidR="001C29A9" w:rsidRPr="007048BA" w:rsidRDefault="001C29A9" w:rsidP="001C29A9">
      <w:pPr>
        <w:tabs>
          <w:tab w:val="left" w:pos="2580"/>
        </w:tabs>
        <w:autoSpaceDE w:val="0"/>
        <w:autoSpaceDN w:val="0"/>
        <w:adjustRightInd w:val="0"/>
        <w:spacing w:after="0" w:line="240" w:lineRule="auto"/>
        <w:ind w:firstLine="0"/>
        <w:rPr>
          <w:rFonts w:eastAsia="PMingLiU" w:cs="Times New Roman"/>
          <w:sz w:val="20"/>
          <w:szCs w:val="24"/>
          <w:lang w:val="en-GB" w:eastAsia="zh-TW"/>
        </w:rPr>
      </w:pPr>
      <w:r w:rsidRPr="007048BA">
        <w:rPr>
          <w:rFonts w:eastAsia="PMingLiU" w:cs="Times New Roman"/>
          <w:sz w:val="20"/>
          <w:szCs w:val="24"/>
          <w:lang w:val="en-GB" w:eastAsia="zh-TW"/>
        </w:rPr>
        <w:t xml:space="preserve">The table records the percentage of firm-years switching from one </w:t>
      </w:r>
      <w:r w:rsidR="002E346E" w:rsidRPr="007048BA">
        <w:rPr>
          <w:rFonts w:eastAsia="PMingLiU" w:cs="Times New Roman"/>
          <w:sz w:val="20"/>
          <w:szCs w:val="24"/>
          <w:lang w:val="en-GB" w:eastAsia="zh-TW"/>
        </w:rPr>
        <w:t>attribute</w:t>
      </w:r>
      <w:r w:rsidRPr="007048BA">
        <w:rPr>
          <w:rFonts w:eastAsia="PMingLiU" w:cs="Times New Roman"/>
          <w:sz w:val="20"/>
          <w:szCs w:val="24"/>
          <w:lang w:val="en-GB" w:eastAsia="zh-TW"/>
        </w:rPr>
        <w:t xml:space="preserve"> of management performance (</w:t>
      </w:r>
      <w:r w:rsidR="00ED262D" w:rsidRPr="007048BA">
        <w:rPr>
          <w:rFonts w:eastAsia="PMingLiU" w:cs="Times New Roman"/>
          <w:i/>
          <w:sz w:val="20"/>
          <w:szCs w:val="24"/>
          <w:lang w:val="en-GB" w:eastAsia="zh-TW"/>
        </w:rPr>
        <w:t>poor</w:t>
      </w:r>
      <w:r w:rsidRPr="007048BA">
        <w:rPr>
          <w:rFonts w:eastAsia="PMingLiU" w:cs="Times New Roman"/>
          <w:i/>
          <w:sz w:val="20"/>
          <w:szCs w:val="24"/>
          <w:lang w:val="en-GB" w:eastAsia="zh-TW"/>
        </w:rPr>
        <w:t xml:space="preserve">, </w:t>
      </w:r>
      <w:r w:rsidR="00ED262D" w:rsidRPr="007048BA">
        <w:rPr>
          <w:rFonts w:eastAsia="PMingLiU" w:cs="Times New Roman"/>
          <w:i/>
          <w:sz w:val="20"/>
          <w:szCs w:val="24"/>
          <w:lang w:val="en-GB" w:eastAsia="zh-TW"/>
        </w:rPr>
        <w:t>myopia</w:t>
      </w:r>
      <w:r w:rsidRPr="007048BA">
        <w:rPr>
          <w:rFonts w:eastAsia="PMingLiU" w:cs="Times New Roman"/>
          <w:i/>
          <w:sz w:val="20"/>
          <w:szCs w:val="24"/>
          <w:lang w:val="en-GB" w:eastAsia="zh-TW"/>
        </w:rPr>
        <w:t xml:space="preserve">, </w:t>
      </w:r>
      <w:r w:rsidR="00ED262D" w:rsidRPr="007048BA">
        <w:rPr>
          <w:rFonts w:eastAsia="PMingLiU" w:cs="Times New Roman"/>
          <w:i/>
          <w:sz w:val="20"/>
          <w:szCs w:val="24"/>
          <w:lang w:val="en-GB" w:eastAsia="zh-TW"/>
        </w:rPr>
        <w:t>hyperopia</w:t>
      </w:r>
      <w:r w:rsidRPr="007048BA">
        <w:rPr>
          <w:rFonts w:eastAsia="PMingLiU" w:cs="Times New Roman"/>
          <w:sz w:val="20"/>
          <w:szCs w:val="24"/>
          <w:lang w:val="en-GB" w:eastAsia="zh-TW"/>
        </w:rPr>
        <w:t xml:space="preserve"> and </w:t>
      </w:r>
      <w:r w:rsidR="00ED262D" w:rsidRPr="007048BA">
        <w:rPr>
          <w:rFonts w:eastAsia="PMingLiU" w:cs="Times New Roman"/>
          <w:i/>
          <w:sz w:val="20"/>
          <w:szCs w:val="24"/>
          <w:lang w:val="en-GB" w:eastAsia="zh-TW"/>
        </w:rPr>
        <w:t>efficient</w:t>
      </w:r>
      <w:r w:rsidR="00A57BE1" w:rsidRPr="007048BA">
        <w:rPr>
          <w:rFonts w:eastAsia="PMingLiU" w:cs="Times New Roman"/>
          <w:sz w:val="20"/>
          <w:szCs w:val="24"/>
          <w:lang w:val="en-GB" w:eastAsia="zh-TW"/>
        </w:rPr>
        <w:t>) to the other.  On</w:t>
      </w:r>
      <w:r w:rsidRPr="007048BA">
        <w:rPr>
          <w:rFonts w:eastAsia="PMingLiU" w:cs="Times New Roman"/>
          <w:sz w:val="20"/>
          <w:szCs w:val="24"/>
          <w:lang w:val="en-GB" w:eastAsia="zh-TW"/>
        </w:rPr>
        <w:t xml:space="preserve"> the table, firms switch </w:t>
      </w:r>
      <w:r w:rsidRPr="007048BA">
        <w:rPr>
          <w:rFonts w:eastAsia="PMingLiU" w:cs="Times New Roman"/>
          <w:i/>
          <w:sz w:val="20"/>
          <w:szCs w:val="24"/>
          <w:lang w:val="en-GB" w:eastAsia="zh-TW"/>
        </w:rPr>
        <w:t>from</w:t>
      </w:r>
      <w:r w:rsidR="004E0016" w:rsidRPr="007048BA">
        <w:rPr>
          <w:rFonts w:eastAsia="PMingLiU" w:cs="Times New Roman"/>
          <w:sz w:val="20"/>
          <w:szCs w:val="24"/>
          <w:lang w:val="en-GB" w:eastAsia="zh-TW"/>
        </w:rPr>
        <w:t xml:space="preserve"> (S</w:t>
      </w:r>
      <w:r w:rsidR="00277203" w:rsidRPr="007048BA">
        <w:rPr>
          <w:rFonts w:eastAsia="PMingLiU" w:cs="Times New Roman"/>
          <w:sz w:val="20"/>
          <w:szCs w:val="24"/>
          <w:lang w:val="en-GB" w:eastAsia="zh-TW"/>
        </w:rPr>
        <w:t>witch from</w:t>
      </w:r>
      <w:r w:rsidR="004E0016" w:rsidRPr="007048BA">
        <w:rPr>
          <w:rFonts w:eastAsia="PMingLiU" w:cs="Times New Roman"/>
          <w:sz w:val="20"/>
          <w:szCs w:val="24"/>
          <w:lang w:val="en-GB" w:eastAsia="zh-TW"/>
        </w:rPr>
        <w:t xml:space="preserve">:) </w:t>
      </w:r>
      <w:r w:rsidR="006B3320" w:rsidRPr="007048BA">
        <w:rPr>
          <w:rFonts w:eastAsia="PMingLiU" w:cs="Times New Roman"/>
          <w:sz w:val="20"/>
          <w:szCs w:val="24"/>
          <w:lang w:val="en-GB" w:eastAsia="zh-TW"/>
        </w:rPr>
        <w:t>attributes</w:t>
      </w:r>
      <w:r w:rsidRPr="007048BA">
        <w:rPr>
          <w:rFonts w:eastAsia="PMingLiU" w:cs="Times New Roman"/>
          <w:sz w:val="20"/>
          <w:szCs w:val="24"/>
          <w:lang w:val="en-GB" w:eastAsia="zh-TW"/>
        </w:rPr>
        <w:t xml:space="preserve"> in the second row </w:t>
      </w:r>
      <w:r w:rsidRPr="007048BA">
        <w:rPr>
          <w:rFonts w:eastAsia="PMingLiU" w:cs="Times New Roman"/>
          <w:i/>
          <w:sz w:val="20"/>
          <w:szCs w:val="24"/>
          <w:lang w:val="en-GB" w:eastAsia="zh-TW"/>
        </w:rPr>
        <w:t>to</w:t>
      </w:r>
      <w:r w:rsidRPr="007048BA">
        <w:rPr>
          <w:rFonts w:eastAsia="PMingLiU" w:cs="Times New Roman"/>
          <w:sz w:val="20"/>
          <w:szCs w:val="24"/>
          <w:lang w:val="en-GB" w:eastAsia="zh-TW"/>
        </w:rPr>
        <w:t xml:space="preserve"> (</w:t>
      </w:r>
      <w:r w:rsidR="00EF7211" w:rsidRPr="007048BA">
        <w:rPr>
          <w:rFonts w:eastAsia="PMingLiU" w:cs="Times New Roman"/>
          <w:sz w:val="20"/>
          <w:szCs w:val="24"/>
          <w:lang w:val="en-GB" w:eastAsia="zh-TW"/>
        </w:rPr>
        <w:t>Switch to</w:t>
      </w:r>
      <w:r w:rsidRPr="007048BA">
        <w:rPr>
          <w:rFonts w:eastAsia="PMingLiU" w:cs="Times New Roman"/>
          <w:sz w:val="20"/>
          <w:szCs w:val="24"/>
          <w:lang w:val="en-GB" w:eastAsia="zh-TW"/>
        </w:rPr>
        <w:t xml:space="preserve">:) </w:t>
      </w:r>
      <w:r w:rsidR="006B3320" w:rsidRPr="007048BA">
        <w:rPr>
          <w:rFonts w:eastAsia="PMingLiU" w:cs="Times New Roman"/>
          <w:sz w:val="20"/>
          <w:szCs w:val="24"/>
          <w:lang w:val="en-GB" w:eastAsia="zh-TW"/>
        </w:rPr>
        <w:t>attributes</w:t>
      </w:r>
      <w:r w:rsidRPr="007048BA">
        <w:rPr>
          <w:rFonts w:eastAsia="PMingLiU" w:cs="Times New Roman"/>
          <w:sz w:val="20"/>
          <w:szCs w:val="24"/>
          <w:lang w:val="en-GB" w:eastAsia="zh-TW"/>
        </w:rPr>
        <w:t xml:space="preserve"> in the second column. The diagonal (in bold) shows the percentage of firm-year observations which do not switch categories from one year to the other.</w:t>
      </w:r>
    </w:p>
    <w:p w14:paraId="6CF49D74" w14:textId="77777777" w:rsidR="001C29A9" w:rsidRPr="007048BA" w:rsidRDefault="001C29A9" w:rsidP="001C29A9">
      <w:pPr>
        <w:tabs>
          <w:tab w:val="left" w:pos="2580"/>
        </w:tabs>
        <w:autoSpaceDE w:val="0"/>
        <w:autoSpaceDN w:val="0"/>
        <w:adjustRightInd w:val="0"/>
        <w:spacing w:after="0" w:line="240" w:lineRule="auto"/>
        <w:ind w:firstLine="227"/>
        <w:rPr>
          <w:rFonts w:eastAsia="PMingLiU" w:cs="Times New Roman"/>
          <w:szCs w:val="24"/>
          <w:lang w:val="en-GB" w:eastAsia="zh-TW"/>
        </w:rPr>
      </w:pPr>
    </w:p>
    <w:tbl>
      <w:tblPr>
        <w:tblW w:w="7578" w:type="dxa"/>
        <w:jc w:val="center"/>
        <w:tblLook w:val="04A0" w:firstRow="1" w:lastRow="0" w:firstColumn="1" w:lastColumn="0" w:noHBand="0" w:noVBand="1"/>
      </w:tblPr>
      <w:tblGrid>
        <w:gridCol w:w="910"/>
        <w:gridCol w:w="1683"/>
        <w:gridCol w:w="857"/>
        <w:gridCol w:w="1283"/>
        <w:gridCol w:w="1683"/>
        <w:gridCol w:w="1536"/>
      </w:tblGrid>
      <w:tr w:rsidR="001C29A9" w:rsidRPr="007048BA" w14:paraId="0DA1647F" w14:textId="77777777" w:rsidTr="00B855E4">
        <w:trPr>
          <w:trHeight w:val="300"/>
          <w:jc w:val="center"/>
        </w:trPr>
        <w:tc>
          <w:tcPr>
            <w:tcW w:w="536" w:type="dxa"/>
            <w:tcBorders>
              <w:top w:val="single" w:sz="4" w:space="0" w:color="auto"/>
            </w:tcBorders>
            <w:shd w:val="clear" w:color="auto" w:fill="auto"/>
            <w:noWrap/>
            <w:vAlign w:val="bottom"/>
            <w:hideMark/>
          </w:tcPr>
          <w:p w14:paraId="7F49560F" w14:textId="77777777" w:rsidR="001C29A9" w:rsidRPr="007048BA" w:rsidRDefault="001C29A9" w:rsidP="00BF1A7A">
            <w:pPr>
              <w:spacing w:after="0" w:line="240" w:lineRule="auto"/>
              <w:ind w:firstLine="0"/>
              <w:jc w:val="left"/>
              <w:rPr>
                <w:rFonts w:eastAsia="Times New Roman" w:cs="Times New Roman"/>
                <w:szCs w:val="20"/>
                <w:lang w:val="en-GB" w:eastAsia="en-GB"/>
              </w:rPr>
            </w:pPr>
          </w:p>
        </w:tc>
        <w:tc>
          <w:tcPr>
            <w:tcW w:w="1683" w:type="dxa"/>
            <w:tcBorders>
              <w:top w:val="single" w:sz="4" w:space="0" w:color="auto"/>
            </w:tcBorders>
            <w:shd w:val="clear" w:color="auto" w:fill="auto"/>
            <w:noWrap/>
            <w:vAlign w:val="bottom"/>
            <w:hideMark/>
          </w:tcPr>
          <w:p w14:paraId="3B778572" w14:textId="77777777" w:rsidR="001C29A9" w:rsidRPr="007048BA" w:rsidRDefault="001C29A9" w:rsidP="00BF1A7A">
            <w:pPr>
              <w:spacing w:after="0" w:line="240" w:lineRule="auto"/>
              <w:ind w:firstLine="0"/>
              <w:jc w:val="left"/>
              <w:rPr>
                <w:rFonts w:eastAsia="Times New Roman" w:cs="Times New Roman"/>
                <w:szCs w:val="20"/>
                <w:lang w:val="en-GB" w:eastAsia="en-GB"/>
              </w:rPr>
            </w:pPr>
          </w:p>
        </w:tc>
        <w:tc>
          <w:tcPr>
            <w:tcW w:w="5359" w:type="dxa"/>
            <w:gridSpan w:val="4"/>
            <w:tcBorders>
              <w:top w:val="single" w:sz="4" w:space="0" w:color="auto"/>
            </w:tcBorders>
            <w:shd w:val="clear" w:color="auto" w:fill="auto"/>
            <w:noWrap/>
            <w:vAlign w:val="bottom"/>
            <w:hideMark/>
          </w:tcPr>
          <w:p w14:paraId="734733F6" w14:textId="251BC7A6" w:rsidR="001C29A9" w:rsidRPr="007048BA" w:rsidRDefault="00277203" w:rsidP="00BF1A7A">
            <w:pPr>
              <w:spacing w:after="0" w:line="240" w:lineRule="auto"/>
              <w:ind w:firstLine="0"/>
              <w:jc w:val="center"/>
              <w:rPr>
                <w:rFonts w:eastAsia="Times New Roman" w:cs="Times New Roman"/>
                <w:b/>
                <w:color w:val="000000"/>
                <w:lang w:val="en-GB" w:eastAsia="en-GB"/>
              </w:rPr>
            </w:pPr>
            <w:r w:rsidRPr="007048BA">
              <w:rPr>
                <w:rFonts w:eastAsia="Times New Roman" w:cs="Times New Roman"/>
                <w:b/>
                <w:color w:val="000000"/>
                <w:lang w:val="en-GB" w:eastAsia="en-GB"/>
              </w:rPr>
              <w:t>Switch from</w:t>
            </w:r>
            <w:r w:rsidR="001C29A9" w:rsidRPr="007048BA">
              <w:rPr>
                <w:rFonts w:eastAsia="Times New Roman" w:cs="Times New Roman"/>
                <w:b/>
                <w:color w:val="000000"/>
                <w:lang w:val="en-GB" w:eastAsia="en-GB"/>
              </w:rPr>
              <w:t>:</w:t>
            </w:r>
          </w:p>
        </w:tc>
      </w:tr>
      <w:tr w:rsidR="001C29A9" w:rsidRPr="007048BA" w14:paraId="1C504EC5" w14:textId="77777777" w:rsidTr="00B855E4">
        <w:trPr>
          <w:trHeight w:val="300"/>
          <w:jc w:val="center"/>
        </w:trPr>
        <w:tc>
          <w:tcPr>
            <w:tcW w:w="536" w:type="dxa"/>
            <w:tcBorders>
              <w:bottom w:val="single" w:sz="4" w:space="0" w:color="auto"/>
            </w:tcBorders>
            <w:shd w:val="clear" w:color="auto" w:fill="auto"/>
            <w:noWrap/>
            <w:vAlign w:val="bottom"/>
            <w:hideMark/>
          </w:tcPr>
          <w:p w14:paraId="039926FE" w14:textId="77777777" w:rsidR="001C29A9" w:rsidRPr="007048BA" w:rsidRDefault="001C29A9" w:rsidP="00BF1A7A">
            <w:pPr>
              <w:spacing w:after="0" w:line="240" w:lineRule="auto"/>
              <w:ind w:firstLine="0"/>
              <w:jc w:val="center"/>
              <w:rPr>
                <w:rFonts w:eastAsia="Times New Roman" w:cs="Times New Roman"/>
                <w:color w:val="000000"/>
                <w:lang w:val="en-GB" w:eastAsia="en-GB"/>
              </w:rPr>
            </w:pPr>
          </w:p>
        </w:tc>
        <w:tc>
          <w:tcPr>
            <w:tcW w:w="1683" w:type="dxa"/>
            <w:tcBorders>
              <w:bottom w:val="single" w:sz="4" w:space="0" w:color="auto"/>
            </w:tcBorders>
            <w:shd w:val="clear" w:color="auto" w:fill="auto"/>
            <w:noWrap/>
            <w:vAlign w:val="bottom"/>
            <w:hideMark/>
          </w:tcPr>
          <w:p w14:paraId="2579A35C" w14:textId="77777777" w:rsidR="001C29A9" w:rsidRPr="007048BA" w:rsidRDefault="001C29A9" w:rsidP="00BF1A7A">
            <w:pPr>
              <w:spacing w:after="0" w:line="240" w:lineRule="auto"/>
              <w:ind w:firstLine="0"/>
              <w:jc w:val="left"/>
              <w:rPr>
                <w:rFonts w:eastAsia="Times New Roman" w:cs="Times New Roman"/>
                <w:szCs w:val="20"/>
                <w:lang w:val="en-GB" w:eastAsia="en-GB"/>
              </w:rPr>
            </w:pPr>
          </w:p>
        </w:tc>
        <w:tc>
          <w:tcPr>
            <w:tcW w:w="857" w:type="dxa"/>
            <w:tcBorders>
              <w:bottom w:val="single" w:sz="4" w:space="0" w:color="auto"/>
            </w:tcBorders>
            <w:shd w:val="clear" w:color="auto" w:fill="auto"/>
            <w:noWrap/>
            <w:vAlign w:val="bottom"/>
            <w:hideMark/>
          </w:tcPr>
          <w:p w14:paraId="467CC608" w14:textId="61D18945" w:rsidR="001C29A9" w:rsidRPr="007048BA" w:rsidRDefault="00421037" w:rsidP="00BF1A7A">
            <w:pPr>
              <w:spacing w:after="0" w:line="240" w:lineRule="auto"/>
              <w:ind w:firstLine="0"/>
              <w:jc w:val="left"/>
              <w:rPr>
                <w:rFonts w:eastAsia="Times New Roman" w:cs="Times New Roman"/>
                <w:i/>
                <w:color w:val="000000"/>
                <w:lang w:val="en-GB" w:eastAsia="en-GB"/>
              </w:rPr>
            </w:pPr>
            <w:r w:rsidRPr="007048BA">
              <w:rPr>
                <w:rFonts w:eastAsia="Times New Roman" w:cs="Times New Roman"/>
                <w:i/>
                <w:color w:val="000000"/>
                <w:lang w:val="en-GB" w:eastAsia="en-GB"/>
              </w:rPr>
              <w:t>P</w:t>
            </w:r>
            <w:r w:rsidR="00ED262D" w:rsidRPr="007048BA">
              <w:rPr>
                <w:rFonts w:eastAsia="Times New Roman" w:cs="Times New Roman"/>
                <w:i/>
                <w:color w:val="000000"/>
                <w:lang w:val="en-GB" w:eastAsia="en-GB"/>
              </w:rPr>
              <w:t>oor</w:t>
            </w:r>
          </w:p>
        </w:tc>
        <w:tc>
          <w:tcPr>
            <w:tcW w:w="1283" w:type="dxa"/>
            <w:tcBorders>
              <w:bottom w:val="single" w:sz="4" w:space="0" w:color="auto"/>
            </w:tcBorders>
            <w:shd w:val="clear" w:color="auto" w:fill="auto"/>
            <w:noWrap/>
            <w:vAlign w:val="bottom"/>
            <w:hideMark/>
          </w:tcPr>
          <w:p w14:paraId="3BC5F0EE" w14:textId="0E213FAA" w:rsidR="001C29A9" w:rsidRPr="007048BA" w:rsidRDefault="00421037" w:rsidP="00BF1A7A">
            <w:pPr>
              <w:spacing w:after="0" w:line="240" w:lineRule="auto"/>
              <w:ind w:firstLine="0"/>
              <w:jc w:val="left"/>
              <w:rPr>
                <w:rFonts w:eastAsia="Times New Roman" w:cs="Times New Roman"/>
                <w:i/>
                <w:color w:val="000000"/>
                <w:lang w:val="en-GB" w:eastAsia="en-GB"/>
              </w:rPr>
            </w:pPr>
            <w:r w:rsidRPr="007048BA">
              <w:rPr>
                <w:rFonts w:eastAsia="Times New Roman" w:cs="Times New Roman"/>
                <w:i/>
                <w:color w:val="000000"/>
                <w:lang w:val="en-GB" w:eastAsia="en-GB"/>
              </w:rPr>
              <w:t>M</w:t>
            </w:r>
            <w:r w:rsidR="00ED262D" w:rsidRPr="007048BA">
              <w:rPr>
                <w:rFonts w:eastAsia="Times New Roman" w:cs="Times New Roman"/>
                <w:i/>
                <w:color w:val="000000"/>
                <w:lang w:val="en-GB" w:eastAsia="en-GB"/>
              </w:rPr>
              <w:t>yopia</w:t>
            </w:r>
          </w:p>
        </w:tc>
        <w:tc>
          <w:tcPr>
            <w:tcW w:w="1683" w:type="dxa"/>
            <w:tcBorders>
              <w:bottom w:val="single" w:sz="4" w:space="0" w:color="auto"/>
            </w:tcBorders>
            <w:shd w:val="clear" w:color="auto" w:fill="auto"/>
            <w:noWrap/>
            <w:vAlign w:val="bottom"/>
            <w:hideMark/>
          </w:tcPr>
          <w:p w14:paraId="33B8B400" w14:textId="7A841974" w:rsidR="001C29A9" w:rsidRPr="007048BA" w:rsidRDefault="00421037" w:rsidP="00BF1A7A">
            <w:pPr>
              <w:spacing w:after="0" w:line="240" w:lineRule="auto"/>
              <w:ind w:firstLine="0"/>
              <w:jc w:val="left"/>
              <w:rPr>
                <w:rFonts w:eastAsia="Times New Roman" w:cs="Times New Roman"/>
                <w:i/>
                <w:color w:val="000000"/>
                <w:lang w:val="en-GB" w:eastAsia="en-GB"/>
              </w:rPr>
            </w:pPr>
            <w:r w:rsidRPr="007048BA">
              <w:rPr>
                <w:rFonts w:eastAsia="Times New Roman" w:cs="Times New Roman"/>
                <w:i/>
                <w:color w:val="000000"/>
                <w:lang w:val="en-GB" w:eastAsia="en-GB"/>
              </w:rPr>
              <w:t>H</w:t>
            </w:r>
            <w:r w:rsidR="00ED262D" w:rsidRPr="007048BA">
              <w:rPr>
                <w:rFonts w:eastAsia="Times New Roman" w:cs="Times New Roman"/>
                <w:i/>
                <w:color w:val="000000"/>
                <w:lang w:val="en-GB" w:eastAsia="en-GB"/>
              </w:rPr>
              <w:t>yperopia</w:t>
            </w:r>
          </w:p>
        </w:tc>
        <w:tc>
          <w:tcPr>
            <w:tcW w:w="1536" w:type="dxa"/>
            <w:tcBorders>
              <w:bottom w:val="single" w:sz="4" w:space="0" w:color="auto"/>
            </w:tcBorders>
            <w:shd w:val="clear" w:color="auto" w:fill="auto"/>
            <w:noWrap/>
            <w:vAlign w:val="bottom"/>
            <w:hideMark/>
          </w:tcPr>
          <w:p w14:paraId="4FDE4029" w14:textId="28B41C28" w:rsidR="001C29A9" w:rsidRPr="007048BA" w:rsidRDefault="00421037" w:rsidP="00BF1A7A">
            <w:pPr>
              <w:spacing w:after="0" w:line="240" w:lineRule="auto"/>
              <w:ind w:firstLine="0"/>
              <w:jc w:val="left"/>
              <w:rPr>
                <w:rFonts w:eastAsia="Times New Roman" w:cs="Times New Roman"/>
                <w:i/>
                <w:color w:val="000000"/>
                <w:lang w:val="en-GB" w:eastAsia="en-GB"/>
              </w:rPr>
            </w:pPr>
            <w:r w:rsidRPr="007048BA">
              <w:rPr>
                <w:rFonts w:eastAsia="Times New Roman" w:cs="Times New Roman"/>
                <w:i/>
                <w:color w:val="000000"/>
                <w:lang w:val="en-GB" w:eastAsia="en-GB"/>
              </w:rPr>
              <w:t>E</w:t>
            </w:r>
            <w:r w:rsidR="00ED262D" w:rsidRPr="007048BA">
              <w:rPr>
                <w:rFonts w:eastAsia="Times New Roman" w:cs="Times New Roman"/>
                <w:i/>
                <w:color w:val="000000"/>
                <w:lang w:val="en-GB" w:eastAsia="en-GB"/>
              </w:rPr>
              <w:t>fficient</w:t>
            </w:r>
          </w:p>
        </w:tc>
      </w:tr>
      <w:tr w:rsidR="001C29A9" w:rsidRPr="007048BA" w14:paraId="6FB6A021" w14:textId="77777777" w:rsidTr="00BF1A7A">
        <w:trPr>
          <w:trHeight w:val="300"/>
          <w:jc w:val="center"/>
        </w:trPr>
        <w:tc>
          <w:tcPr>
            <w:tcW w:w="536" w:type="dxa"/>
            <w:vMerge w:val="restart"/>
            <w:tcBorders>
              <w:top w:val="single" w:sz="4" w:space="0" w:color="auto"/>
            </w:tcBorders>
            <w:shd w:val="clear" w:color="auto" w:fill="auto"/>
            <w:noWrap/>
            <w:vAlign w:val="center"/>
            <w:hideMark/>
          </w:tcPr>
          <w:p w14:paraId="4FEAA84B" w14:textId="30CD811F" w:rsidR="001C29A9" w:rsidRPr="007048BA" w:rsidRDefault="001C29A9" w:rsidP="00BF1A7A">
            <w:pPr>
              <w:spacing w:after="0" w:line="240" w:lineRule="auto"/>
              <w:ind w:firstLine="0"/>
              <w:jc w:val="center"/>
              <w:rPr>
                <w:rFonts w:eastAsia="Times New Roman" w:cs="Times New Roman"/>
                <w:b/>
                <w:color w:val="000000"/>
                <w:lang w:val="en-GB" w:eastAsia="en-GB"/>
              </w:rPr>
            </w:pPr>
            <w:r w:rsidRPr="007048BA">
              <w:rPr>
                <w:rFonts w:eastAsia="Times New Roman" w:cs="Times New Roman"/>
                <w:b/>
                <w:color w:val="000000"/>
                <w:lang w:val="en-GB" w:eastAsia="en-GB"/>
              </w:rPr>
              <w:t>S</w:t>
            </w:r>
            <w:r w:rsidR="00277203" w:rsidRPr="007048BA">
              <w:rPr>
                <w:rFonts w:eastAsia="Times New Roman" w:cs="Times New Roman"/>
                <w:b/>
                <w:color w:val="000000"/>
                <w:lang w:val="en-GB" w:eastAsia="en-GB"/>
              </w:rPr>
              <w:t>witch</w:t>
            </w:r>
          </w:p>
          <w:p w14:paraId="78471F15" w14:textId="092DD030" w:rsidR="001C29A9" w:rsidRPr="007048BA" w:rsidRDefault="00277203" w:rsidP="00BF1A7A">
            <w:pPr>
              <w:spacing w:after="0" w:line="240" w:lineRule="auto"/>
              <w:ind w:firstLine="0"/>
              <w:jc w:val="center"/>
              <w:rPr>
                <w:rFonts w:eastAsia="Times New Roman" w:cs="Times New Roman"/>
                <w:color w:val="000000"/>
                <w:lang w:val="en-GB" w:eastAsia="en-GB"/>
              </w:rPr>
            </w:pPr>
            <w:r w:rsidRPr="007048BA">
              <w:rPr>
                <w:rFonts w:eastAsia="Times New Roman" w:cs="Times New Roman"/>
                <w:b/>
                <w:color w:val="000000"/>
                <w:lang w:val="en-GB" w:eastAsia="en-GB"/>
              </w:rPr>
              <w:t>to</w:t>
            </w:r>
            <w:r w:rsidR="001C29A9" w:rsidRPr="007048BA">
              <w:rPr>
                <w:rFonts w:eastAsia="Times New Roman" w:cs="Times New Roman"/>
                <w:b/>
                <w:color w:val="000000"/>
                <w:lang w:val="en-GB" w:eastAsia="en-GB"/>
              </w:rPr>
              <w:t>:</w:t>
            </w:r>
          </w:p>
        </w:tc>
        <w:tc>
          <w:tcPr>
            <w:tcW w:w="1683" w:type="dxa"/>
            <w:tcBorders>
              <w:top w:val="single" w:sz="4" w:space="0" w:color="auto"/>
              <w:right w:val="single" w:sz="4" w:space="0" w:color="auto"/>
            </w:tcBorders>
            <w:shd w:val="clear" w:color="auto" w:fill="auto"/>
            <w:noWrap/>
            <w:vAlign w:val="bottom"/>
            <w:hideMark/>
          </w:tcPr>
          <w:p w14:paraId="5B8060AA" w14:textId="3971F23B" w:rsidR="001C29A9" w:rsidRPr="007048BA" w:rsidRDefault="00421037" w:rsidP="00BF1A7A">
            <w:pPr>
              <w:spacing w:after="0" w:line="240" w:lineRule="auto"/>
              <w:ind w:firstLine="0"/>
              <w:jc w:val="left"/>
              <w:rPr>
                <w:rFonts w:eastAsia="Times New Roman" w:cs="Times New Roman"/>
                <w:i/>
                <w:color w:val="000000"/>
                <w:lang w:val="en-GB" w:eastAsia="en-GB"/>
              </w:rPr>
            </w:pPr>
            <w:r w:rsidRPr="007048BA">
              <w:rPr>
                <w:rFonts w:eastAsia="Times New Roman" w:cs="Times New Roman"/>
                <w:i/>
                <w:color w:val="000000"/>
                <w:lang w:val="en-GB" w:eastAsia="en-GB"/>
              </w:rPr>
              <w:t>P</w:t>
            </w:r>
            <w:r w:rsidR="00ED262D" w:rsidRPr="007048BA">
              <w:rPr>
                <w:rFonts w:eastAsia="Times New Roman" w:cs="Times New Roman"/>
                <w:i/>
                <w:color w:val="000000"/>
                <w:lang w:val="en-GB" w:eastAsia="en-GB"/>
              </w:rPr>
              <w:t>oor</w:t>
            </w:r>
          </w:p>
        </w:tc>
        <w:tc>
          <w:tcPr>
            <w:tcW w:w="857" w:type="dxa"/>
            <w:tcBorders>
              <w:top w:val="single" w:sz="4" w:space="0" w:color="auto"/>
              <w:left w:val="single" w:sz="4" w:space="0" w:color="auto"/>
            </w:tcBorders>
            <w:shd w:val="clear" w:color="auto" w:fill="auto"/>
            <w:noWrap/>
            <w:vAlign w:val="bottom"/>
            <w:hideMark/>
          </w:tcPr>
          <w:p w14:paraId="6709334C" w14:textId="5C298995" w:rsidR="001C29A9" w:rsidRPr="007048BA" w:rsidRDefault="00821FD2" w:rsidP="00BF1A7A">
            <w:pPr>
              <w:spacing w:after="0" w:line="240" w:lineRule="auto"/>
              <w:ind w:firstLine="0"/>
              <w:jc w:val="right"/>
              <w:rPr>
                <w:rFonts w:eastAsia="Times New Roman" w:cs="Times New Roman"/>
                <w:b/>
                <w:color w:val="000000"/>
                <w:lang w:val="en-GB" w:eastAsia="en-GB"/>
              </w:rPr>
            </w:pPr>
            <w:r w:rsidRPr="007048BA">
              <w:rPr>
                <w:rFonts w:eastAsia="Times New Roman" w:cs="Times New Roman"/>
                <w:b/>
                <w:color w:val="000000"/>
                <w:lang w:val="en-GB" w:eastAsia="en-GB"/>
              </w:rPr>
              <w:t>35.89</w:t>
            </w:r>
          </w:p>
        </w:tc>
        <w:tc>
          <w:tcPr>
            <w:tcW w:w="1283" w:type="dxa"/>
            <w:tcBorders>
              <w:top w:val="single" w:sz="4" w:space="0" w:color="auto"/>
            </w:tcBorders>
            <w:shd w:val="clear" w:color="auto" w:fill="auto"/>
            <w:noWrap/>
            <w:vAlign w:val="bottom"/>
            <w:hideMark/>
          </w:tcPr>
          <w:p w14:paraId="6701C6C5" w14:textId="1A70597E" w:rsidR="001C29A9" w:rsidRPr="007048BA" w:rsidRDefault="00821FD2" w:rsidP="00BF1A7A">
            <w:pPr>
              <w:spacing w:after="0" w:line="240" w:lineRule="auto"/>
              <w:ind w:firstLine="0"/>
              <w:jc w:val="right"/>
              <w:rPr>
                <w:rFonts w:eastAsia="Times New Roman" w:cs="Times New Roman"/>
                <w:color w:val="000000"/>
                <w:lang w:val="en-GB" w:eastAsia="en-GB"/>
              </w:rPr>
            </w:pPr>
            <w:r w:rsidRPr="007048BA">
              <w:rPr>
                <w:rFonts w:eastAsia="Times New Roman" w:cs="Times New Roman"/>
                <w:color w:val="000000"/>
                <w:lang w:val="en-GB" w:eastAsia="en-GB"/>
              </w:rPr>
              <w:t>8.55</w:t>
            </w:r>
          </w:p>
        </w:tc>
        <w:tc>
          <w:tcPr>
            <w:tcW w:w="1683" w:type="dxa"/>
            <w:tcBorders>
              <w:top w:val="single" w:sz="4" w:space="0" w:color="auto"/>
            </w:tcBorders>
            <w:shd w:val="clear" w:color="auto" w:fill="auto"/>
            <w:noWrap/>
            <w:vAlign w:val="bottom"/>
            <w:hideMark/>
          </w:tcPr>
          <w:p w14:paraId="4A335D71" w14:textId="7A25A1D0" w:rsidR="001C29A9" w:rsidRPr="007048BA" w:rsidRDefault="004549B7" w:rsidP="00BF1A7A">
            <w:pPr>
              <w:spacing w:after="0" w:line="240" w:lineRule="auto"/>
              <w:ind w:firstLine="0"/>
              <w:jc w:val="right"/>
              <w:rPr>
                <w:rFonts w:eastAsia="Times New Roman" w:cs="Times New Roman"/>
                <w:color w:val="000000"/>
                <w:lang w:val="en-GB" w:eastAsia="en-GB"/>
              </w:rPr>
            </w:pPr>
            <w:r w:rsidRPr="007048BA">
              <w:rPr>
                <w:rFonts w:eastAsia="Times New Roman" w:cs="Times New Roman"/>
                <w:color w:val="000000"/>
                <w:lang w:val="en-GB" w:eastAsia="en-GB"/>
              </w:rPr>
              <w:t>30.90</w:t>
            </w:r>
          </w:p>
        </w:tc>
        <w:tc>
          <w:tcPr>
            <w:tcW w:w="1536" w:type="dxa"/>
            <w:tcBorders>
              <w:top w:val="single" w:sz="4" w:space="0" w:color="auto"/>
            </w:tcBorders>
            <w:shd w:val="clear" w:color="auto" w:fill="auto"/>
            <w:noWrap/>
            <w:vAlign w:val="bottom"/>
            <w:hideMark/>
          </w:tcPr>
          <w:p w14:paraId="2F9484C7" w14:textId="3F1668F3" w:rsidR="001C29A9" w:rsidRPr="007048BA" w:rsidRDefault="004549B7" w:rsidP="00BF1A7A">
            <w:pPr>
              <w:spacing w:after="0" w:line="240" w:lineRule="auto"/>
              <w:ind w:firstLine="0"/>
              <w:jc w:val="right"/>
              <w:rPr>
                <w:rFonts w:eastAsia="Times New Roman" w:cs="Times New Roman"/>
                <w:color w:val="000000"/>
                <w:lang w:val="en-GB" w:eastAsia="en-GB"/>
              </w:rPr>
            </w:pPr>
            <w:r w:rsidRPr="007048BA">
              <w:rPr>
                <w:rFonts w:eastAsia="Times New Roman" w:cs="Times New Roman"/>
                <w:color w:val="000000"/>
                <w:lang w:val="en-GB" w:eastAsia="en-GB"/>
              </w:rPr>
              <w:t>4.60</w:t>
            </w:r>
          </w:p>
        </w:tc>
      </w:tr>
      <w:tr w:rsidR="001C29A9" w:rsidRPr="007048BA" w14:paraId="73225401" w14:textId="77777777" w:rsidTr="00BF1A7A">
        <w:trPr>
          <w:trHeight w:val="300"/>
          <w:jc w:val="center"/>
        </w:trPr>
        <w:tc>
          <w:tcPr>
            <w:tcW w:w="536" w:type="dxa"/>
            <w:vMerge/>
            <w:vAlign w:val="center"/>
            <w:hideMark/>
          </w:tcPr>
          <w:p w14:paraId="4C2A0A06" w14:textId="77777777" w:rsidR="001C29A9" w:rsidRPr="007048BA" w:rsidRDefault="001C29A9" w:rsidP="00BF1A7A">
            <w:pPr>
              <w:spacing w:after="0" w:line="240" w:lineRule="auto"/>
              <w:ind w:firstLine="0"/>
              <w:jc w:val="left"/>
              <w:rPr>
                <w:rFonts w:eastAsia="Times New Roman" w:cs="Times New Roman"/>
                <w:color w:val="000000"/>
                <w:lang w:val="en-GB" w:eastAsia="en-GB"/>
              </w:rPr>
            </w:pPr>
          </w:p>
        </w:tc>
        <w:tc>
          <w:tcPr>
            <w:tcW w:w="1683" w:type="dxa"/>
            <w:tcBorders>
              <w:right w:val="single" w:sz="4" w:space="0" w:color="auto"/>
            </w:tcBorders>
            <w:shd w:val="clear" w:color="auto" w:fill="auto"/>
            <w:noWrap/>
            <w:vAlign w:val="bottom"/>
            <w:hideMark/>
          </w:tcPr>
          <w:p w14:paraId="03CF61B9" w14:textId="2360B8AE" w:rsidR="001C29A9" w:rsidRPr="007048BA" w:rsidRDefault="00421037" w:rsidP="00BF1A7A">
            <w:pPr>
              <w:spacing w:after="0" w:line="240" w:lineRule="auto"/>
              <w:ind w:firstLine="0"/>
              <w:jc w:val="left"/>
              <w:rPr>
                <w:rFonts w:eastAsia="Times New Roman" w:cs="Times New Roman"/>
                <w:i/>
                <w:color w:val="000000"/>
                <w:lang w:val="en-GB" w:eastAsia="en-GB"/>
              </w:rPr>
            </w:pPr>
            <w:r w:rsidRPr="007048BA">
              <w:rPr>
                <w:rFonts w:eastAsia="Times New Roman" w:cs="Times New Roman"/>
                <w:i/>
                <w:color w:val="000000"/>
                <w:lang w:val="en-GB" w:eastAsia="en-GB"/>
              </w:rPr>
              <w:t>M</w:t>
            </w:r>
            <w:r w:rsidR="00ED262D" w:rsidRPr="007048BA">
              <w:rPr>
                <w:rFonts w:eastAsia="Times New Roman" w:cs="Times New Roman"/>
                <w:i/>
                <w:color w:val="000000"/>
                <w:lang w:val="en-GB" w:eastAsia="en-GB"/>
              </w:rPr>
              <w:t>yopia</w:t>
            </w:r>
          </w:p>
        </w:tc>
        <w:tc>
          <w:tcPr>
            <w:tcW w:w="857" w:type="dxa"/>
            <w:tcBorders>
              <w:left w:val="single" w:sz="4" w:space="0" w:color="auto"/>
            </w:tcBorders>
            <w:shd w:val="clear" w:color="auto" w:fill="auto"/>
            <w:noWrap/>
            <w:vAlign w:val="bottom"/>
            <w:hideMark/>
          </w:tcPr>
          <w:p w14:paraId="45E4AC01" w14:textId="2F3C46F8" w:rsidR="001C29A9" w:rsidRPr="007048BA" w:rsidRDefault="00821FD2" w:rsidP="00BF1A7A">
            <w:pPr>
              <w:spacing w:after="0" w:line="240" w:lineRule="auto"/>
              <w:ind w:firstLine="0"/>
              <w:jc w:val="right"/>
              <w:rPr>
                <w:rFonts w:eastAsia="Times New Roman" w:cs="Times New Roman"/>
                <w:color w:val="000000"/>
                <w:lang w:val="en-GB" w:eastAsia="en-GB"/>
              </w:rPr>
            </w:pPr>
            <w:r w:rsidRPr="007048BA">
              <w:rPr>
                <w:rFonts w:eastAsia="Times New Roman" w:cs="Times New Roman"/>
                <w:color w:val="000000"/>
                <w:lang w:val="en-GB" w:eastAsia="en-GB"/>
              </w:rPr>
              <w:t>9.09</w:t>
            </w:r>
          </w:p>
        </w:tc>
        <w:tc>
          <w:tcPr>
            <w:tcW w:w="1283" w:type="dxa"/>
            <w:shd w:val="clear" w:color="auto" w:fill="auto"/>
            <w:noWrap/>
            <w:vAlign w:val="bottom"/>
            <w:hideMark/>
          </w:tcPr>
          <w:p w14:paraId="70A78C3C" w14:textId="200155E9" w:rsidR="001C29A9" w:rsidRPr="007048BA" w:rsidRDefault="00821FD2" w:rsidP="00BF1A7A">
            <w:pPr>
              <w:spacing w:after="0" w:line="240" w:lineRule="auto"/>
              <w:ind w:firstLine="0"/>
              <w:jc w:val="right"/>
              <w:rPr>
                <w:rFonts w:eastAsia="Times New Roman" w:cs="Times New Roman"/>
                <w:b/>
                <w:color w:val="000000"/>
                <w:lang w:val="en-GB" w:eastAsia="en-GB"/>
              </w:rPr>
            </w:pPr>
            <w:r w:rsidRPr="007048BA">
              <w:rPr>
                <w:rFonts w:eastAsia="Times New Roman" w:cs="Times New Roman"/>
                <w:b/>
                <w:color w:val="000000"/>
                <w:lang w:val="en-GB" w:eastAsia="en-GB"/>
              </w:rPr>
              <w:t>38.27</w:t>
            </w:r>
          </w:p>
        </w:tc>
        <w:tc>
          <w:tcPr>
            <w:tcW w:w="1683" w:type="dxa"/>
            <w:shd w:val="clear" w:color="auto" w:fill="auto"/>
            <w:noWrap/>
            <w:vAlign w:val="bottom"/>
            <w:hideMark/>
          </w:tcPr>
          <w:p w14:paraId="66BBCCE2" w14:textId="36C0EB39" w:rsidR="001C29A9" w:rsidRPr="007048BA" w:rsidRDefault="004549B7" w:rsidP="00BF1A7A">
            <w:pPr>
              <w:spacing w:after="0" w:line="240" w:lineRule="auto"/>
              <w:ind w:firstLine="0"/>
              <w:jc w:val="right"/>
              <w:rPr>
                <w:rFonts w:eastAsia="Times New Roman" w:cs="Times New Roman"/>
                <w:color w:val="000000"/>
                <w:lang w:val="en-GB" w:eastAsia="en-GB"/>
              </w:rPr>
            </w:pPr>
            <w:r w:rsidRPr="007048BA">
              <w:rPr>
                <w:rFonts w:eastAsia="Times New Roman" w:cs="Times New Roman"/>
                <w:color w:val="000000"/>
                <w:lang w:val="en-GB" w:eastAsia="en-GB"/>
              </w:rPr>
              <w:t>11.28</w:t>
            </w:r>
          </w:p>
        </w:tc>
        <w:tc>
          <w:tcPr>
            <w:tcW w:w="1536" w:type="dxa"/>
            <w:shd w:val="clear" w:color="auto" w:fill="auto"/>
            <w:noWrap/>
            <w:vAlign w:val="bottom"/>
            <w:hideMark/>
          </w:tcPr>
          <w:p w14:paraId="4DAFFA4E" w14:textId="0ED8E077" w:rsidR="001C29A9" w:rsidRPr="007048BA" w:rsidRDefault="004549B7" w:rsidP="00BF1A7A">
            <w:pPr>
              <w:spacing w:after="0" w:line="240" w:lineRule="auto"/>
              <w:ind w:firstLine="0"/>
              <w:jc w:val="right"/>
              <w:rPr>
                <w:rFonts w:eastAsia="Times New Roman" w:cs="Times New Roman"/>
                <w:color w:val="000000"/>
                <w:lang w:val="en-GB" w:eastAsia="en-GB"/>
              </w:rPr>
            </w:pPr>
            <w:r w:rsidRPr="007048BA">
              <w:rPr>
                <w:rFonts w:eastAsia="Times New Roman" w:cs="Times New Roman"/>
                <w:color w:val="000000"/>
                <w:lang w:val="en-GB" w:eastAsia="en-GB"/>
              </w:rPr>
              <w:t>35.08</w:t>
            </w:r>
          </w:p>
        </w:tc>
      </w:tr>
      <w:tr w:rsidR="001C29A9" w:rsidRPr="007048BA" w14:paraId="046D4277" w14:textId="77777777" w:rsidTr="00BF1A7A">
        <w:trPr>
          <w:trHeight w:val="300"/>
          <w:jc w:val="center"/>
        </w:trPr>
        <w:tc>
          <w:tcPr>
            <w:tcW w:w="536" w:type="dxa"/>
            <w:vMerge/>
            <w:vAlign w:val="center"/>
            <w:hideMark/>
          </w:tcPr>
          <w:p w14:paraId="06FDAA1F" w14:textId="77777777" w:rsidR="001C29A9" w:rsidRPr="007048BA" w:rsidRDefault="001C29A9" w:rsidP="00BF1A7A">
            <w:pPr>
              <w:spacing w:after="0" w:line="240" w:lineRule="auto"/>
              <w:ind w:firstLine="0"/>
              <w:jc w:val="left"/>
              <w:rPr>
                <w:rFonts w:eastAsia="Times New Roman" w:cs="Times New Roman"/>
                <w:color w:val="000000"/>
                <w:lang w:val="en-GB" w:eastAsia="en-GB"/>
              </w:rPr>
            </w:pPr>
          </w:p>
        </w:tc>
        <w:tc>
          <w:tcPr>
            <w:tcW w:w="1683" w:type="dxa"/>
            <w:tcBorders>
              <w:right w:val="single" w:sz="4" w:space="0" w:color="auto"/>
            </w:tcBorders>
            <w:shd w:val="clear" w:color="auto" w:fill="auto"/>
            <w:noWrap/>
            <w:vAlign w:val="bottom"/>
            <w:hideMark/>
          </w:tcPr>
          <w:p w14:paraId="4C740F33" w14:textId="3AC32D7F" w:rsidR="001C29A9" w:rsidRPr="007048BA" w:rsidRDefault="00421037" w:rsidP="00BF1A7A">
            <w:pPr>
              <w:spacing w:after="0" w:line="240" w:lineRule="auto"/>
              <w:ind w:firstLine="0"/>
              <w:jc w:val="left"/>
              <w:rPr>
                <w:rFonts w:eastAsia="Times New Roman" w:cs="Times New Roman"/>
                <w:i/>
                <w:color w:val="000000"/>
                <w:lang w:val="en-GB" w:eastAsia="en-GB"/>
              </w:rPr>
            </w:pPr>
            <w:r w:rsidRPr="007048BA">
              <w:rPr>
                <w:rFonts w:eastAsia="Times New Roman" w:cs="Times New Roman"/>
                <w:i/>
                <w:color w:val="000000"/>
                <w:lang w:val="en-GB" w:eastAsia="en-GB"/>
              </w:rPr>
              <w:t>H</w:t>
            </w:r>
            <w:r w:rsidR="00ED262D" w:rsidRPr="007048BA">
              <w:rPr>
                <w:rFonts w:eastAsia="Times New Roman" w:cs="Times New Roman"/>
                <w:i/>
                <w:color w:val="000000"/>
                <w:lang w:val="en-GB" w:eastAsia="en-GB"/>
              </w:rPr>
              <w:t>yperopia</w:t>
            </w:r>
          </w:p>
        </w:tc>
        <w:tc>
          <w:tcPr>
            <w:tcW w:w="857" w:type="dxa"/>
            <w:tcBorders>
              <w:left w:val="single" w:sz="4" w:space="0" w:color="auto"/>
            </w:tcBorders>
            <w:shd w:val="clear" w:color="auto" w:fill="auto"/>
            <w:noWrap/>
            <w:vAlign w:val="bottom"/>
            <w:hideMark/>
          </w:tcPr>
          <w:p w14:paraId="1B77EA40" w14:textId="3EFBBB13" w:rsidR="001C29A9" w:rsidRPr="007048BA" w:rsidRDefault="00821FD2" w:rsidP="00BF1A7A">
            <w:pPr>
              <w:spacing w:after="0" w:line="240" w:lineRule="auto"/>
              <w:ind w:firstLine="0"/>
              <w:jc w:val="right"/>
              <w:rPr>
                <w:rFonts w:eastAsia="Times New Roman" w:cs="Times New Roman"/>
                <w:color w:val="000000"/>
                <w:lang w:val="en-GB" w:eastAsia="en-GB"/>
              </w:rPr>
            </w:pPr>
            <w:r w:rsidRPr="007048BA">
              <w:rPr>
                <w:rFonts w:eastAsia="Times New Roman" w:cs="Times New Roman"/>
                <w:color w:val="000000"/>
                <w:lang w:val="en-GB" w:eastAsia="en-GB"/>
              </w:rPr>
              <w:t>41.82</w:t>
            </w:r>
          </w:p>
        </w:tc>
        <w:tc>
          <w:tcPr>
            <w:tcW w:w="1283" w:type="dxa"/>
            <w:shd w:val="clear" w:color="auto" w:fill="auto"/>
            <w:noWrap/>
            <w:vAlign w:val="bottom"/>
            <w:hideMark/>
          </w:tcPr>
          <w:p w14:paraId="6262611B" w14:textId="346DEE9B" w:rsidR="001C29A9" w:rsidRPr="007048BA" w:rsidRDefault="00821FD2" w:rsidP="00BF1A7A">
            <w:pPr>
              <w:spacing w:after="0" w:line="240" w:lineRule="auto"/>
              <w:ind w:firstLine="0"/>
              <w:jc w:val="right"/>
              <w:rPr>
                <w:rFonts w:eastAsia="Times New Roman" w:cs="Times New Roman"/>
                <w:color w:val="000000"/>
                <w:lang w:val="en-GB" w:eastAsia="en-GB"/>
              </w:rPr>
            </w:pPr>
            <w:r w:rsidRPr="007048BA">
              <w:rPr>
                <w:rFonts w:eastAsia="Times New Roman" w:cs="Times New Roman"/>
                <w:color w:val="000000"/>
                <w:lang w:val="en-GB" w:eastAsia="en-GB"/>
              </w:rPr>
              <w:t>9.20</w:t>
            </w:r>
          </w:p>
        </w:tc>
        <w:tc>
          <w:tcPr>
            <w:tcW w:w="1683" w:type="dxa"/>
            <w:shd w:val="clear" w:color="auto" w:fill="auto"/>
            <w:noWrap/>
            <w:vAlign w:val="bottom"/>
            <w:hideMark/>
          </w:tcPr>
          <w:p w14:paraId="73342A10" w14:textId="468885BF" w:rsidR="001C29A9" w:rsidRPr="007048BA" w:rsidRDefault="004549B7" w:rsidP="00BF1A7A">
            <w:pPr>
              <w:spacing w:after="0" w:line="240" w:lineRule="auto"/>
              <w:ind w:firstLine="0"/>
              <w:jc w:val="right"/>
              <w:rPr>
                <w:rFonts w:eastAsia="Times New Roman" w:cs="Times New Roman"/>
                <w:b/>
                <w:color w:val="000000"/>
                <w:lang w:val="en-GB" w:eastAsia="en-GB"/>
              </w:rPr>
            </w:pPr>
            <w:r w:rsidRPr="007048BA">
              <w:rPr>
                <w:rFonts w:eastAsia="Times New Roman" w:cs="Times New Roman"/>
                <w:b/>
                <w:color w:val="000000"/>
                <w:lang w:val="en-GB" w:eastAsia="en-GB"/>
              </w:rPr>
              <w:t>39.22</w:t>
            </w:r>
          </w:p>
        </w:tc>
        <w:tc>
          <w:tcPr>
            <w:tcW w:w="1536" w:type="dxa"/>
            <w:shd w:val="clear" w:color="auto" w:fill="auto"/>
            <w:noWrap/>
            <w:vAlign w:val="bottom"/>
            <w:hideMark/>
          </w:tcPr>
          <w:p w14:paraId="333E9F2D" w14:textId="4A0FD1B2" w:rsidR="001C29A9" w:rsidRPr="007048BA" w:rsidRDefault="004549B7" w:rsidP="00BF1A7A">
            <w:pPr>
              <w:spacing w:after="0" w:line="240" w:lineRule="auto"/>
              <w:ind w:firstLine="0"/>
              <w:jc w:val="right"/>
              <w:rPr>
                <w:rFonts w:eastAsia="Times New Roman" w:cs="Times New Roman"/>
                <w:color w:val="000000"/>
                <w:lang w:val="en-GB" w:eastAsia="en-GB"/>
              </w:rPr>
            </w:pPr>
            <w:r w:rsidRPr="007048BA">
              <w:rPr>
                <w:rFonts w:eastAsia="Times New Roman" w:cs="Times New Roman"/>
                <w:color w:val="000000"/>
                <w:lang w:val="en-GB" w:eastAsia="en-GB"/>
              </w:rPr>
              <w:t>4.87</w:t>
            </w:r>
          </w:p>
        </w:tc>
      </w:tr>
      <w:tr w:rsidR="001C29A9" w:rsidRPr="007048BA" w14:paraId="02786718" w14:textId="77777777" w:rsidTr="00BF1A7A">
        <w:trPr>
          <w:trHeight w:val="300"/>
          <w:jc w:val="center"/>
        </w:trPr>
        <w:tc>
          <w:tcPr>
            <w:tcW w:w="536" w:type="dxa"/>
            <w:vMerge/>
            <w:tcBorders>
              <w:bottom w:val="single" w:sz="4" w:space="0" w:color="auto"/>
            </w:tcBorders>
            <w:vAlign w:val="center"/>
            <w:hideMark/>
          </w:tcPr>
          <w:p w14:paraId="6E9B7CC9" w14:textId="77777777" w:rsidR="001C29A9" w:rsidRPr="007048BA" w:rsidRDefault="001C29A9" w:rsidP="00BF1A7A">
            <w:pPr>
              <w:spacing w:after="0" w:line="240" w:lineRule="auto"/>
              <w:ind w:firstLine="0"/>
              <w:jc w:val="left"/>
              <w:rPr>
                <w:rFonts w:eastAsia="Times New Roman" w:cs="Times New Roman"/>
                <w:color w:val="000000"/>
                <w:lang w:val="en-GB" w:eastAsia="en-GB"/>
              </w:rPr>
            </w:pPr>
          </w:p>
        </w:tc>
        <w:tc>
          <w:tcPr>
            <w:tcW w:w="1683" w:type="dxa"/>
            <w:tcBorders>
              <w:bottom w:val="single" w:sz="4" w:space="0" w:color="auto"/>
              <w:right w:val="single" w:sz="4" w:space="0" w:color="auto"/>
            </w:tcBorders>
            <w:shd w:val="clear" w:color="auto" w:fill="auto"/>
            <w:noWrap/>
            <w:vAlign w:val="bottom"/>
            <w:hideMark/>
          </w:tcPr>
          <w:p w14:paraId="5E0F15A4" w14:textId="44546ABB" w:rsidR="001C29A9" w:rsidRPr="007048BA" w:rsidRDefault="00421037" w:rsidP="00BF1A7A">
            <w:pPr>
              <w:spacing w:after="0" w:line="240" w:lineRule="auto"/>
              <w:ind w:firstLine="0"/>
              <w:jc w:val="left"/>
              <w:rPr>
                <w:rFonts w:eastAsia="Times New Roman" w:cs="Times New Roman"/>
                <w:i/>
                <w:color w:val="000000"/>
                <w:lang w:val="en-GB" w:eastAsia="en-GB"/>
              </w:rPr>
            </w:pPr>
            <w:r w:rsidRPr="007048BA">
              <w:rPr>
                <w:rFonts w:eastAsia="Times New Roman" w:cs="Times New Roman"/>
                <w:i/>
                <w:color w:val="000000"/>
                <w:lang w:val="en-GB" w:eastAsia="en-GB"/>
              </w:rPr>
              <w:t>E</w:t>
            </w:r>
            <w:r w:rsidR="00ED262D" w:rsidRPr="007048BA">
              <w:rPr>
                <w:rFonts w:eastAsia="Times New Roman" w:cs="Times New Roman"/>
                <w:i/>
                <w:color w:val="000000"/>
                <w:lang w:val="en-GB" w:eastAsia="en-GB"/>
              </w:rPr>
              <w:t>fficient</w:t>
            </w:r>
          </w:p>
        </w:tc>
        <w:tc>
          <w:tcPr>
            <w:tcW w:w="857" w:type="dxa"/>
            <w:tcBorders>
              <w:left w:val="single" w:sz="4" w:space="0" w:color="auto"/>
              <w:bottom w:val="single" w:sz="4" w:space="0" w:color="auto"/>
            </w:tcBorders>
            <w:shd w:val="clear" w:color="auto" w:fill="auto"/>
            <w:noWrap/>
            <w:vAlign w:val="bottom"/>
            <w:hideMark/>
          </w:tcPr>
          <w:p w14:paraId="03BE20B4" w14:textId="4790EC38" w:rsidR="001C29A9" w:rsidRPr="007048BA" w:rsidRDefault="00821FD2" w:rsidP="00BF1A7A">
            <w:pPr>
              <w:spacing w:after="0" w:line="240" w:lineRule="auto"/>
              <w:ind w:firstLine="0"/>
              <w:jc w:val="right"/>
              <w:rPr>
                <w:rFonts w:eastAsia="Times New Roman" w:cs="Times New Roman"/>
                <w:color w:val="000000"/>
                <w:lang w:val="en-GB" w:eastAsia="en-GB"/>
              </w:rPr>
            </w:pPr>
            <w:r w:rsidRPr="007048BA">
              <w:rPr>
                <w:rFonts w:eastAsia="Times New Roman" w:cs="Times New Roman"/>
                <w:color w:val="000000"/>
                <w:lang w:val="en-GB" w:eastAsia="en-GB"/>
              </w:rPr>
              <w:t>13.19</w:t>
            </w:r>
          </w:p>
        </w:tc>
        <w:tc>
          <w:tcPr>
            <w:tcW w:w="1283" w:type="dxa"/>
            <w:tcBorders>
              <w:bottom w:val="single" w:sz="4" w:space="0" w:color="auto"/>
            </w:tcBorders>
            <w:shd w:val="clear" w:color="auto" w:fill="auto"/>
            <w:noWrap/>
            <w:vAlign w:val="bottom"/>
            <w:hideMark/>
          </w:tcPr>
          <w:p w14:paraId="2FF950FD" w14:textId="6C7EC4D6" w:rsidR="001C29A9" w:rsidRPr="007048BA" w:rsidRDefault="00821FD2" w:rsidP="00BF1A7A">
            <w:pPr>
              <w:spacing w:after="0" w:line="240" w:lineRule="auto"/>
              <w:ind w:firstLine="0"/>
              <w:jc w:val="right"/>
              <w:rPr>
                <w:rFonts w:eastAsia="Times New Roman" w:cs="Times New Roman"/>
                <w:color w:val="000000"/>
                <w:lang w:val="en-GB" w:eastAsia="en-GB"/>
              </w:rPr>
            </w:pPr>
            <w:r w:rsidRPr="007048BA">
              <w:rPr>
                <w:rFonts w:eastAsia="Times New Roman" w:cs="Times New Roman"/>
                <w:color w:val="000000"/>
                <w:lang w:val="en-GB" w:eastAsia="en-GB"/>
              </w:rPr>
              <w:t>43.98</w:t>
            </w:r>
          </w:p>
        </w:tc>
        <w:tc>
          <w:tcPr>
            <w:tcW w:w="1683" w:type="dxa"/>
            <w:tcBorders>
              <w:bottom w:val="single" w:sz="4" w:space="0" w:color="auto"/>
            </w:tcBorders>
            <w:shd w:val="clear" w:color="auto" w:fill="auto"/>
            <w:noWrap/>
            <w:vAlign w:val="bottom"/>
            <w:hideMark/>
          </w:tcPr>
          <w:p w14:paraId="0AA4CB36" w14:textId="25A99C22" w:rsidR="001C29A9" w:rsidRPr="007048BA" w:rsidRDefault="004549B7" w:rsidP="00BF1A7A">
            <w:pPr>
              <w:spacing w:after="0" w:line="240" w:lineRule="auto"/>
              <w:ind w:firstLine="0"/>
              <w:jc w:val="right"/>
              <w:rPr>
                <w:rFonts w:eastAsia="Times New Roman" w:cs="Times New Roman"/>
                <w:color w:val="000000"/>
                <w:lang w:val="en-GB" w:eastAsia="en-GB"/>
              </w:rPr>
            </w:pPr>
            <w:r w:rsidRPr="007048BA">
              <w:rPr>
                <w:rFonts w:eastAsia="Times New Roman" w:cs="Times New Roman"/>
                <w:color w:val="000000"/>
                <w:lang w:val="en-GB" w:eastAsia="en-GB"/>
              </w:rPr>
              <w:t>18.61</w:t>
            </w:r>
          </w:p>
        </w:tc>
        <w:tc>
          <w:tcPr>
            <w:tcW w:w="1536" w:type="dxa"/>
            <w:tcBorders>
              <w:bottom w:val="single" w:sz="4" w:space="0" w:color="auto"/>
            </w:tcBorders>
            <w:shd w:val="clear" w:color="auto" w:fill="auto"/>
            <w:noWrap/>
            <w:vAlign w:val="bottom"/>
            <w:hideMark/>
          </w:tcPr>
          <w:p w14:paraId="6F148D2A" w14:textId="61A91B69" w:rsidR="001C29A9" w:rsidRPr="007048BA" w:rsidRDefault="004549B7" w:rsidP="00BF1A7A">
            <w:pPr>
              <w:spacing w:after="0" w:line="240" w:lineRule="auto"/>
              <w:ind w:firstLine="0"/>
              <w:jc w:val="right"/>
              <w:rPr>
                <w:rFonts w:eastAsia="Times New Roman" w:cs="Times New Roman"/>
                <w:b/>
                <w:color w:val="000000"/>
                <w:lang w:val="en-GB" w:eastAsia="en-GB"/>
              </w:rPr>
            </w:pPr>
            <w:r w:rsidRPr="007048BA">
              <w:rPr>
                <w:rFonts w:eastAsia="Times New Roman" w:cs="Times New Roman"/>
                <w:b/>
                <w:color w:val="000000"/>
                <w:lang w:val="en-GB" w:eastAsia="en-GB"/>
              </w:rPr>
              <w:t>55.45</w:t>
            </w:r>
          </w:p>
        </w:tc>
      </w:tr>
    </w:tbl>
    <w:p w14:paraId="6017A74F" w14:textId="77777777" w:rsidR="001C29A9" w:rsidRPr="007048BA" w:rsidRDefault="001C29A9" w:rsidP="001C29A9">
      <w:pPr>
        <w:pStyle w:val="References0"/>
        <w:spacing w:line="240" w:lineRule="auto"/>
        <w:rPr>
          <w:lang w:val="en-GB"/>
        </w:rPr>
        <w:sectPr w:rsidR="001C29A9" w:rsidRPr="007048BA" w:rsidSect="0088458D">
          <w:pgSz w:w="12240" w:h="15840"/>
          <w:pgMar w:top="1304" w:right="964" w:bottom="1304" w:left="1077" w:header="720" w:footer="720" w:gutter="0"/>
          <w:cols w:space="720"/>
          <w:docGrid w:linePitch="360"/>
        </w:sectPr>
      </w:pPr>
    </w:p>
    <w:p w14:paraId="7F3EFB35" w14:textId="77777777" w:rsidR="0088458D" w:rsidRPr="007048BA" w:rsidRDefault="0088458D" w:rsidP="00D8280C">
      <w:pPr>
        <w:rPr>
          <w:b/>
          <w:sz w:val="28"/>
          <w:lang w:val="en-GB" w:eastAsia="zh-TW"/>
        </w:rPr>
        <w:sectPr w:rsidR="0088458D" w:rsidRPr="007048BA" w:rsidSect="007B5ED9">
          <w:type w:val="continuous"/>
          <w:pgSz w:w="12240" w:h="15840"/>
          <w:pgMar w:top="1304" w:right="964" w:bottom="1304" w:left="1077" w:header="720" w:footer="720" w:gutter="0"/>
          <w:cols w:space="720"/>
          <w:docGrid w:linePitch="360"/>
        </w:sectPr>
      </w:pPr>
    </w:p>
    <w:p w14:paraId="55681B57" w14:textId="2EA15B79" w:rsidR="00614C7A" w:rsidRPr="007048BA" w:rsidRDefault="00614C7A" w:rsidP="00D8280C">
      <w:pPr>
        <w:rPr>
          <w:rFonts w:eastAsia="PMingLiU" w:cs="Times New Roman"/>
          <w:b/>
          <w:sz w:val="28"/>
          <w:szCs w:val="24"/>
          <w:lang w:val="en-GB" w:eastAsia="zh-TW"/>
        </w:rPr>
      </w:pPr>
      <w:r w:rsidRPr="007048BA">
        <w:rPr>
          <w:b/>
          <w:sz w:val="28"/>
          <w:lang w:val="en-GB" w:eastAsia="zh-TW"/>
        </w:rPr>
        <w:lastRenderedPageBreak/>
        <w:t>Table 9</w:t>
      </w:r>
      <w:r w:rsidR="00D8280C" w:rsidRPr="007048BA">
        <w:rPr>
          <w:b/>
          <w:sz w:val="28"/>
          <w:lang w:val="en-GB" w:eastAsia="zh-TW"/>
        </w:rPr>
        <w:t xml:space="preserve">: </w:t>
      </w:r>
      <w:r w:rsidRPr="007048BA">
        <w:rPr>
          <w:rFonts w:eastAsia="PMingLiU" w:cs="Times New Roman"/>
          <w:b/>
          <w:sz w:val="28"/>
          <w:szCs w:val="24"/>
          <w:lang w:val="en-GB" w:eastAsia="zh-TW"/>
        </w:rPr>
        <w:t>R&amp;D investments, discretionary accruals and the likelihood of switching</w:t>
      </w:r>
    </w:p>
    <w:p w14:paraId="15EDAB8E" w14:textId="240D89D5" w:rsidR="00614C7A" w:rsidRPr="007048BA" w:rsidRDefault="0015681C" w:rsidP="00031D30">
      <w:pPr>
        <w:widowControl w:val="0"/>
        <w:autoSpaceDE w:val="0"/>
        <w:autoSpaceDN w:val="0"/>
        <w:adjustRightInd w:val="0"/>
        <w:spacing w:after="0" w:line="240" w:lineRule="auto"/>
        <w:ind w:firstLine="0"/>
        <w:rPr>
          <w:rFonts w:eastAsia="Times New Roman" w:cs="Times New Roman"/>
          <w:color w:val="000000"/>
          <w:sz w:val="20"/>
          <w:szCs w:val="20"/>
          <w:lang w:val="en-GB" w:eastAsia="en-GB"/>
        </w:rPr>
      </w:pPr>
      <w:r w:rsidRPr="007048BA">
        <w:rPr>
          <w:rFonts w:eastAsia="PMingLiU" w:cs="Times New Roman"/>
          <w:sz w:val="20"/>
          <w:szCs w:val="20"/>
          <w:lang w:val="en-GB" w:eastAsia="zh-TW"/>
        </w:rPr>
        <w:t xml:space="preserve">The table reports logit regressions results on the likelihood of switching </w:t>
      </w:r>
      <w:r w:rsidR="00EC6BF3" w:rsidRPr="007048BA">
        <w:rPr>
          <w:rFonts w:eastAsia="PMingLiU" w:cs="Times New Roman"/>
          <w:sz w:val="20"/>
          <w:szCs w:val="20"/>
          <w:lang w:val="en-GB" w:eastAsia="zh-TW"/>
        </w:rPr>
        <w:t xml:space="preserve">(dependent variable: </w:t>
      </w:r>
      <w:r w:rsidR="00EC6BF3" w:rsidRPr="007048BA">
        <w:rPr>
          <w:rFonts w:eastAsia="PMingLiU" w:cs="Times New Roman"/>
          <w:i/>
          <w:sz w:val="20"/>
          <w:szCs w:val="20"/>
          <w:lang w:val="en-GB" w:eastAsia="zh-TW"/>
        </w:rPr>
        <w:t>improve, maintain</w:t>
      </w:r>
      <w:r w:rsidR="00EC6BF3" w:rsidRPr="007048BA">
        <w:rPr>
          <w:rFonts w:eastAsia="PMingLiU" w:cs="Times New Roman"/>
          <w:sz w:val="20"/>
          <w:szCs w:val="20"/>
          <w:lang w:val="en-GB" w:eastAsia="zh-TW"/>
        </w:rPr>
        <w:t xml:space="preserve"> or </w:t>
      </w:r>
      <w:r w:rsidR="00EC6BF3" w:rsidRPr="007048BA">
        <w:rPr>
          <w:rFonts w:eastAsia="PMingLiU" w:cs="Times New Roman"/>
          <w:i/>
          <w:sz w:val="20"/>
          <w:szCs w:val="20"/>
          <w:lang w:val="en-GB" w:eastAsia="zh-TW"/>
        </w:rPr>
        <w:t>decline</w:t>
      </w:r>
      <w:r w:rsidR="00EC6BF3" w:rsidRPr="007048BA">
        <w:rPr>
          <w:rFonts w:eastAsia="PMingLiU" w:cs="Times New Roman"/>
          <w:sz w:val="20"/>
          <w:szCs w:val="20"/>
          <w:lang w:val="en-GB" w:eastAsia="zh-TW"/>
        </w:rPr>
        <w:t xml:space="preserve">) </w:t>
      </w:r>
      <w:r w:rsidRPr="007048BA">
        <w:rPr>
          <w:rFonts w:eastAsia="PMingLiU" w:cs="Times New Roman"/>
          <w:sz w:val="20"/>
          <w:szCs w:val="20"/>
          <w:lang w:val="en-GB" w:eastAsia="zh-TW"/>
        </w:rPr>
        <w:t xml:space="preserve">across </w:t>
      </w:r>
      <w:r w:rsidR="006B3320" w:rsidRPr="007048BA">
        <w:rPr>
          <w:rFonts w:eastAsia="PMingLiU" w:cs="Times New Roman"/>
          <w:sz w:val="20"/>
          <w:szCs w:val="20"/>
          <w:lang w:val="en-GB" w:eastAsia="zh-TW"/>
        </w:rPr>
        <w:t>attributes</w:t>
      </w:r>
      <w:r w:rsidR="00253478" w:rsidRPr="007048BA">
        <w:rPr>
          <w:rFonts w:eastAsia="PMingLiU" w:cs="Times New Roman"/>
          <w:sz w:val="20"/>
          <w:szCs w:val="20"/>
          <w:lang w:val="en-GB" w:eastAsia="zh-TW"/>
        </w:rPr>
        <w:t xml:space="preserve"> (independent variables)</w:t>
      </w:r>
      <w:r w:rsidRPr="007048BA">
        <w:rPr>
          <w:rFonts w:eastAsia="PMingLiU" w:cs="Times New Roman"/>
          <w:sz w:val="20"/>
          <w:szCs w:val="20"/>
          <w:lang w:val="en-GB" w:eastAsia="zh-TW"/>
        </w:rPr>
        <w:t xml:space="preserve">; (1) </w:t>
      </w:r>
      <w:r w:rsidR="00ED262D" w:rsidRPr="007048BA">
        <w:rPr>
          <w:rFonts w:eastAsia="PMingLiU" w:cs="Times New Roman"/>
          <w:i/>
          <w:sz w:val="20"/>
          <w:szCs w:val="20"/>
          <w:lang w:val="en-GB" w:eastAsia="zh-TW"/>
        </w:rPr>
        <w:t>poor</w:t>
      </w:r>
      <w:r w:rsidRPr="007048BA">
        <w:rPr>
          <w:rFonts w:eastAsia="PMingLiU" w:cs="Times New Roman"/>
          <w:i/>
          <w:sz w:val="20"/>
          <w:szCs w:val="20"/>
          <w:lang w:val="en-GB" w:eastAsia="zh-TW"/>
        </w:rPr>
        <w:t xml:space="preserve">, </w:t>
      </w:r>
      <w:r w:rsidRPr="007048BA">
        <w:rPr>
          <w:rFonts w:eastAsia="PMingLiU" w:cs="Times New Roman"/>
          <w:sz w:val="20"/>
          <w:szCs w:val="20"/>
          <w:lang w:val="en-GB" w:eastAsia="zh-TW"/>
        </w:rPr>
        <w:t xml:space="preserve">(2) </w:t>
      </w:r>
      <w:r w:rsidR="00ED262D" w:rsidRPr="007048BA">
        <w:rPr>
          <w:rFonts w:eastAsia="PMingLiU" w:cs="Times New Roman"/>
          <w:i/>
          <w:sz w:val="20"/>
          <w:szCs w:val="20"/>
          <w:lang w:val="en-GB" w:eastAsia="zh-TW"/>
        </w:rPr>
        <w:t>myopia</w:t>
      </w:r>
      <w:r w:rsidRPr="007048BA">
        <w:rPr>
          <w:rFonts w:eastAsia="PMingLiU" w:cs="Times New Roman"/>
          <w:i/>
          <w:sz w:val="20"/>
          <w:szCs w:val="20"/>
          <w:lang w:val="en-GB" w:eastAsia="zh-TW"/>
        </w:rPr>
        <w:t xml:space="preserve">, </w:t>
      </w:r>
      <w:r w:rsidRPr="007048BA">
        <w:rPr>
          <w:rFonts w:eastAsia="PMingLiU" w:cs="Times New Roman"/>
          <w:sz w:val="20"/>
          <w:szCs w:val="20"/>
          <w:lang w:val="en-GB" w:eastAsia="zh-TW"/>
        </w:rPr>
        <w:t xml:space="preserve">(3) </w:t>
      </w:r>
      <w:r w:rsidR="00ED262D" w:rsidRPr="007048BA">
        <w:rPr>
          <w:rFonts w:eastAsia="PMingLiU" w:cs="Times New Roman"/>
          <w:i/>
          <w:sz w:val="20"/>
          <w:szCs w:val="20"/>
          <w:lang w:val="en-GB" w:eastAsia="zh-TW"/>
        </w:rPr>
        <w:t>hyperopia</w:t>
      </w:r>
      <w:r w:rsidRPr="007048BA">
        <w:rPr>
          <w:rFonts w:eastAsia="PMingLiU" w:cs="Times New Roman"/>
          <w:i/>
          <w:sz w:val="20"/>
          <w:szCs w:val="20"/>
          <w:lang w:val="en-GB" w:eastAsia="zh-TW"/>
        </w:rPr>
        <w:t xml:space="preserve"> </w:t>
      </w:r>
      <w:r w:rsidRPr="007048BA">
        <w:rPr>
          <w:rFonts w:eastAsia="PMingLiU" w:cs="Times New Roman"/>
          <w:sz w:val="20"/>
          <w:szCs w:val="20"/>
          <w:lang w:val="en-GB" w:eastAsia="zh-TW"/>
        </w:rPr>
        <w:t>and</w:t>
      </w:r>
      <w:r w:rsidRPr="007048BA">
        <w:rPr>
          <w:rFonts w:eastAsia="PMingLiU" w:cs="Times New Roman"/>
          <w:i/>
          <w:sz w:val="20"/>
          <w:szCs w:val="20"/>
          <w:lang w:val="en-GB" w:eastAsia="zh-TW"/>
        </w:rPr>
        <w:t xml:space="preserve"> </w:t>
      </w:r>
      <w:r w:rsidRPr="007048BA">
        <w:rPr>
          <w:rFonts w:eastAsia="PMingLiU" w:cs="Times New Roman"/>
          <w:sz w:val="20"/>
          <w:szCs w:val="20"/>
          <w:lang w:val="en-GB" w:eastAsia="zh-TW"/>
        </w:rPr>
        <w:t xml:space="preserve">(4) </w:t>
      </w:r>
      <w:r w:rsidR="00ED262D" w:rsidRPr="007048BA">
        <w:rPr>
          <w:rFonts w:eastAsia="PMingLiU" w:cs="Times New Roman"/>
          <w:i/>
          <w:sz w:val="20"/>
          <w:szCs w:val="20"/>
          <w:lang w:val="en-GB" w:eastAsia="zh-TW"/>
        </w:rPr>
        <w:t>efficient</w:t>
      </w:r>
      <w:r w:rsidRPr="007048BA">
        <w:rPr>
          <w:rFonts w:eastAsia="PMingLiU" w:cs="Times New Roman"/>
          <w:sz w:val="20"/>
          <w:szCs w:val="20"/>
          <w:lang w:val="en-GB" w:eastAsia="zh-TW"/>
        </w:rPr>
        <w:t xml:space="preserve">. </w:t>
      </w:r>
      <w:r w:rsidR="00EF63A8" w:rsidRPr="007048BA">
        <w:rPr>
          <w:rFonts w:eastAsia="PMingLiU" w:cs="Times New Roman"/>
          <w:i/>
          <w:sz w:val="20"/>
          <w:szCs w:val="20"/>
          <w:lang w:val="en-GB" w:eastAsia="zh-TW"/>
        </w:rPr>
        <w:t>Improve</w:t>
      </w:r>
      <w:r w:rsidR="007F702A" w:rsidRPr="007048BA">
        <w:rPr>
          <w:rFonts w:eastAsia="PMingLiU" w:cs="Times New Roman"/>
          <w:sz w:val="20"/>
          <w:szCs w:val="20"/>
          <w:lang w:val="en-GB" w:eastAsia="zh-TW"/>
        </w:rPr>
        <w:t xml:space="preserve"> indicates a switch from a lower to a higher </w:t>
      </w:r>
      <w:r w:rsidR="002E346E" w:rsidRPr="007048BA">
        <w:rPr>
          <w:rFonts w:eastAsia="PMingLiU" w:cs="Times New Roman"/>
          <w:sz w:val="20"/>
          <w:szCs w:val="20"/>
          <w:lang w:val="en-GB" w:eastAsia="zh-TW"/>
        </w:rPr>
        <w:t>attribute</w:t>
      </w:r>
      <w:r w:rsidR="007F702A" w:rsidRPr="007048BA">
        <w:rPr>
          <w:rFonts w:eastAsia="PMingLiU" w:cs="Times New Roman"/>
          <w:sz w:val="20"/>
          <w:szCs w:val="20"/>
          <w:lang w:val="en-GB" w:eastAsia="zh-TW"/>
        </w:rPr>
        <w:t xml:space="preserve"> from one year to the next e.g., a switch from (1) </w:t>
      </w:r>
      <w:r w:rsidR="00ED262D" w:rsidRPr="007048BA">
        <w:rPr>
          <w:rFonts w:eastAsia="PMingLiU" w:cs="Times New Roman"/>
          <w:i/>
          <w:sz w:val="20"/>
          <w:szCs w:val="20"/>
          <w:lang w:val="en-GB" w:eastAsia="zh-TW"/>
        </w:rPr>
        <w:t>poor</w:t>
      </w:r>
      <w:r w:rsidR="007F702A" w:rsidRPr="007048BA">
        <w:rPr>
          <w:rFonts w:eastAsia="PMingLiU" w:cs="Times New Roman"/>
          <w:sz w:val="20"/>
          <w:szCs w:val="20"/>
          <w:lang w:val="en-GB" w:eastAsia="zh-TW"/>
        </w:rPr>
        <w:t xml:space="preserve"> to (2) </w:t>
      </w:r>
      <w:r w:rsidR="00ED262D" w:rsidRPr="007048BA">
        <w:rPr>
          <w:rFonts w:eastAsia="PMingLiU" w:cs="Times New Roman"/>
          <w:i/>
          <w:sz w:val="20"/>
          <w:szCs w:val="20"/>
          <w:lang w:val="en-GB" w:eastAsia="zh-TW"/>
        </w:rPr>
        <w:t>myopia</w:t>
      </w:r>
      <w:r w:rsidR="007F702A" w:rsidRPr="007048BA">
        <w:rPr>
          <w:rFonts w:eastAsia="PMingLiU" w:cs="Times New Roman"/>
          <w:sz w:val="20"/>
          <w:szCs w:val="20"/>
          <w:lang w:val="en-GB" w:eastAsia="zh-TW"/>
        </w:rPr>
        <w:t xml:space="preserve">, and so forth. </w:t>
      </w:r>
      <w:r w:rsidR="00EF63A8" w:rsidRPr="007048BA">
        <w:rPr>
          <w:rFonts w:eastAsia="PMingLiU" w:cs="Times New Roman"/>
          <w:i/>
          <w:sz w:val="20"/>
          <w:szCs w:val="20"/>
          <w:lang w:val="en-GB" w:eastAsia="zh-TW"/>
        </w:rPr>
        <w:t>Decline</w:t>
      </w:r>
      <w:r w:rsidR="007F702A" w:rsidRPr="007048BA">
        <w:rPr>
          <w:rFonts w:eastAsia="PMingLiU" w:cs="Times New Roman"/>
          <w:sz w:val="20"/>
          <w:szCs w:val="20"/>
          <w:lang w:val="en-GB" w:eastAsia="zh-TW"/>
        </w:rPr>
        <w:t xml:space="preserve"> indicates a switch from a higher to a lower </w:t>
      </w:r>
      <w:r w:rsidR="002E346E" w:rsidRPr="007048BA">
        <w:rPr>
          <w:rFonts w:eastAsia="PMingLiU" w:cs="Times New Roman"/>
          <w:sz w:val="20"/>
          <w:szCs w:val="20"/>
          <w:lang w:val="en-GB" w:eastAsia="zh-TW"/>
        </w:rPr>
        <w:t>attribute</w:t>
      </w:r>
      <w:r w:rsidR="007F702A" w:rsidRPr="007048BA">
        <w:rPr>
          <w:rFonts w:eastAsia="PMingLiU" w:cs="Times New Roman"/>
          <w:sz w:val="20"/>
          <w:szCs w:val="20"/>
          <w:lang w:val="en-GB" w:eastAsia="zh-TW"/>
        </w:rPr>
        <w:t xml:space="preserve">. </w:t>
      </w:r>
      <w:r w:rsidR="00EF63A8" w:rsidRPr="007048BA">
        <w:rPr>
          <w:rFonts w:eastAsia="PMingLiU" w:cs="Times New Roman"/>
          <w:i/>
          <w:sz w:val="20"/>
          <w:szCs w:val="20"/>
          <w:lang w:val="en-GB" w:eastAsia="zh-TW"/>
        </w:rPr>
        <w:t>Maintain</w:t>
      </w:r>
      <w:r w:rsidR="007F702A" w:rsidRPr="007048BA">
        <w:rPr>
          <w:rFonts w:eastAsia="PMingLiU" w:cs="Times New Roman"/>
          <w:sz w:val="20"/>
          <w:szCs w:val="20"/>
          <w:lang w:val="en-GB" w:eastAsia="zh-TW"/>
        </w:rPr>
        <w:t xml:space="preserve"> indicates no switch. We explore whether the levels of R&amp;D investment (</w:t>
      </w:r>
      <w:r w:rsidR="007F702A" w:rsidRPr="007048BA">
        <w:rPr>
          <w:rFonts w:eastAsia="PMingLiU" w:cs="Times New Roman"/>
          <w:i/>
          <w:sz w:val="20"/>
          <w:szCs w:val="20"/>
          <w:lang w:val="en-GB" w:eastAsia="zh-TW"/>
        </w:rPr>
        <w:t>RDI</w:t>
      </w:r>
      <w:r w:rsidR="007F702A" w:rsidRPr="007048BA">
        <w:rPr>
          <w:rFonts w:eastAsia="PMingLiU" w:cs="Times New Roman"/>
          <w:sz w:val="20"/>
          <w:szCs w:val="20"/>
          <w:lang w:val="en-GB" w:eastAsia="zh-TW"/>
        </w:rPr>
        <w:t xml:space="preserve">) and </w:t>
      </w:r>
      <w:r w:rsidR="00E27C8E" w:rsidRPr="007048BA">
        <w:rPr>
          <w:rFonts w:eastAsia="PMingLiU" w:cs="Times New Roman"/>
          <w:sz w:val="20"/>
          <w:szCs w:val="20"/>
          <w:lang w:val="en-GB" w:eastAsia="zh-TW"/>
        </w:rPr>
        <w:t xml:space="preserve">current </w:t>
      </w:r>
      <w:r w:rsidR="007F702A" w:rsidRPr="007048BA">
        <w:rPr>
          <w:rFonts w:eastAsia="PMingLiU" w:cs="Times New Roman"/>
          <w:sz w:val="20"/>
          <w:szCs w:val="20"/>
          <w:lang w:val="en-GB" w:eastAsia="zh-TW"/>
        </w:rPr>
        <w:t>discretionary accruals (</w:t>
      </w:r>
      <w:r w:rsidR="00E27C8E" w:rsidRPr="007048BA">
        <w:rPr>
          <w:rFonts w:eastAsia="PMingLiU" w:cs="Times New Roman"/>
          <w:i/>
          <w:sz w:val="20"/>
          <w:szCs w:val="20"/>
          <w:lang w:val="en-GB" w:eastAsia="zh-TW"/>
        </w:rPr>
        <w:t>C</w:t>
      </w:r>
      <w:r w:rsidR="00C82275" w:rsidRPr="007048BA">
        <w:rPr>
          <w:rFonts w:eastAsia="PMingLiU" w:cs="Times New Roman"/>
          <w:i/>
          <w:sz w:val="20"/>
          <w:szCs w:val="20"/>
          <w:lang w:val="en-GB" w:eastAsia="zh-TW"/>
        </w:rPr>
        <w:t>. A</w:t>
      </w:r>
      <w:r w:rsidR="007F702A" w:rsidRPr="007048BA">
        <w:rPr>
          <w:rFonts w:eastAsia="PMingLiU" w:cs="Times New Roman"/>
          <w:i/>
          <w:sz w:val="20"/>
          <w:szCs w:val="20"/>
          <w:lang w:val="en-GB" w:eastAsia="zh-TW"/>
        </w:rPr>
        <w:t>ccruals</w:t>
      </w:r>
      <w:r w:rsidR="007F702A" w:rsidRPr="007048BA">
        <w:rPr>
          <w:rFonts w:eastAsia="PMingLiU" w:cs="Times New Roman"/>
          <w:sz w:val="20"/>
          <w:szCs w:val="20"/>
          <w:lang w:val="en-GB" w:eastAsia="zh-TW"/>
        </w:rPr>
        <w:t xml:space="preserve">) in the previous year </w:t>
      </w:r>
      <w:r w:rsidR="00E27C8E" w:rsidRPr="007048BA">
        <w:rPr>
          <w:rFonts w:eastAsia="PMingLiU" w:cs="Times New Roman"/>
          <w:sz w:val="20"/>
          <w:szCs w:val="20"/>
          <w:lang w:val="en-GB" w:eastAsia="zh-TW"/>
        </w:rPr>
        <w:t xml:space="preserve">(i.e., lagged values) </w:t>
      </w:r>
      <w:r w:rsidR="007F702A" w:rsidRPr="007048BA">
        <w:rPr>
          <w:rFonts w:eastAsia="PMingLiU" w:cs="Times New Roman"/>
          <w:sz w:val="20"/>
          <w:szCs w:val="20"/>
          <w:lang w:val="en-GB" w:eastAsia="zh-TW"/>
        </w:rPr>
        <w:t xml:space="preserve">explains the likelihood of switching. </w:t>
      </w:r>
      <w:r w:rsidRPr="007048BA">
        <w:rPr>
          <w:rFonts w:eastAsia="PMingLiU" w:cs="Times New Roman"/>
          <w:sz w:val="20"/>
          <w:szCs w:val="20"/>
          <w:lang w:val="en-GB" w:eastAsia="zh-TW"/>
        </w:rPr>
        <w:t xml:space="preserve">The </w:t>
      </w:r>
      <w:r w:rsidR="00031D30" w:rsidRPr="007048BA">
        <w:rPr>
          <w:rFonts w:eastAsia="PMingLiU" w:cs="Times New Roman"/>
          <w:sz w:val="20"/>
          <w:szCs w:val="20"/>
          <w:lang w:val="en-GB" w:eastAsia="zh-TW"/>
        </w:rPr>
        <w:t>control</w:t>
      </w:r>
      <w:r w:rsidRPr="007048BA">
        <w:rPr>
          <w:rFonts w:eastAsia="PMingLiU" w:cs="Times New Roman"/>
          <w:sz w:val="20"/>
          <w:szCs w:val="20"/>
          <w:lang w:val="en-GB" w:eastAsia="zh-TW"/>
        </w:rPr>
        <w:t xml:space="preserve"> variables in the model </w:t>
      </w:r>
      <w:r w:rsidR="00031D30" w:rsidRPr="007048BA">
        <w:rPr>
          <w:rFonts w:eastAsia="PMingLiU" w:cs="Times New Roman"/>
          <w:sz w:val="20"/>
          <w:szCs w:val="20"/>
          <w:lang w:val="en-GB" w:eastAsia="zh-TW"/>
        </w:rPr>
        <w:t xml:space="preserve">are fully discussed in Appendix 1. </w:t>
      </w:r>
      <w:r w:rsidRPr="007048BA">
        <w:rPr>
          <w:rFonts w:eastAsia="Times New Roman" w:cs="Times New Roman"/>
          <w:color w:val="000000"/>
          <w:sz w:val="20"/>
          <w:szCs w:val="20"/>
          <w:lang w:val="en-GB" w:eastAsia="en-GB"/>
        </w:rPr>
        <w:t xml:space="preserve">The </w:t>
      </w:r>
      <w:r w:rsidRPr="007048BA">
        <w:rPr>
          <w:rFonts w:eastAsia="Times New Roman" w:cs="Times New Roman"/>
          <w:i/>
          <w:color w:val="000000"/>
          <w:sz w:val="20"/>
          <w:szCs w:val="20"/>
          <w:lang w:val="en-GB" w:eastAsia="en-GB"/>
        </w:rPr>
        <w:t>p-values</w:t>
      </w:r>
      <w:r w:rsidRPr="007048BA">
        <w:rPr>
          <w:rFonts w:eastAsia="Times New Roman" w:cs="Times New Roman"/>
          <w:color w:val="000000"/>
          <w:sz w:val="20"/>
          <w:szCs w:val="20"/>
          <w:lang w:val="en-GB" w:eastAsia="en-GB"/>
        </w:rPr>
        <w:t xml:space="preserve"> are presented in parenthesis. ***, **, * indicate statistical significance at the 1%, 5% and 10% levels, respectively.</w:t>
      </w:r>
    </w:p>
    <w:p w14:paraId="0D9151A9" w14:textId="77777777" w:rsidR="00E27C8E" w:rsidRPr="007048BA" w:rsidRDefault="00E27C8E" w:rsidP="00031D30">
      <w:pPr>
        <w:widowControl w:val="0"/>
        <w:autoSpaceDE w:val="0"/>
        <w:autoSpaceDN w:val="0"/>
        <w:adjustRightInd w:val="0"/>
        <w:spacing w:after="0" w:line="240" w:lineRule="auto"/>
        <w:ind w:firstLine="0"/>
        <w:rPr>
          <w:rFonts w:eastAsia="Times New Roman" w:cs="Times New Roman"/>
          <w:color w:val="000000"/>
          <w:sz w:val="20"/>
          <w:szCs w:val="20"/>
          <w:lang w:val="en-GB" w:eastAsia="en-GB"/>
        </w:rPr>
      </w:pPr>
    </w:p>
    <w:tbl>
      <w:tblPr>
        <w:tblW w:w="0" w:type="auto"/>
        <w:jc w:val="center"/>
        <w:tblBorders>
          <w:top w:val="single" w:sz="4" w:space="0" w:color="auto"/>
          <w:bottom w:val="single" w:sz="4" w:space="0" w:color="auto"/>
        </w:tblBorders>
        <w:tblCellMar>
          <w:left w:w="75" w:type="dxa"/>
          <w:right w:w="75" w:type="dxa"/>
        </w:tblCellMar>
        <w:tblLook w:val="0000" w:firstRow="0" w:lastRow="0" w:firstColumn="0" w:lastColumn="0" w:noHBand="0" w:noVBand="0"/>
      </w:tblPr>
      <w:tblGrid>
        <w:gridCol w:w="1284"/>
        <w:gridCol w:w="1130"/>
        <w:gridCol w:w="1130"/>
        <w:gridCol w:w="1050"/>
        <w:gridCol w:w="1130"/>
        <w:gridCol w:w="1130"/>
        <w:gridCol w:w="1130"/>
      </w:tblGrid>
      <w:tr w:rsidR="00E27C8E" w:rsidRPr="007048BA" w14:paraId="6ADC40AF" w14:textId="77777777" w:rsidTr="002E7B24">
        <w:trPr>
          <w:jc w:val="center"/>
        </w:trPr>
        <w:tc>
          <w:tcPr>
            <w:tcW w:w="0" w:type="auto"/>
          </w:tcPr>
          <w:p w14:paraId="0C0DB1A2" w14:textId="77777777" w:rsidR="00E27C8E" w:rsidRPr="007048BA" w:rsidRDefault="00E27C8E" w:rsidP="003C197E">
            <w:pPr>
              <w:widowControl w:val="0"/>
              <w:autoSpaceDE w:val="0"/>
              <w:autoSpaceDN w:val="0"/>
              <w:adjustRightInd w:val="0"/>
              <w:spacing w:after="0" w:line="240" w:lineRule="auto"/>
              <w:ind w:firstLine="0"/>
              <w:jc w:val="left"/>
              <w:rPr>
                <w:rFonts w:eastAsia="Times New Roman" w:cs="Times New Roman"/>
                <w:szCs w:val="24"/>
                <w:lang w:val="en-GB" w:eastAsia="en-GB"/>
              </w:rPr>
            </w:pPr>
          </w:p>
        </w:tc>
        <w:tc>
          <w:tcPr>
            <w:tcW w:w="0" w:type="auto"/>
            <w:gridSpan w:val="2"/>
            <w:tcBorders>
              <w:bottom w:val="nil"/>
            </w:tcBorders>
          </w:tcPr>
          <w:p w14:paraId="16283228" w14:textId="4B54A12B" w:rsidR="00E27C8E" w:rsidRPr="007048BA" w:rsidRDefault="00E27C8E" w:rsidP="003C197E">
            <w:pPr>
              <w:widowControl w:val="0"/>
              <w:autoSpaceDE w:val="0"/>
              <w:autoSpaceDN w:val="0"/>
              <w:adjustRightInd w:val="0"/>
              <w:spacing w:after="0" w:line="240" w:lineRule="auto"/>
              <w:ind w:firstLine="0"/>
              <w:jc w:val="center"/>
              <w:rPr>
                <w:rFonts w:eastAsia="Times New Roman" w:cs="Times New Roman"/>
                <w:b/>
                <w:i/>
                <w:szCs w:val="24"/>
                <w:lang w:val="en-GB" w:eastAsia="en-GB"/>
              </w:rPr>
            </w:pPr>
            <w:r w:rsidRPr="007048BA">
              <w:rPr>
                <w:rFonts w:eastAsia="Times New Roman" w:cs="Times New Roman"/>
                <w:b/>
                <w:i/>
                <w:szCs w:val="24"/>
                <w:lang w:val="en-GB" w:eastAsia="en-GB"/>
              </w:rPr>
              <w:t>Improve</w:t>
            </w:r>
          </w:p>
        </w:tc>
        <w:tc>
          <w:tcPr>
            <w:tcW w:w="0" w:type="auto"/>
            <w:gridSpan w:val="2"/>
            <w:tcBorders>
              <w:bottom w:val="nil"/>
            </w:tcBorders>
          </w:tcPr>
          <w:p w14:paraId="187AC1DE" w14:textId="3C153B30" w:rsidR="00E27C8E" w:rsidRPr="007048BA" w:rsidRDefault="00E27C8E" w:rsidP="003C197E">
            <w:pPr>
              <w:widowControl w:val="0"/>
              <w:autoSpaceDE w:val="0"/>
              <w:autoSpaceDN w:val="0"/>
              <w:adjustRightInd w:val="0"/>
              <w:spacing w:after="0" w:line="240" w:lineRule="auto"/>
              <w:ind w:firstLine="0"/>
              <w:jc w:val="center"/>
              <w:rPr>
                <w:rFonts w:eastAsia="Times New Roman" w:cs="Times New Roman"/>
                <w:b/>
                <w:i/>
                <w:szCs w:val="24"/>
                <w:lang w:val="en-GB" w:eastAsia="en-GB"/>
              </w:rPr>
            </w:pPr>
            <w:r w:rsidRPr="007048BA">
              <w:rPr>
                <w:rFonts w:eastAsia="Times New Roman" w:cs="Times New Roman"/>
                <w:b/>
                <w:i/>
                <w:szCs w:val="24"/>
                <w:lang w:val="en-GB" w:eastAsia="en-GB"/>
              </w:rPr>
              <w:t>Maintain</w:t>
            </w:r>
          </w:p>
        </w:tc>
        <w:tc>
          <w:tcPr>
            <w:tcW w:w="0" w:type="auto"/>
            <w:gridSpan w:val="2"/>
            <w:tcBorders>
              <w:bottom w:val="nil"/>
            </w:tcBorders>
          </w:tcPr>
          <w:p w14:paraId="24DDC506" w14:textId="1CC06751" w:rsidR="00E27C8E" w:rsidRPr="007048BA" w:rsidRDefault="00E27C8E" w:rsidP="003C197E">
            <w:pPr>
              <w:widowControl w:val="0"/>
              <w:autoSpaceDE w:val="0"/>
              <w:autoSpaceDN w:val="0"/>
              <w:adjustRightInd w:val="0"/>
              <w:spacing w:after="0" w:line="240" w:lineRule="auto"/>
              <w:ind w:firstLine="0"/>
              <w:jc w:val="center"/>
              <w:rPr>
                <w:rFonts w:eastAsia="Times New Roman" w:cs="Times New Roman"/>
                <w:b/>
                <w:i/>
                <w:szCs w:val="24"/>
                <w:lang w:val="en-GB" w:eastAsia="en-GB"/>
              </w:rPr>
            </w:pPr>
            <w:r w:rsidRPr="007048BA">
              <w:rPr>
                <w:rFonts w:eastAsia="Times New Roman" w:cs="Times New Roman"/>
                <w:b/>
                <w:i/>
                <w:szCs w:val="24"/>
                <w:lang w:val="en-GB" w:eastAsia="en-GB"/>
              </w:rPr>
              <w:t>Decline</w:t>
            </w:r>
          </w:p>
        </w:tc>
      </w:tr>
      <w:tr w:rsidR="00E27C8E" w:rsidRPr="007048BA" w14:paraId="430DD000" w14:textId="77777777" w:rsidTr="002E7B24">
        <w:trPr>
          <w:jc w:val="center"/>
        </w:trPr>
        <w:tc>
          <w:tcPr>
            <w:tcW w:w="0" w:type="auto"/>
          </w:tcPr>
          <w:p w14:paraId="691D508A" w14:textId="77777777" w:rsidR="00E27C8E" w:rsidRPr="007048BA" w:rsidRDefault="00E27C8E" w:rsidP="00BC701D">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Borders>
              <w:top w:val="nil"/>
              <w:bottom w:val="single" w:sz="4" w:space="0" w:color="auto"/>
            </w:tcBorders>
          </w:tcPr>
          <w:p w14:paraId="24A7A7B5" w14:textId="77777777" w:rsidR="00E27C8E" w:rsidRPr="007048BA" w:rsidRDefault="00E27C8E" w:rsidP="00BC701D">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(1)</w:t>
            </w:r>
          </w:p>
        </w:tc>
        <w:tc>
          <w:tcPr>
            <w:tcW w:w="0" w:type="auto"/>
            <w:tcBorders>
              <w:top w:val="nil"/>
              <w:bottom w:val="single" w:sz="4" w:space="0" w:color="auto"/>
            </w:tcBorders>
          </w:tcPr>
          <w:p w14:paraId="4ED9A1F8" w14:textId="77777777" w:rsidR="00E27C8E" w:rsidRPr="007048BA" w:rsidRDefault="00E27C8E" w:rsidP="00BC701D">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(2)</w:t>
            </w:r>
          </w:p>
        </w:tc>
        <w:tc>
          <w:tcPr>
            <w:tcW w:w="0" w:type="auto"/>
            <w:tcBorders>
              <w:top w:val="nil"/>
              <w:bottom w:val="single" w:sz="4" w:space="0" w:color="auto"/>
            </w:tcBorders>
          </w:tcPr>
          <w:p w14:paraId="0E27916C" w14:textId="77777777" w:rsidR="00E27C8E" w:rsidRPr="007048BA" w:rsidRDefault="00E27C8E" w:rsidP="00BC701D">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(3)</w:t>
            </w:r>
          </w:p>
        </w:tc>
        <w:tc>
          <w:tcPr>
            <w:tcW w:w="0" w:type="auto"/>
            <w:tcBorders>
              <w:top w:val="nil"/>
              <w:bottom w:val="single" w:sz="4" w:space="0" w:color="auto"/>
            </w:tcBorders>
          </w:tcPr>
          <w:p w14:paraId="1F02860C" w14:textId="77777777" w:rsidR="00E27C8E" w:rsidRPr="007048BA" w:rsidRDefault="00E27C8E" w:rsidP="00BC701D">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(4)</w:t>
            </w:r>
          </w:p>
        </w:tc>
        <w:tc>
          <w:tcPr>
            <w:tcW w:w="0" w:type="auto"/>
            <w:tcBorders>
              <w:top w:val="nil"/>
              <w:bottom w:val="single" w:sz="4" w:space="0" w:color="auto"/>
            </w:tcBorders>
          </w:tcPr>
          <w:p w14:paraId="3EDD3B79" w14:textId="77777777" w:rsidR="00E27C8E" w:rsidRPr="007048BA" w:rsidRDefault="00E27C8E" w:rsidP="00BC701D">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(5)</w:t>
            </w:r>
          </w:p>
        </w:tc>
        <w:tc>
          <w:tcPr>
            <w:tcW w:w="0" w:type="auto"/>
            <w:tcBorders>
              <w:top w:val="nil"/>
              <w:bottom w:val="single" w:sz="4" w:space="0" w:color="auto"/>
            </w:tcBorders>
          </w:tcPr>
          <w:p w14:paraId="483F64E0" w14:textId="77777777" w:rsidR="00E27C8E" w:rsidRPr="007048BA" w:rsidRDefault="00E27C8E" w:rsidP="00BC701D">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(6)</w:t>
            </w:r>
          </w:p>
        </w:tc>
      </w:tr>
      <w:tr w:rsidR="003C197E" w:rsidRPr="007048BA" w14:paraId="0D9740A5" w14:textId="77777777" w:rsidTr="002E7B24">
        <w:trPr>
          <w:jc w:val="center"/>
        </w:trPr>
        <w:tc>
          <w:tcPr>
            <w:tcW w:w="0" w:type="auto"/>
          </w:tcPr>
          <w:p w14:paraId="1EAA5AAF" w14:textId="2E1BB136"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RDI</w:t>
            </w:r>
          </w:p>
        </w:tc>
        <w:tc>
          <w:tcPr>
            <w:tcW w:w="0" w:type="auto"/>
            <w:tcBorders>
              <w:top w:val="single" w:sz="4" w:space="0" w:color="auto"/>
            </w:tcBorders>
          </w:tcPr>
          <w:p w14:paraId="0865AEA4"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0.625***</w:t>
            </w:r>
          </w:p>
        </w:tc>
        <w:tc>
          <w:tcPr>
            <w:tcW w:w="0" w:type="auto"/>
            <w:tcBorders>
              <w:top w:val="single" w:sz="4" w:space="0" w:color="auto"/>
            </w:tcBorders>
          </w:tcPr>
          <w:p w14:paraId="3FE96C7F"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single" w:sz="4" w:space="0" w:color="auto"/>
            </w:tcBorders>
          </w:tcPr>
          <w:p w14:paraId="78F41056"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-0.023</w:t>
            </w:r>
          </w:p>
        </w:tc>
        <w:tc>
          <w:tcPr>
            <w:tcW w:w="0" w:type="auto"/>
            <w:tcBorders>
              <w:top w:val="single" w:sz="4" w:space="0" w:color="auto"/>
            </w:tcBorders>
          </w:tcPr>
          <w:p w14:paraId="4623A908"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single" w:sz="4" w:space="0" w:color="auto"/>
            </w:tcBorders>
          </w:tcPr>
          <w:p w14:paraId="6118600F"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-0.579***</w:t>
            </w:r>
          </w:p>
        </w:tc>
        <w:tc>
          <w:tcPr>
            <w:tcW w:w="0" w:type="auto"/>
            <w:tcBorders>
              <w:top w:val="single" w:sz="4" w:space="0" w:color="auto"/>
            </w:tcBorders>
          </w:tcPr>
          <w:p w14:paraId="7F2A1C93"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3C197E" w:rsidRPr="007048BA" w14:paraId="1DC3DEA7" w14:textId="77777777" w:rsidTr="002E7B24">
        <w:trPr>
          <w:jc w:val="center"/>
        </w:trPr>
        <w:tc>
          <w:tcPr>
            <w:tcW w:w="0" w:type="auto"/>
          </w:tcPr>
          <w:p w14:paraId="7E97BC8D"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1E29596C"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(0.001)</w:t>
            </w:r>
          </w:p>
        </w:tc>
        <w:tc>
          <w:tcPr>
            <w:tcW w:w="0" w:type="auto"/>
          </w:tcPr>
          <w:p w14:paraId="335842CD"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5C077FA6"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(0.893)</w:t>
            </w:r>
          </w:p>
        </w:tc>
        <w:tc>
          <w:tcPr>
            <w:tcW w:w="0" w:type="auto"/>
          </w:tcPr>
          <w:p w14:paraId="26B8E098"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1D8CE02B"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(0.005)</w:t>
            </w:r>
          </w:p>
        </w:tc>
        <w:tc>
          <w:tcPr>
            <w:tcW w:w="0" w:type="auto"/>
          </w:tcPr>
          <w:p w14:paraId="408086E5"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3C197E" w:rsidRPr="007048BA" w14:paraId="745460C1" w14:textId="77777777" w:rsidTr="00C61246">
        <w:trPr>
          <w:trHeight w:val="104"/>
          <w:jc w:val="center"/>
        </w:trPr>
        <w:tc>
          <w:tcPr>
            <w:tcW w:w="0" w:type="auto"/>
          </w:tcPr>
          <w:p w14:paraId="7E416FE0" w14:textId="761D10F5" w:rsidR="003C197E" w:rsidRPr="007048BA" w:rsidRDefault="003C197E" w:rsidP="00C82275">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C</w:t>
            </w:r>
            <w:r w:rsidR="00C82275" w:rsidRPr="007048BA">
              <w:rPr>
                <w:rFonts w:eastAsia="Times New Roman" w:cs="Times New Roman"/>
                <w:i/>
                <w:szCs w:val="24"/>
                <w:lang w:val="en-GB" w:eastAsia="en-GB"/>
              </w:rPr>
              <w:t>. A</w:t>
            </w:r>
            <w:r w:rsidRPr="007048BA">
              <w:rPr>
                <w:rFonts w:eastAsia="Times New Roman" w:cs="Times New Roman"/>
                <w:i/>
                <w:szCs w:val="24"/>
                <w:lang w:val="en-GB" w:eastAsia="en-GB"/>
              </w:rPr>
              <w:t>ccruals</w:t>
            </w:r>
          </w:p>
        </w:tc>
        <w:tc>
          <w:tcPr>
            <w:tcW w:w="0" w:type="auto"/>
          </w:tcPr>
          <w:p w14:paraId="2F6DE1F5"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258237F7"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-0.557***</w:t>
            </w:r>
          </w:p>
        </w:tc>
        <w:tc>
          <w:tcPr>
            <w:tcW w:w="0" w:type="auto"/>
          </w:tcPr>
          <w:p w14:paraId="0FA9CEE8"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00735B66"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0.344***</w:t>
            </w:r>
          </w:p>
        </w:tc>
        <w:tc>
          <w:tcPr>
            <w:tcW w:w="0" w:type="auto"/>
          </w:tcPr>
          <w:p w14:paraId="6486059C"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04921C4D"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0.174</w:t>
            </w:r>
          </w:p>
        </w:tc>
      </w:tr>
      <w:tr w:rsidR="003C197E" w:rsidRPr="007048BA" w14:paraId="5F682C3F" w14:textId="77777777" w:rsidTr="002E7B24">
        <w:trPr>
          <w:jc w:val="center"/>
        </w:trPr>
        <w:tc>
          <w:tcPr>
            <w:tcW w:w="0" w:type="auto"/>
          </w:tcPr>
          <w:p w14:paraId="6410C173"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71DA43FF"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5D6F8B11"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1B36E7B7"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2464177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(0.006)</w:t>
            </w:r>
          </w:p>
        </w:tc>
        <w:tc>
          <w:tcPr>
            <w:tcW w:w="0" w:type="auto"/>
          </w:tcPr>
          <w:p w14:paraId="2EE53514"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2A321BFB"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(0.195)</w:t>
            </w:r>
          </w:p>
        </w:tc>
      </w:tr>
      <w:tr w:rsidR="003C197E" w:rsidRPr="007048BA" w14:paraId="3EF513BF" w14:textId="77777777" w:rsidTr="002E7B24">
        <w:trPr>
          <w:jc w:val="center"/>
        </w:trPr>
        <w:tc>
          <w:tcPr>
            <w:tcW w:w="0" w:type="auto"/>
          </w:tcPr>
          <w:p w14:paraId="3A765257"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TBQ</w:t>
            </w:r>
          </w:p>
        </w:tc>
        <w:tc>
          <w:tcPr>
            <w:tcW w:w="0" w:type="auto"/>
          </w:tcPr>
          <w:p w14:paraId="6841AB32"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-0.206***</w:t>
            </w:r>
          </w:p>
        </w:tc>
        <w:tc>
          <w:tcPr>
            <w:tcW w:w="0" w:type="auto"/>
          </w:tcPr>
          <w:p w14:paraId="3A5183F7"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-0.196***</w:t>
            </w:r>
          </w:p>
        </w:tc>
        <w:tc>
          <w:tcPr>
            <w:tcW w:w="0" w:type="auto"/>
          </w:tcPr>
          <w:p w14:paraId="64407CA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0.029**</w:t>
            </w:r>
          </w:p>
        </w:tc>
        <w:tc>
          <w:tcPr>
            <w:tcW w:w="0" w:type="auto"/>
          </w:tcPr>
          <w:p w14:paraId="18FB48BF"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0.036***</w:t>
            </w:r>
          </w:p>
        </w:tc>
        <w:tc>
          <w:tcPr>
            <w:tcW w:w="0" w:type="auto"/>
          </w:tcPr>
          <w:p w14:paraId="7B2289B2"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0.114***</w:t>
            </w:r>
          </w:p>
        </w:tc>
        <w:tc>
          <w:tcPr>
            <w:tcW w:w="0" w:type="auto"/>
          </w:tcPr>
          <w:p w14:paraId="7709685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0.110***</w:t>
            </w:r>
          </w:p>
        </w:tc>
      </w:tr>
      <w:tr w:rsidR="003C197E" w:rsidRPr="007048BA" w14:paraId="236BBA5D" w14:textId="77777777" w:rsidTr="002E7B24">
        <w:trPr>
          <w:jc w:val="center"/>
        </w:trPr>
        <w:tc>
          <w:tcPr>
            <w:tcW w:w="0" w:type="auto"/>
          </w:tcPr>
          <w:p w14:paraId="5B035223"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2972FB0F"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3B1628F8"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5C2E869D"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(0.015)</w:t>
            </w:r>
          </w:p>
        </w:tc>
        <w:tc>
          <w:tcPr>
            <w:tcW w:w="0" w:type="auto"/>
          </w:tcPr>
          <w:p w14:paraId="7FEF0AAD"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1079804B"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203B7106"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3C197E" w:rsidRPr="007048BA" w14:paraId="593468E9" w14:textId="77777777" w:rsidTr="002E7B24">
        <w:trPr>
          <w:jc w:val="center"/>
        </w:trPr>
        <w:tc>
          <w:tcPr>
            <w:tcW w:w="0" w:type="auto"/>
          </w:tcPr>
          <w:p w14:paraId="76D94AB0"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LIQ</w:t>
            </w:r>
          </w:p>
        </w:tc>
        <w:tc>
          <w:tcPr>
            <w:tcW w:w="0" w:type="auto"/>
          </w:tcPr>
          <w:p w14:paraId="09133807"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0.083</w:t>
            </w:r>
          </w:p>
        </w:tc>
        <w:tc>
          <w:tcPr>
            <w:tcW w:w="0" w:type="auto"/>
          </w:tcPr>
          <w:p w14:paraId="41592236"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0.203*</w:t>
            </w:r>
          </w:p>
        </w:tc>
        <w:tc>
          <w:tcPr>
            <w:tcW w:w="0" w:type="auto"/>
          </w:tcPr>
          <w:p w14:paraId="138237E7"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-0.051</w:t>
            </w:r>
          </w:p>
        </w:tc>
        <w:tc>
          <w:tcPr>
            <w:tcW w:w="0" w:type="auto"/>
          </w:tcPr>
          <w:p w14:paraId="05A75AEF"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0.018</w:t>
            </w:r>
          </w:p>
        </w:tc>
        <w:tc>
          <w:tcPr>
            <w:tcW w:w="0" w:type="auto"/>
          </w:tcPr>
          <w:p w14:paraId="00583747"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-0.013</w:t>
            </w:r>
          </w:p>
        </w:tc>
        <w:tc>
          <w:tcPr>
            <w:tcW w:w="0" w:type="auto"/>
          </w:tcPr>
          <w:p w14:paraId="534D57F6"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-0.205*</w:t>
            </w:r>
          </w:p>
        </w:tc>
      </w:tr>
      <w:tr w:rsidR="003C197E" w:rsidRPr="007048BA" w14:paraId="4E71DDBC" w14:textId="77777777" w:rsidTr="002E7B24">
        <w:trPr>
          <w:jc w:val="center"/>
        </w:trPr>
        <w:tc>
          <w:tcPr>
            <w:tcW w:w="0" w:type="auto"/>
          </w:tcPr>
          <w:p w14:paraId="4AA99420"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66A47587"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(0.573)</w:t>
            </w:r>
          </w:p>
        </w:tc>
        <w:tc>
          <w:tcPr>
            <w:tcW w:w="0" w:type="auto"/>
          </w:tcPr>
          <w:p w14:paraId="4E3D9715"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(0.052)</w:t>
            </w:r>
          </w:p>
        </w:tc>
        <w:tc>
          <w:tcPr>
            <w:tcW w:w="0" w:type="auto"/>
          </w:tcPr>
          <w:p w14:paraId="2BD9CEB5"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(0.710)</w:t>
            </w:r>
          </w:p>
        </w:tc>
        <w:tc>
          <w:tcPr>
            <w:tcW w:w="0" w:type="auto"/>
          </w:tcPr>
          <w:p w14:paraId="5DDBB391"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(0.857)</w:t>
            </w:r>
          </w:p>
        </w:tc>
        <w:tc>
          <w:tcPr>
            <w:tcW w:w="0" w:type="auto"/>
          </w:tcPr>
          <w:p w14:paraId="5084BC42"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(0.929)</w:t>
            </w:r>
          </w:p>
        </w:tc>
        <w:tc>
          <w:tcPr>
            <w:tcW w:w="0" w:type="auto"/>
          </w:tcPr>
          <w:p w14:paraId="0F37101D"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(0.053)</w:t>
            </w:r>
          </w:p>
        </w:tc>
      </w:tr>
      <w:tr w:rsidR="003C197E" w:rsidRPr="007048BA" w14:paraId="1040A7C0" w14:textId="77777777" w:rsidTr="002E7B24">
        <w:trPr>
          <w:jc w:val="center"/>
        </w:trPr>
        <w:tc>
          <w:tcPr>
            <w:tcW w:w="0" w:type="auto"/>
          </w:tcPr>
          <w:p w14:paraId="01544DCB"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LEV</w:t>
            </w:r>
          </w:p>
        </w:tc>
        <w:tc>
          <w:tcPr>
            <w:tcW w:w="0" w:type="auto"/>
          </w:tcPr>
          <w:p w14:paraId="1A3905B8"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-0.014</w:t>
            </w:r>
          </w:p>
        </w:tc>
        <w:tc>
          <w:tcPr>
            <w:tcW w:w="0" w:type="auto"/>
          </w:tcPr>
          <w:p w14:paraId="189D1454"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-0.011</w:t>
            </w:r>
          </w:p>
        </w:tc>
        <w:tc>
          <w:tcPr>
            <w:tcW w:w="0" w:type="auto"/>
          </w:tcPr>
          <w:p w14:paraId="5D218722"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0.026</w:t>
            </w:r>
          </w:p>
        </w:tc>
        <w:tc>
          <w:tcPr>
            <w:tcW w:w="0" w:type="auto"/>
          </w:tcPr>
          <w:p w14:paraId="6A4A16C7"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0.011</w:t>
            </w:r>
          </w:p>
        </w:tc>
        <w:tc>
          <w:tcPr>
            <w:tcW w:w="0" w:type="auto"/>
          </w:tcPr>
          <w:p w14:paraId="3758B65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-0.024</w:t>
            </w:r>
          </w:p>
        </w:tc>
        <w:tc>
          <w:tcPr>
            <w:tcW w:w="0" w:type="auto"/>
          </w:tcPr>
          <w:p w14:paraId="615836F1"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-0.004</w:t>
            </w:r>
          </w:p>
        </w:tc>
      </w:tr>
      <w:tr w:rsidR="003C197E" w:rsidRPr="007048BA" w14:paraId="6FA76EAC" w14:textId="77777777" w:rsidTr="002E7B24">
        <w:trPr>
          <w:jc w:val="center"/>
        </w:trPr>
        <w:tc>
          <w:tcPr>
            <w:tcW w:w="0" w:type="auto"/>
          </w:tcPr>
          <w:p w14:paraId="1B702F51"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39D4039A"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(0.496)</w:t>
            </w:r>
          </w:p>
        </w:tc>
        <w:tc>
          <w:tcPr>
            <w:tcW w:w="0" w:type="auto"/>
          </w:tcPr>
          <w:p w14:paraId="159B083C"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(0.352)</w:t>
            </w:r>
          </w:p>
        </w:tc>
        <w:tc>
          <w:tcPr>
            <w:tcW w:w="0" w:type="auto"/>
          </w:tcPr>
          <w:p w14:paraId="77979EBD"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(0.154)</w:t>
            </w:r>
          </w:p>
        </w:tc>
        <w:tc>
          <w:tcPr>
            <w:tcW w:w="0" w:type="auto"/>
          </w:tcPr>
          <w:p w14:paraId="0EB1BAAA"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(0.284)</w:t>
            </w:r>
          </w:p>
        </w:tc>
        <w:tc>
          <w:tcPr>
            <w:tcW w:w="0" w:type="auto"/>
          </w:tcPr>
          <w:p w14:paraId="5352C4ED"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(0.263)</w:t>
            </w:r>
          </w:p>
        </w:tc>
        <w:tc>
          <w:tcPr>
            <w:tcW w:w="0" w:type="auto"/>
          </w:tcPr>
          <w:p w14:paraId="2959A8A4"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(0.710)</w:t>
            </w:r>
          </w:p>
        </w:tc>
      </w:tr>
      <w:tr w:rsidR="003C197E" w:rsidRPr="007048BA" w14:paraId="2B446B1E" w14:textId="77777777" w:rsidTr="002E7B24">
        <w:trPr>
          <w:jc w:val="center"/>
        </w:trPr>
        <w:tc>
          <w:tcPr>
            <w:tcW w:w="0" w:type="auto"/>
          </w:tcPr>
          <w:p w14:paraId="054DA730"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SGW</w:t>
            </w:r>
          </w:p>
        </w:tc>
        <w:tc>
          <w:tcPr>
            <w:tcW w:w="0" w:type="auto"/>
          </w:tcPr>
          <w:p w14:paraId="0F1382BB"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-0.022</w:t>
            </w:r>
          </w:p>
        </w:tc>
        <w:tc>
          <w:tcPr>
            <w:tcW w:w="0" w:type="auto"/>
          </w:tcPr>
          <w:p w14:paraId="7A8AEC70"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-0.010</w:t>
            </w:r>
          </w:p>
        </w:tc>
        <w:tc>
          <w:tcPr>
            <w:tcW w:w="0" w:type="auto"/>
          </w:tcPr>
          <w:p w14:paraId="3E9D80D8"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-0.025</w:t>
            </w:r>
          </w:p>
        </w:tc>
        <w:tc>
          <w:tcPr>
            <w:tcW w:w="0" w:type="auto"/>
          </w:tcPr>
          <w:p w14:paraId="3B64B78F"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-0.014</w:t>
            </w:r>
          </w:p>
        </w:tc>
        <w:tc>
          <w:tcPr>
            <w:tcW w:w="0" w:type="auto"/>
          </w:tcPr>
          <w:p w14:paraId="21E2C1AB"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0.051***</w:t>
            </w:r>
          </w:p>
        </w:tc>
        <w:tc>
          <w:tcPr>
            <w:tcW w:w="0" w:type="auto"/>
          </w:tcPr>
          <w:p w14:paraId="132C72FF"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0.028*</w:t>
            </w:r>
          </w:p>
        </w:tc>
      </w:tr>
      <w:tr w:rsidR="003C197E" w:rsidRPr="007048BA" w14:paraId="4378B699" w14:textId="77777777" w:rsidTr="002E7B24">
        <w:trPr>
          <w:jc w:val="center"/>
        </w:trPr>
        <w:tc>
          <w:tcPr>
            <w:tcW w:w="0" w:type="auto"/>
          </w:tcPr>
          <w:p w14:paraId="7ACE2680"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51A7FD14"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(0.301)</w:t>
            </w:r>
          </w:p>
        </w:tc>
        <w:tc>
          <w:tcPr>
            <w:tcW w:w="0" w:type="auto"/>
          </w:tcPr>
          <w:p w14:paraId="34A4B66B"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(0.552)</w:t>
            </w:r>
          </w:p>
        </w:tc>
        <w:tc>
          <w:tcPr>
            <w:tcW w:w="0" w:type="auto"/>
          </w:tcPr>
          <w:p w14:paraId="2DF6EBA8"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(0.212)</w:t>
            </w:r>
          </w:p>
        </w:tc>
        <w:tc>
          <w:tcPr>
            <w:tcW w:w="0" w:type="auto"/>
          </w:tcPr>
          <w:p w14:paraId="74BB5C20"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(0.368)</w:t>
            </w:r>
          </w:p>
        </w:tc>
        <w:tc>
          <w:tcPr>
            <w:tcW w:w="0" w:type="auto"/>
          </w:tcPr>
          <w:p w14:paraId="52CA3E7F"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(0.010)</w:t>
            </w:r>
          </w:p>
        </w:tc>
        <w:tc>
          <w:tcPr>
            <w:tcW w:w="0" w:type="auto"/>
          </w:tcPr>
          <w:p w14:paraId="33CC662E"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(0.065)</w:t>
            </w:r>
          </w:p>
        </w:tc>
      </w:tr>
      <w:tr w:rsidR="003C197E" w:rsidRPr="007048BA" w14:paraId="1DE515BF" w14:textId="77777777" w:rsidTr="002E7B24">
        <w:trPr>
          <w:jc w:val="center"/>
        </w:trPr>
        <w:tc>
          <w:tcPr>
            <w:tcW w:w="0" w:type="auto"/>
          </w:tcPr>
          <w:p w14:paraId="0901D4CA"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GRD</w:t>
            </w:r>
          </w:p>
        </w:tc>
        <w:tc>
          <w:tcPr>
            <w:tcW w:w="0" w:type="auto"/>
          </w:tcPr>
          <w:p w14:paraId="264D0E9E"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-0.040</w:t>
            </w:r>
          </w:p>
        </w:tc>
        <w:tc>
          <w:tcPr>
            <w:tcW w:w="0" w:type="auto"/>
          </w:tcPr>
          <w:p w14:paraId="753696F1"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-0.064*</w:t>
            </w:r>
          </w:p>
        </w:tc>
        <w:tc>
          <w:tcPr>
            <w:tcW w:w="0" w:type="auto"/>
          </w:tcPr>
          <w:p w14:paraId="4A4989B2"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0.066</w:t>
            </w:r>
          </w:p>
        </w:tc>
        <w:tc>
          <w:tcPr>
            <w:tcW w:w="0" w:type="auto"/>
          </w:tcPr>
          <w:p w14:paraId="02344C1B"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0.017</w:t>
            </w:r>
          </w:p>
        </w:tc>
        <w:tc>
          <w:tcPr>
            <w:tcW w:w="0" w:type="auto"/>
          </w:tcPr>
          <w:p w14:paraId="2B586481"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-0.036</w:t>
            </w:r>
          </w:p>
        </w:tc>
        <w:tc>
          <w:tcPr>
            <w:tcW w:w="0" w:type="auto"/>
          </w:tcPr>
          <w:p w14:paraId="7914614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0.048</w:t>
            </w:r>
          </w:p>
        </w:tc>
      </w:tr>
      <w:tr w:rsidR="003C197E" w:rsidRPr="007048BA" w14:paraId="4DCE9147" w14:textId="77777777" w:rsidTr="002E7B24">
        <w:trPr>
          <w:jc w:val="center"/>
        </w:trPr>
        <w:tc>
          <w:tcPr>
            <w:tcW w:w="0" w:type="auto"/>
          </w:tcPr>
          <w:p w14:paraId="78800D56"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638C8AFC"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(0.503)</w:t>
            </w:r>
          </w:p>
        </w:tc>
        <w:tc>
          <w:tcPr>
            <w:tcW w:w="0" w:type="auto"/>
          </w:tcPr>
          <w:p w14:paraId="21BCD15F"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(0.091)</w:t>
            </w:r>
          </w:p>
        </w:tc>
        <w:tc>
          <w:tcPr>
            <w:tcW w:w="0" w:type="auto"/>
          </w:tcPr>
          <w:p w14:paraId="63B8EB9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(0.233)</w:t>
            </w:r>
          </w:p>
        </w:tc>
        <w:tc>
          <w:tcPr>
            <w:tcW w:w="0" w:type="auto"/>
          </w:tcPr>
          <w:p w14:paraId="48332E5D"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(0.634)</w:t>
            </w:r>
          </w:p>
        </w:tc>
        <w:tc>
          <w:tcPr>
            <w:tcW w:w="0" w:type="auto"/>
          </w:tcPr>
          <w:p w14:paraId="6E868132"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(0.549)</w:t>
            </w:r>
          </w:p>
        </w:tc>
        <w:tc>
          <w:tcPr>
            <w:tcW w:w="0" w:type="auto"/>
          </w:tcPr>
          <w:p w14:paraId="39174C15"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(0.204)</w:t>
            </w:r>
          </w:p>
        </w:tc>
      </w:tr>
      <w:tr w:rsidR="003C197E" w:rsidRPr="007048BA" w14:paraId="5385B663" w14:textId="77777777" w:rsidTr="002E7B24">
        <w:trPr>
          <w:jc w:val="center"/>
        </w:trPr>
        <w:tc>
          <w:tcPr>
            <w:tcW w:w="0" w:type="auto"/>
          </w:tcPr>
          <w:p w14:paraId="08A82DDC"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IDD</w:t>
            </w:r>
          </w:p>
        </w:tc>
        <w:tc>
          <w:tcPr>
            <w:tcW w:w="0" w:type="auto"/>
          </w:tcPr>
          <w:p w14:paraId="36F3F4F7"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-0.038</w:t>
            </w:r>
          </w:p>
        </w:tc>
        <w:tc>
          <w:tcPr>
            <w:tcW w:w="0" w:type="auto"/>
          </w:tcPr>
          <w:p w14:paraId="4809695E"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-0.015</w:t>
            </w:r>
          </w:p>
        </w:tc>
        <w:tc>
          <w:tcPr>
            <w:tcW w:w="0" w:type="auto"/>
          </w:tcPr>
          <w:p w14:paraId="2C1C197C"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0.079</w:t>
            </w:r>
          </w:p>
        </w:tc>
        <w:tc>
          <w:tcPr>
            <w:tcW w:w="0" w:type="auto"/>
          </w:tcPr>
          <w:p w14:paraId="4D0A77D2"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0.056</w:t>
            </w:r>
          </w:p>
        </w:tc>
        <w:tc>
          <w:tcPr>
            <w:tcW w:w="0" w:type="auto"/>
          </w:tcPr>
          <w:p w14:paraId="25A3A1F6"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-0.052</w:t>
            </w:r>
          </w:p>
        </w:tc>
        <w:tc>
          <w:tcPr>
            <w:tcW w:w="0" w:type="auto"/>
          </w:tcPr>
          <w:p w14:paraId="118918B6"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-0.052</w:t>
            </w:r>
          </w:p>
        </w:tc>
      </w:tr>
      <w:tr w:rsidR="003C197E" w:rsidRPr="007048BA" w14:paraId="037BA061" w14:textId="77777777" w:rsidTr="002E7B24">
        <w:trPr>
          <w:jc w:val="center"/>
        </w:trPr>
        <w:tc>
          <w:tcPr>
            <w:tcW w:w="0" w:type="auto"/>
          </w:tcPr>
          <w:p w14:paraId="4BB2DD9D"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27ECAE3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(0.594)</w:t>
            </w:r>
          </w:p>
        </w:tc>
        <w:tc>
          <w:tcPr>
            <w:tcW w:w="0" w:type="auto"/>
          </w:tcPr>
          <w:p w14:paraId="3DE4808C"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(0.701)</w:t>
            </w:r>
          </w:p>
        </w:tc>
        <w:tc>
          <w:tcPr>
            <w:tcW w:w="0" w:type="auto"/>
          </w:tcPr>
          <w:p w14:paraId="02244B6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(0.242)</w:t>
            </w:r>
          </w:p>
        </w:tc>
        <w:tc>
          <w:tcPr>
            <w:tcW w:w="0" w:type="auto"/>
          </w:tcPr>
          <w:p w14:paraId="456DB8BC"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(0.135)</w:t>
            </w:r>
          </w:p>
        </w:tc>
        <w:tc>
          <w:tcPr>
            <w:tcW w:w="0" w:type="auto"/>
          </w:tcPr>
          <w:p w14:paraId="1D54E9FB"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(0.464)</w:t>
            </w:r>
          </w:p>
        </w:tc>
        <w:tc>
          <w:tcPr>
            <w:tcW w:w="0" w:type="auto"/>
          </w:tcPr>
          <w:p w14:paraId="5DA0F8F4"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(0.197)</w:t>
            </w:r>
          </w:p>
        </w:tc>
      </w:tr>
      <w:tr w:rsidR="003C197E" w:rsidRPr="007048BA" w14:paraId="0F5CC51E" w14:textId="77777777" w:rsidTr="002E7B24">
        <w:trPr>
          <w:jc w:val="center"/>
        </w:trPr>
        <w:tc>
          <w:tcPr>
            <w:tcW w:w="0" w:type="auto"/>
          </w:tcPr>
          <w:p w14:paraId="38C466C1"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FCF</w:t>
            </w:r>
          </w:p>
        </w:tc>
        <w:tc>
          <w:tcPr>
            <w:tcW w:w="0" w:type="auto"/>
          </w:tcPr>
          <w:p w14:paraId="61A6D8D2"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-0.344***</w:t>
            </w:r>
          </w:p>
        </w:tc>
        <w:tc>
          <w:tcPr>
            <w:tcW w:w="0" w:type="auto"/>
          </w:tcPr>
          <w:p w14:paraId="58D8E0E8"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-0.519***</w:t>
            </w:r>
          </w:p>
        </w:tc>
        <w:tc>
          <w:tcPr>
            <w:tcW w:w="0" w:type="auto"/>
          </w:tcPr>
          <w:p w14:paraId="1338FE5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-0.021</w:t>
            </w:r>
          </w:p>
        </w:tc>
        <w:tc>
          <w:tcPr>
            <w:tcW w:w="0" w:type="auto"/>
          </w:tcPr>
          <w:p w14:paraId="0C825C8D"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0.262***</w:t>
            </w:r>
          </w:p>
        </w:tc>
        <w:tc>
          <w:tcPr>
            <w:tcW w:w="0" w:type="auto"/>
          </w:tcPr>
          <w:p w14:paraId="002533E4"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0.307***</w:t>
            </w:r>
          </w:p>
        </w:tc>
        <w:tc>
          <w:tcPr>
            <w:tcW w:w="0" w:type="auto"/>
          </w:tcPr>
          <w:p w14:paraId="2E445AD1"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0.198***</w:t>
            </w:r>
          </w:p>
        </w:tc>
      </w:tr>
      <w:tr w:rsidR="003C197E" w:rsidRPr="007048BA" w14:paraId="32586455" w14:textId="77777777" w:rsidTr="002E7B24">
        <w:trPr>
          <w:jc w:val="center"/>
        </w:trPr>
        <w:tc>
          <w:tcPr>
            <w:tcW w:w="0" w:type="auto"/>
          </w:tcPr>
          <w:p w14:paraId="7502D2CE"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085E30E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(0.002)</w:t>
            </w:r>
          </w:p>
        </w:tc>
        <w:tc>
          <w:tcPr>
            <w:tcW w:w="0" w:type="auto"/>
          </w:tcPr>
          <w:p w14:paraId="208708BA"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7766963E"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(0.832)</w:t>
            </w:r>
          </w:p>
        </w:tc>
        <w:tc>
          <w:tcPr>
            <w:tcW w:w="0" w:type="auto"/>
          </w:tcPr>
          <w:p w14:paraId="359EBE16"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25EF2BAF"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(0.004)</w:t>
            </w:r>
          </w:p>
        </w:tc>
        <w:tc>
          <w:tcPr>
            <w:tcW w:w="0" w:type="auto"/>
          </w:tcPr>
          <w:p w14:paraId="636B9C4F"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(0.008)</w:t>
            </w:r>
          </w:p>
        </w:tc>
      </w:tr>
      <w:tr w:rsidR="003C197E" w:rsidRPr="007048BA" w14:paraId="70B51276" w14:textId="77777777" w:rsidTr="002E7B24">
        <w:trPr>
          <w:jc w:val="center"/>
        </w:trPr>
        <w:tc>
          <w:tcPr>
            <w:tcW w:w="0" w:type="auto"/>
          </w:tcPr>
          <w:p w14:paraId="040DDE5C"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TANG</w:t>
            </w:r>
          </w:p>
        </w:tc>
        <w:tc>
          <w:tcPr>
            <w:tcW w:w="0" w:type="auto"/>
          </w:tcPr>
          <w:p w14:paraId="23181BDB"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0.026</w:t>
            </w:r>
          </w:p>
        </w:tc>
        <w:tc>
          <w:tcPr>
            <w:tcW w:w="0" w:type="auto"/>
          </w:tcPr>
          <w:p w14:paraId="6EF16F61"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-0.092</w:t>
            </w:r>
          </w:p>
        </w:tc>
        <w:tc>
          <w:tcPr>
            <w:tcW w:w="0" w:type="auto"/>
          </w:tcPr>
          <w:p w14:paraId="3F4ADFBD"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0.082</w:t>
            </w:r>
          </w:p>
        </w:tc>
        <w:tc>
          <w:tcPr>
            <w:tcW w:w="0" w:type="auto"/>
          </w:tcPr>
          <w:p w14:paraId="3676271C"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0.193**</w:t>
            </w:r>
          </w:p>
        </w:tc>
        <w:tc>
          <w:tcPr>
            <w:tcW w:w="0" w:type="auto"/>
          </w:tcPr>
          <w:p w14:paraId="6DC721A7"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-0.132</w:t>
            </w:r>
          </w:p>
        </w:tc>
        <w:tc>
          <w:tcPr>
            <w:tcW w:w="0" w:type="auto"/>
          </w:tcPr>
          <w:p w14:paraId="0B6304A0"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-0.127</w:t>
            </w:r>
          </w:p>
        </w:tc>
      </w:tr>
      <w:tr w:rsidR="003C197E" w:rsidRPr="007048BA" w14:paraId="07F1C606" w14:textId="77777777" w:rsidTr="002E7B24">
        <w:trPr>
          <w:jc w:val="center"/>
        </w:trPr>
        <w:tc>
          <w:tcPr>
            <w:tcW w:w="0" w:type="auto"/>
          </w:tcPr>
          <w:p w14:paraId="6D923CBD"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1E3112E0"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(0.884)</w:t>
            </w:r>
          </w:p>
        </w:tc>
        <w:tc>
          <w:tcPr>
            <w:tcW w:w="0" w:type="auto"/>
          </w:tcPr>
          <w:p w14:paraId="5BADEAB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(0.301)</w:t>
            </w:r>
          </w:p>
        </w:tc>
        <w:tc>
          <w:tcPr>
            <w:tcW w:w="0" w:type="auto"/>
          </w:tcPr>
          <w:p w14:paraId="3A12A2C2"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(0.619)</w:t>
            </w:r>
          </w:p>
        </w:tc>
        <w:tc>
          <w:tcPr>
            <w:tcW w:w="0" w:type="auto"/>
          </w:tcPr>
          <w:p w14:paraId="77FAC75D"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(0.021)</w:t>
            </w:r>
          </w:p>
        </w:tc>
        <w:tc>
          <w:tcPr>
            <w:tcW w:w="0" w:type="auto"/>
          </w:tcPr>
          <w:p w14:paraId="6ABF214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(0.458)</w:t>
            </w:r>
          </w:p>
        </w:tc>
        <w:tc>
          <w:tcPr>
            <w:tcW w:w="0" w:type="auto"/>
          </w:tcPr>
          <w:p w14:paraId="416CD9F1"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(0.159)</w:t>
            </w:r>
          </w:p>
        </w:tc>
      </w:tr>
      <w:tr w:rsidR="003C197E" w:rsidRPr="007048BA" w14:paraId="0F698A13" w14:textId="77777777" w:rsidTr="002E7B24">
        <w:trPr>
          <w:jc w:val="center"/>
        </w:trPr>
        <w:tc>
          <w:tcPr>
            <w:tcW w:w="0" w:type="auto"/>
          </w:tcPr>
          <w:p w14:paraId="614694FE"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SIZE</w:t>
            </w:r>
          </w:p>
        </w:tc>
        <w:tc>
          <w:tcPr>
            <w:tcW w:w="0" w:type="auto"/>
          </w:tcPr>
          <w:p w14:paraId="6BCEB2AE"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-0.049***</w:t>
            </w:r>
          </w:p>
        </w:tc>
        <w:tc>
          <w:tcPr>
            <w:tcW w:w="0" w:type="auto"/>
          </w:tcPr>
          <w:p w14:paraId="73A9B851"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-0.042***</w:t>
            </w:r>
          </w:p>
        </w:tc>
        <w:tc>
          <w:tcPr>
            <w:tcW w:w="0" w:type="auto"/>
          </w:tcPr>
          <w:p w14:paraId="5110E60C"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0.057***</w:t>
            </w:r>
          </w:p>
        </w:tc>
        <w:tc>
          <w:tcPr>
            <w:tcW w:w="0" w:type="auto"/>
          </w:tcPr>
          <w:p w14:paraId="1056467C"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0.042***</w:t>
            </w:r>
          </w:p>
        </w:tc>
        <w:tc>
          <w:tcPr>
            <w:tcW w:w="0" w:type="auto"/>
          </w:tcPr>
          <w:p w14:paraId="58DABAA4"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-0.014</w:t>
            </w:r>
          </w:p>
        </w:tc>
        <w:tc>
          <w:tcPr>
            <w:tcW w:w="0" w:type="auto"/>
          </w:tcPr>
          <w:p w14:paraId="5A371D3D"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-0.002</w:t>
            </w:r>
          </w:p>
        </w:tc>
      </w:tr>
      <w:tr w:rsidR="003C197E" w:rsidRPr="007048BA" w14:paraId="7F3738E0" w14:textId="77777777" w:rsidTr="002E7B24">
        <w:trPr>
          <w:jc w:val="center"/>
        </w:trPr>
        <w:tc>
          <w:tcPr>
            <w:tcW w:w="0" w:type="auto"/>
          </w:tcPr>
          <w:p w14:paraId="5EE2B75E"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3AA18164"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(0.001)</w:t>
            </w:r>
          </w:p>
        </w:tc>
        <w:tc>
          <w:tcPr>
            <w:tcW w:w="0" w:type="auto"/>
          </w:tcPr>
          <w:p w14:paraId="60EDB6E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1A8F03D4"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7B92A72A"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4423FD94"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(0.332)</w:t>
            </w:r>
          </w:p>
        </w:tc>
        <w:tc>
          <w:tcPr>
            <w:tcW w:w="0" w:type="auto"/>
          </w:tcPr>
          <w:p w14:paraId="33C3F267"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(0.829)</w:t>
            </w:r>
          </w:p>
        </w:tc>
      </w:tr>
      <w:tr w:rsidR="003C197E" w:rsidRPr="007048BA" w14:paraId="7142A3CB" w14:textId="77777777" w:rsidTr="002E7B24">
        <w:trPr>
          <w:jc w:val="center"/>
        </w:trPr>
        <w:tc>
          <w:tcPr>
            <w:tcW w:w="0" w:type="auto"/>
          </w:tcPr>
          <w:p w14:paraId="048DD2F4"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AGE</w:t>
            </w:r>
          </w:p>
        </w:tc>
        <w:tc>
          <w:tcPr>
            <w:tcW w:w="0" w:type="auto"/>
          </w:tcPr>
          <w:p w14:paraId="4FE28B91"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0.014</w:t>
            </w:r>
          </w:p>
        </w:tc>
        <w:tc>
          <w:tcPr>
            <w:tcW w:w="0" w:type="auto"/>
          </w:tcPr>
          <w:p w14:paraId="41112AF8"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-0.036**</w:t>
            </w:r>
          </w:p>
        </w:tc>
        <w:tc>
          <w:tcPr>
            <w:tcW w:w="0" w:type="auto"/>
          </w:tcPr>
          <w:p w14:paraId="4AAA3825"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0.027</w:t>
            </w:r>
          </w:p>
        </w:tc>
        <w:tc>
          <w:tcPr>
            <w:tcW w:w="0" w:type="auto"/>
          </w:tcPr>
          <w:p w14:paraId="7F38CB4A"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0.003</w:t>
            </w:r>
          </w:p>
        </w:tc>
        <w:tc>
          <w:tcPr>
            <w:tcW w:w="0" w:type="auto"/>
          </w:tcPr>
          <w:p w14:paraId="40DBCCA5"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-0.051*</w:t>
            </w:r>
          </w:p>
        </w:tc>
        <w:tc>
          <w:tcPr>
            <w:tcW w:w="0" w:type="auto"/>
          </w:tcPr>
          <w:p w14:paraId="4B46AC0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0.028</w:t>
            </w:r>
          </w:p>
        </w:tc>
      </w:tr>
      <w:tr w:rsidR="003C197E" w:rsidRPr="007048BA" w14:paraId="51323203" w14:textId="77777777" w:rsidTr="002E7B24">
        <w:trPr>
          <w:jc w:val="center"/>
        </w:trPr>
        <w:tc>
          <w:tcPr>
            <w:tcW w:w="0" w:type="auto"/>
          </w:tcPr>
          <w:p w14:paraId="24928A60"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24D34072"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(0.614)</w:t>
            </w:r>
          </w:p>
        </w:tc>
        <w:tc>
          <w:tcPr>
            <w:tcW w:w="0" w:type="auto"/>
          </w:tcPr>
          <w:p w14:paraId="575C1866"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(0.038)</w:t>
            </w:r>
          </w:p>
        </w:tc>
        <w:tc>
          <w:tcPr>
            <w:tcW w:w="0" w:type="auto"/>
          </w:tcPr>
          <w:p w14:paraId="0320E9BC"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(0.286)</w:t>
            </w:r>
          </w:p>
        </w:tc>
        <w:tc>
          <w:tcPr>
            <w:tcW w:w="0" w:type="auto"/>
          </w:tcPr>
          <w:p w14:paraId="20B37B42"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(0.839)</w:t>
            </w:r>
          </w:p>
        </w:tc>
        <w:tc>
          <w:tcPr>
            <w:tcW w:w="0" w:type="auto"/>
          </w:tcPr>
          <w:p w14:paraId="208C6208"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(0.061)</w:t>
            </w:r>
          </w:p>
        </w:tc>
        <w:tc>
          <w:tcPr>
            <w:tcW w:w="0" w:type="auto"/>
          </w:tcPr>
          <w:p w14:paraId="4499893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(0.112)</w:t>
            </w:r>
          </w:p>
        </w:tc>
      </w:tr>
      <w:tr w:rsidR="003C197E" w:rsidRPr="007048BA" w14:paraId="7852749F" w14:textId="77777777" w:rsidTr="002E7B24">
        <w:trPr>
          <w:jc w:val="center"/>
        </w:trPr>
        <w:tc>
          <w:tcPr>
            <w:tcW w:w="0" w:type="auto"/>
          </w:tcPr>
          <w:p w14:paraId="0DB582EC"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HHI</w:t>
            </w:r>
          </w:p>
        </w:tc>
        <w:tc>
          <w:tcPr>
            <w:tcW w:w="0" w:type="auto"/>
          </w:tcPr>
          <w:p w14:paraId="076C4572"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-0.189</w:t>
            </w:r>
          </w:p>
        </w:tc>
        <w:tc>
          <w:tcPr>
            <w:tcW w:w="0" w:type="auto"/>
          </w:tcPr>
          <w:p w14:paraId="5FB0D23F"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0.007</w:t>
            </w:r>
          </w:p>
        </w:tc>
        <w:tc>
          <w:tcPr>
            <w:tcW w:w="0" w:type="auto"/>
          </w:tcPr>
          <w:p w14:paraId="1D7E9EB2"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0.662**</w:t>
            </w:r>
          </w:p>
        </w:tc>
        <w:tc>
          <w:tcPr>
            <w:tcW w:w="0" w:type="auto"/>
          </w:tcPr>
          <w:p w14:paraId="1D9AC40B"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0.468***</w:t>
            </w:r>
          </w:p>
        </w:tc>
        <w:tc>
          <w:tcPr>
            <w:tcW w:w="0" w:type="auto"/>
          </w:tcPr>
          <w:p w14:paraId="555FA85F"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-0.447</w:t>
            </w:r>
          </w:p>
        </w:tc>
        <w:tc>
          <w:tcPr>
            <w:tcW w:w="0" w:type="auto"/>
          </w:tcPr>
          <w:p w14:paraId="51CB1E33"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-0.462***</w:t>
            </w:r>
          </w:p>
        </w:tc>
      </w:tr>
      <w:tr w:rsidR="003C197E" w:rsidRPr="007048BA" w14:paraId="0A590E08" w14:textId="77777777" w:rsidTr="002E7B24">
        <w:trPr>
          <w:jc w:val="center"/>
        </w:trPr>
        <w:tc>
          <w:tcPr>
            <w:tcW w:w="0" w:type="auto"/>
          </w:tcPr>
          <w:p w14:paraId="0E50FFC3"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54708307"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(0.571)</w:t>
            </w:r>
          </w:p>
        </w:tc>
        <w:tc>
          <w:tcPr>
            <w:tcW w:w="0" w:type="auto"/>
          </w:tcPr>
          <w:p w14:paraId="7B5F7D4E"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(0.965)</w:t>
            </w:r>
          </w:p>
        </w:tc>
        <w:tc>
          <w:tcPr>
            <w:tcW w:w="0" w:type="auto"/>
          </w:tcPr>
          <w:p w14:paraId="19570A68"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(0.042)</w:t>
            </w:r>
          </w:p>
        </w:tc>
        <w:tc>
          <w:tcPr>
            <w:tcW w:w="0" w:type="auto"/>
          </w:tcPr>
          <w:p w14:paraId="3B36EF01"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(0.005)</w:t>
            </w:r>
          </w:p>
        </w:tc>
        <w:tc>
          <w:tcPr>
            <w:tcW w:w="0" w:type="auto"/>
          </w:tcPr>
          <w:p w14:paraId="457BCE2F"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(0.190)</w:t>
            </w:r>
          </w:p>
        </w:tc>
        <w:tc>
          <w:tcPr>
            <w:tcW w:w="0" w:type="auto"/>
          </w:tcPr>
          <w:p w14:paraId="39A1AC3A"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(0.007)</w:t>
            </w:r>
          </w:p>
        </w:tc>
      </w:tr>
      <w:tr w:rsidR="003C197E" w:rsidRPr="007048BA" w14:paraId="3CEF9C3C" w14:textId="77777777" w:rsidTr="002E7B24">
        <w:trPr>
          <w:jc w:val="center"/>
        </w:trPr>
        <w:tc>
          <w:tcPr>
            <w:tcW w:w="0" w:type="auto"/>
          </w:tcPr>
          <w:p w14:paraId="157BFE09" w14:textId="33CFD38D" w:rsidR="003C197E" w:rsidRPr="007048BA" w:rsidRDefault="00EF63A8"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BLOC</w:t>
            </w:r>
          </w:p>
        </w:tc>
        <w:tc>
          <w:tcPr>
            <w:tcW w:w="0" w:type="auto"/>
          </w:tcPr>
          <w:p w14:paraId="50CD4A6D"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-0.058</w:t>
            </w:r>
          </w:p>
        </w:tc>
        <w:tc>
          <w:tcPr>
            <w:tcW w:w="0" w:type="auto"/>
          </w:tcPr>
          <w:p w14:paraId="6EAD296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-0.142*</w:t>
            </w:r>
          </w:p>
        </w:tc>
        <w:tc>
          <w:tcPr>
            <w:tcW w:w="0" w:type="auto"/>
          </w:tcPr>
          <w:p w14:paraId="041A9DFB"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-0.059</w:t>
            </w:r>
          </w:p>
        </w:tc>
        <w:tc>
          <w:tcPr>
            <w:tcW w:w="0" w:type="auto"/>
          </w:tcPr>
          <w:p w14:paraId="0C2B4AFA"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0.026</w:t>
            </w:r>
          </w:p>
        </w:tc>
        <w:tc>
          <w:tcPr>
            <w:tcW w:w="0" w:type="auto"/>
          </w:tcPr>
          <w:p w14:paraId="73E8136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0.097</w:t>
            </w:r>
          </w:p>
        </w:tc>
        <w:tc>
          <w:tcPr>
            <w:tcW w:w="0" w:type="auto"/>
          </w:tcPr>
          <w:p w14:paraId="293DA4FF"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0.097</w:t>
            </w:r>
          </w:p>
        </w:tc>
      </w:tr>
      <w:tr w:rsidR="003C197E" w:rsidRPr="007048BA" w14:paraId="700A4742" w14:textId="77777777" w:rsidTr="002E7B24">
        <w:trPr>
          <w:jc w:val="center"/>
        </w:trPr>
        <w:tc>
          <w:tcPr>
            <w:tcW w:w="0" w:type="auto"/>
          </w:tcPr>
          <w:p w14:paraId="4F497C38"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512F42B0"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(0.631)</w:t>
            </w:r>
          </w:p>
        </w:tc>
        <w:tc>
          <w:tcPr>
            <w:tcW w:w="0" w:type="auto"/>
          </w:tcPr>
          <w:p w14:paraId="1D1E4BAE"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(0.064)</w:t>
            </w:r>
          </w:p>
        </w:tc>
        <w:tc>
          <w:tcPr>
            <w:tcW w:w="0" w:type="auto"/>
          </w:tcPr>
          <w:p w14:paraId="2E4A21B6"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(0.595)</w:t>
            </w:r>
          </w:p>
        </w:tc>
        <w:tc>
          <w:tcPr>
            <w:tcW w:w="0" w:type="auto"/>
          </w:tcPr>
          <w:p w14:paraId="6CFC123D"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(0.717)</w:t>
            </w:r>
          </w:p>
        </w:tc>
        <w:tc>
          <w:tcPr>
            <w:tcW w:w="0" w:type="auto"/>
          </w:tcPr>
          <w:p w14:paraId="1D54A72C"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(0.429)</w:t>
            </w:r>
          </w:p>
        </w:tc>
        <w:tc>
          <w:tcPr>
            <w:tcW w:w="0" w:type="auto"/>
          </w:tcPr>
          <w:p w14:paraId="539E03F2"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(0.223)</w:t>
            </w:r>
          </w:p>
        </w:tc>
      </w:tr>
      <w:tr w:rsidR="003C197E" w:rsidRPr="007048BA" w14:paraId="33C84206" w14:textId="77777777" w:rsidTr="002E7B24">
        <w:trPr>
          <w:jc w:val="center"/>
        </w:trPr>
        <w:tc>
          <w:tcPr>
            <w:tcW w:w="0" w:type="auto"/>
          </w:tcPr>
          <w:p w14:paraId="555CA1D7"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Constant</w:t>
            </w:r>
          </w:p>
        </w:tc>
        <w:tc>
          <w:tcPr>
            <w:tcW w:w="0" w:type="auto"/>
          </w:tcPr>
          <w:p w14:paraId="5DB9A07A"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0.181</w:t>
            </w:r>
          </w:p>
        </w:tc>
        <w:tc>
          <w:tcPr>
            <w:tcW w:w="0" w:type="auto"/>
          </w:tcPr>
          <w:p w14:paraId="354E4D53"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0.517</w:t>
            </w:r>
          </w:p>
        </w:tc>
        <w:tc>
          <w:tcPr>
            <w:tcW w:w="0" w:type="auto"/>
          </w:tcPr>
          <w:p w14:paraId="17F93D4D"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-2.408*</w:t>
            </w:r>
          </w:p>
        </w:tc>
        <w:tc>
          <w:tcPr>
            <w:tcW w:w="0" w:type="auto"/>
          </w:tcPr>
          <w:p w14:paraId="4FB165C6"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-2.102***</w:t>
            </w:r>
          </w:p>
        </w:tc>
        <w:tc>
          <w:tcPr>
            <w:tcW w:w="0" w:type="auto"/>
          </w:tcPr>
          <w:p w14:paraId="639A3C9C"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-0.136</w:t>
            </w:r>
          </w:p>
        </w:tc>
        <w:tc>
          <w:tcPr>
            <w:tcW w:w="0" w:type="auto"/>
          </w:tcPr>
          <w:p w14:paraId="2F142B27"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-0.556</w:t>
            </w:r>
          </w:p>
        </w:tc>
      </w:tr>
      <w:tr w:rsidR="003C197E" w:rsidRPr="007048BA" w14:paraId="6280BEFD" w14:textId="77777777" w:rsidTr="002E7B24">
        <w:trPr>
          <w:jc w:val="center"/>
        </w:trPr>
        <w:tc>
          <w:tcPr>
            <w:tcW w:w="0" w:type="auto"/>
          </w:tcPr>
          <w:p w14:paraId="2499A544" w14:textId="77777777" w:rsidR="003C197E" w:rsidRPr="007048BA" w:rsidRDefault="003C197E"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3565E750"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(0.857)</w:t>
            </w:r>
          </w:p>
        </w:tc>
        <w:tc>
          <w:tcPr>
            <w:tcW w:w="0" w:type="auto"/>
          </w:tcPr>
          <w:p w14:paraId="2167B817"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(0.280)</w:t>
            </w:r>
          </w:p>
        </w:tc>
        <w:tc>
          <w:tcPr>
            <w:tcW w:w="0" w:type="auto"/>
          </w:tcPr>
          <w:p w14:paraId="230DFD8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(0.052)</w:t>
            </w:r>
          </w:p>
        </w:tc>
        <w:tc>
          <w:tcPr>
            <w:tcW w:w="0" w:type="auto"/>
          </w:tcPr>
          <w:p w14:paraId="6AC42691"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0208728E"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(0.894)</w:t>
            </w:r>
          </w:p>
        </w:tc>
        <w:tc>
          <w:tcPr>
            <w:tcW w:w="0" w:type="auto"/>
          </w:tcPr>
          <w:p w14:paraId="191F5807"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(0.248)</w:t>
            </w:r>
          </w:p>
        </w:tc>
      </w:tr>
      <w:tr w:rsidR="003C197E" w:rsidRPr="007048BA" w14:paraId="672D1901" w14:textId="77777777" w:rsidTr="002E7B24">
        <w:trPr>
          <w:jc w:val="center"/>
        </w:trPr>
        <w:tc>
          <w:tcPr>
            <w:tcW w:w="0" w:type="auto"/>
          </w:tcPr>
          <w:p w14:paraId="002BD478" w14:textId="0463F046" w:rsidR="003C197E" w:rsidRPr="007048BA" w:rsidRDefault="00CB3E5A" w:rsidP="003C197E">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Obs.</w:t>
            </w:r>
          </w:p>
        </w:tc>
        <w:tc>
          <w:tcPr>
            <w:tcW w:w="0" w:type="auto"/>
          </w:tcPr>
          <w:p w14:paraId="2C82A9EE"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8,636</w:t>
            </w:r>
          </w:p>
        </w:tc>
        <w:tc>
          <w:tcPr>
            <w:tcW w:w="0" w:type="auto"/>
          </w:tcPr>
          <w:p w14:paraId="2BBDDAFE"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21,593</w:t>
            </w:r>
          </w:p>
        </w:tc>
        <w:tc>
          <w:tcPr>
            <w:tcW w:w="0" w:type="auto"/>
          </w:tcPr>
          <w:p w14:paraId="2D8707BC"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8,647</w:t>
            </w:r>
          </w:p>
        </w:tc>
        <w:tc>
          <w:tcPr>
            <w:tcW w:w="0" w:type="auto"/>
          </w:tcPr>
          <w:p w14:paraId="30407963"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21,593</w:t>
            </w:r>
          </w:p>
        </w:tc>
        <w:tc>
          <w:tcPr>
            <w:tcW w:w="0" w:type="auto"/>
          </w:tcPr>
          <w:p w14:paraId="347D8662"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8,638</w:t>
            </w:r>
          </w:p>
        </w:tc>
        <w:tc>
          <w:tcPr>
            <w:tcW w:w="0" w:type="auto"/>
          </w:tcPr>
          <w:p w14:paraId="4E993903"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21,586</w:t>
            </w:r>
          </w:p>
        </w:tc>
      </w:tr>
      <w:tr w:rsidR="003C197E" w:rsidRPr="007048BA" w14:paraId="7509189D" w14:textId="77777777" w:rsidTr="002E7B24">
        <w:trPr>
          <w:jc w:val="center"/>
        </w:trPr>
        <w:tc>
          <w:tcPr>
            <w:tcW w:w="0" w:type="auto"/>
          </w:tcPr>
          <w:p w14:paraId="4825314D" w14:textId="78ACD976" w:rsidR="003C197E" w:rsidRPr="007048BA" w:rsidRDefault="003C197E" w:rsidP="006D46D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 xml:space="preserve">Industry </w:t>
            </w:r>
          </w:p>
        </w:tc>
        <w:tc>
          <w:tcPr>
            <w:tcW w:w="0" w:type="auto"/>
          </w:tcPr>
          <w:p w14:paraId="55E12D10"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3A8AB3B4"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761CC1A6"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483E0586"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0E66C837"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181B93FD"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r>
      <w:tr w:rsidR="003C197E" w:rsidRPr="007048BA" w14:paraId="2235AF15" w14:textId="77777777" w:rsidTr="002E7B24">
        <w:trPr>
          <w:jc w:val="center"/>
        </w:trPr>
        <w:tc>
          <w:tcPr>
            <w:tcW w:w="0" w:type="auto"/>
          </w:tcPr>
          <w:p w14:paraId="790238B7" w14:textId="59125229" w:rsidR="003C197E" w:rsidRPr="007048BA" w:rsidRDefault="003C197E" w:rsidP="006D46D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 xml:space="preserve">Year </w:t>
            </w:r>
          </w:p>
        </w:tc>
        <w:tc>
          <w:tcPr>
            <w:tcW w:w="0" w:type="auto"/>
          </w:tcPr>
          <w:p w14:paraId="6546C415"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66DD405B"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50FABE05"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3E58B349"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6BE2DFD1"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79B14F21" w14:textId="77777777" w:rsidR="003C197E" w:rsidRPr="007048BA" w:rsidRDefault="003C197E" w:rsidP="003C197E">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r>
    </w:tbl>
    <w:p w14:paraId="6DBE13BE" w14:textId="458482CB" w:rsidR="003C197E" w:rsidRPr="007048BA" w:rsidRDefault="003C197E" w:rsidP="00031D30">
      <w:pPr>
        <w:widowControl w:val="0"/>
        <w:autoSpaceDE w:val="0"/>
        <w:autoSpaceDN w:val="0"/>
        <w:adjustRightInd w:val="0"/>
        <w:spacing w:after="0" w:line="240" w:lineRule="auto"/>
        <w:ind w:firstLine="0"/>
        <w:rPr>
          <w:rFonts w:eastAsia="Times New Roman" w:cs="Times New Roman"/>
          <w:color w:val="000000"/>
          <w:sz w:val="20"/>
          <w:szCs w:val="20"/>
          <w:lang w:val="en-GB" w:eastAsia="en-GB"/>
        </w:rPr>
      </w:pPr>
    </w:p>
    <w:p w14:paraId="02172820" w14:textId="77777777" w:rsidR="003C197E" w:rsidRPr="007048BA" w:rsidRDefault="003C197E" w:rsidP="00031D30">
      <w:pPr>
        <w:widowControl w:val="0"/>
        <w:autoSpaceDE w:val="0"/>
        <w:autoSpaceDN w:val="0"/>
        <w:adjustRightInd w:val="0"/>
        <w:spacing w:after="0" w:line="240" w:lineRule="auto"/>
        <w:ind w:firstLine="0"/>
        <w:rPr>
          <w:rFonts w:eastAsia="PMingLiU" w:cs="Times New Roman"/>
          <w:sz w:val="28"/>
          <w:szCs w:val="24"/>
          <w:lang w:val="en-GB" w:eastAsia="zh-TW"/>
        </w:rPr>
      </w:pPr>
    </w:p>
    <w:p w14:paraId="6F69CB5A" w14:textId="77777777" w:rsidR="00614C7A" w:rsidRPr="007048BA" w:rsidRDefault="00614C7A" w:rsidP="00614C7A">
      <w:pPr>
        <w:rPr>
          <w:rFonts w:eastAsia="PMingLiU" w:cs="Times New Roman"/>
          <w:sz w:val="28"/>
          <w:szCs w:val="24"/>
          <w:lang w:val="en-GB" w:eastAsia="zh-TW"/>
        </w:rPr>
      </w:pPr>
    </w:p>
    <w:p w14:paraId="48AB3E98" w14:textId="77777777" w:rsidR="00614C7A" w:rsidRPr="007048BA" w:rsidRDefault="00614C7A" w:rsidP="00614C7A">
      <w:pPr>
        <w:pStyle w:val="Heading2"/>
        <w:rPr>
          <w:rFonts w:eastAsia="Times New Roman"/>
          <w:lang w:val="en-GB" w:eastAsia="en-GB"/>
        </w:rPr>
        <w:sectPr w:rsidR="00614C7A" w:rsidRPr="007048BA" w:rsidSect="0088458D">
          <w:pgSz w:w="12240" w:h="15840"/>
          <w:pgMar w:top="1304" w:right="964" w:bottom="1304" w:left="1077" w:header="720" w:footer="720" w:gutter="0"/>
          <w:cols w:space="720"/>
          <w:docGrid w:linePitch="360"/>
        </w:sectPr>
      </w:pPr>
    </w:p>
    <w:p w14:paraId="17E45286" w14:textId="77777777" w:rsidR="003C197E" w:rsidRPr="007048BA" w:rsidRDefault="003C197E" w:rsidP="0059733E">
      <w:pPr>
        <w:rPr>
          <w:b/>
          <w:sz w:val="28"/>
          <w:lang w:val="en-GB" w:eastAsia="zh-TW"/>
        </w:rPr>
        <w:sectPr w:rsidR="003C197E" w:rsidRPr="007048BA" w:rsidSect="007B5ED9">
          <w:type w:val="continuous"/>
          <w:pgSz w:w="12240" w:h="15840"/>
          <w:pgMar w:top="1304" w:right="964" w:bottom="1304" w:left="1077" w:header="720" w:footer="720" w:gutter="0"/>
          <w:cols w:space="720"/>
          <w:docGrid w:linePitch="360"/>
        </w:sectPr>
      </w:pPr>
    </w:p>
    <w:p w14:paraId="1FBE0DD9" w14:textId="5358FCBA" w:rsidR="001C29A9" w:rsidRPr="007048BA" w:rsidRDefault="001C29A9" w:rsidP="0059733E">
      <w:pPr>
        <w:rPr>
          <w:rFonts w:eastAsia="PMingLiU" w:cs="Times New Roman"/>
          <w:b/>
          <w:sz w:val="28"/>
          <w:szCs w:val="24"/>
          <w:lang w:val="en-GB" w:eastAsia="zh-TW"/>
        </w:rPr>
      </w:pPr>
      <w:r w:rsidRPr="007048BA">
        <w:rPr>
          <w:b/>
          <w:sz w:val="28"/>
          <w:lang w:val="en-GB" w:eastAsia="zh-TW"/>
        </w:rPr>
        <w:lastRenderedPageBreak/>
        <w:t>Table</w:t>
      </w:r>
      <w:r w:rsidR="00614C7A" w:rsidRPr="007048BA">
        <w:rPr>
          <w:b/>
          <w:sz w:val="28"/>
          <w:lang w:val="en-GB" w:eastAsia="zh-TW"/>
        </w:rPr>
        <w:t xml:space="preserve"> 10</w:t>
      </w:r>
      <w:r w:rsidR="0059733E" w:rsidRPr="007048BA">
        <w:rPr>
          <w:b/>
          <w:sz w:val="28"/>
          <w:lang w:val="en-GB" w:eastAsia="zh-TW"/>
        </w:rPr>
        <w:t>:</w:t>
      </w:r>
      <w:r w:rsidRPr="007048BA">
        <w:rPr>
          <w:rFonts w:eastAsia="PMingLiU" w:cs="Times New Roman"/>
          <w:b/>
          <w:sz w:val="28"/>
          <w:szCs w:val="24"/>
          <w:lang w:val="en-GB" w:eastAsia="zh-TW"/>
        </w:rPr>
        <w:t xml:space="preserve"> Impact of switching on takeover likelihood</w:t>
      </w:r>
      <w:r w:rsidR="00022753" w:rsidRPr="007048BA">
        <w:rPr>
          <w:rFonts w:eastAsia="PMingLiU" w:cs="Times New Roman"/>
          <w:b/>
          <w:sz w:val="28"/>
          <w:szCs w:val="24"/>
          <w:lang w:val="en-GB" w:eastAsia="zh-TW"/>
        </w:rPr>
        <w:t xml:space="preserve"> </w:t>
      </w:r>
    </w:p>
    <w:p w14:paraId="7AB6F9E2" w14:textId="0111C56E" w:rsidR="00022753" w:rsidRPr="007048BA" w:rsidRDefault="00022753" w:rsidP="00022753">
      <w:pPr>
        <w:widowControl w:val="0"/>
        <w:autoSpaceDE w:val="0"/>
        <w:autoSpaceDN w:val="0"/>
        <w:adjustRightInd w:val="0"/>
        <w:spacing w:after="0" w:line="240" w:lineRule="auto"/>
        <w:ind w:firstLine="0"/>
        <w:rPr>
          <w:rFonts w:eastAsia="Times New Roman" w:cs="Times New Roman"/>
          <w:color w:val="000000"/>
          <w:sz w:val="20"/>
          <w:szCs w:val="20"/>
          <w:lang w:val="en-GB" w:eastAsia="en-GB"/>
        </w:rPr>
      </w:pPr>
      <w:r w:rsidRPr="007048BA">
        <w:rPr>
          <w:rFonts w:eastAsia="PMingLiU" w:cs="Times New Roman"/>
          <w:sz w:val="20"/>
          <w:szCs w:val="20"/>
          <w:lang w:val="en-GB" w:eastAsia="zh-TW"/>
        </w:rPr>
        <w:t xml:space="preserve">The table reports logit regressions results on the impact of switching on takeover likelihood </w:t>
      </w:r>
      <w:r w:rsidR="00CE3750" w:rsidRPr="007048BA">
        <w:rPr>
          <w:rFonts w:eastAsia="PMingLiU" w:cs="Times New Roman"/>
          <w:sz w:val="20"/>
          <w:szCs w:val="20"/>
          <w:lang w:val="en-GB" w:eastAsia="zh-TW"/>
        </w:rPr>
        <w:t>(</w:t>
      </w:r>
      <w:r w:rsidR="00CE3750" w:rsidRPr="007048BA">
        <w:rPr>
          <w:rFonts w:eastAsia="PMingLiU" w:cs="Times New Roman"/>
          <w:i/>
          <w:sz w:val="20"/>
          <w:szCs w:val="20"/>
          <w:lang w:val="en-GB" w:eastAsia="zh-TW"/>
        </w:rPr>
        <w:t>Target</w:t>
      </w:r>
      <w:r w:rsidR="00CE3750" w:rsidRPr="007048BA">
        <w:rPr>
          <w:rFonts w:eastAsia="PMingLiU" w:cs="Times New Roman"/>
          <w:sz w:val="20"/>
          <w:szCs w:val="20"/>
          <w:lang w:val="en-GB" w:eastAsia="zh-TW"/>
        </w:rPr>
        <w:t xml:space="preserve">) </w:t>
      </w:r>
      <w:r w:rsidRPr="007048BA">
        <w:rPr>
          <w:rFonts w:eastAsia="PMingLiU" w:cs="Times New Roman"/>
          <w:sz w:val="20"/>
          <w:szCs w:val="20"/>
          <w:lang w:val="en-GB" w:eastAsia="zh-TW"/>
        </w:rPr>
        <w:t xml:space="preserve">across the four </w:t>
      </w:r>
      <w:r w:rsidR="006B3320" w:rsidRPr="007048BA">
        <w:rPr>
          <w:rFonts w:eastAsia="PMingLiU" w:cs="Times New Roman"/>
          <w:sz w:val="20"/>
          <w:szCs w:val="20"/>
          <w:lang w:val="en-GB" w:eastAsia="zh-TW"/>
        </w:rPr>
        <w:t>attributes</w:t>
      </w:r>
      <w:r w:rsidRPr="007048BA">
        <w:rPr>
          <w:rFonts w:eastAsia="PMingLiU" w:cs="Times New Roman"/>
          <w:sz w:val="20"/>
          <w:szCs w:val="20"/>
          <w:lang w:val="en-GB" w:eastAsia="zh-TW"/>
        </w:rPr>
        <w:t xml:space="preserve"> (1) </w:t>
      </w:r>
      <w:r w:rsidR="00ED262D" w:rsidRPr="007048BA">
        <w:rPr>
          <w:rFonts w:eastAsia="PMingLiU" w:cs="Times New Roman"/>
          <w:i/>
          <w:sz w:val="20"/>
          <w:szCs w:val="20"/>
          <w:lang w:val="en-GB" w:eastAsia="zh-TW"/>
        </w:rPr>
        <w:t>poor</w:t>
      </w:r>
      <w:r w:rsidRPr="007048BA">
        <w:rPr>
          <w:rFonts w:eastAsia="PMingLiU" w:cs="Times New Roman"/>
          <w:i/>
          <w:sz w:val="20"/>
          <w:szCs w:val="20"/>
          <w:lang w:val="en-GB" w:eastAsia="zh-TW"/>
        </w:rPr>
        <w:t xml:space="preserve">, </w:t>
      </w:r>
      <w:r w:rsidRPr="007048BA">
        <w:rPr>
          <w:rFonts w:eastAsia="PMingLiU" w:cs="Times New Roman"/>
          <w:sz w:val="20"/>
          <w:szCs w:val="20"/>
          <w:lang w:val="en-GB" w:eastAsia="zh-TW"/>
        </w:rPr>
        <w:t xml:space="preserve">(2) </w:t>
      </w:r>
      <w:r w:rsidR="00ED262D" w:rsidRPr="007048BA">
        <w:rPr>
          <w:rFonts w:eastAsia="PMingLiU" w:cs="Times New Roman"/>
          <w:i/>
          <w:sz w:val="20"/>
          <w:szCs w:val="20"/>
          <w:lang w:val="en-GB" w:eastAsia="zh-TW"/>
        </w:rPr>
        <w:t>myopia</w:t>
      </w:r>
      <w:r w:rsidRPr="007048BA">
        <w:rPr>
          <w:rFonts w:eastAsia="PMingLiU" w:cs="Times New Roman"/>
          <w:i/>
          <w:sz w:val="20"/>
          <w:szCs w:val="20"/>
          <w:lang w:val="en-GB" w:eastAsia="zh-TW"/>
        </w:rPr>
        <w:t xml:space="preserve">, </w:t>
      </w:r>
      <w:r w:rsidRPr="007048BA">
        <w:rPr>
          <w:rFonts w:eastAsia="PMingLiU" w:cs="Times New Roman"/>
          <w:sz w:val="20"/>
          <w:szCs w:val="20"/>
          <w:lang w:val="en-GB" w:eastAsia="zh-TW"/>
        </w:rPr>
        <w:t xml:space="preserve">(3) </w:t>
      </w:r>
      <w:r w:rsidR="00ED262D" w:rsidRPr="007048BA">
        <w:rPr>
          <w:rFonts w:eastAsia="PMingLiU" w:cs="Times New Roman"/>
          <w:i/>
          <w:sz w:val="20"/>
          <w:szCs w:val="20"/>
          <w:lang w:val="en-GB" w:eastAsia="zh-TW"/>
        </w:rPr>
        <w:t>hyperopia</w:t>
      </w:r>
      <w:r w:rsidRPr="007048BA">
        <w:rPr>
          <w:rFonts w:eastAsia="PMingLiU" w:cs="Times New Roman"/>
          <w:i/>
          <w:sz w:val="20"/>
          <w:szCs w:val="20"/>
          <w:lang w:val="en-GB" w:eastAsia="zh-TW"/>
        </w:rPr>
        <w:t xml:space="preserve"> </w:t>
      </w:r>
      <w:r w:rsidRPr="007048BA">
        <w:rPr>
          <w:rFonts w:eastAsia="PMingLiU" w:cs="Times New Roman"/>
          <w:sz w:val="20"/>
          <w:szCs w:val="20"/>
          <w:lang w:val="en-GB" w:eastAsia="zh-TW"/>
        </w:rPr>
        <w:t>and</w:t>
      </w:r>
      <w:r w:rsidRPr="007048BA">
        <w:rPr>
          <w:rFonts w:eastAsia="PMingLiU" w:cs="Times New Roman"/>
          <w:i/>
          <w:sz w:val="20"/>
          <w:szCs w:val="20"/>
          <w:lang w:val="en-GB" w:eastAsia="zh-TW"/>
        </w:rPr>
        <w:t xml:space="preserve"> </w:t>
      </w:r>
      <w:r w:rsidRPr="007048BA">
        <w:rPr>
          <w:rFonts w:eastAsia="PMingLiU" w:cs="Times New Roman"/>
          <w:sz w:val="20"/>
          <w:szCs w:val="20"/>
          <w:lang w:val="en-GB" w:eastAsia="zh-TW"/>
        </w:rPr>
        <w:t xml:space="preserve">(4) </w:t>
      </w:r>
      <w:r w:rsidR="00ED262D" w:rsidRPr="007048BA">
        <w:rPr>
          <w:rFonts w:eastAsia="PMingLiU" w:cs="Times New Roman"/>
          <w:i/>
          <w:sz w:val="20"/>
          <w:szCs w:val="20"/>
          <w:lang w:val="en-GB" w:eastAsia="zh-TW"/>
        </w:rPr>
        <w:t>efficient</w:t>
      </w:r>
      <w:r w:rsidRPr="007048BA">
        <w:rPr>
          <w:rFonts w:eastAsia="PMingLiU" w:cs="Times New Roman"/>
          <w:i/>
          <w:sz w:val="20"/>
          <w:szCs w:val="20"/>
          <w:lang w:val="en-GB" w:eastAsia="zh-TW"/>
        </w:rPr>
        <w:t>.</w:t>
      </w:r>
      <w:r w:rsidRPr="007048BA">
        <w:rPr>
          <w:rFonts w:eastAsia="PMingLiU" w:cs="Times New Roman"/>
          <w:sz w:val="20"/>
          <w:szCs w:val="20"/>
          <w:lang w:val="en-GB" w:eastAsia="zh-TW"/>
        </w:rPr>
        <w:t xml:space="preserve"> </w:t>
      </w:r>
      <w:r w:rsidR="00CE3750" w:rsidRPr="007048BA">
        <w:rPr>
          <w:rFonts w:eastAsia="PMingLiU" w:cs="Times New Roman"/>
          <w:sz w:val="20"/>
          <w:szCs w:val="20"/>
          <w:lang w:val="en-GB" w:eastAsia="zh-TW"/>
        </w:rPr>
        <w:t>The dependent variable (</w:t>
      </w:r>
      <w:r w:rsidR="00CE3750" w:rsidRPr="007048BA">
        <w:rPr>
          <w:rFonts w:eastAsia="PMingLiU" w:cs="Times New Roman"/>
          <w:i/>
          <w:sz w:val="20"/>
          <w:szCs w:val="20"/>
          <w:lang w:val="en-GB" w:eastAsia="zh-TW"/>
        </w:rPr>
        <w:t>Target</w:t>
      </w:r>
      <w:r w:rsidR="00CE3750" w:rsidRPr="007048BA">
        <w:rPr>
          <w:rFonts w:eastAsia="PMingLiU" w:cs="Times New Roman"/>
          <w:sz w:val="20"/>
          <w:szCs w:val="20"/>
          <w:lang w:val="en-GB" w:eastAsia="zh-TW"/>
        </w:rPr>
        <w:t xml:space="preserve">) takes a value of 1 if a firm receives a bid and a value of 0, otherwise. </w:t>
      </w:r>
      <w:r w:rsidR="00EF63A8" w:rsidRPr="007048BA">
        <w:rPr>
          <w:rFonts w:eastAsia="PMingLiU" w:cs="Times New Roman"/>
          <w:sz w:val="20"/>
          <w:szCs w:val="20"/>
          <w:lang w:val="en-GB" w:eastAsia="zh-TW"/>
        </w:rPr>
        <w:t>Improve</w:t>
      </w:r>
      <w:r w:rsidRPr="007048BA">
        <w:rPr>
          <w:rFonts w:eastAsia="PMingLiU" w:cs="Times New Roman"/>
          <w:sz w:val="20"/>
          <w:szCs w:val="20"/>
          <w:lang w:val="en-GB" w:eastAsia="zh-TW"/>
        </w:rPr>
        <w:t xml:space="preserve"> indicates a switch from a lower to a higher </w:t>
      </w:r>
      <w:r w:rsidR="002E346E" w:rsidRPr="007048BA">
        <w:rPr>
          <w:rFonts w:eastAsia="PMingLiU" w:cs="Times New Roman"/>
          <w:sz w:val="20"/>
          <w:szCs w:val="20"/>
          <w:lang w:val="en-GB" w:eastAsia="zh-TW"/>
        </w:rPr>
        <w:t>attribute</w:t>
      </w:r>
      <w:r w:rsidRPr="007048BA">
        <w:rPr>
          <w:rFonts w:eastAsia="PMingLiU" w:cs="Times New Roman"/>
          <w:sz w:val="20"/>
          <w:szCs w:val="20"/>
          <w:lang w:val="en-GB" w:eastAsia="zh-TW"/>
        </w:rPr>
        <w:t xml:space="preserve"> from one year to the next e.g., a switch from (1) </w:t>
      </w:r>
      <w:r w:rsidR="00ED262D" w:rsidRPr="007048BA">
        <w:rPr>
          <w:rFonts w:eastAsia="PMingLiU" w:cs="Times New Roman"/>
          <w:i/>
          <w:sz w:val="20"/>
          <w:szCs w:val="20"/>
          <w:lang w:val="en-GB" w:eastAsia="zh-TW"/>
        </w:rPr>
        <w:t>poor</w:t>
      </w:r>
      <w:r w:rsidRPr="007048BA">
        <w:rPr>
          <w:rFonts w:eastAsia="PMingLiU" w:cs="Times New Roman"/>
          <w:sz w:val="20"/>
          <w:szCs w:val="20"/>
          <w:lang w:val="en-GB" w:eastAsia="zh-TW"/>
        </w:rPr>
        <w:t xml:space="preserve"> to (2) </w:t>
      </w:r>
      <w:r w:rsidR="00ED262D" w:rsidRPr="007048BA">
        <w:rPr>
          <w:rFonts w:eastAsia="PMingLiU" w:cs="Times New Roman"/>
          <w:i/>
          <w:sz w:val="20"/>
          <w:szCs w:val="20"/>
          <w:lang w:val="en-GB" w:eastAsia="zh-TW"/>
        </w:rPr>
        <w:t>myopia</w:t>
      </w:r>
      <w:r w:rsidRPr="007048BA">
        <w:rPr>
          <w:rFonts w:eastAsia="PMingLiU" w:cs="Times New Roman"/>
          <w:sz w:val="20"/>
          <w:szCs w:val="20"/>
          <w:lang w:val="en-GB" w:eastAsia="zh-TW"/>
        </w:rPr>
        <w:t xml:space="preserve">, and so forth. </w:t>
      </w:r>
      <w:r w:rsidR="00EF63A8" w:rsidRPr="007048BA">
        <w:rPr>
          <w:rFonts w:eastAsia="PMingLiU" w:cs="Times New Roman"/>
          <w:i/>
          <w:sz w:val="20"/>
          <w:szCs w:val="20"/>
          <w:lang w:val="en-GB" w:eastAsia="zh-TW"/>
        </w:rPr>
        <w:t>Decline</w:t>
      </w:r>
      <w:r w:rsidRPr="007048BA">
        <w:rPr>
          <w:rFonts w:eastAsia="PMingLiU" w:cs="Times New Roman"/>
          <w:sz w:val="20"/>
          <w:szCs w:val="20"/>
          <w:lang w:val="en-GB" w:eastAsia="zh-TW"/>
        </w:rPr>
        <w:t xml:space="preserve"> indicates a switch from a higher to a lower </w:t>
      </w:r>
      <w:r w:rsidR="002E346E" w:rsidRPr="007048BA">
        <w:rPr>
          <w:rFonts w:eastAsia="PMingLiU" w:cs="Times New Roman"/>
          <w:sz w:val="20"/>
          <w:szCs w:val="20"/>
          <w:lang w:val="en-GB" w:eastAsia="zh-TW"/>
        </w:rPr>
        <w:t>attribute</w:t>
      </w:r>
      <w:r w:rsidRPr="007048BA">
        <w:rPr>
          <w:rFonts w:eastAsia="PMingLiU" w:cs="Times New Roman"/>
          <w:sz w:val="20"/>
          <w:szCs w:val="20"/>
          <w:lang w:val="en-GB" w:eastAsia="zh-TW"/>
        </w:rPr>
        <w:t xml:space="preserve">. </w:t>
      </w:r>
      <w:r w:rsidR="00EF63A8" w:rsidRPr="007048BA">
        <w:rPr>
          <w:rFonts w:eastAsia="PMingLiU" w:cs="Times New Roman"/>
          <w:i/>
          <w:sz w:val="20"/>
          <w:szCs w:val="20"/>
          <w:lang w:val="en-GB" w:eastAsia="zh-TW"/>
        </w:rPr>
        <w:t>Maintain</w:t>
      </w:r>
      <w:r w:rsidRPr="007048BA">
        <w:rPr>
          <w:rFonts w:eastAsia="PMingLiU" w:cs="Times New Roman"/>
          <w:sz w:val="20"/>
          <w:szCs w:val="20"/>
          <w:lang w:val="en-GB" w:eastAsia="zh-TW"/>
        </w:rPr>
        <w:t xml:space="preserve"> indicates no switch. In models (1) and (2), for example, we explore how the takeover likelihood for firms classified as </w:t>
      </w:r>
      <w:r w:rsidR="00ED262D" w:rsidRPr="007048BA">
        <w:rPr>
          <w:rFonts w:eastAsia="PMingLiU" w:cs="Times New Roman"/>
          <w:sz w:val="20"/>
          <w:szCs w:val="20"/>
          <w:lang w:val="en-GB" w:eastAsia="zh-TW"/>
        </w:rPr>
        <w:t>poor</w:t>
      </w:r>
      <w:r w:rsidRPr="007048BA">
        <w:rPr>
          <w:rFonts w:eastAsia="PMingLiU" w:cs="Times New Roman"/>
          <w:sz w:val="20"/>
          <w:szCs w:val="20"/>
          <w:lang w:val="en-GB" w:eastAsia="zh-TW"/>
        </w:rPr>
        <w:t xml:space="preserve"> </w:t>
      </w:r>
      <w:r w:rsidR="000B1DC1" w:rsidRPr="007048BA">
        <w:rPr>
          <w:rFonts w:eastAsia="PMingLiU" w:cs="Times New Roman"/>
          <w:sz w:val="20"/>
          <w:szCs w:val="20"/>
          <w:lang w:val="en-GB" w:eastAsia="zh-TW"/>
        </w:rPr>
        <w:t xml:space="preserve">changes if they switch (or not) from one </w:t>
      </w:r>
      <w:r w:rsidR="002E346E" w:rsidRPr="007048BA">
        <w:rPr>
          <w:rFonts w:eastAsia="PMingLiU" w:cs="Times New Roman"/>
          <w:sz w:val="20"/>
          <w:szCs w:val="20"/>
          <w:lang w:val="en-GB" w:eastAsia="zh-TW"/>
        </w:rPr>
        <w:t>attribute</w:t>
      </w:r>
      <w:r w:rsidR="000B1DC1" w:rsidRPr="007048BA">
        <w:rPr>
          <w:rFonts w:eastAsia="PMingLiU" w:cs="Times New Roman"/>
          <w:sz w:val="20"/>
          <w:szCs w:val="20"/>
          <w:lang w:val="en-GB" w:eastAsia="zh-TW"/>
        </w:rPr>
        <w:t xml:space="preserve"> to the next.</w:t>
      </w:r>
      <w:r w:rsidR="0059733E" w:rsidRPr="007048BA">
        <w:rPr>
          <w:rFonts w:eastAsia="PMingLiU" w:cs="Times New Roman"/>
          <w:sz w:val="20"/>
          <w:szCs w:val="20"/>
          <w:lang w:val="en-GB" w:eastAsia="zh-TW"/>
        </w:rPr>
        <w:t xml:space="preserve"> </w:t>
      </w:r>
      <w:r w:rsidRPr="007048BA">
        <w:rPr>
          <w:rFonts w:eastAsia="PMingLiU" w:cs="Times New Roman"/>
          <w:sz w:val="20"/>
          <w:szCs w:val="20"/>
          <w:lang w:val="en-GB" w:eastAsia="zh-TW"/>
        </w:rPr>
        <w:t>The control variables in the model</w:t>
      </w:r>
      <w:r w:rsidR="000B1DC1" w:rsidRPr="007048BA">
        <w:rPr>
          <w:rFonts w:eastAsia="PMingLiU" w:cs="Times New Roman"/>
          <w:sz w:val="20"/>
          <w:szCs w:val="20"/>
          <w:lang w:val="en-GB" w:eastAsia="zh-TW"/>
        </w:rPr>
        <w:t>s</w:t>
      </w:r>
      <w:r w:rsidRPr="007048BA">
        <w:rPr>
          <w:rFonts w:eastAsia="PMingLiU" w:cs="Times New Roman"/>
          <w:sz w:val="20"/>
          <w:szCs w:val="20"/>
          <w:lang w:val="en-GB" w:eastAsia="zh-TW"/>
        </w:rPr>
        <w:t xml:space="preserve"> are fully discussed in Appendix 1. </w:t>
      </w:r>
      <w:r w:rsidRPr="007048BA">
        <w:rPr>
          <w:rFonts w:eastAsia="Times New Roman" w:cs="Times New Roman"/>
          <w:color w:val="000000"/>
          <w:sz w:val="20"/>
          <w:szCs w:val="20"/>
          <w:lang w:val="en-GB" w:eastAsia="en-GB"/>
        </w:rPr>
        <w:t xml:space="preserve">The </w:t>
      </w:r>
      <w:r w:rsidRPr="007048BA">
        <w:rPr>
          <w:rFonts w:eastAsia="Times New Roman" w:cs="Times New Roman"/>
          <w:i/>
          <w:color w:val="000000"/>
          <w:sz w:val="20"/>
          <w:szCs w:val="20"/>
          <w:lang w:val="en-GB" w:eastAsia="en-GB"/>
        </w:rPr>
        <w:t>p-values</w:t>
      </w:r>
      <w:r w:rsidRPr="007048BA">
        <w:rPr>
          <w:rFonts w:eastAsia="Times New Roman" w:cs="Times New Roman"/>
          <w:color w:val="000000"/>
          <w:sz w:val="20"/>
          <w:szCs w:val="20"/>
          <w:lang w:val="en-GB" w:eastAsia="en-GB"/>
        </w:rPr>
        <w:t xml:space="preserve"> are presented in parenthesis. ***, **, * indicate statistical significance at the 1%, 5% and 10% levels, respectively.</w:t>
      </w:r>
    </w:p>
    <w:p w14:paraId="21CFC037" w14:textId="77777777" w:rsidR="00111FD8" w:rsidRPr="007048BA" w:rsidRDefault="00111FD8" w:rsidP="00022753">
      <w:pPr>
        <w:widowControl w:val="0"/>
        <w:autoSpaceDE w:val="0"/>
        <w:autoSpaceDN w:val="0"/>
        <w:adjustRightInd w:val="0"/>
        <w:spacing w:after="0" w:line="240" w:lineRule="auto"/>
        <w:ind w:firstLine="0"/>
        <w:rPr>
          <w:rFonts w:eastAsia="Times New Roman" w:cs="Times New Roman"/>
          <w:color w:val="000000"/>
          <w:sz w:val="20"/>
          <w:szCs w:val="20"/>
          <w:lang w:val="en-GB" w:eastAsia="en-GB"/>
        </w:rPr>
      </w:pPr>
    </w:p>
    <w:p w14:paraId="3F9B1EB0" w14:textId="77777777" w:rsidR="001C29A9" w:rsidRPr="007048BA" w:rsidRDefault="001C29A9" w:rsidP="001C29A9">
      <w:pPr>
        <w:pStyle w:val="References0"/>
        <w:spacing w:line="240" w:lineRule="auto"/>
        <w:rPr>
          <w:lang w:val="en-GB"/>
        </w:rPr>
        <w:sectPr w:rsidR="001C29A9" w:rsidRPr="007048BA" w:rsidSect="003C197E">
          <w:pgSz w:w="12240" w:h="15840"/>
          <w:pgMar w:top="1304" w:right="964" w:bottom="1304" w:left="1077" w:header="720" w:footer="720" w:gutter="0"/>
          <w:cols w:space="720"/>
          <w:docGrid w:linePitch="360"/>
        </w:sectPr>
      </w:pPr>
    </w:p>
    <w:tbl>
      <w:tblPr>
        <w:tblW w:w="0" w:type="auto"/>
        <w:jc w:val="center"/>
        <w:tblBorders>
          <w:top w:val="single" w:sz="4" w:space="0" w:color="auto"/>
          <w:bottom w:val="single" w:sz="4" w:space="0" w:color="auto"/>
        </w:tblBorders>
        <w:tblCellMar>
          <w:left w:w="75" w:type="dxa"/>
          <w:right w:w="75" w:type="dxa"/>
        </w:tblCellMar>
        <w:tblLook w:val="0000" w:firstRow="0" w:lastRow="0" w:firstColumn="0" w:lastColumn="0" w:noHBand="0" w:noVBand="0"/>
      </w:tblPr>
      <w:tblGrid>
        <w:gridCol w:w="1030"/>
        <w:gridCol w:w="1130"/>
        <w:gridCol w:w="1130"/>
        <w:gridCol w:w="1130"/>
        <w:gridCol w:w="1130"/>
        <w:gridCol w:w="1130"/>
      </w:tblGrid>
      <w:tr w:rsidR="001907C1" w:rsidRPr="007048BA" w14:paraId="491B5E80" w14:textId="77777777" w:rsidTr="001907C1">
        <w:trPr>
          <w:jc w:val="center"/>
        </w:trPr>
        <w:tc>
          <w:tcPr>
            <w:tcW w:w="0" w:type="auto"/>
          </w:tcPr>
          <w:p w14:paraId="4162AEC0" w14:textId="77777777" w:rsidR="001907C1" w:rsidRPr="007048BA" w:rsidRDefault="001907C1" w:rsidP="00111FD8">
            <w:pPr>
              <w:widowControl w:val="0"/>
              <w:autoSpaceDE w:val="0"/>
              <w:autoSpaceDN w:val="0"/>
              <w:adjustRightInd w:val="0"/>
              <w:spacing w:after="0" w:line="240" w:lineRule="auto"/>
              <w:ind w:firstLine="0"/>
              <w:jc w:val="left"/>
              <w:rPr>
                <w:rFonts w:eastAsia="Times New Roman" w:cs="Times New Roman"/>
                <w:b/>
                <w:i/>
                <w:szCs w:val="24"/>
                <w:lang w:val="en-GB" w:eastAsia="en-GB"/>
              </w:rPr>
            </w:pPr>
          </w:p>
        </w:tc>
        <w:tc>
          <w:tcPr>
            <w:tcW w:w="0" w:type="auto"/>
            <w:gridSpan w:val="2"/>
            <w:tcBorders>
              <w:top w:val="single" w:sz="4" w:space="0" w:color="auto"/>
              <w:right w:val="single" w:sz="4" w:space="0" w:color="auto"/>
            </w:tcBorders>
          </w:tcPr>
          <w:p w14:paraId="2720B24F" w14:textId="6CBEC408" w:rsidR="001907C1" w:rsidRPr="007048BA" w:rsidRDefault="001907C1" w:rsidP="00111FD8">
            <w:pPr>
              <w:widowControl w:val="0"/>
              <w:autoSpaceDE w:val="0"/>
              <w:autoSpaceDN w:val="0"/>
              <w:adjustRightInd w:val="0"/>
              <w:spacing w:after="0" w:line="240" w:lineRule="auto"/>
              <w:ind w:firstLine="0"/>
              <w:jc w:val="center"/>
              <w:rPr>
                <w:rFonts w:eastAsia="Times New Roman" w:cs="Times New Roman"/>
                <w:b/>
                <w:i/>
                <w:szCs w:val="24"/>
                <w:lang w:val="en-GB" w:eastAsia="en-GB"/>
              </w:rPr>
            </w:pPr>
            <w:r w:rsidRPr="007048BA">
              <w:rPr>
                <w:rFonts w:eastAsia="Times New Roman" w:cs="Times New Roman"/>
                <w:b/>
                <w:i/>
                <w:szCs w:val="24"/>
                <w:lang w:val="en-GB" w:eastAsia="en-GB"/>
              </w:rPr>
              <w:t>Poor firms</w:t>
            </w:r>
          </w:p>
        </w:tc>
        <w:tc>
          <w:tcPr>
            <w:tcW w:w="0" w:type="auto"/>
            <w:gridSpan w:val="3"/>
            <w:tcBorders>
              <w:left w:val="single" w:sz="4" w:space="0" w:color="auto"/>
            </w:tcBorders>
          </w:tcPr>
          <w:p w14:paraId="10F2AE74" w14:textId="1FA68610" w:rsidR="001907C1" w:rsidRPr="007048BA" w:rsidRDefault="001907C1" w:rsidP="00111FD8">
            <w:pPr>
              <w:widowControl w:val="0"/>
              <w:autoSpaceDE w:val="0"/>
              <w:autoSpaceDN w:val="0"/>
              <w:adjustRightInd w:val="0"/>
              <w:spacing w:after="0" w:line="240" w:lineRule="auto"/>
              <w:ind w:firstLine="0"/>
              <w:jc w:val="center"/>
              <w:rPr>
                <w:rFonts w:eastAsia="Times New Roman" w:cs="Times New Roman"/>
                <w:b/>
                <w:i/>
                <w:szCs w:val="24"/>
                <w:lang w:val="en-GB" w:eastAsia="en-GB"/>
              </w:rPr>
            </w:pPr>
            <w:r w:rsidRPr="007048BA">
              <w:rPr>
                <w:rFonts w:eastAsia="Times New Roman" w:cs="Times New Roman"/>
                <w:b/>
                <w:i/>
                <w:szCs w:val="24"/>
                <w:lang w:val="en-GB" w:eastAsia="en-GB"/>
              </w:rPr>
              <w:t>Myopic firms</w:t>
            </w:r>
          </w:p>
        </w:tc>
      </w:tr>
      <w:tr w:rsidR="001907C1" w:rsidRPr="007048BA" w14:paraId="4964EA7D" w14:textId="77777777" w:rsidTr="001907C1">
        <w:trPr>
          <w:jc w:val="center"/>
        </w:trPr>
        <w:tc>
          <w:tcPr>
            <w:tcW w:w="0" w:type="auto"/>
            <w:tcBorders>
              <w:bottom w:val="single" w:sz="4" w:space="0" w:color="auto"/>
            </w:tcBorders>
          </w:tcPr>
          <w:p w14:paraId="49C61FA2" w14:textId="77777777" w:rsidR="001907C1" w:rsidRPr="007048BA" w:rsidRDefault="001907C1" w:rsidP="000242D3">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Borders>
              <w:bottom w:val="single" w:sz="4" w:space="0" w:color="auto"/>
            </w:tcBorders>
          </w:tcPr>
          <w:p w14:paraId="50B86198" w14:textId="77777777" w:rsidR="001907C1" w:rsidRPr="007048BA" w:rsidRDefault="001907C1" w:rsidP="000242D3">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(1)</w:t>
            </w:r>
          </w:p>
        </w:tc>
        <w:tc>
          <w:tcPr>
            <w:tcW w:w="0" w:type="auto"/>
            <w:tcBorders>
              <w:bottom w:val="single" w:sz="4" w:space="0" w:color="auto"/>
              <w:right w:val="single" w:sz="4" w:space="0" w:color="auto"/>
            </w:tcBorders>
          </w:tcPr>
          <w:p w14:paraId="4C84D298" w14:textId="77777777" w:rsidR="001907C1" w:rsidRPr="007048BA" w:rsidRDefault="001907C1" w:rsidP="000242D3">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(2)</w:t>
            </w:r>
          </w:p>
        </w:tc>
        <w:tc>
          <w:tcPr>
            <w:tcW w:w="0" w:type="auto"/>
            <w:tcBorders>
              <w:left w:val="single" w:sz="4" w:space="0" w:color="auto"/>
              <w:bottom w:val="single" w:sz="4" w:space="0" w:color="auto"/>
            </w:tcBorders>
          </w:tcPr>
          <w:p w14:paraId="1E8FEAE9" w14:textId="77777777" w:rsidR="001907C1" w:rsidRPr="007048BA" w:rsidRDefault="001907C1" w:rsidP="000242D3">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(3)</w:t>
            </w:r>
          </w:p>
        </w:tc>
        <w:tc>
          <w:tcPr>
            <w:tcW w:w="0" w:type="auto"/>
            <w:tcBorders>
              <w:bottom w:val="single" w:sz="4" w:space="0" w:color="auto"/>
            </w:tcBorders>
          </w:tcPr>
          <w:p w14:paraId="1233B062" w14:textId="77777777" w:rsidR="001907C1" w:rsidRPr="007048BA" w:rsidRDefault="001907C1" w:rsidP="000242D3">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(4)</w:t>
            </w:r>
          </w:p>
        </w:tc>
        <w:tc>
          <w:tcPr>
            <w:tcW w:w="0" w:type="auto"/>
            <w:tcBorders>
              <w:bottom w:val="single" w:sz="4" w:space="0" w:color="auto"/>
            </w:tcBorders>
          </w:tcPr>
          <w:p w14:paraId="64025ADE" w14:textId="77777777" w:rsidR="001907C1" w:rsidRPr="007048BA" w:rsidRDefault="001907C1" w:rsidP="000242D3">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(5)</w:t>
            </w:r>
          </w:p>
        </w:tc>
      </w:tr>
      <w:tr w:rsidR="00111FD8" w:rsidRPr="007048BA" w14:paraId="45F15BFD" w14:textId="77777777" w:rsidTr="001907C1">
        <w:trPr>
          <w:jc w:val="center"/>
        </w:trPr>
        <w:tc>
          <w:tcPr>
            <w:tcW w:w="0" w:type="auto"/>
            <w:tcBorders>
              <w:top w:val="single" w:sz="4" w:space="0" w:color="auto"/>
              <w:bottom w:val="nil"/>
            </w:tcBorders>
          </w:tcPr>
          <w:p w14:paraId="3A051D7B"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Decline</w:t>
            </w:r>
          </w:p>
        </w:tc>
        <w:tc>
          <w:tcPr>
            <w:tcW w:w="0" w:type="auto"/>
            <w:tcBorders>
              <w:top w:val="single" w:sz="4" w:space="0" w:color="auto"/>
              <w:bottom w:val="nil"/>
            </w:tcBorders>
          </w:tcPr>
          <w:p w14:paraId="7148CE5F"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single" w:sz="4" w:space="0" w:color="auto"/>
              <w:bottom w:val="nil"/>
              <w:right w:val="single" w:sz="4" w:space="0" w:color="auto"/>
            </w:tcBorders>
          </w:tcPr>
          <w:p w14:paraId="112218C9"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single" w:sz="4" w:space="0" w:color="auto"/>
              <w:left w:val="single" w:sz="4" w:space="0" w:color="auto"/>
              <w:bottom w:val="nil"/>
            </w:tcBorders>
          </w:tcPr>
          <w:p w14:paraId="641D9DAD"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0.207</w:t>
            </w:r>
          </w:p>
        </w:tc>
        <w:tc>
          <w:tcPr>
            <w:tcW w:w="0" w:type="auto"/>
            <w:tcBorders>
              <w:top w:val="single" w:sz="4" w:space="0" w:color="auto"/>
              <w:bottom w:val="nil"/>
            </w:tcBorders>
          </w:tcPr>
          <w:p w14:paraId="5F36DAB3"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single" w:sz="4" w:space="0" w:color="auto"/>
              <w:bottom w:val="nil"/>
            </w:tcBorders>
          </w:tcPr>
          <w:p w14:paraId="5670F199"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111FD8" w:rsidRPr="007048BA" w14:paraId="2EF8A780" w14:textId="77777777" w:rsidTr="001907C1">
        <w:trPr>
          <w:jc w:val="center"/>
        </w:trPr>
        <w:tc>
          <w:tcPr>
            <w:tcW w:w="0" w:type="auto"/>
            <w:tcBorders>
              <w:top w:val="nil"/>
            </w:tcBorders>
          </w:tcPr>
          <w:p w14:paraId="5762D7D8"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Borders>
              <w:top w:val="nil"/>
            </w:tcBorders>
          </w:tcPr>
          <w:p w14:paraId="05FF58A2"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right w:val="single" w:sz="4" w:space="0" w:color="auto"/>
            </w:tcBorders>
          </w:tcPr>
          <w:p w14:paraId="2FF7E631"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single" w:sz="4" w:space="0" w:color="auto"/>
            </w:tcBorders>
          </w:tcPr>
          <w:p w14:paraId="5446A723"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(0.133)</w:t>
            </w:r>
          </w:p>
        </w:tc>
        <w:tc>
          <w:tcPr>
            <w:tcW w:w="0" w:type="auto"/>
            <w:tcBorders>
              <w:top w:val="nil"/>
            </w:tcBorders>
          </w:tcPr>
          <w:p w14:paraId="3586D28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tcBorders>
          </w:tcPr>
          <w:p w14:paraId="1047D665"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111FD8" w:rsidRPr="007048BA" w14:paraId="76A049FB" w14:textId="77777777" w:rsidTr="001907C1">
        <w:trPr>
          <w:jc w:val="center"/>
        </w:trPr>
        <w:tc>
          <w:tcPr>
            <w:tcW w:w="0" w:type="auto"/>
          </w:tcPr>
          <w:p w14:paraId="143EA5EE"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Maintain</w:t>
            </w:r>
          </w:p>
        </w:tc>
        <w:tc>
          <w:tcPr>
            <w:tcW w:w="0" w:type="auto"/>
          </w:tcPr>
          <w:p w14:paraId="4270596D"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0.200*</w:t>
            </w:r>
          </w:p>
        </w:tc>
        <w:tc>
          <w:tcPr>
            <w:tcW w:w="0" w:type="auto"/>
            <w:tcBorders>
              <w:right w:val="single" w:sz="4" w:space="0" w:color="auto"/>
            </w:tcBorders>
          </w:tcPr>
          <w:p w14:paraId="6B238CC0"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left w:val="single" w:sz="4" w:space="0" w:color="auto"/>
            </w:tcBorders>
          </w:tcPr>
          <w:p w14:paraId="4DDBA001"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7D9622BF"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0.335***</w:t>
            </w:r>
          </w:p>
        </w:tc>
        <w:tc>
          <w:tcPr>
            <w:tcW w:w="0" w:type="auto"/>
          </w:tcPr>
          <w:p w14:paraId="03BFF82B"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111FD8" w:rsidRPr="007048BA" w14:paraId="1EB1C39E" w14:textId="77777777" w:rsidTr="001907C1">
        <w:trPr>
          <w:jc w:val="center"/>
        </w:trPr>
        <w:tc>
          <w:tcPr>
            <w:tcW w:w="0" w:type="auto"/>
          </w:tcPr>
          <w:p w14:paraId="7E432382"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70B61FD8"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(0.097)</w:t>
            </w:r>
          </w:p>
        </w:tc>
        <w:tc>
          <w:tcPr>
            <w:tcW w:w="0" w:type="auto"/>
            <w:tcBorders>
              <w:right w:val="single" w:sz="4" w:space="0" w:color="auto"/>
            </w:tcBorders>
          </w:tcPr>
          <w:p w14:paraId="15F097C9"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left w:val="single" w:sz="4" w:space="0" w:color="auto"/>
            </w:tcBorders>
          </w:tcPr>
          <w:p w14:paraId="49FBA64D"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5627BF39"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4DDFD31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111FD8" w:rsidRPr="007048BA" w14:paraId="33B3A056" w14:textId="77777777" w:rsidTr="001907C1">
        <w:trPr>
          <w:jc w:val="center"/>
        </w:trPr>
        <w:tc>
          <w:tcPr>
            <w:tcW w:w="0" w:type="auto"/>
          </w:tcPr>
          <w:p w14:paraId="24AA48F6"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Improve</w:t>
            </w:r>
          </w:p>
        </w:tc>
        <w:tc>
          <w:tcPr>
            <w:tcW w:w="0" w:type="auto"/>
          </w:tcPr>
          <w:p w14:paraId="33BDC090"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right w:val="single" w:sz="4" w:space="0" w:color="auto"/>
            </w:tcBorders>
          </w:tcPr>
          <w:p w14:paraId="11911AD3"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-0.192</w:t>
            </w:r>
          </w:p>
        </w:tc>
        <w:tc>
          <w:tcPr>
            <w:tcW w:w="0" w:type="auto"/>
            <w:tcBorders>
              <w:left w:val="single" w:sz="4" w:space="0" w:color="auto"/>
            </w:tcBorders>
          </w:tcPr>
          <w:p w14:paraId="06BEC13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5F06DCB4"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254DC60D"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-0.388***</w:t>
            </w:r>
          </w:p>
        </w:tc>
      </w:tr>
      <w:tr w:rsidR="00111FD8" w:rsidRPr="007048BA" w14:paraId="46D28022" w14:textId="77777777" w:rsidTr="001907C1">
        <w:trPr>
          <w:jc w:val="center"/>
        </w:trPr>
        <w:tc>
          <w:tcPr>
            <w:tcW w:w="0" w:type="auto"/>
          </w:tcPr>
          <w:p w14:paraId="0D1AE540"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5BD99234"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right w:val="single" w:sz="4" w:space="0" w:color="auto"/>
            </w:tcBorders>
          </w:tcPr>
          <w:p w14:paraId="44CAB972"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(0.111)</w:t>
            </w:r>
          </w:p>
        </w:tc>
        <w:tc>
          <w:tcPr>
            <w:tcW w:w="0" w:type="auto"/>
            <w:tcBorders>
              <w:left w:val="single" w:sz="4" w:space="0" w:color="auto"/>
            </w:tcBorders>
          </w:tcPr>
          <w:p w14:paraId="30391B1D"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19D1F311"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26668A40"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111FD8" w:rsidRPr="007048BA" w14:paraId="309C71C0" w14:textId="77777777" w:rsidTr="001907C1">
        <w:trPr>
          <w:jc w:val="center"/>
        </w:trPr>
        <w:tc>
          <w:tcPr>
            <w:tcW w:w="0" w:type="auto"/>
          </w:tcPr>
          <w:p w14:paraId="148A6BC0"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TBQ</w:t>
            </w:r>
          </w:p>
        </w:tc>
        <w:tc>
          <w:tcPr>
            <w:tcW w:w="0" w:type="auto"/>
          </w:tcPr>
          <w:p w14:paraId="1D545E99"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0.018</w:t>
            </w:r>
          </w:p>
        </w:tc>
        <w:tc>
          <w:tcPr>
            <w:tcW w:w="0" w:type="auto"/>
            <w:tcBorders>
              <w:right w:val="single" w:sz="4" w:space="0" w:color="auto"/>
            </w:tcBorders>
          </w:tcPr>
          <w:p w14:paraId="48BDCFC0"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0.018</w:t>
            </w:r>
          </w:p>
        </w:tc>
        <w:tc>
          <w:tcPr>
            <w:tcW w:w="0" w:type="auto"/>
            <w:tcBorders>
              <w:left w:val="single" w:sz="4" w:space="0" w:color="auto"/>
            </w:tcBorders>
          </w:tcPr>
          <w:p w14:paraId="34D7CD1F"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-0.101**</w:t>
            </w:r>
          </w:p>
        </w:tc>
        <w:tc>
          <w:tcPr>
            <w:tcW w:w="0" w:type="auto"/>
          </w:tcPr>
          <w:p w14:paraId="55E4E5F8"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-0.114**</w:t>
            </w:r>
          </w:p>
        </w:tc>
        <w:tc>
          <w:tcPr>
            <w:tcW w:w="0" w:type="auto"/>
          </w:tcPr>
          <w:p w14:paraId="49572E6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-0.115***</w:t>
            </w:r>
          </w:p>
        </w:tc>
      </w:tr>
      <w:tr w:rsidR="00111FD8" w:rsidRPr="007048BA" w14:paraId="39B275B1" w14:textId="77777777" w:rsidTr="001907C1">
        <w:trPr>
          <w:jc w:val="center"/>
        </w:trPr>
        <w:tc>
          <w:tcPr>
            <w:tcW w:w="0" w:type="auto"/>
          </w:tcPr>
          <w:p w14:paraId="7CC49309"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1C49BAA1"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(0.605)</w:t>
            </w:r>
          </w:p>
        </w:tc>
        <w:tc>
          <w:tcPr>
            <w:tcW w:w="0" w:type="auto"/>
            <w:tcBorders>
              <w:right w:val="single" w:sz="4" w:space="0" w:color="auto"/>
            </w:tcBorders>
          </w:tcPr>
          <w:p w14:paraId="53897DC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(0.600)</w:t>
            </w:r>
          </w:p>
        </w:tc>
        <w:tc>
          <w:tcPr>
            <w:tcW w:w="0" w:type="auto"/>
            <w:tcBorders>
              <w:left w:val="single" w:sz="4" w:space="0" w:color="auto"/>
            </w:tcBorders>
          </w:tcPr>
          <w:p w14:paraId="5CAB9D4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(0.020)</w:t>
            </w:r>
          </w:p>
        </w:tc>
        <w:tc>
          <w:tcPr>
            <w:tcW w:w="0" w:type="auto"/>
          </w:tcPr>
          <w:p w14:paraId="3EBD800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(0.011)</w:t>
            </w:r>
          </w:p>
        </w:tc>
        <w:tc>
          <w:tcPr>
            <w:tcW w:w="0" w:type="auto"/>
          </w:tcPr>
          <w:p w14:paraId="06E5D1E8"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(0.010)</w:t>
            </w:r>
          </w:p>
        </w:tc>
      </w:tr>
      <w:tr w:rsidR="00111FD8" w:rsidRPr="007048BA" w14:paraId="5980F804" w14:textId="77777777" w:rsidTr="001907C1">
        <w:trPr>
          <w:jc w:val="center"/>
        </w:trPr>
        <w:tc>
          <w:tcPr>
            <w:tcW w:w="0" w:type="auto"/>
          </w:tcPr>
          <w:p w14:paraId="0E59DAED"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LIQ</w:t>
            </w:r>
          </w:p>
        </w:tc>
        <w:tc>
          <w:tcPr>
            <w:tcW w:w="0" w:type="auto"/>
          </w:tcPr>
          <w:p w14:paraId="28305E7C"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0.461</w:t>
            </w:r>
          </w:p>
        </w:tc>
        <w:tc>
          <w:tcPr>
            <w:tcW w:w="0" w:type="auto"/>
            <w:tcBorders>
              <w:right w:val="single" w:sz="4" w:space="0" w:color="auto"/>
            </w:tcBorders>
          </w:tcPr>
          <w:p w14:paraId="62A5913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0.461</w:t>
            </w:r>
          </w:p>
        </w:tc>
        <w:tc>
          <w:tcPr>
            <w:tcW w:w="0" w:type="auto"/>
            <w:tcBorders>
              <w:left w:val="single" w:sz="4" w:space="0" w:color="auto"/>
            </w:tcBorders>
          </w:tcPr>
          <w:p w14:paraId="04C0C07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0.102</w:t>
            </w:r>
          </w:p>
        </w:tc>
        <w:tc>
          <w:tcPr>
            <w:tcW w:w="0" w:type="auto"/>
          </w:tcPr>
          <w:p w14:paraId="71A4C57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0.187</w:t>
            </w:r>
          </w:p>
        </w:tc>
        <w:tc>
          <w:tcPr>
            <w:tcW w:w="0" w:type="auto"/>
          </w:tcPr>
          <w:p w14:paraId="59382219"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0.200</w:t>
            </w:r>
          </w:p>
        </w:tc>
      </w:tr>
      <w:tr w:rsidR="00111FD8" w:rsidRPr="007048BA" w14:paraId="1CEB476E" w14:textId="77777777" w:rsidTr="001907C1">
        <w:trPr>
          <w:jc w:val="center"/>
        </w:trPr>
        <w:tc>
          <w:tcPr>
            <w:tcW w:w="0" w:type="auto"/>
          </w:tcPr>
          <w:p w14:paraId="43B7909D"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7433A4BC"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(0.139)</w:t>
            </w:r>
          </w:p>
        </w:tc>
        <w:tc>
          <w:tcPr>
            <w:tcW w:w="0" w:type="auto"/>
            <w:tcBorders>
              <w:right w:val="single" w:sz="4" w:space="0" w:color="auto"/>
            </w:tcBorders>
          </w:tcPr>
          <w:p w14:paraId="7C43A7FF"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(0.139)</w:t>
            </w:r>
          </w:p>
        </w:tc>
        <w:tc>
          <w:tcPr>
            <w:tcW w:w="0" w:type="auto"/>
            <w:tcBorders>
              <w:left w:val="single" w:sz="4" w:space="0" w:color="auto"/>
            </w:tcBorders>
          </w:tcPr>
          <w:p w14:paraId="4A90CA7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(0.746)</w:t>
            </w:r>
          </w:p>
        </w:tc>
        <w:tc>
          <w:tcPr>
            <w:tcW w:w="0" w:type="auto"/>
          </w:tcPr>
          <w:p w14:paraId="2FB3EF34"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(0.553)</w:t>
            </w:r>
          </w:p>
        </w:tc>
        <w:tc>
          <w:tcPr>
            <w:tcW w:w="0" w:type="auto"/>
          </w:tcPr>
          <w:p w14:paraId="24EC6BAB"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(0.525)</w:t>
            </w:r>
          </w:p>
        </w:tc>
      </w:tr>
      <w:tr w:rsidR="00111FD8" w:rsidRPr="007048BA" w14:paraId="1E5E5395" w14:textId="77777777" w:rsidTr="001907C1">
        <w:trPr>
          <w:jc w:val="center"/>
        </w:trPr>
        <w:tc>
          <w:tcPr>
            <w:tcW w:w="0" w:type="auto"/>
          </w:tcPr>
          <w:p w14:paraId="0920054E"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LEV</w:t>
            </w:r>
          </w:p>
        </w:tc>
        <w:tc>
          <w:tcPr>
            <w:tcW w:w="0" w:type="auto"/>
          </w:tcPr>
          <w:p w14:paraId="2C78399C"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0.029</w:t>
            </w:r>
          </w:p>
        </w:tc>
        <w:tc>
          <w:tcPr>
            <w:tcW w:w="0" w:type="auto"/>
            <w:tcBorders>
              <w:right w:val="single" w:sz="4" w:space="0" w:color="auto"/>
            </w:tcBorders>
          </w:tcPr>
          <w:p w14:paraId="1B46D8F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0.030</w:t>
            </w:r>
          </w:p>
        </w:tc>
        <w:tc>
          <w:tcPr>
            <w:tcW w:w="0" w:type="auto"/>
            <w:tcBorders>
              <w:left w:val="single" w:sz="4" w:space="0" w:color="auto"/>
            </w:tcBorders>
          </w:tcPr>
          <w:p w14:paraId="07FE0D31"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0.040*</w:t>
            </w:r>
          </w:p>
        </w:tc>
        <w:tc>
          <w:tcPr>
            <w:tcW w:w="0" w:type="auto"/>
          </w:tcPr>
          <w:p w14:paraId="384CD0A4"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0.039*</w:t>
            </w:r>
          </w:p>
        </w:tc>
        <w:tc>
          <w:tcPr>
            <w:tcW w:w="0" w:type="auto"/>
          </w:tcPr>
          <w:p w14:paraId="75ECF420"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0.038*</w:t>
            </w:r>
          </w:p>
        </w:tc>
      </w:tr>
      <w:tr w:rsidR="00111FD8" w:rsidRPr="007048BA" w14:paraId="46487DF7" w14:textId="77777777" w:rsidTr="001907C1">
        <w:trPr>
          <w:jc w:val="center"/>
        </w:trPr>
        <w:tc>
          <w:tcPr>
            <w:tcW w:w="0" w:type="auto"/>
          </w:tcPr>
          <w:p w14:paraId="23B93A98"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1409AD4B"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(0.415)</w:t>
            </w:r>
          </w:p>
        </w:tc>
        <w:tc>
          <w:tcPr>
            <w:tcW w:w="0" w:type="auto"/>
            <w:tcBorders>
              <w:right w:val="single" w:sz="4" w:space="0" w:color="auto"/>
            </w:tcBorders>
          </w:tcPr>
          <w:p w14:paraId="5249C214"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(0.414)</w:t>
            </w:r>
          </w:p>
        </w:tc>
        <w:tc>
          <w:tcPr>
            <w:tcW w:w="0" w:type="auto"/>
            <w:tcBorders>
              <w:left w:val="single" w:sz="4" w:space="0" w:color="auto"/>
            </w:tcBorders>
          </w:tcPr>
          <w:p w14:paraId="72A75D11"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(0.069)</w:t>
            </w:r>
          </w:p>
        </w:tc>
        <w:tc>
          <w:tcPr>
            <w:tcW w:w="0" w:type="auto"/>
          </w:tcPr>
          <w:p w14:paraId="19AA5348"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(0.077)</w:t>
            </w:r>
          </w:p>
        </w:tc>
        <w:tc>
          <w:tcPr>
            <w:tcW w:w="0" w:type="auto"/>
          </w:tcPr>
          <w:p w14:paraId="3649BF9B"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(0.086)</w:t>
            </w:r>
          </w:p>
        </w:tc>
      </w:tr>
      <w:tr w:rsidR="00111FD8" w:rsidRPr="007048BA" w14:paraId="2EC5F94F" w14:textId="77777777" w:rsidTr="001907C1">
        <w:trPr>
          <w:jc w:val="center"/>
        </w:trPr>
        <w:tc>
          <w:tcPr>
            <w:tcW w:w="0" w:type="auto"/>
          </w:tcPr>
          <w:p w14:paraId="661552B5"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SGW</w:t>
            </w:r>
          </w:p>
        </w:tc>
        <w:tc>
          <w:tcPr>
            <w:tcW w:w="0" w:type="auto"/>
          </w:tcPr>
          <w:p w14:paraId="5B12CBC2"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0.024</w:t>
            </w:r>
          </w:p>
        </w:tc>
        <w:tc>
          <w:tcPr>
            <w:tcW w:w="0" w:type="auto"/>
            <w:tcBorders>
              <w:right w:val="single" w:sz="4" w:space="0" w:color="auto"/>
            </w:tcBorders>
          </w:tcPr>
          <w:p w14:paraId="7B1FC1C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0.024</w:t>
            </w:r>
          </w:p>
        </w:tc>
        <w:tc>
          <w:tcPr>
            <w:tcW w:w="0" w:type="auto"/>
            <w:tcBorders>
              <w:left w:val="single" w:sz="4" w:space="0" w:color="auto"/>
            </w:tcBorders>
          </w:tcPr>
          <w:p w14:paraId="0C5A6D4E"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-0.017</w:t>
            </w:r>
          </w:p>
        </w:tc>
        <w:tc>
          <w:tcPr>
            <w:tcW w:w="0" w:type="auto"/>
          </w:tcPr>
          <w:p w14:paraId="041FF3D3"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-0.024</w:t>
            </w:r>
          </w:p>
        </w:tc>
        <w:tc>
          <w:tcPr>
            <w:tcW w:w="0" w:type="auto"/>
          </w:tcPr>
          <w:p w14:paraId="58D998C1"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-0.022</w:t>
            </w:r>
          </w:p>
        </w:tc>
      </w:tr>
      <w:tr w:rsidR="00111FD8" w:rsidRPr="007048BA" w14:paraId="3064246E" w14:textId="77777777" w:rsidTr="001907C1">
        <w:trPr>
          <w:jc w:val="center"/>
        </w:trPr>
        <w:tc>
          <w:tcPr>
            <w:tcW w:w="0" w:type="auto"/>
          </w:tcPr>
          <w:p w14:paraId="7BFA1354"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43C4703B"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(0.447)</w:t>
            </w:r>
          </w:p>
        </w:tc>
        <w:tc>
          <w:tcPr>
            <w:tcW w:w="0" w:type="auto"/>
            <w:tcBorders>
              <w:right w:val="single" w:sz="4" w:space="0" w:color="auto"/>
            </w:tcBorders>
          </w:tcPr>
          <w:p w14:paraId="621264DE"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(0.447)</w:t>
            </w:r>
          </w:p>
        </w:tc>
        <w:tc>
          <w:tcPr>
            <w:tcW w:w="0" w:type="auto"/>
            <w:tcBorders>
              <w:left w:val="single" w:sz="4" w:space="0" w:color="auto"/>
            </w:tcBorders>
          </w:tcPr>
          <w:p w14:paraId="76B485E4"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(0.726)</w:t>
            </w:r>
          </w:p>
        </w:tc>
        <w:tc>
          <w:tcPr>
            <w:tcW w:w="0" w:type="auto"/>
          </w:tcPr>
          <w:p w14:paraId="06817597"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(0.630)</w:t>
            </w:r>
          </w:p>
        </w:tc>
        <w:tc>
          <w:tcPr>
            <w:tcW w:w="0" w:type="auto"/>
          </w:tcPr>
          <w:p w14:paraId="2F88DBC7"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(0.649)</w:t>
            </w:r>
          </w:p>
        </w:tc>
      </w:tr>
      <w:tr w:rsidR="00111FD8" w:rsidRPr="007048BA" w14:paraId="6BDAD97E" w14:textId="77777777" w:rsidTr="001907C1">
        <w:trPr>
          <w:jc w:val="center"/>
        </w:trPr>
        <w:tc>
          <w:tcPr>
            <w:tcW w:w="0" w:type="auto"/>
          </w:tcPr>
          <w:p w14:paraId="0CD66036"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GRD</w:t>
            </w:r>
          </w:p>
        </w:tc>
        <w:tc>
          <w:tcPr>
            <w:tcW w:w="0" w:type="auto"/>
          </w:tcPr>
          <w:p w14:paraId="1735BFB3"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0.015</w:t>
            </w:r>
          </w:p>
        </w:tc>
        <w:tc>
          <w:tcPr>
            <w:tcW w:w="0" w:type="auto"/>
            <w:tcBorders>
              <w:right w:val="single" w:sz="4" w:space="0" w:color="auto"/>
            </w:tcBorders>
          </w:tcPr>
          <w:p w14:paraId="040805D4"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0.015</w:t>
            </w:r>
          </w:p>
        </w:tc>
        <w:tc>
          <w:tcPr>
            <w:tcW w:w="0" w:type="auto"/>
            <w:tcBorders>
              <w:left w:val="single" w:sz="4" w:space="0" w:color="auto"/>
            </w:tcBorders>
          </w:tcPr>
          <w:p w14:paraId="42D45AA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-0.031</w:t>
            </w:r>
          </w:p>
        </w:tc>
        <w:tc>
          <w:tcPr>
            <w:tcW w:w="0" w:type="auto"/>
          </w:tcPr>
          <w:p w14:paraId="67A67AD4"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-0.048</w:t>
            </w:r>
          </w:p>
        </w:tc>
        <w:tc>
          <w:tcPr>
            <w:tcW w:w="0" w:type="auto"/>
          </w:tcPr>
          <w:p w14:paraId="78C2FFC3"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-0.040</w:t>
            </w:r>
          </w:p>
        </w:tc>
      </w:tr>
      <w:tr w:rsidR="00111FD8" w:rsidRPr="007048BA" w14:paraId="50B1AAFC" w14:textId="77777777" w:rsidTr="001907C1">
        <w:trPr>
          <w:jc w:val="center"/>
        </w:trPr>
        <w:tc>
          <w:tcPr>
            <w:tcW w:w="0" w:type="auto"/>
          </w:tcPr>
          <w:p w14:paraId="45D6A824"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56FD402C"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(0.914)</w:t>
            </w:r>
          </w:p>
        </w:tc>
        <w:tc>
          <w:tcPr>
            <w:tcW w:w="0" w:type="auto"/>
            <w:tcBorders>
              <w:right w:val="single" w:sz="4" w:space="0" w:color="auto"/>
            </w:tcBorders>
          </w:tcPr>
          <w:p w14:paraId="4C93C2AF"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(0.913)</w:t>
            </w:r>
          </w:p>
        </w:tc>
        <w:tc>
          <w:tcPr>
            <w:tcW w:w="0" w:type="auto"/>
            <w:tcBorders>
              <w:left w:val="single" w:sz="4" w:space="0" w:color="auto"/>
            </w:tcBorders>
          </w:tcPr>
          <w:p w14:paraId="5BA08039"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(0.743)</w:t>
            </w:r>
          </w:p>
        </w:tc>
        <w:tc>
          <w:tcPr>
            <w:tcW w:w="0" w:type="auto"/>
          </w:tcPr>
          <w:p w14:paraId="376403F1"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(0.616)</w:t>
            </w:r>
          </w:p>
        </w:tc>
        <w:tc>
          <w:tcPr>
            <w:tcW w:w="0" w:type="auto"/>
          </w:tcPr>
          <w:p w14:paraId="12F80A59"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(0.673)</w:t>
            </w:r>
          </w:p>
        </w:tc>
      </w:tr>
      <w:tr w:rsidR="00111FD8" w:rsidRPr="007048BA" w14:paraId="215E981B" w14:textId="77777777" w:rsidTr="001907C1">
        <w:trPr>
          <w:jc w:val="center"/>
        </w:trPr>
        <w:tc>
          <w:tcPr>
            <w:tcW w:w="0" w:type="auto"/>
          </w:tcPr>
          <w:p w14:paraId="4AF9574B"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IDD</w:t>
            </w:r>
          </w:p>
        </w:tc>
        <w:tc>
          <w:tcPr>
            <w:tcW w:w="0" w:type="auto"/>
          </w:tcPr>
          <w:p w14:paraId="5A96B89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-0.572***</w:t>
            </w:r>
          </w:p>
        </w:tc>
        <w:tc>
          <w:tcPr>
            <w:tcW w:w="0" w:type="auto"/>
            <w:tcBorders>
              <w:right w:val="single" w:sz="4" w:space="0" w:color="auto"/>
            </w:tcBorders>
          </w:tcPr>
          <w:p w14:paraId="6334DC69"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-0.574***</w:t>
            </w:r>
          </w:p>
        </w:tc>
        <w:tc>
          <w:tcPr>
            <w:tcW w:w="0" w:type="auto"/>
            <w:tcBorders>
              <w:left w:val="single" w:sz="4" w:space="0" w:color="auto"/>
            </w:tcBorders>
          </w:tcPr>
          <w:p w14:paraId="7DF89AA2"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-0.259***</w:t>
            </w:r>
          </w:p>
        </w:tc>
        <w:tc>
          <w:tcPr>
            <w:tcW w:w="0" w:type="auto"/>
          </w:tcPr>
          <w:p w14:paraId="455127AC"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-0.251***</w:t>
            </w:r>
          </w:p>
        </w:tc>
        <w:tc>
          <w:tcPr>
            <w:tcW w:w="0" w:type="auto"/>
          </w:tcPr>
          <w:p w14:paraId="556BBDD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-0.251***</w:t>
            </w:r>
          </w:p>
        </w:tc>
      </w:tr>
      <w:tr w:rsidR="00111FD8" w:rsidRPr="007048BA" w14:paraId="127CCBAB" w14:textId="77777777" w:rsidTr="001907C1">
        <w:trPr>
          <w:jc w:val="center"/>
        </w:trPr>
        <w:tc>
          <w:tcPr>
            <w:tcW w:w="0" w:type="auto"/>
          </w:tcPr>
          <w:p w14:paraId="44FE03B9"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5FE1A7B9"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Borders>
              <w:right w:val="single" w:sz="4" w:space="0" w:color="auto"/>
            </w:tcBorders>
          </w:tcPr>
          <w:p w14:paraId="6EEC440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Borders>
              <w:left w:val="single" w:sz="4" w:space="0" w:color="auto"/>
            </w:tcBorders>
          </w:tcPr>
          <w:p w14:paraId="78FB19AF"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(0.003)</w:t>
            </w:r>
          </w:p>
        </w:tc>
        <w:tc>
          <w:tcPr>
            <w:tcW w:w="0" w:type="auto"/>
          </w:tcPr>
          <w:p w14:paraId="541537B3"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(0.004)</w:t>
            </w:r>
          </w:p>
        </w:tc>
        <w:tc>
          <w:tcPr>
            <w:tcW w:w="0" w:type="auto"/>
          </w:tcPr>
          <w:p w14:paraId="4D06A1DF"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(0.004)</w:t>
            </w:r>
          </w:p>
        </w:tc>
      </w:tr>
      <w:tr w:rsidR="00111FD8" w:rsidRPr="007048BA" w14:paraId="1E03D738" w14:textId="77777777" w:rsidTr="001907C1">
        <w:trPr>
          <w:jc w:val="center"/>
        </w:trPr>
        <w:tc>
          <w:tcPr>
            <w:tcW w:w="0" w:type="auto"/>
          </w:tcPr>
          <w:p w14:paraId="589E28ED"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FCF</w:t>
            </w:r>
          </w:p>
        </w:tc>
        <w:tc>
          <w:tcPr>
            <w:tcW w:w="0" w:type="auto"/>
          </w:tcPr>
          <w:p w14:paraId="4694E2B7"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0.312</w:t>
            </w:r>
          </w:p>
        </w:tc>
        <w:tc>
          <w:tcPr>
            <w:tcW w:w="0" w:type="auto"/>
            <w:tcBorders>
              <w:right w:val="single" w:sz="4" w:space="0" w:color="auto"/>
            </w:tcBorders>
          </w:tcPr>
          <w:p w14:paraId="58CA5F6B"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0.311</w:t>
            </w:r>
          </w:p>
        </w:tc>
        <w:tc>
          <w:tcPr>
            <w:tcW w:w="0" w:type="auto"/>
            <w:tcBorders>
              <w:left w:val="single" w:sz="4" w:space="0" w:color="auto"/>
            </w:tcBorders>
          </w:tcPr>
          <w:p w14:paraId="66BB7D03"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0.008</w:t>
            </w:r>
          </w:p>
        </w:tc>
        <w:tc>
          <w:tcPr>
            <w:tcW w:w="0" w:type="auto"/>
          </w:tcPr>
          <w:p w14:paraId="41B7C092"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-0.084</w:t>
            </w:r>
          </w:p>
        </w:tc>
        <w:tc>
          <w:tcPr>
            <w:tcW w:w="0" w:type="auto"/>
          </w:tcPr>
          <w:p w14:paraId="41636AC5"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0.038</w:t>
            </w:r>
          </w:p>
        </w:tc>
      </w:tr>
      <w:tr w:rsidR="00111FD8" w:rsidRPr="007048BA" w14:paraId="7E7CE564" w14:textId="77777777" w:rsidTr="001907C1">
        <w:trPr>
          <w:jc w:val="center"/>
        </w:trPr>
        <w:tc>
          <w:tcPr>
            <w:tcW w:w="0" w:type="auto"/>
          </w:tcPr>
          <w:p w14:paraId="1464360B"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637A0E6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(0.201)</w:t>
            </w:r>
          </w:p>
        </w:tc>
        <w:tc>
          <w:tcPr>
            <w:tcW w:w="0" w:type="auto"/>
            <w:tcBorders>
              <w:right w:val="single" w:sz="4" w:space="0" w:color="auto"/>
            </w:tcBorders>
          </w:tcPr>
          <w:p w14:paraId="5C87470E"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(0.203)</w:t>
            </w:r>
          </w:p>
        </w:tc>
        <w:tc>
          <w:tcPr>
            <w:tcW w:w="0" w:type="auto"/>
            <w:tcBorders>
              <w:left w:val="single" w:sz="4" w:space="0" w:color="auto"/>
            </w:tcBorders>
          </w:tcPr>
          <w:p w14:paraId="4CBDC26C"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(0.980)</w:t>
            </w:r>
          </w:p>
        </w:tc>
        <w:tc>
          <w:tcPr>
            <w:tcW w:w="0" w:type="auto"/>
          </w:tcPr>
          <w:p w14:paraId="26D87703"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(0.774)</w:t>
            </w:r>
          </w:p>
        </w:tc>
        <w:tc>
          <w:tcPr>
            <w:tcW w:w="0" w:type="auto"/>
          </w:tcPr>
          <w:p w14:paraId="595A7665"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(0.898)</w:t>
            </w:r>
          </w:p>
        </w:tc>
      </w:tr>
      <w:tr w:rsidR="00111FD8" w:rsidRPr="007048BA" w14:paraId="207DE7BA" w14:textId="77777777" w:rsidTr="001907C1">
        <w:trPr>
          <w:jc w:val="center"/>
        </w:trPr>
        <w:tc>
          <w:tcPr>
            <w:tcW w:w="0" w:type="auto"/>
          </w:tcPr>
          <w:p w14:paraId="18793254"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TANG</w:t>
            </w:r>
          </w:p>
        </w:tc>
        <w:tc>
          <w:tcPr>
            <w:tcW w:w="0" w:type="auto"/>
          </w:tcPr>
          <w:p w14:paraId="7C8C83DF"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0.852***</w:t>
            </w:r>
          </w:p>
        </w:tc>
        <w:tc>
          <w:tcPr>
            <w:tcW w:w="0" w:type="auto"/>
            <w:tcBorders>
              <w:right w:val="single" w:sz="4" w:space="0" w:color="auto"/>
            </w:tcBorders>
          </w:tcPr>
          <w:p w14:paraId="35AC0D87"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0.853***</w:t>
            </w:r>
          </w:p>
        </w:tc>
        <w:tc>
          <w:tcPr>
            <w:tcW w:w="0" w:type="auto"/>
            <w:tcBorders>
              <w:left w:val="single" w:sz="4" w:space="0" w:color="auto"/>
            </w:tcBorders>
          </w:tcPr>
          <w:p w14:paraId="248FD647"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0.655***</w:t>
            </w:r>
          </w:p>
        </w:tc>
        <w:tc>
          <w:tcPr>
            <w:tcW w:w="0" w:type="auto"/>
          </w:tcPr>
          <w:p w14:paraId="3D1C1A4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0.626***</w:t>
            </w:r>
          </w:p>
        </w:tc>
        <w:tc>
          <w:tcPr>
            <w:tcW w:w="0" w:type="auto"/>
          </w:tcPr>
          <w:p w14:paraId="7A296112"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0.644***</w:t>
            </w:r>
          </w:p>
        </w:tc>
      </w:tr>
      <w:tr w:rsidR="00111FD8" w:rsidRPr="007048BA" w14:paraId="4EB33338" w14:textId="77777777" w:rsidTr="001907C1">
        <w:trPr>
          <w:jc w:val="center"/>
        </w:trPr>
        <w:tc>
          <w:tcPr>
            <w:tcW w:w="0" w:type="auto"/>
          </w:tcPr>
          <w:p w14:paraId="192F8B89"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5008CCC0"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(0.001)</w:t>
            </w:r>
          </w:p>
        </w:tc>
        <w:tc>
          <w:tcPr>
            <w:tcW w:w="0" w:type="auto"/>
            <w:tcBorders>
              <w:right w:val="single" w:sz="4" w:space="0" w:color="auto"/>
            </w:tcBorders>
          </w:tcPr>
          <w:p w14:paraId="7CA3D49D"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(0.001)</w:t>
            </w:r>
          </w:p>
        </w:tc>
        <w:tc>
          <w:tcPr>
            <w:tcW w:w="0" w:type="auto"/>
            <w:tcBorders>
              <w:left w:val="single" w:sz="4" w:space="0" w:color="auto"/>
            </w:tcBorders>
          </w:tcPr>
          <w:p w14:paraId="34207655"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5C6878E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2EF3814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111FD8" w:rsidRPr="007048BA" w14:paraId="33DBC571" w14:textId="77777777" w:rsidTr="001907C1">
        <w:trPr>
          <w:jc w:val="center"/>
        </w:trPr>
        <w:tc>
          <w:tcPr>
            <w:tcW w:w="0" w:type="auto"/>
          </w:tcPr>
          <w:p w14:paraId="4BC0CE8C"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SIZE</w:t>
            </w:r>
          </w:p>
        </w:tc>
        <w:tc>
          <w:tcPr>
            <w:tcW w:w="0" w:type="auto"/>
          </w:tcPr>
          <w:p w14:paraId="3EC0BD95"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0.158***</w:t>
            </w:r>
          </w:p>
        </w:tc>
        <w:tc>
          <w:tcPr>
            <w:tcW w:w="0" w:type="auto"/>
            <w:tcBorders>
              <w:right w:val="single" w:sz="4" w:space="0" w:color="auto"/>
            </w:tcBorders>
          </w:tcPr>
          <w:p w14:paraId="0335C61D"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0.158***</w:t>
            </w:r>
          </w:p>
        </w:tc>
        <w:tc>
          <w:tcPr>
            <w:tcW w:w="0" w:type="auto"/>
            <w:tcBorders>
              <w:left w:val="single" w:sz="4" w:space="0" w:color="auto"/>
            </w:tcBorders>
          </w:tcPr>
          <w:p w14:paraId="40FDF6DD"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0.049**</w:t>
            </w:r>
          </w:p>
        </w:tc>
        <w:tc>
          <w:tcPr>
            <w:tcW w:w="0" w:type="auto"/>
          </w:tcPr>
          <w:p w14:paraId="69F45C32"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0.043**</w:t>
            </w:r>
          </w:p>
        </w:tc>
        <w:tc>
          <w:tcPr>
            <w:tcW w:w="0" w:type="auto"/>
          </w:tcPr>
          <w:p w14:paraId="5E81C7D3"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0.046**</w:t>
            </w:r>
          </w:p>
        </w:tc>
      </w:tr>
      <w:tr w:rsidR="00111FD8" w:rsidRPr="007048BA" w14:paraId="78E2A8D0" w14:textId="77777777" w:rsidTr="001907C1">
        <w:trPr>
          <w:jc w:val="center"/>
        </w:trPr>
        <w:tc>
          <w:tcPr>
            <w:tcW w:w="0" w:type="auto"/>
          </w:tcPr>
          <w:p w14:paraId="11324716"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50DDD1F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Borders>
              <w:right w:val="single" w:sz="4" w:space="0" w:color="auto"/>
            </w:tcBorders>
          </w:tcPr>
          <w:p w14:paraId="68CCA255"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Borders>
              <w:left w:val="single" w:sz="4" w:space="0" w:color="auto"/>
            </w:tcBorders>
          </w:tcPr>
          <w:p w14:paraId="0D7C7A2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(0.022)</w:t>
            </w:r>
          </w:p>
        </w:tc>
        <w:tc>
          <w:tcPr>
            <w:tcW w:w="0" w:type="auto"/>
          </w:tcPr>
          <w:p w14:paraId="7B674438"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(0.044)</w:t>
            </w:r>
          </w:p>
        </w:tc>
        <w:tc>
          <w:tcPr>
            <w:tcW w:w="0" w:type="auto"/>
          </w:tcPr>
          <w:p w14:paraId="43B10391"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(0.029)</w:t>
            </w:r>
          </w:p>
        </w:tc>
      </w:tr>
      <w:tr w:rsidR="00111FD8" w:rsidRPr="007048BA" w14:paraId="200E2FD1" w14:textId="77777777" w:rsidTr="001907C1">
        <w:trPr>
          <w:jc w:val="center"/>
        </w:trPr>
        <w:tc>
          <w:tcPr>
            <w:tcW w:w="0" w:type="auto"/>
          </w:tcPr>
          <w:p w14:paraId="2A733D48"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AGE</w:t>
            </w:r>
          </w:p>
        </w:tc>
        <w:tc>
          <w:tcPr>
            <w:tcW w:w="0" w:type="auto"/>
          </w:tcPr>
          <w:p w14:paraId="2202C79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-0.098*</w:t>
            </w:r>
          </w:p>
        </w:tc>
        <w:tc>
          <w:tcPr>
            <w:tcW w:w="0" w:type="auto"/>
            <w:tcBorders>
              <w:right w:val="single" w:sz="4" w:space="0" w:color="auto"/>
            </w:tcBorders>
          </w:tcPr>
          <w:p w14:paraId="5FB02D9E"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-0.098*</w:t>
            </w:r>
          </w:p>
        </w:tc>
        <w:tc>
          <w:tcPr>
            <w:tcW w:w="0" w:type="auto"/>
            <w:tcBorders>
              <w:left w:val="single" w:sz="4" w:space="0" w:color="auto"/>
            </w:tcBorders>
          </w:tcPr>
          <w:p w14:paraId="04D2FBF7"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-0.115***</w:t>
            </w:r>
          </w:p>
        </w:tc>
        <w:tc>
          <w:tcPr>
            <w:tcW w:w="0" w:type="auto"/>
          </w:tcPr>
          <w:p w14:paraId="2D18E5FC"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-0.114***</w:t>
            </w:r>
          </w:p>
        </w:tc>
        <w:tc>
          <w:tcPr>
            <w:tcW w:w="0" w:type="auto"/>
          </w:tcPr>
          <w:p w14:paraId="2F3BB151"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-0.114***</w:t>
            </w:r>
          </w:p>
        </w:tc>
      </w:tr>
      <w:tr w:rsidR="00111FD8" w:rsidRPr="007048BA" w14:paraId="45F6A30F" w14:textId="77777777" w:rsidTr="001907C1">
        <w:trPr>
          <w:jc w:val="center"/>
        </w:trPr>
        <w:tc>
          <w:tcPr>
            <w:tcW w:w="0" w:type="auto"/>
          </w:tcPr>
          <w:p w14:paraId="5B4D3207"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3B850CDC"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(0.087)</w:t>
            </w:r>
          </w:p>
        </w:tc>
        <w:tc>
          <w:tcPr>
            <w:tcW w:w="0" w:type="auto"/>
            <w:tcBorders>
              <w:right w:val="single" w:sz="4" w:space="0" w:color="auto"/>
            </w:tcBorders>
          </w:tcPr>
          <w:p w14:paraId="7A4B3759"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(0.087)</w:t>
            </w:r>
          </w:p>
        </w:tc>
        <w:tc>
          <w:tcPr>
            <w:tcW w:w="0" w:type="auto"/>
            <w:tcBorders>
              <w:left w:val="single" w:sz="4" w:space="0" w:color="auto"/>
            </w:tcBorders>
          </w:tcPr>
          <w:p w14:paraId="329752F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(0.001)</w:t>
            </w:r>
          </w:p>
        </w:tc>
        <w:tc>
          <w:tcPr>
            <w:tcW w:w="0" w:type="auto"/>
          </w:tcPr>
          <w:p w14:paraId="72566422"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(0.002)</w:t>
            </w:r>
          </w:p>
        </w:tc>
        <w:tc>
          <w:tcPr>
            <w:tcW w:w="0" w:type="auto"/>
          </w:tcPr>
          <w:p w14:paraId="774C521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(0.002)</w:t>
            </w:r>
          </w:p>
        </w:tc>
      </w:tr>
      <w:tr w:rsidR="00111FD8" w:rsidRPr="007048BA" w14:paraId="592C208F" w14:textId="77777777" w:rsidTr="001907C1">
        <w:trPr>
          <w:jc w:val="center"/>
        </w:trPr>
        <w:tc>
          <w:tcPr>
            <w:tcW w:w="0" w:type="auto"/>
          </w:tcPr>
          <w:p w14:paraId="21DA5AC8"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HHI</w:t>
            </w:r>
          </w:p>
        </w:tc>
        <w:tc>
          <w:tcPr>
            <w:tcW w:w="0" w:type="auto"/>
          </w:tcPr>
          <w:p w14:paraId="50D96673"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-3.531***</w:t>
            </w:r>
          </w:p>
        </w:tc>
        <w:tc>
          <w:tcPr>
            <w:tcW w:w="0" w:type="auto"/>
            <w:tcBorders>
              <w:right w:val="single" w:sz="4" w:space="0" w:color="auto"/>
            </w:tcBorders>
          </w:tcPr>
          <w:p w14:paraId="3F3C21AB"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-3.537***</w:t>
            </w:r>
          </w:p>
        </w:tc>
        <w:tc>
          <w:tcPr>
            <w:tcW w:w="0" w:type="auto"/>
            <w:tcBorders>
              <w:left w:val="single" w:sz="4" w:space="0" w:color="auto"/>
            </w:tcBorders>
          </w:tcPr>
          <w:p w14:paraId="00E47970"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-2.535***</w:t>
            </w:r>
          </w:p>
        </w:tc>
        <w:tc>
          <w:tcPr>
            <w:tcW w:w="0" w:type="auto"/>
          </w:tcPr>
          <w:p w14:paraId="581368C5"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-2.442***</w:t>
            </w:r>
          </w:p>
        </w:tc>
        <w:tc>
          <w:tcPr>
            <w:tcW w:w="0" w:type="auto"/>
          </w:tcPr>
          <w:p w14:paraId="7BA73869"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-2.427***</w:t>
            </w:r>
          </w:p>
        </w:tc>
      </w:tr>
      <w:tr w:rsidR="00111FD8" w:rsidRPr="007048BA" w14:paraId="737CCA59" w14:textId="77777777" w:rsidTr="001907C1">
        <w:trPr>
          <w:jc w:val="center"/>
        </w:trPr>
        <w:tc>
          <w:tcPr>
            <w:tcW w:w="0" w:type="auto"/>
          </w:tcPr>
          <w:p w14:paraId="0CE9F714"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06B867AD"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Borders>
              <w:right w:val="single" w:sz="4" w:space="0" w:color="auto"/>
            </w:tcBorders>
          </w:tcPr>
          <w:p w14:paraId="6B6E0E2B"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Borders>
              <w:left w:val="single" w:sz="4" w:space="0" w:color="auto"/>
            </w:tcBorders>
          </w:tcPr>
          <w:p w14:paraId="78227BE8"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5DF86FE3"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1EE93401"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111FD8" w:rsidRPr="007048BA" w14:paraId="6BE12A1B" w14:textId="77777777" w:rsidTr="001907C1">
        <w:trPr>
          <w:jc w:val="center"/>
        </w:trPr>
        <w:tc>
          <w:tcPr>
            <w:tcW w:w="0" w:type="auto"/>
          </w:tcPr>
          <w:p w14:paraId="156BBD2F"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BLOC</w:t>
            </w:r>
          </w:p>
        </w:tc>
        <w:tc>
          <w:tcPr>
            <w:tcW w:w="0" w:type="auto"/>
          </w:tcPr>
          <w:p w14:paraId="6145697F"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0.234</w:t>
            </w:r>
          </w:p>
        </w:tc>
        <w:tc>
          <w:tcPr>
            <w:tcW w:w="0" w:type="auto"/>
            <w:tcBorders>
              <w:right w:val="single" w:sz="4" w:space="0" w:color="auto"/>
            </w:tcBorders>
          </w:tcPr>
          <w:p w14:paraId="3EED1A88"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0.235</w:t>
            </w:r>
          </w:p>
        </w:tc>
        <w:tc>
          <w:tcPr>
            <w:tcW w:w="0" w:type="auto"/>
            <w:tcBorders>
              <w:left w:val="single" w:sz="4" w:space="0" w:color="auto"/>
            </w:tcBorders>
          </w:tcPr>
          <w:p w14:paraId="291FB4BD"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0.178**</w:t>
            </w:r>
          </w:p>
        </w:tc>
        <w:tc>
          <w:tcPr>
            <w:tcW w:w="0" w:type="auto"/>
          </w:tcPr>
          <w:p w14:paraId="40658EA0"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0.146*</w:t>
            </w:r>
          </w:p>
        </w:tc>
        <w:tc>
          <w:tcPr>
            <w:tcW w:w="0" w:type="auto"/>
          </w:tcPr>
          <w:p w14:paraId="131D7368"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0.162*</w:t>
            </w:r>
          </w:p>
        </w:tc>
      </w:tr>
      <w:tr w:rsidR="00111FD8" w:rsidRPr="007048BA" w14:paraId="4AF12E32" w14:textId="77777777" w:rsidTr="001907C1">
        <w:trPr>
          <w:jc w:val="center"/>
        </w:trPr>
        <w:tc>
          <w:tcPr>
            <w:tcW w:w="0" w:type="auto"/>
          </w:tcPr>
          <w:p w14:paraId="38193908"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3AADBF0C"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(0.127)</w:t>
            </w:r>
          </w:p>
        </w:tc>
        <w:tc>
          <w:tcPr>
            <w:tcW w:w="0" w:type="auto"/>
            <w:tcBorders>
              <w:right w:val="single" w:sz="4" w:space="0" w:color="auto"/>
            </w:tcBorders>
          </w:tcPr>
          <w:p w14:paraId="368712B7"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(0.127)</w:t>
            </w:r>
          </w:p>
        </w:tc>
        <w:tc>
          <w:tcPr>
            <w:tcW w:w="0" w:type="auto"/>
            <w:tcBorders>
              <w:left w:val="single" w:sz="4" w:space="0" w:color="auto"/>
            </w:tcBorders>
          </w:tcPr>
          <w:p w14:paraId="76E5CAC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(0.037)</w:t>
            </w:r>
          </w:p>
        </w:tc>
        <w:tc>
          <w:tcPr>
            <w:tcW w:w="0" w:type="auto"/>
          </w:tcPr>
          <w:p w14:paraId="68A0F507"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(0.087)</w:t>
            </w:r>
          </w:p>
        </w:tc>
        <w:tc>
          <w:tcPr>
            <w:tcW w:w="0" w:type="auto"/>
          </w:tcPr>
          <w:p w14:paraId="01E50B5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(0.057)</w:t>
            </w:r>
          </w:p>
        </w:tc>
      </w:tr>
      <w:tr w:rsidR="00111FD8" w:rsidRPr="007048BA" w14:paraId="121E144C" w14:textId="77777777" w:rsidTr="001907C1">
        <w:trPr>
          <w:jc w:val="center"/>
        </w:trPr>
        <w:tc>
          <w:tcPr>
            <w:tcW w:w="0" w:type="auto"/>
          </w:tcPr>
          <w:p w14:paraId="21861E58"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RUM</w:t>
            </w:r>
          </w:p>
        </w:tc>
        <w:tc>
          <w:tcPr>
            <w:tcW w:w="0" w:type="auto"/>
          </w:tcPr>
          <w:p w14:paraId="3146C8D9"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0.775</w:t>
            </w:r>
          </w:p>
        </w:tc>
        <w:tc>
          <w:tcPr>
            <w:tcW w:w="0" w:type="auto"/>
            <w:tcBorders>
              <w:right w:val="single" w:sz="4" w:space="0" w:color="auto"/>
            </w:tcBorders>
          </w:tcPr>
          <w:p w14:paraId="0393ED20"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0.773</w:t>
            </w:r>
          </w:p>
        </w:tc>
        <w:tc>
          <w:tcPr>
            <w:tcW w:w="0" w:type="auto"/>
            <w:tcBorders>
              <w:left w:val="single" w:sz="4" w:space="0" w:color="auto"/>
            </w:tcBorders>
          </w:tcPr>
          <w:p w14:paraId="5CFC9241"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0.638**</w:t>
            </w:r>
          </w:p>
        </w:tc>
        <w:tc>
          <w:tcPr>
            <w:tcW w:w="0" w:type="auto"/>
          </w:tcPr>
          <w:p w14:paraId="6083B934"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0.677**</w:t>
            </w:r>
          </w:p>
        </w:tc>
        <w:tc>
          <w:tcPr>
            <w:tcW w:w="0" w:type="auto"/>
          </w:tcPr>
          <w:p w14:paraId="3864E7D1"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0.679**</w:t>
            </w:r>
          </w:p>
        </w:tc>
      </w:tr>
      <w:tr w:rsidR="00111FD8" w:rsidRPr="007048BA" w14:paraId="38693D06" w14:textId="77777777" w:rsidTr="001907C1">
        <w:trPr>
          <w:jc w:val="center"/>
        </w:trPr>
        <w:tc>
          <w:tcPr>
            <w:tcW w:w="0" w:type="auto"/>
          </w:tcPr>
          <w:p w14:paraId="26FD5325"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5F6B7A5F"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(0.154)</w:t>
            </w:r>
          </w:p>
        </w:tc>
        <w:tc>
          <w:tcPr>
            <w:tcW w:w="0" w:type="auto"/>
            <w:tcBorders>
              <w:right w:val="single" w:sz="4" w:space="0" w:color="auto"/>
            </w:tcBorders>
          </w:tcPr>
          <w:p w14:paraId="394276BD"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(0.155)</w:t>
            </w:r>
          </w:p>
        </w:tc>
        <w:tc>
          <w:tcPr>
            <w:tcW w:w="0" w:type="auto"/>
            <w:tcBorders>
              <w:left w:val="single" w:sz="4" w:space="0" w:color="auto"/>
            </w:tcBorders>
          </w:tcPr>
          <w:p w14:paraId="45D1FD89"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(0.016)</w:t>
            </w:r>
          </w:p>
        </w:tc>
        <w:tc>
          <w:tcPr>
            <w:tcW w:w="0" w:type="auto"/>
          </w:tcPr>
          <w:p w14:paraId="23F8588C"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(0.011)</w:t>
            </w:r>
          </w:p>
        </w:tc>
        <w:tc>
          <w:tcPr>
            <w:tcW w:w="0" w:type="auto"/>
          </w:tcPr>
          <w:p w14:paraId="0969BC4B"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(0.011)</w:t>
            </w:r>
          </w:p>
        </w:tc>
      </w:tr>
      <w:tr w:rsidR="00111FD8" w:rsidRPr="007048BA" w14:paraId="0C573D0A" w14:textId="77777777" w:rsidTr="001907C1">
        <w:trPr>
          <w:jc w:val="center"/>
        </w:trPr>
        <w:tc>
          <w:tcPr>
            <w:tcW w:w="0" w:type="auto"/>
          </w:tcPr>
          <w:p w14:paraId="3856D65D"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TVOL</w:t>
            </w:r>
          </w:p>
        </w:tc>
        <w:tc>
          <w:tcPr>
            <w:tcW w:w="0" w:type="auto"/>
          </w:tcPr>
          <w:p w14:paraId="766A76B0"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0.055</w:t>
            </w:r>
          </w:p>
        </w:tc>
        <w:tc>
          <w:tcPr>
            <w:tcW w:w="0" w:type="auto"/>
            <w:tcBorders>
              <w:right w:val="single" w:sz="4" w:space="0" w:color="auto"/>
            </w:tcBorders>
          </w:tcPr>
          <w:p w14:paraId="6D58340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0.055</w:t>
            </w:r>
          </w:p>
        </w:tc>
        <w:tc>
          <w:tcPr>
            <w:tcW w:w="0" w:type="auto"/>
            <w:tcBorders>
              <w:left w:val="single" w:sz="4" w:space="0" w:color="auto"/>
            </w:tcBorders>
          </w:tcPr>
          <w:p w14:paraId="6BD0AE35"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0.085</w:t>
            </w:r>
          </w:p>
        </w:tc>
        <w:tc>
          <w:tcPr>
            <w:tcW w:w="0" w:type="auto"/>
          </w:tcPr>
          <w:p w14:paraId="3FB813F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0.091</w:t>
            </w:r>
          </w:p>
        </w:tc>
        <w:tc>
          <w:tcPr>
            <w:tcW w:w="0" w:type="auto"/>
          </w:tcPr>
          <w:p w14:paraId="13E326E1"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0.095</w:t>
            </w:r>
          </w:p>
        </w:tc>
      </w:tr>
      <w:tr w:rsidR="00111FD8" w:rsidRPr="007048BA" w14:paraId="265F4AFF" w14:textId="77777777" w:rsidTr="001907C1">
        <w:trPr>
          <w:jc w:val="center"/>
        </w:trPr>
        <w:tc>
          <w:tcPr>
            <w:tcW w:w="0" w:type="auto"/>
          </w:tcPr>
          <w:p w14:paraId="09CD5E0F"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269E2C7C"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(0.788)</w:t>
            </w:r>
          </w:p>
        </w:tc>
        <w:tc>
          <w:tcPr>
            <w:tcW w:w="0" w:type="auto"/>
            <w:tcBorders>
              <w:right w:val="single" w:sz="4" w:space="0" w:color="auto"/>
            </w:tcBorders>
          </w:tcPr>
          <w:p w14:paraId="1D1D4C05"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(0.791)</w:t>
            </w:r>
          </w:p>
        </w:tc>
        <w:tc>
          <w:tcPr>
            <w:tcW w:w="0" w:type="auto"/>
            <w:tcBorders>
              <w:left w:val="single" w:sz="4" w:space="0" w:color="auto"/>
            </w:tcBorders>
          </w:tcPr>
          <w:p w14:paraId="07FA0D6C"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(0.459)</w:t>
            </w:r>
          </w:p>
        </w:tc>
        <w:tc>
          <w:tcPr>
            <w:tcW w:w="0" w:type="auto"/>
          </w:tcPr>
          <w:p w14:paraId="1EE1A527"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(0.431)</w:t>
            </w:r>
          </w:p>
        </w:tc>
        <w:tc>
          <w:tcPr>
            <w:tcW w:w="0" w:type="auto"/>
          </w:tcPr>
          <w:p w14:paraId="5189967E"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(0.412)</w:t>
            </w:r>
          </w:p>
        </w:tc>
      </w:tr>
      <w:tr w:rsidR="00111FD8" w:rsidRPr="007048BA" w14:paraId="5C3C1EE8" w14:textId="77777777" w:rsidTr="001907C1">
        <w:trPr>
          <w:jc w:val="center"/>
        </w:trPr>
        <w:tc>
          <w:tcPr>
            <w:tcW w:w="0" w:type="auto"/>
          </w:tcPr>
          <w:p w14:paraId="30CCEFB4"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SENT</w:t>
            </w:r>
          </w:p>
        </w:tc>
        <w:tc>
          <w:tcPr>
            <w:tcW w:w="0" w:type="auto"/>
          </w:tcPr>
          <w:p w14:paraId="4114A8C7"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0.110</w:t>
            </w:r>
          </w:p>
        </w:tc>
        <w:tc>
          <w:tcPr>
            <w:tcW w:w="0" w:type="auto"/>
            <w:tcBorders>
              <w:right w:val="single" w:sz="4" w:space="0" w:color="auto"/>
            </w:tcBorders>
          </w:tcPr>
          <w:p w14:paraId="509BB2B5"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0.109</w:t>
            </w:r>
          </w:p>
        </w:tc>
        <w:tc>
          <w:tcPr>
            <w:tcW w:w="0" w:type="auto"/>
            <w:tcBorders>
              <w:left w:val="single" w:sz="4" w:space="0" w:color="auto"/>
            </w:tcBorders>
          </w:tcPr>
          <w:p w14:paraId="0023B07C"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0.739***</w:t>
            </w:r>
          </w:p>
        </w:tc>
        <w:tc>
          <w:tcPr>
            <w:tcW w:w="0" w:type="auto"/>
          </w:tcPr>
          <w:p w14:paraId="743639A5"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0.647***</w:t>
            </w:r>
          </w:p>
        </w:tc>
        <w:tc>
          <w:tcPr>
            <w:tcW w:w="0" w:type="auto"/>
          </w:tcPr>
          <w:p w14:paraId="5F4E5C69"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0.616**</w:t>
            </w:r>
          </w:p>
        </w:tc>
      </w:tr>
      <w:tr w:rsidR="00111FD8" w:rsidRPr="007048BA" w14:paraId="65652128" w14:textId="77777777" w:rsidTr="001907C1">
        <w:trPr>
          <w:jc w:val="center"/>
        </w:trPr>
        <w:tc>
          <w:tcPr>
            <w:tcW w:w="0" w:type="auto"/>
          </w:tcPr>
          <w:p w14:paraId="097A804D"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3B98D188"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(0.783)</w:t>
            </w:r>
          </w:p>
        </w:tc>
        <w:tc>
          <w:tcPr>
            <w:tcW w:w="0" w:type="auto"/>
            <w:tcBorders>
              <w:right w:val="single" w:sz="4" w:space="0" w:color="auto"/>
            </w:tcBorders>
          </w:tcPr>
          <w:p w14:paraId="70AB13C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(0.784)</w:t>
            </w:r>
          </w:p>
        </w:tc>
        <w:tc>
          <w:tcPr>
            <w:tcW w:w="0" w:type="auto"/>
            <w:tcBorders>
              <w:left w:val="single" w:sz="4" w:space="0" w:color="auto"/>
            </w:tcBorders>
          </w:tcPr>
          <w:p w14:paraId="6E230DDD"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(0.002)</w:t>
            </w:r>
          </w:p>
        </w:tc>
        <w:tc>
          <w:tcPr>
            <w:tcW w:w="0" w:type="auto"/>
          </w:tcPr>
          <w:p w14:paraId="51D7BD43"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(0.008)</w:t>
            </w:r>
          </w:p>
        </w:tc>
        <w:tc>
          <w:tcPr>
            <w:tcW w:w="0" w:type="auto"/>
          </w:tcPr>
          <w:p w14:paraId="5C84956B"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(0.011)</w:t>
            </w:r>
          </w:p>
        </w:tc>
      </w:tr>
      <w:tr w:rsidR="00111FD8" w:rsidRPr="007048BA" w14:paraId="20B0CADB" w14:textId="77777777" w:rsidTr="001907C1">
        <w:trPr>
          <w:jc w:val="center"/>
        </w:trPr>
        <w:tc>
          <w:tcPr>
            <w:tcW w:w="0" w:type="auto"/>
          </w:tcPr>
          <w:p w14:paraId="73B5DBF6"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lastRenderedPageBreak/>
              <w:t>Constant</w:t>
            </w:r>
          </w:p>
        </w:tc>
        <w:tc>
          <w:tcPr>
            <w:tcW w:w="0" w:type="auto"/>
          </w:tcPr>
          <w:p w14:paraId="22C463CE"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-4.703***</w:t>
            </w:r>
          </w:p>
        </w:tc>
        <w:tc>
          <w:tcPr>
            <w:tcW w:w="0" w:type="auto"/>
            <w:tcBorders>
              <w:right w:val="single" w:sz="4" w:space="0" w:color="auto"/>
            </w:tcBorders>
          </w:tcPr>
          <w:p w14:paraId="63359DFD"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-4.511***</w:t>
            </w:r>
          </w:p>
        </w:tc>
        <w:tc>
          <w:tcPr>
            <w:tcW w:w="0" w:type="auto"/>
            <w:tcBorders>
              <w:left w:val="single" w:sz="4" w:space="0" w:color="auto"/>
            </w:tcBorders>
          </w:tcPr>
          <w:p w14:paraId="1AFAF00B"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-2.607***</w:t>
            </w:r>
          </w:p>
        </w:tc>
        <w:tc>
          <w:tcPr>
            <w:tcW w:w="0" w:type="auto"/>
          </w:tcPr>
          <w:p w14:paraId="27D79683"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-2.594***</w:t>
            </w:r>
          </w:p>
        </w:tc>
        <w:tc>
          <w:tcPr>
            <w:tcW w:w="0" w:type="auto"/>
          </w:tcPr>
          <w:p w14:paraId="14B5E221"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-2.342***</w:t>
            </w:r>
          </w:p>
        </w:tc>
      </w:tr>
      <w:tr w:rsidR="00111FD8" w:rsidRPr="007048BA" w14:paraId="6F54477A" w14:textId="77777777" w:rsidTr="001907C1">
        <w:trPr>
          <w:jc w:val="center"/>
        </w:trPr>
        <w:tc>
          <w:tcPr>
            <w:tcW w:w="0" w:type="auto"/>
          </w:tcPr>
          <w:p w14:paraId="3962F63F"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248D9BB1"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Borders>
              <w:right w:val="single" w:sz="4" w:space="0" w:color="auto"/>
            </w:tcBorders>
          </w:tcPr>
          <w:p w14:paraId="679A8FBE"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Borders>
              <w:left w:val="single" w:sz="4" w:space="0" w:color="auto"/>
            </w:tcBorders>
          </w:tcPr>
          <w:p w14:paraId="2F895FF0"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443253F4"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59CB8258"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111FD8" w:rsidRPr="007048BA" w14:paraId="31ACFA87" w14:textId="77777777" w:rsidTr="001907C1">
        <w:trPr>
          <w:jc w:val="center"/>
        </w:trPr>
        <w:tc>
          <w:tcPr>
            <w:tcW w:w="0" w:type="auto"/>
          </w:tcPr>
          <w:p w14:paraId="0F47078A"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Industry</w:t>
            </w:r>
          </w:p>
        </w:tc>
        <w:tc>
          <w:tcPr>
            <w:tcW w:w="0" w:type="auto"/>
          </w:tcPr>
          <w:p w14:paraId="32F8E21F"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Borders>
              <w:right w:val="single" w:sz="4" w:space="0" w:color="auto"/>
            </w:tcBorders>
          </w:tcPr>
          <w:p w14:paraId="11078074"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Borders>
              <w:left w:val="single" w:sz="4" w:space="0" w:color="auto"/>
            </w:tcBorders>
          </w:tcPr>
          <w:p w14:paraId="67D796AA"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54BBDE42"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464A766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r>
      <w:tr w:rsidR="00111FD8" w:rsidRPr="007048BA" w14:paraId="03B380BB" w14:textId="77777777" w:rsidTr="001907C1">
        <w:trPr>
          <w:jc w:val="center"/>
        </w:trPr>
        <w:tc>
          <w:tcPr>
            <w:tcW w:w="0" w:type="auto"/>
          </w:tcPr>
          <w:p w14:paraId="5413CDDB"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Year</w:t>
            </w:r>
          </w:p>
        </w:tc>
        <w:tc>
          <w:tcPr>
            <w:tcW w:w="0" w:type="auto"/>
          </w:tcPr>
          <w:p w14:paraId="16CD28F9"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Borders>
              <w:right w:val="single" w:sz="4" w:space="0" w:color="auto"/>
            </w:tcBorders>
          </w:tcPr>
          <w:p w14:paraId="57A986D6"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Borders>
              <w:left w:val="single" w:sz="4" w:space="0" w:color="auto"/>
            </w:tcBorders>
          </w:tcPr>
          <w:p w14:paraId="1DA6AA4B"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1DDFBDF7"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2B87617B"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r>
      <w:tr w:rsidR="00111FD8" w:rsidRPr="007048BA" w14:paraId="02F34053" w14:textId="77777777" w:rsidTr="001907C1">
        <w:trPr>
          <w:jc w:val="center"/>
        </w:trPr>
        <w:tc>
          <w:tcPr>
            <w:tcW w:w="0" w:type="auto"/>
          </w:tcPr>
          <w:p w14:paraId="185E3FA2" w14:textId="77777777" w:rsidR="00111FD8" w:rsidRPr="007048BA" w:rsidRDefault="00111FD8" w:rsidP="00111FD8">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Obs.</w:t>
            </w:r>
          </w:p>
        </w:tc>
        <w:tc>
          <w:tcPr>
            <w:tcW w:w="0" w:type="auto"/>
            <w:tcBorders>
              <w:bottom w:val="single" w:sz="4" w:space="0" w:color="auto"/>
            </w:tcBorders>
          </w:tcPr>
          <w:p w14:paraId="72BBD814"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3,611</w:t>
            </w:r>
          </w:p>
        </w:tc>
        <w:tc>
          <w:tcPr>
            <w:tcW w:w="0" w:type="auto"/>
            <w:tcBorders>
              <w:bottom w:val="single" w:sz="4" w:space="0" w:color="auto"/>
              <w:right w:val="single" w:sz="4" w:space="0" w:color="auto"/>
            </w:tcBorders>
          </w:tcPr>
          <w:p w14:paraId="2B5D7A3E"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3,611</w:t>
            </w:r>
          </w:p>
        </w:tc>
        <w:tc>
          <w:tcPr>
            <w:tcW w:w="0" w:type="auto"/>
            <w:tcBorders>
              <w:left w:val="single" w:sz="4" w:space="0" w:color="auto"/>
            </w:tcBorders>
          </w:tcPr>
          <w:p w14:paraId="3C27637B"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7,781</w:t>
            </w:r>
          </w:p>
        </w:tc>
        <w:tc>
          <w:tcPr>
            <w:tcW w:w="0" w:type="auto"/>
          </w:tcPr>
          <w:p w14:paraId="4E20400C"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7,781</w:t>
            </w:r>
          </w:p>
        </w:tc>
        <w:tc>
          <w:tcPr>
            <w:tcW w:w="0" w:type="auto"/>
          </w:tcPr>
          <w:p w14:paraId="4645E872" w14:textId="77777777" w:rsidR="00111FD8" w:rsidRPr="007048BA" w:rsidRDefault="00111FD8" w:rsidP="00111FD8">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7,781</w:t>
            </w:r>
          </w:p>
        </w:tc>
      </w:tr>
    </w:tbl>
    <w:p w14:paraId="22157DFF" w14:textId="77777777" w:rsidR="00BB3D0E" w:rsidRPr="007048BA" w:rsidRDefault="00BB3D0E" w:rsidP="00D8280C">
      <w:pPr>
        <w:rPr>
          <w:b/>
          <w:sz w:val="28"/>
          <w:lang w:val="en-GB" w:eastAsia="zh-TW"/>
        </w:rPr>
        <w:sectPr w:rsidR="00BB3D0E" w:rsidRPr="007048BA" w:rsidSect="007B5ED9">
          <w:type w:val="continuous"/>
          <w:pgSz w:w="12240" w:h="15840"/>
          <w:pgMar w:top="1304" w:right="964" w:bottom="1304" w:left="1077" w:header="720" w:footer="720" w:gutter="0"/>
          <w:cols w:space="720"/>
          <w:docGrid w:linePitch="360"/>
        </w:sectPr>
      </w:pPr>
    </w:p>
    <w:p w14:paraId="6E4BA81C" w14:textId="0597779E" w:rsidR="001C29A9" w:rsidRPr="007048BA" w:rsidRDefault="001C29A9" w:rsidP="00D8280C">
      <w:pPr>
        <w:rPr>
          <w:rFonts w:eastAsia="PMingLiU" w:cs="Times New Roman"/>
          <w:b/>
          <w:sz w:val="28"/>
          <w:szCs w:val="24"/>
          <w:lang w:val="en-GB" w:eastAsia="zh-TW"/>
        </w:rPr>
      </w:pPr>
      <w:r w:rsidRPr="007048BA">
        <w:rPr>
          <w:b/>
          <w:sz w:val="28"/>
          <w:lang w:val="en-GB" w:eastAsia="zh-TW"/>
        </w:rPr>
        <w:lastRenderedPageBreak/>
        <w:t xml:space="preserve">Table </w:t>
      </w:r>
      <w:r w:rsidR="00614C7A" w:rsidRPr="007048BA">
        <w:rPr>
          <w:b/>
          <w:sz w:val="28"/>
          <w:lang w:val="en-GB" w:eastAsia="zh-TW"/>
        </w:rPr>
        <w:t>10</w:t>
      </w:r>
      <w:r w:rsidR="005254B8" w:rsidRPr="007048BA">
        <w:rPr>
          <w:b/>
          <w:sz w:val="28"/>
          <w:lang w:val="en-GB" w:eastAsia="zh-TW"/>
        </w:rPr>
        <w:t xml:space="preserve"> cont’d</w:t>
      </w:r>
      <w:r w:rsidR="00D8280C" w:rsidRPr="007048BA">
        <w:rPr>
          <w:b/>
          <w:sz w:val="28"/>
          <w:lang w:val="en-GB" w:eastAsia="zh-TW"/>
        </w:rPr>
        <w:t xml:space="preserve">: </w:t>
      </w:r>
      <w:r w:rsidR="00D8280C" w:rsidRPr="007048BA">
        <w:rPr>
          <w:rFonts w:eastAsia="PMingLiU" w:cs="Times New Roman"/>
          <w:b/>
          <w:sz w:val="28"/>
          <w:szCs w:val="24"/>
          <w:lang w:val="en-GB" w:eastAsia="zh-TW"/>
        </w:rPr>
        <w:t>Impact of switching on takeover likelihood</w:t>
      </w:r>
    </w:p>
    <w:tbl>
      <w:tblPr>
        <w:tblW w:w="0" w:type="auto"/>
        <w:jc w:val="center"/>
        <w:tblBorders>
          <w:top w:val="single" w:sz="4" w:space="0" w:color="auto"/>
          <w:bottom w:val="single" w:sz="4" w:space="0" w:color="auto"/>
        </w:tblBorders>
        <w:tblCellMar>
          <w:left w:w="75" w:type="dxa"/>
          <w:right w:w="75" w:type="dxa"/>
        </w:tblCellMar>
        <w:tblLook w:val="0000" w:firstRow="0" w:lastRow="0" w:firstColumn="0" w:lastColumn="0" w:noHBand="0" w:noVBand="0"/>
      </w:tblPr>
      <w:tblGrid>
        <w:gridCol w:w="1030"/>
        <w:gridCol w:w="1130"/>
        <w:gridCol w:w="1130"/>
        <w:gridCol w:w="1130"/>
        <w:gridCol w:w="1130"/>
        <w:gridCol w:w="1130"/>
      </w:tblGrid>
      <w:tr w:rsidR="001907C1" w:rsidRPr="007048BA" w14:paraId="7B2FD53B" w14:textId="77777777" w:rsidTr="001907C1">
        <w:trPr>
          <w:jc w:val="center"/>
        </w:trPr>
        <w:tc>
          <w:tcPr>
            <w:tcW w:w="0" w:type="auto"/>
          </w:tcPr>
          <w:p w14:paraId="44CC40F4"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b/>
                <w:i/>
                <w:szCs w:val="24"/>
                <w:lang w:val="en-GB" w:eastAsia="en-GB"/>
              </w:rPr>
            </w:pPr>
          </w:p>
        </w:tc>
        <w:tc>
          <w:tcPr>
            <w:tcW w:w="0" w:type="auto"/>
            <w:gridSpan w:val="3"/>
            <w:tcBorders>
              <w:top w:val="single" w:sz="4" w:space="0" w:color="auto"/>
              <w:right w:val="single" w:sz="4" w:space="0" w:color="auto"/>
            </w:tcBorders>
          </w:tcPr>
          <w:p w14:paraId="67965296" w14:textId="2159B33A"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b/>
                <w:i/>
                <w:szCs w:val="24"/>
                <w:lang w:val="en-GB" w:eastAsia="en-GB"/>
              </w:rPr>
            </w:pPr>
            <w:r w:rsidRPr="007048BA">
              <w:rPr>
                <w:rFonts w:eastAsia="Times New Roman" w:cs="Times New Roman"/>
                <w:b/>
                <w:i/>
                <w:szCs w:val="24"/>
                <w:lang w:val="en-GB" w:eastAsia="en-GB"/>
              </w:rPr>
              <w:t>Hyperopic firms</w:t>
            </w:r>
          </w:p>
        </w:tc>
        <w:tc>
          <w:tcPr>
            <w:tcW w:w="0" w:type="auto"/>
            <w:gridSpan w:val="2"/>
            <w:tcBorders>
              <w:left w:val="single" w:sz="4" w:space="0" w:color="auto"/>
            </w:tcBorders>
          </w:tcPr>
          <w:p w14:paraId="36306F6F" w14:textId="4AACD4FE"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b/>
                <w:i/>
                <w:szCs w:val="24"/>
                <w:lang w:val="en-GB" w:eastAsia="en-GB"/>
              </w:rPr>
            </w:pPr>
            <w:r w:rsidRPr="007048BA">
              <w:rPr>
                <w:rFonts w:eastAsia="Times New Roman" w:cs="Times New Roman"/>
                <w:b/>
                <w:i/>
                <w:szCs w:val="24"/>
                <w:lang w:val="en-GB" w:eastAsia="en-GB"/>
              </w:rPr>
              <w:t>Efficient firms</w:t>
            </w:r>
          </w:p>
        </w:tc>
      </w:tr>
      <w:tr w:rsidR="001907C1" w:rsidRPr="007048BA" w14:paraId="43A16736" w14:textId="77777777" w:rsidTr="001907C1">
        <w:trPr>
          <w:jc w:val="center"/>
        </w:trPr>
        <w:tc>
          <w:tcPr>
            <w:tcW w:w="0" w:type="auto"/>
            <w:tcBorders>
              <w:bottom w:val="single" w:sz="4" w:space="0" w:color="auto"/>
            </w:tcBorders>
          </w:tcPr>
          <w:p w14:paraId="6FB98BBC" w14:textId="77777777" w:rsidR="001907C1" w:rsidRPr="007048BA" w:rsidRDefault="001907C1" w:rsidP="000242D3">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Borders>
              <w:bottom w:val="single" w:sz="4" w:space="0" w:color="auto"/>
            </w:tcBorders>
          </w:tcPr>
          <w:p w14:paraId="3C329D0A" w14:textId="14C8C70A" w:rsidR="001907C1" w:rsidRPr="007048BA" w:rsidRDefault="001907C1" w:rsidP="000242D3">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(6)</w:t>
            </w:r>
          </w:p>
        </w:tc>
        <w:tc>
          <w:tcPr>
            <w:tcW w:w="0" w:type="auto"/>
            <w:tcBorders>
              <w:bottom w:val="single" w:sz="4" w:space="0" w:color="auto"/>
            </w:tcBorders>
          </w:tcPr>
          <w:p w14:paraId="7CBF6F35" w14:textId="663012C4" w:rsidR="001907C1" w:rsidRPr="007048BA" w:rsidRDefault="001907C1" w:rsidP="000242D3">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(7)</w:t>
            </w:r>
          </w:p>
        </w:tc>
        <w:tc>
          <w:tcPr>
            <w:tcW w:w="0" w:type="auto"/>
            <w:tcBorders>
              <w:bottom w:val="single" w:sz="4" w:space="0" w:color="auto"/>
              <w:right w:val="single" w:sz="4" w:space="0" w:color="auto"/>
            </w:tcBorders>
          </w:tcPr>
          <w:p w14:paraId="571A37A4" w14:textId="5803E4FE" w:rsidR="001907C1" w:rsidRPr="007048BA" w:rsidRDefault="001907C1" w:rsidP="000242D3">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(8)</w:t>
            </w:r>
          </w:p>
        </w:tc>
        <w:tc>
          <w:tcPr>
            <w:tcW w:w="0" w:type="auto"/>
            <w:tcBorders>
              <w:left w:val="single" w:sz="4" w:space="0" w:color="auto"/>
              <w:bottom w:val="single" w:sz="4" w:space="0" w:color="auto"/>
            </w:tcBorders>
          </w:tcPr>
          <w:p w14:paraId="23D5844B" w14:textId="6B151CA2" w:rsidR="001907C1" w:rsidRPr="007048BA" w:rsidRDefault="001907C1" w:rsidP="000242D3">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(9)</w:t>
            </w:r>
          </w:p>
        </w:tc>
        <w:tc>
          <w:tcPr>
            <w:tcW w:w="0" w:type="auto"/>
            <w:tcBorders>
              <w:bottom w:val="single" w:sz="4" w:space="0" w:color="auto"/>
            </w:tcBorders>
          </w:tcPr>
          <w:p w14:paraId="5140F26F" w14:textId="38BCA5A1" w:rsidR="001907C1" w:rsidRPr="007048BA" w:rsidRDefault="001907C1" w:rsidP="000242D3">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(10)</w:t>
            </w:r>
          </w:p>
        </w:tc>
      </w:tr>
      <w:tr w:rsidR="001907C1" w:rsidRPr="007048BA" w14:paraId="13C6F2E7" w14:textId="77777777" w:rsidTr="001907C1">
        <w:trPr>
          <w:jc w:val="center"/>
        </w:trPr>
        <w:tc>
          <w:tcPr>
            <w:tcW w:w="0" w:type="auto"/>
            <w:tcBorders>
              <w:top w:val="single" w:sz="4" w:space="0" w:color="auto"/>
              <w:bottom w:val="nil"/>
            </w:tcBorders>
          </w:tcPr>
          <w:p w14:paraId="75142574"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Decline</w:t>
            </w:r>
          </w:p>
        </w:tc>
        <w:tc>
          <w:tcPr>
            <w:tcW w:w="0" w:type="auto"/>
            <w:tcBorders>
              <w:top w:val="single" w:sz="4" w:space="0" w:color="auto"/>
              <w:bottom w:val="nil"/>
            </w:tcBorders>
          </w:tcPr>
          <w:p w14:paraId="20EDB812"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0.100</w:t>
            </w:r>
          </w:p>
        </w:tc>
        <w:tc>
          <w:tcPr>
            <w:tcW w:w="0" w:type="auto"/>
            <w:tcBorders>
              <w:top w:val="single" w:sz="4" w:space="0" w:color="auto"/>
              <w:bottom w:val="nil"/>
            </w:tcBorders>
          </w:tcPr>
          <w:p w14:paraId="5ABB57CA"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single" w:sz="4" w:space="0" w:color="auto"/>
              <w:bottom w:val="nil"/>
              <w:right w:val="single" w:sz="4" w:space="0" w:color="auto"/>
            </w:tcBorders>
          </w:tcPr>
          <w:p w14:paraId="6023C4A3"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single" w:sz="4" w:space="0" w:color="auto"/>
              <w:left w:val="single" w:sz="4" w:space="0" w:color="auto"/>
              <w:bottom w:val="nil"/>
            </w:tcBorders>
          </w:tcPr>
          <w:p w14:paraId="573B7C67"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0.425***</w:t>
            </w:r>
          </w:p>
        </w:tc>
        <w:tc>
          <w:tcPr>
            <w:tcW w:w="0" w:type="auto"/>
            <w:tcBorders>
              <w:top w:val="single" w:sz="4" w:space="0" w:color="auto"/>
              <w:bottom w:val="nil"/>
            </w:tcBorders>
          </w:tcPr>
          <w:p w14:paraId="2020576F"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1907C1" w:rsidRPr="007048BA" w14:paraId="4EC81B12" w14:textId="77777777" w:rsidTr="001907C1">
        <w:trPr>
          <w:jc w:val="center"/>
        </w:trPr>
        <w:tc>
          <w:tcPr>
            <w:tcW w:w="0" w:type="auto"/>
            <w:tcBorders>
              <w:top w:val="nil"/>
            </w:tcBorders>
          </w:tcPr>
          <w:p w14:paraId="52613686"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Borders>
              <w:top w:val="nil"/>
            </w:tcBorders>
          </w:tcPr>
          <w:p w14:paraId="76758BC4"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(0.440)</w:t>
            </w:r>
          </w:p>
        </w:tc>
        <w:tc>
          <w:tcPr>
            <w:tcW w:w="0" w:type="auto"/>
            <w:tcBorders>
              <w:top w:val="nil"/>
            </w:tcBorders>
          </w:tcPr>
          <w:p w14:paraId="167FDD49"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right w:val="single" w:sz="4" w:space="0" w:color="auto"/>
            </w:tcBorders>
          </w:tcPr>
          <w:p w14:paraId="4258EF65"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single" w:sz="4" w:space="0" w:color="auto"/>
            </w:tcBorders>
          </w:tcPr>
          <w:p w14:paraId="68E4C02B"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Borders>
              <w:top w:val="nil"/>
            </w:tcBorders>
          </w:tcPr>
          <w:p w14:paraId="2AAD2097"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1907C1" w:rsidRPr="007048BA" w14:paraId="73796B4D" w14:textId="77777777" w:rsidTr="001907C1">
        <w:trPr>
          <w:jc w:val="center"/>
        </w:trPr>
        <w:tc>
          <w:tcPr>
            <w:tcW w:w="0" w:type="auto"/>
          </w:tcPr>
          <w:p w14:paraId="6DC34FB0"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Maintain</w:t>
            </w:r>
          </w:p>
        </w:tc>
        <w:tc>
          <w:tcPr>
            <w:tcW w:w="0" w:type="auto"/>
          </w:tcPr>
          <w:p w14:paraId="78D4FE15"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1E24623E"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-0.315**</w:t>
            </w:r>
          </w:p>
        </w:tc>
        <w:tc>
          <w:tcPr>
            <w:tcW w:w="0" w:type="auto"/>
            <w:tcBorders>
              <w:right w:val="single" w:sz="4" w:space="0" w:color="auto"/>
            </w:tcBorders>
          </w:tcPr>
          <w:p w14:paraId="74D9ACA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left w:val="single" w:sz="4" w:space="0" w:color="auto"/>
            </w:tcBorders>
          </w:tcPr>
          <w:p w14:paraId="5DC265FA"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05CF0EDA"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-0.411***</w:t>
            </w:r>
          </w:p>
        </w:tc>
      </w:tr>
      <w:tr w:rsidR="001907C1" w:rsidRPr="007048BA" w14:paraId="51A6BE09" w14:textId="77777777" w:rsidTr="001907C1">
        <w:trPr>
          <w:jc w:val="center"/>
        </w:trPr>
        <w:tc>
          <w:tcPr>
            <w:tcW w:w="0" w:type="auto"/>
          </w:tcPr>
          <w:p w14:paraId="14166C53"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3B466FAA"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1836997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(0.035)</w:t>
            </w:r>
          </w:p>
        </w:tc>
        <w:tc>
          <w:tcPr>
            <w:tcW w:w="0" w:type="auto"/>
            <w:tcBorders>
              <w:right w:val="single" w:sz="4" w:space="0" w:color="auto"/>
            </w:tcBorders>
          </w:tcPr>
          <w:p w14:paraId="01AB03E4"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left w:val="single" w:sz="4" w:space="0" w:color="auto"/>
            </w:tcBorders>
          </w:tcPr>
          <w:p w14:paraId="18C0ED24"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3C56311B"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1907C1" w:rsidRPr="007048BA" w14:paraId="780CD256" w14:textId="77777777" w:rsidTr="001907C1">
        <w:trPr>
          <w:jc w:val="center"/>
        </w:trPr>
        <w:tc>
          <w:tcPr>
            <w:tcW w:w="0" w:type="auto"/>
          </w:tcPr>
          <w:p w14:paraId="04D54853"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Improve</w:t>
            </w:r>
          </w:p>
        </w:tc>
        <w:tc>
          <w:tcPr>
            <w:tcW w:w="0" w:type="auto"/>
          </w:tcPr>
          <w:p w14:paraId="05443E98"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262207AA"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right w:val="single" w:sz="4" w:space="0" w:color="auto"/>
            </w:tcBorders>
          </w:tcPr>
          <w:p w14:paraId="028CD250"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0.236</w:t>
            </w:r>
          </w:p>
        </w:tc>
        <w:tc>
          <w:tcPr>
            <w:tcW w:w="0" w:type="auto"/>
            <w:tcBorders>
              <w:left w:val="single" w:sz="4" w:space="0" w:color="auto"/>
            </w:tcBorders>
          </w:tcPr>
          <w:p w14:paraId="6F6CFA76"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42D171F0"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1907C1" w:rsidRPr="007048BA" w14:paraId="2141B2CA" w14:textId="77777777" w:rsidTr="001907C1">
        <w:trPr>
          <w:jc w:val="center"/>
        </w:trPr>
        <w:tc>
          <w:tcPr>
            <w:tcW w:w="0" w:type="auto"/>
          </w:tcPr>
          <w:p w14:paraId="1EEE1864"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2F2A8494"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0D2CE9DA"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right w:val="single" w:sz="4" w:space="0" w:color="auto"/>
            </w:tcBorders>
          </w:tcPr>
          <w:p w14:paraId="0F13F9A2"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(0.136)</w:t>
            </w:r>
          </w:p>
        </w:tc>
        <w:tc>
          <w:tcPr>
            <w:tcW w:w="0" w:type="auto"/>
            <w:tcBorders>
              <w:left w:val="single" w:sz="4" w:space="0" w:color="auto"/>
            </w:tcBorders>
          </w:tcPr>
          <w:p w14:paraId="0C5C807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53B9FD92"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1907C1" w:rsidRPr="007048BA" w14:paraId="05214D58" w14:textId="77777777" w:rsidTr="001907C1">
        <w:trPr>
          <w:jc w:val="center"/>
        </w:trPr>
        <w:tc>
          <w:tcPr>
            <w:tcW w:w="0" w:type="auto"/>
          </w:tcPr>
          <w:p w14:paraId="7074C6AC"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TBQ</w:t>
            </w:r>
          </w:p>
        </w:tc>
        <w:tc>
          <w:tcPr>
            <w:tcW w:w="0" w:type="auto"/>
          </w:tcPr>
          <w:p w14:paraId="4AF6A5C7"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-0.015</w:t>
            </w:r>
          </w:p>
        </w:tc>
        <w:tc>
          <w:tcPr>
            <w:tcW w:w="0" w:type="auto"/>
          </w:tcPr>
          <w:p w14:paraId="73428F58"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-0.017</w:t>
            </w:r>
          </w:p>
        </w:tc>
        <w:tc>
          <w:tcPr>
            <w:tcW w:w="0" w:type="auto"/>
            <w:tcBorders>
              <w:right w:val="single" w:sz="4" w:space="0" w:color="auto"/>
            </w:tcBorders>
          </w:tcPr>
          <w:p w14:paraId="5B820AD1"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-0.015</w:t>
            </w:r>
          </w:p>
        </w:tc>
        <w:tc>
          <w:tcPr>
            <w:tcW w:w="0" w:type="auto"/>
            <w:tcBorders>
              <w:left w:val="single" w:sz="4" w:space="0" w:color="auto"/>
            </w:tcBorders>
          </w:tcPr>
          <w:p w14:paraId="26E5EAD7"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-0.039</w:t>
            </w:r>
          </w:p>
        </w:tc>
        <w:tc>
          <w:tcPr>
            <w:tcW w:w="0" w:type="auto"/>
          </w:tcPr>
          <w:p w14:paraId="5D6EF7B2"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-0.038</w:t>
            </w:r>
          </w:p>
        </w:tc>
      </w:tr>
      <w:tr w:rsidR="001907C1" w:rsidRPr="007048BA" w14:paraId="34547FBB" w14:textId="77777777" w:rsidTr="001907C1">
        <w:trPr>
          <w:jc w:val="center"/>
        </w:trPr>
        <w:tc>
          <w:tcPr>
            <w:tcW w:w="0" w:type="auto"/>
          </w:tcPr>
          <w:p w14:paraId="69A0EF19"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5E0192E2"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(0.621)</w:t>
            </w:r>
          </w:p>
        </w:tc>
        <w:tc>
          <w:tcPr>
            <w:tcW w:w="0" w:type="auto"/>
          </w:tcPr>
          <w:p w14:paraId="7D6CCB27"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(0.576)</w:t>
            </w:r>
          </w:p>
        </w:tc>
        <w:tc>
          <w:tcPr>
            <w:tcW w:w="0" w:type="auto"/>
            <w:tcBorders>
              <w:right w:val="single" w:sz="4" w:space="0" w:color="auto"/>
            </w:tcBorders>
          </w:tcPr>
          <w:p w14:paraId="51BA9C51"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(0.625)</w:t>
            </w:r>
          </w:p>
        </w:tc>
        <w:tc>
          <w:tcPr>
            <w:tcW w:w="0" w:type="auto"/>
            <w:tcBorders>
              <w:left w:val="single" w:sz="4" w:space="0" w:color="auto"/>
            </w:tcBorders>
          </w:tcPr>
          <w:p w14:paraId="7F0BA0B8"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(0.171)</w:t>
            </w:r>
          </w:p>
        </w:tc>
        <w:tc>
          <w:tcPr>
            <w:tcW w:w="0" w:type="auto"/>
          </w:tcPr>
          <w:p w14:paraId="7C21B61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(0.179)</w:t>
            </w:r>
          </w:p>
        </w:tc>
      </w:tr>
      <w:tr w:rsidR="001907C1" w:rsidRPr="007048BA" w14:paraId="03700CFE" w14:textId="77777777" w:rsidTr="001907C1">
        <w:trPr>
          <w:jc w:val="center"/>
        </w:trPr>
        <w:tc>
          <w:tcPr>
            <w:tcW w:w="0" w:type="auto"/>
          </w:tcPr>
          <w:p w14:paraId="28B4F2E4"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LIQ</w:t>
            </w:r>
          </w:p>
        </w:tc>
        <w:tc>
          <w:tcPr>
            <w:tcW w:w="0" w:type="auto"/>
          </w:tcPr>
          <w:p w14:paraId="40D6D305"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-0.496</w:t>
            </w:r>
          </w:p>
        </w:tc>
        <w:tc>
          <w:tcPr>
            <w:tcW w:w="0" w:type="auto"/>
          </w:tcPr>
          <w:p w14:paraId="0C6A3785"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-0.464</w:t>
            </w:r>
          </w:p>
        </w:tc>
        <w:tc>
          <w:tcPr>
            <w:tcW w:w="0" w:type="auto"/>
            <w:tcBorders>
              <w:right w:val="single" w:sz="4" w:space="0" w:color="auto"/>
            </w:tcBorders>
          </w:tcPr>
          <w:p w14:paraId="61E08E7B"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-0.481</w:t>
            </w:r>
          </w:p>
        </w:tc>
        <w:tc>
          <w:tcPr>
            <w:tcW w:w="0" w:type="auto"/>
            <w:tcBorders>
              <w:left w:val="single" w:sz="4" w:space="0" w:color="auto"/>
            </w:tcBorders>
          </w:tcPr>
          <w:p w14:paraId="7EC6E21E"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-0.353</w:t>
            </w:r>
          </w:p>
        </w:tc>
        <w:tc>
          <w:tcPr>
            <w:tcW w:w="0" w:type="auto"/>
          </w:tcPr>
          <w:p w14:paraId="2EDD8625"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-0.354</w:t>
            </w:r>
          </w:p>
        </w:tc>
      </w:tr>
      <w:tr w:rsidR="001907C1" w:rsidRPr="007048BA" w14:paraId="49911424" w14:textId="77777777" w:rsidTr="001907C1">
        <w:trPr>
          <w:jc w:val="center"/>
        </w:trPr>
        <w:tc>
          <w:tcPr>
            <w:tcW w:w="0" w:type="auto"/>
          </w:tcPr>
          <w:p w14:paraId="7CAF0DB0"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62AD1996"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(0.173)</w:t>
            </w:r>
          </w:p>
        </w:tc>
        <w:tc>
          <w:tcPr>
            <w:tcW w:w="0" w:type="auto"/>
          </w:tcPr>
          <w:p w14:paraId="25BB8B0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(0.203)</w:t>
            </w:r>
          </w:p>
        </w:tc>
        <w:tc>
          <w:tcPr>
            <w:tcW w:w="0" w:type="auto"/>
            <w:tcBorders>
              <w:right w:val="single" w:sz="4" w:space="0" w:color="auto"/>
            </w:tcBorders>
          </w:tcPr>
          <w:p w14:paraId="26D2395B"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(0.188)</w:t>
            </w:r>
          </w:p>
        </w:tc>
        <w:tc>
          <w:tcPr>
            <w:tcW w:w="0" w:type="auto"/>
            <w:tcBorders>
              <w:left w:val="single" w:sz="4" w:space="0" w:color="auto"/>
            </w:tcBorders>
          </w:tcPr>
          <w:p w14:paraId="69EF2469"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(0.225)</w:t>
            </w:r>
          </w:p>
        </w:tc>
        <w:tc>
          <w:tcPr>
            <w:tcW w:w="0" w:type="auto"/>
          </w:tcPr>
          <w:p w14:paraId="1654AD82"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(0.225)</w:t>
            </w:r>
          </w:p>
        </w:tc>
      </w:tr>
      <w:tr w:rsidR="001907C1" w:rsidRPr="007048BA" w14:paraId="06B22AFF" w14:textId="77777777" w:rsidTr="001907C1">
        <w:trPr>
          <w:jc w:val="center"/>
        </w:trPr>
        <w:tc>
          <w:tcPr>
            <w:tcW w:w="0" w:type="auto"/>
          </w:tcPr>
          <w:p w14:paraId="5DBE8098"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LEV</w:t>
            </w:r>
          </w:p>
        </w:tc>
        <w:tc>
          <w:tcPr>
            <w:tcW w:w="0" w:type="auto"/>
          </w:tcPr>
          <w:p w14:paraId="7058270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0.009</w:t>
            </w:r>
          </w:p>
        </w:tc>
        <w:tc>
          <w:tcPr>
            <w:tcW w:w="0" w:type="auto"/>
          </w:tcPr>
          <w:p w14:paraId="00DF03C7"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0.009</w:t>
            </w:r>
          </w:p>
        </w:tc>
        <w:tc>
          <w:tcPr>
            <w:tcW w:w="0" w:type="auto"/>
            <w:tcBorders>
              <w:right w:val="single" w:sz="4" w:space="0" w:color="auto"/>
            </w:tcBorders>
          </w:tcPr>
          <w:p w14:paraId="06A0AC0F"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0.010</w:t>
            </w:r>
          </w:p>
        </w:tc>
        <w:tc>
          <w:tcPr>
            <w:tcW w:w="0" w:type="auto"/>
            <w:tcBorders>
              <w:left w:val="single" w:sz="4" w:space="0" w:color="auto"/>
            </w:tcBorders>
          </w:tcPr>
          <w:p w14:paraId="5CF568DB"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0.053**</w:t>
            </w:r>
          </w:p>
        </w:tc>
        <w:tc>
          <w:tcPr>
            <w:tcW w:w="0" w:type="auto"/>
          </w:tcPr>
          <w:p w14:paraId="4DC481BE"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0.053**</w:t>
            </w:r>
          </w:p>
        </w:tc>
      </w:tr>
      <w:tr w:rsidR="001907C1" w:rsidRPr="007048BA" w14:paraId="27D86589" w14:textId="77777777" w:rsidTr="001907C1">
        <w:trPr>
          <w:jc w:val="center"/>
        </w:trPr>
        <w:tc>
          <w:tcPr>
            <w:tcW w:w="0" w:type="auto"/>
          </w:tcPr>
          <w:p w14:paraId="7C282B5C"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2C146780"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(0.837)</w:t>
            </w:r>
          </w:p>
        </w:tc>
        <w:tc>
          <w:tcPr>
            <w:tcW w:w="0" w:type="auto"/>
          </w:tcPr>
          <w:p w14:paraId="25D375B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(0.847)</w:t>
            </w:r>
          </w:p>
        </w:tc>
        <w:tc>
          <w:tcPr>
            <w:tcW w:w="0" w:type="auto"/>
            <w:tcBorders>
              <w:right w:val="single" w:sz="4" w:space="0" w:color="auto"/>
            </w:tcBorders>
          </w:tcPr>
          <w:p w14:paraId="3C589E24"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(0.821)</w:t>
            </w:r>
          </w:p>
        </w:tc>
        <w:tc>
          <w:tcPr>
            <w:tcW w:w="0" w:type="auto"/>
            <w:tcBorders>
              <w:left w:val="single" w:sz="4" w:space="0" w:color="auto"/>
            </w:tcBorders>
          </w:tcPr>
          <w:p w14:paraId="2EB793AF"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(0.022)</w:t>
            </w:r>
          </w:p>
        </w:tc>
        <w:tc>
          <w:tcPr>
            <w:tcW w:w="0" w:type="auto"/>
          </w:tcPr>
          <w:p w14:paraId="53A97AC9"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(0.022)</w:t>
            </w:r>
          </w:p>
        </w:tc>
      </w:tr>
      <w:tr w:rsidR="001907C1" w:rsidRPr="007048BA" w14:paraId="6994AE14" w14:textId="77777777" w:rsidTr="001907C1">
        <w:trPr>
          <w:jc w:val="center"/>
        </w:trPr>
        <w:tc>
          <w:tcPr>
            <w:tcW w:w="0" w:type="auto"/>
          </w:tcPr>
          <w:p w14:paraId="33BBFD8E"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SGW</w:t>
            </w:r>
          </w:p>
        </w:tc>
        <w:tc>
          <w:tcPr>
            <w:tcW w:w="0" w:type="auto"/>
          </w:tcPr>
          <w:p w14:paraId="4DFB00AF"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0.019</w:t>
            </w:r>
          </w:p>
        </w:tc>
        <w:tc>
          <w:tcPr>
            <w:tcW w:w="0" w:type="auto"/>
          </w:tcPr>
          <w:p w14:paraId="31561A15"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0.018</w:t>
            </w:r>
          </w:p>
        </w:tc>
        <w:tc>
          <w:tcPr>
            <w:tcW w:w="0" w:type="auto"/>
            <w:tcBorders>
              <w:right w:val="single" w:sz="4" w:space="0" w:color="auto"/>
            </w:tcBorders>
          </w:tcPr>
          <w:p w14:paraId="4F336FAB"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0.019</w:t>
            </w:r>
          </w:p>
        </w:tc>
        <w:tc>
          <w:tcPr>
            <w:tcW w:w="0" w:type="auto"/>
            <w:tcBorders>
              <w:left w:val="single" w:sz="4" w:space="0" w:color="auto"/>
            </w:tcBorders>
          </w:tcPr>
          <w:p w14:paraId="034FDD60"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-0.030</w:t>
            </w:r>
          </w:p>
        </w:tc>
        <w:tc>
          <w:tcPr>
            <w:tcW w:w="0" w:type="auto"/>
          </w:tcPr>
          <w:p w14:paraId="29EC4EB8"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-0.030</w:t>
            </w:r>
          </w:p>
        </w:tc>
      </w:tr>
      <w:tr w:rsidR="001907C1" w:rsidRPr="007048BA" w14:paraId="300A3E38" w14:textId="77777777" w:rsidTr="001907C1">
        <w:trPr>
          <w:jc w:val="center"/>
        </w:trPr>
        <w:tc>
          <w:tcPr>
            <w:tcW w:w="0" w:type="auto"/>
          </w:tcPr>
          <w:p w14:paraId="07E71FD1"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48BC53A4"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(0.574)</w:t>
            </w:r>
          </w:p>
        </w:tc>
        <w:tc>
          <w:tcPr>
            <w:tcW w:w="0" w:type="auto"/>
          </w:tcPr>
          <w:p w14:paraId="7BE195B0"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(0.600)</w:t>
            </w:r>
          </w:p>
        </w:tc>
        <w:tc>
          <w:tcPr>
            <w:tcW w:w="0" w:type="auto"/>
            <w:tcBorders>
              <w:right w:val="single" w:sz="4" w:space="0" w:color="auto"/>
            </w:tcBorders>
          </w:tcPr>
          <w:p w14:paraId="18387C59"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(0.577)</w:t>
            </w:r>
          </w:p>
        </w:tc>
        <w:tc>
          <w:tcPr>
            <w:tcW w:w="0" w:type="auto"/>
            <w:tcBorders>
              <w:left w:val="single" w:sz="4" w:space="0" w:color="auto"/>
            </w:tcBorders>
          </w:tcPr>
          <w:p w14:paraId="4A071C1A"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(0.464)</w:t>
            </w:r>
          </w:p>
        </w:tc>
        <w:tc>
          <w:tcPr>
            <w:tcW w:w="0" w:type="auto"/>
          </w:tcPr>
          <w:p w14:paraId="0DCDED03"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(0.465)</w:t>
            </w:r>
          </w:p>
        </w:tc>
      </w:tr>
      <w:tr w:rsidR="001907C1" w:rsidRPr="007048BA" w14:paraId="2ECAFAB0" w14:textId="77777777" w:rsidTr="001907C1">
        <w:trPr>
          <w:jc w:val="center"/>
        </w:trPr>
        <w:tc>
          <w:tcPr>
            <w:tcW w:w="0" w:type="auto"/>
          </w:tcPr>
          <w:p w14:paraId="1401B1AE"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GRD</w:t>
            </w:r>
          </w:p>
        </w:tc>
        <w:tc>
          <w:tcPr>
            <w:tcW w:w="0" w:type="auto"/>
          </w:tcPr>
          <w:p w14:paraId="200A10B1"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-0.097</w:t>
            </w:r>
          </w:p>
        </w:tc>
        <w:tc>
          <w:tcPr>
            <w:tcW w:w="0" w:type="auto"/>
          </w:tcPr>
          <w:p w14:paraId="3D2F1DC8"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-0.099</w:t>
            </w:r>
          </w:p>
        </w:tc>
        <w:tc>
          <w:tcPr>
            <w:tcW w:w="0" w:type="auto"/>
            <w:tcBorders>
              <w:right w:val="single" w:sz="4" w:space="0" w:color="auto"/>
            </w:tcBorders>
          </w:tcPr>
          <w:p w14:paraId="5396666F"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-0.101</w:t>
            </w:r>
          </w:p>
        </w:tc>
        <w:tc>
          <w:tcPr>
            <w:tcW w:w="0" w:type="auto"/>
            <w:tcBorders>
              <w:left w:val="single" w:sz="4" w:space="0" w:color="auto"/>
            </w:tcBorders>
          </w:tcPr>
          <w:p w14:paraId="4BE495E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0.094</w:t>
            </w:r>
          </w:p>
        </w:tc>
        <w:tc>
          <w:tcPr>
            <w:tcW w:w="0" w:type="auto"/>
          </w:tcPr>
          <w:p w14:paraId="1B588AA1"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0.095</w:t>
            </w:r>
          </w:p>
        </w:tc>
      </w:tr>
      <w:tr w:rsidR="001907C1" w:rsidRPr="007048BA" w14:paraId="32660125" w14:textId="77777777" w:rsidTr="001907C1">
        <w:trPr>
          <w:jc w:val="center"/>
        </w:trPr>
        <w:tc>
          <w:tcPr>
            <w:tcW w:w="0" w:type="auto"/>
          </w:tcPr>
          <w:p w14:paraId="3BFFEE41"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646415EB"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(0.535)</w:t>
            </w:r>
          </w:p>
        </w:tc>
        <w:tc>
          <w:tcPr>
            <w:tcW w:w="0" w:type="auto"/>
          </w:tcPr>
          <w:p w14:paraId="6EA9BE32"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(0.527)</w:t>
            </w:r>
          </w:p>
        </w:tc>
        <w:tc>
          <w:tcPr>
            <w:tcW w:w="0" w:type="auto"/>
            <w:tcBorders>
              <w:right w:val="single" w:sz="4" w:space="0" w:color="auto"/>
            </w:tcBorders>
          </w:tcPr>
          <w:p w14:paraId="00F27E9A"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(0.521)</w:t>
            </w:r>
          </w:p>
        </w:tc>
        <w:tc>
          <w:tcPr>
            <w:tcW w:w="0" w:type="auto"/>
            <w:tcBorders>
              <w:left w:val="single" w:sz="4" w:space="0" w:color="auto"/>
            </w:tcBorders>
          </w:tcPr>
          <w:p w14:paraId="71EF85E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(0.267)</w:t>
            </w:r>
          </w:p>
        </w:tc>
        <w:tc>
          <w:tcPr>
            <w:tcW w:w="0" w:type="auto"/>
          </w:tcPr>
          <w:p w14:paraId="0CF1C6D8"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(0.262)</w:t>
            </w:r>
          </w:p>
        </w:tc>
      </w:tr>
      <w:tr w:rsidR="001907C1" w:rsidRPr="007048BA" w14:paraId="6244A906" w14:textId="77777777" w:rsidTr="001907C1">
        <w:trPr>
          <w:jc w:val="center"/>
        </w:trPr>
        <w:tc>
          <w:tcPr>
            <w:tcW w:w="0" w:type="auto"/>
          </w:tcPr>
          <w:p w14:paraId="0E46B685"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IDD</w:t>
            </w:r>
          </w:p>
        </w:tc>
        <w:tc>
          <w:tcPr>
            <w:tcW w:w="0" w:type="auto"/>
          </w:tcPr>
          <w:p w14:paraId="49D4CA22"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-0.079</w:t>
            </w:r>
          </w:p>
        </w:tc>
        <w:tc>
          <w:tcPr>
            <w:tcW w:w="0" w:type="auto"/>
          </w:tcPr>
          <w:p w14:paraId="035B4E93"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-0.076</w:t>
            </w:r>
          </w:p>
        </w:tc>
        <w:tc>
          <w:tcPr>
            <w:tcW w:w="0" w:type="auto"/>
            <w:tcBorders>
              <w:right w:val="single" w:sz="4" w:space="0" w:color="auto"/>
            </w:tcBorders>
          </w:tcPr>
          <w:p w14:paraId="60E2172C"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-0.070</w:t>
            </w:r>
          </w:p>
        </w:tc>
        <w:tc>
          <w:tcPr>
            <w:tcW w:w="0" w:type="auto"/>
            <w:tcBorders>
              <w:left w:val="single" w:sz="4" w:space="0" w:color="auto"/>
            </w:tcBorders>
          </w:tcPr>
          <w:p w14:paraId="5C9FCE8C"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-0.342***</w:t>
            </w:r>
          </w:p>
        </w:tc>
        <w:tc>
          <w:tcPr>
            <w:tcW w:w="0" w:type="auto"/>
          </w:tcPr>
          <w:p w14:paraId="79C3A959"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-0.346***</w:t>
            </w:r>
          </w:p>
        </w:tc>
      </w:tr>
      <w:tr w:rsidR="001907C1" w:rsidRPr="007048BA" w14:paraId="7960FD93" w14:textId="77777777" w:rsidTr="001907C1">
        <w:trPr>
          <w:jc w:val="center"/>
        </w:trPr>
        <w:tc>
          <w:tcPr>
            <w:tcW w:w="0" w:type="auto"/>
          </w:tcPr>
          <w:p w14:paraId="7F154862"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6E86C572"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(0.587)</w:t>
            </w:r>
          </w:p>
        </w:tc>
        <w:tc>
          <w:tcPr>
            <w:tcW w:w="0" w:type="auto"/>
          </w:tcPr>
          <w:p w14:paraId="43518B58"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(0.603)</w:t>
            </w:r>
          </w:p>
        </w:tc>
        <w:tc>
          <w:tcPr>
            <w:tcW w:w="0" w:type="auto"/>
            <w:tcBorders>
              <w:right w:val="single" w:sz="4" w:space="0" w:color="auto"/>
            </w:tcBorders>
          </w:tcPr>
          <w:p w14:paraId="2A5B7C39"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(0.632)</w:t>
            </w:r>
          </w:p>
        </w:tc>
        <w:tc>
          <w:tcPr>
            <w:tcW w:w="0" w:type="auto"/>
            <w:tcBorders>
              <w:left w:val="single" w:sz="4" w:space="0" w:color="auto"/>
            </w:tcBorders>
          </w:tcPr>
          <w:p w14:paraId="12B9549A"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6AEF4CC4"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1907C1" w:rsidRPr="007048BA" w14:paraId="4FED2881" w14:textId="77777777" w:rsidTr="001907C1">
        <w:trPr>
          <w:jc w:val="center"/>
        </w:trPr>
        <w:tc>
          <w:tcPr>
            <w:tcW w:w="0" w:type="auto"/>
          </w:tcPr>
          <w:p w14:paraId="18ECF2B5"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FCF</w:t>
            </w:r>
          </w:p>
        </w:tc>
        <w:tc>
          <w:tcPr>
            <w:tcW w:w="0" w:type="auto"/>
          </w:tcPr>
          <w:p w14:paraId="5527B86F"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-0.067</w:t>
            </w:r>
          </w:p>
        </w:tc>
        <w:tc>
          <w:tcPr>
            <w:tcW w:w="0" w:type="auto"/>
          </w:tcPr>
          <w:p w14:paraId="6FDB5A61"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-0.116</w:t>
            </w:r>
          </w:p>
        </w:tc>
        <w:tc>
          <w:tcPr>
            <w:tcW w:w="0" w:type="auto"/>
            <w:tcBorders>
              <w:right w:val="single" w:sz="4" w:space="0" w:color="auto"/>
            </w:tcBorders>
          </w:tcPr>
          <w:p w14:paraId="4D273632"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-0.147</w:t>
            </w:r>
          </w:p>
        </w:tc>
        <w:tc>
          <w:tcPr>
            <w:tcW w:w="0" w:type="auto"/>
            <w:tcBorders>
              <w:left w:val="single" w:sz="4" w:space="0" w:color="auto"/>
            </w:tcBorders>
          </w:tcPr>
          <w:p w14:paraId="7456F8D9"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0.645*</w:t>
            </w:r>
          </w:p>
        </w:tc>
        <w:tc>
          <w:tcPr>
            <w:tcW w:w="0" w:type="auto"/>
          </w:tcPr>
          <w:p w14:paraId="4795911F"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0.631*</w:t>
            </w:r>
          </w:p>
        </w:tc>
      </w:tr>
      <w:tr w:rsidR="001907C1" w:rsidRPr="007048BA" w14:paraId="3D10653B" w14:textId="77777777" w:rsidTr="001907C1">
        <w:trPr>
          <w:jc w:val="center"/>
        </w:trPr>
        <w:tc>
          <w:tcPr>
            <w:tcW w:w="0" w:type="auto"/>
          </w:tcPr>
          <w:p w14:paraId="5837B953"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6CCD8489"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(0.800)</w:t>
            </w:r>
          </w:p>
        </w:tc>
        <w:tc>
          <w:tcPr>
            <w:tcW w:w="0" w:type="auto"/>
          </w:tcPr>
          <w:p w14:paraId="23625E61"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(0.658)</w:t>
            </w:r>
          </w:p>
        </w:tc>
        <w:tc>
          <w:tcPr>
            <w:tcW w:w="0" w:type="auto"/>
            <w:tcBorders>
              <w:right w:val="single" w:sz="4" w:space="0" w:color="auto"/>
            </w:tcBorders>
          </w:tcPr>
          <w:p w14:paraId="0FCB6437"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(0.574)</w:t>
            </w:r>
          </w:p>
        </w:tc>
        <w:tc>
          <w:tcPr>
            <w:tcW w:w="0" w:type="auto"/>
            <w:tcBorders>
              <w:left w:val="single" w:sz="4" w:space="0" w:color="auto"/>
            </w:tcBorders>
          </w:tcPr>
          <w:p w14:paraId="08D05592"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(0.054)</w:t>
            </w:r>
          </w:p>
        </w:tc>
        <w:tc>
          <w:tcPr>
            <w:tcW w:w="0" w:type="auto"/>
          </w:tcPr>
          <w:p w14:paraId="3B6F6F5F"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(0.059)</w:t>
            </w:r>
          </w:p>
        </w:tc>
      </w:tr>
      <w:tr w:rsidR="001907C1" w:rsidRPr="007048BA" w14:paraId="637050E3" w14:textId="77777777" w:rsidTr="001907C1">
        <w:trPr>
          <w:jc w:val="center"/>
        </w:trPr>
        <w:tc>
          <w:tcPr>
            <w:tcW w:w="0" w:type="auto"/>
          </w:tcPr>
          <w:p w14:paraId="39085A7B"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TANG</w:t>
            </w:r>
          </w:p>
        </w:tc>
        <w:tc>
          <w:tcPr>
            <w:tcW w:w="0" w:type="auto"/>
          </w:tcPr>
          <w:p w14:paraId="1083F68E"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0.888***</w:t>
            </w:r>
          </w:p>
        </w:tc>
        <w:tc>
          <w:tcPr>
            <w:tcW w:w="0" w:type="auto"/>
          </w:tcPr>
          <w:p w14:paraId="31965F35"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0.920***</w:t>
            </w:r>
          </w:p>
        </w:tc>
        <w:tc>
          <w:tcPr>
            <w:tcW w:w="0" w:type="auto"/>
            <w:tcBorders>
              <w:right w:val="single" w:sz="4" w:space="0" w:color="auto"/>
            </w:tcBorders>
          </w:tcPr>
          <w:p w14:paraId="70CF41E1"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0.880***</w:t>
            </w:r>
          </w:p>
        </w:tc>
        <w:tc>
          <w:tcPr>
            <w:tcW w:w="0" w:type="auto"/>
            <w:tcBorders>
              <w:left w:val="single" w:sz="4" w:space="0" w:color="auto"/>
            </w:tcBorders>
          </w:tcPr>
          <w:p w14:paraId="5A1F3578"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0.240</w:t>
            </w:r>
          </w:p>
        </w:tc>
        <w:tc>
          <w:tcPr>
            <w:tcW w:w="0" w:type="auto"/>
          </w:tcPr>
          <w:p w14:paraId="7A53299C"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0.242</w:t>
            </w:r>
          </w:p>
        </w:tc>
      </w:tr>
      <w:tr w:rsidR="001907C1" w:rsidRPr="007048BA" w14:paraId="07E2B4A9" w14:textId="77777777" w:rsidTr="001907C1">
        <w:trPr>
          <w:jc w:val="center"/>
        </w:trPr>
        <w:tc>
          <w:tcPr>
            <w:tcW w:w="0" w:type="auto"/>
          </w:tcPr>
          <w:p w14:paraId="66DC012F"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2126576B"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(0.001)</w:t>
            </w:r>
          </w:p>
        </w:tc>
        <w:tc>
          <w:tcPr>
            <w:tcW w:w="0" w:type="auto"/>
          </w:tcPr>
          <w:p w14:paraId="56F47A90"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(0.001)</w:t>
            </w:r>
          </w:p>
        </w:tc>
        <w:tc>
          <w:tcPr>
            <w:tcW w:w="0" w:type="auto"/>
            <w:tcBorders>
              <w:right w:val="single" w:sz="4" w:space="0" w:color="auto"/>
            </w:tcBorders>
          </w:tcPr>
          <w:p w14:paraId="7C0EC638"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(0.001)</w:t>
            </w:r>
          </w:p>
        </w:tc>
        <w:tc>
          <w:tcPr>
            <w:tcW w:w="0" w:type="auto"/>
            <w:tcBorders>
              <w:left w:val="single" w:sz="4" w:space="0" w:color="auto"/>
            </w:tcBorders>
          </w:tcPr>
          <w:p w14:paraId="5DD73F5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(0.114)</w:t>
            </w:r>
          </w:p>
        </w:tc>
        <w:tc>
          <w:tcPr>
            <w:tcW w:w="0" w:type="auto"/>
          </w:tcPr>
          <w:p w14:paraId="25A6B7B7"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(0.112)</w:t>
            </w:r>
          </w:p>
        </w:tc>
      </w:tr>
      <w:tr w:rsidR="001907C1" w:rsidRPr="007048BA" w14:paraId="3A2B3F13" w14:textId="77777777" w:rsidTr="001907C1">
        <w:trPr>
          <w:jc w:val="center"/>
        </w:trPr>
        <w:tc>
          <w:tcPr>
            <w:tcW w:w="0" w:type="auto"/>
          </w:tcPr>
          <w:p w14:paraId="1F396E52"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SIZE</w:t>
            </w:r>
          </w:p>
        </w:tc>
        <w:tc>
          <w:tcPr>
            <w:tcW w:w="0" w:type="auto"/>
          </w:tcPr>
          <w:p w14:paraId="7949F8BB"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0.133***</w:t>
            </w:r>
          </w:p>
        </w:tc>
        <w:tc>
          <w:tcPr>
            <w:tcW w:w="0" w:type="auto"/>
          </w:tcPr>
          <w:p w14:paraId="25D81FF0"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0.133***</w:t>
            </w:r>
          </w:p>
        </w:tc>
        <w:tc>
          <w:tcPr>
            <w:tcW w:w="0" w:type="auto"/>
            <w:tcBorders>
              <w:right w:val="single" w:sz="4" w:space="0" w:color="auto"/>
            </w:tcBorders>
          </w:tcPr>
          <w:p w14:paraId="6F4DF35B"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0.137***</w:t>
            </w:r>
          </w:p>
        </w:tc>
        <w:tc>
          <w:tcPr>
            <w:tcW w:w="0" w:type="auto"/>
            <w:tcBorders>
              <w:left w:val="single" w:sz="4" w:space="0" w:color="auto"/>
            </w:tcBorders>
          </w:tcPr>
          <w:p w14:paraId="1C7DDA9A"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0.092***</w:t>
            </w:r>
          </w:p>
        </w:tc>
        <w:tc>
          <w:tcPr>
            <w:tcW w:w="0" w:type="auto"/>
          </w:tcPr>
          <w:p w14:paraId="23381931"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0.092***</w:t>
            </w:r>
          </w:p>
        </w:tc>
      </w:tr>
      <w:tr w:rsidR="001907C1" w:rsidRPr="007048BA" w14:paraId="731D3B7E" w14:textId="77777777" w:rsidTr="001907C1">
        <w:trPr>
          <w:jc w:val="center"/>
        </w:trPr>
        <w:tc>
          <w:tcPr>
            <w:tcW w:w="0" w:type="auto"/>
          </w:tcPr>
          <w:p w14:paraId="281F8050"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5B8A50AE"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64461852"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Borders>
              <w:right w:val="single" w:sz="4" w:space="0" w:color="auto"/>
            </w:tcBorders>
          </w:tcPr>
          <w:p w14:paraId="701FFE51"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Borders>
              <w:left w:val="single" w:sz="4" w:space="0" w:color="auto"/>
            </w:tcBorders>
          </w:tcPr>
          <w:p w14:paraId="166C6549"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57765EBC"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1907C1" w:rsidRPr="007048BA" w14:paraId="5C67556B" w14:textId="77777777" w:rsidTr="001907C1">
        <w:trPr>
          <w:jc w:val="center"/>
        </w:trPr>
        <w:tc>
          <w:tcPr>
            <w:tcW w:w="0" w:type="auto"/>
          </w:tcPr>
          <w:p w14:paraId="438051E0"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AGE</w:t>
            </w:r>
          </w:p>
        </w:tc>
        <w:tc>
          <w:tcPr>
            <w:tcW w:w="0" w:type="auto"/>
          </w:tcPr>
          <w:p w14:paraId="2CD1D704"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-0.088</w:t>
            </w:r>
          </w:p>
        </w:tc>
        <w:tc>
          <w:tcPr>
            <w:tcW w:w="0" w:type="auto"/>
          </w:tcPr>
          <w:p w14:paraId="093289BA"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-0.088</w:t>
            </w:r>
          </w:p>
        </w:tc>
        <w:tc>
          <w:tcPr>
            <w:tcW w:w="0" w:type="auto"/>
            <w:tcBorders>
              <w:right w:val="single" w:sz="4" w:space="0" w:color="auto"/>
            </w:tcBorders>
          </w:tcPr>
          <w:p w14:paraId="72DA4CCE"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-0.093</w:t>
            </w:r>
          </w:p>
        </w:tc>
        <w:tc>
          <w:tcPr>
            <w:tcW w:w="0" w:type="auto"/>
            <w:tcBorders>
              <w:left w:val="single" w:sz="4" w:space="0" w:color="auto"/>
            </w:tcBorders>
          </w:tcPr>
          <w:p w14:paraId="3BC1696E"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-0.142***</w:t>
            </w:r>
          </w:p>
        </w:tc>
        <w:tc>
          <w:tcPr>
            <w:tcW w:w="0" w:type="auto"/>
          </w:tcPr>
          <w:p w14:paraId="05F67EB3"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-0.142***</w:t>
            </w:r>
          </w:p>
        </w:tc>
      </w:tr>
      <w:tr w:rsidR="001907C1" w:rsidRPr="007048BA" w14:paraId="02B7441D" w14:textId="77777777" w:rsidTr="001907C1">
        <w:trPr>
          <w:jc w:val="center"/>
        </w:trPr>
        <w:tc>
          <w:tcPr>
            <w:tcW w:w="0" w:type="auto"/>
          </w:tcPr>
          <w:p w14:paraId="0344D326"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02651427"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(0.147)</w:t>
            </w:r>
          </w:p>
        </w:tc>
        <w:tc>
          <w:tcPr>
            <w:tcW w:w="0" w:type="auto"/>
          </w:tcPr>
          <w:p w14:paraId="7AC2CA3F"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(0.145)</w:t>
            </w:r>
          </w:p>
        </w:tc>
        <w:tc>
          <w:tcPr>
            <w:tcW w:w="0" w:type="auto"/>
            <w:tcBorders>
              <w:right w:val="single" w:sz="4" w:space="0" w:color="auto"/>
            </w:tcBorders>
          </w:tcPr>
          <w:p w14:paraId="1DD5DEE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(0.125)</w:t>
            </w:r>
          </w:p>
        </w:tc>
        <w:tc>
          <w:tcPr>
            <w:tcW w:w="0" w:type="auto"/>
            <w:tcBorders>
              <w:left w:val="single" w:sz="4" w:space="0" w:color="auto"/>
            </w:tcBorders>
          </w:tcPr>
          <w:p w14:paraId="30D5E8AA"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194B8EF0"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1907C1" w:rsidRPr="007048BA" w14:paraId="1EA04A19" w14:textId="77777777" w:rsidTr="001907C1">
        <w:trPr>
          <w:jc w:val="center"/>
        </w:trPr>
        <w:tc>
          <w:tcPr>
            <w:tcW w:w="0" w:type="auto"/>
          </w:tcPr>
          <w:p w14:paraId="4BBCC57B"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HHI</w:t>
            </w:r>
          </w:p>
        </w:tc>
        <w:tc>
          <w:tcPr>
            <w:tcW w:w="0" w:type="auto"/>
          </w:tcPr>
          <w:p w14:paraId="23F0DB53"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-3.658***</w:t>
            </w:r>
          </w:p>
        </w:tc>
        <w:tc>
          <w:tcPr>
            <w:tcW w:w="0" w:type="auto"/>
          </w:tcPr>
          <w:p w14:paraId="6A1ACF40"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-3.660***</w:t>
            </w:r>
          </w:p>
        </w:tc>
        <w:tc>
          <w:tcPr>
            <w:tcW w:w="0" w:type="auto"/>
            <w:tcBorders>
              <w:right w:val="single" w:sz="4" w:space="0" w:color="auto"/>
            </w:tcBorders>
          </w:tcPr>
          <w:p w14:paraId="218DAAC3"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-3.579***</w:t>
            </w:r>
          </w:p>
        </w:tc>
        <w:tc>
          <w:tcPr>
            <w:tcW w:w="0" w:type="auto"/>
            <w:tcBorders>
              <w:left w:val="single" w:sz="4" w:space="0" w:color="auto"/>
            </w:tcBorders>
          </w:tcPr>
          <w:p w14:paraId="52DCAC84"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-2.196***</w:t>
            </w:r>
          </w:p>
        </w:tc>
        <w:tc>
          <w:tcPr>
            <w:tcW w:w="0" w:type="auto"/>
          </w:tcPr>
          <w:p w14:paraId="76D32E33"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-2.208***</w:t>
            </w:r>
          </w:p>
        </w:tc>
      </w:tr>
      <w:tr w:rsidR="001907C1" w:rsidRPr="007048BA" w14:paraId="10606F2D" w14:textId="77777777" w:rsidTr="001907C1">
        <w:trPr>
          <w:jc w:val="center"/>
        </w:trPr>
        <w:tc>
          <w:tcPr>
            <w:tcW w:w="0" w:type="auto"/>
          </w:tcPr>
          <w:p w14:paraId="06476665"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7C2FE4D7"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546AF621"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Borders>
              <w:right w:val="single" w:sz="4" w:space="0" w:color="auto"/>
            </w:tcBorders>
          </w:tcPr>
          <w:p w14:paraId="26712ABA"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Borders>
              <w:left w:val="single" w:sz="4" w:space="0" w:color="auto"/>
            </w:tcBorders>
          </w:tcPr>
          <w:p w14:paraId="5E80FA22"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1508DF05"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1907C1" w:rsidRPr="007048BA" w14:paraId="4409DB03" w14:textId="77777777" w:rsidTr="001907C1">
        <w:trPr>
          <w:jc w:val="center"/>
        </w:trPr>
        <w:tc>
          <w:tcPr>
            <w:tcW w:w="0" w:type="auto"/>
          </w:tcPr>
          <w:p w14:paraId="5E95D934"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BLOC</w:t>
            </w:r>
          </w:p>
        </w:tc>
        <w:tc>
          <w:tcPr>
            <w:tcW w:w="0" w:type="auto"/>
          </w:tcPr>
          <w:p w14:paraId="35BA8126"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0.204</w:t>
            </w:r>
          </w:p>
        </w:tc>
        <w:tc>
          <w:tcPr>
            <w:tcW w:w="0" w:type="auto"/>
          </w:tcPr>
          <w:p w14:paraId="4EF95FC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0.193</w:t>
            </w:r>
          </w:p>
        </w:tc>
        <w:tc>
          <w:tcPr>
            <w:tcW w:w="0" w:type="auto"/>
            <w:tcBorders>
              <w:right w:val="single" w:sz="4" w:space="0" w:color="auto"/>
            </w:tcBorders>
          </w:tcPr>
          <w:p w14:paraId="4FDD22E0"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0.201</w:t>
            </w:r>
          </w:p>
        </w:tc>
        <w:tc>
          <w:tcPr>
            <w:tcW w:w="0" w:type="auto"/>
            <w:tcBorders>
              <w:left w:val="single" w:sz="4" w:space="0" w:color="auto"/>
            </w:tcBorders>
          </w:tcPr>
          <w:p w14:paraId="718FB853"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0.220***</w:t>
            </w:r>
          </w:p>
        </w:tc>
        <w:tc>
          <w:tcPr>
            <w:tcW w:w="0" w:type="auto"/>
          </w:tcPr>
          <w:p w14:paraId="319F36E6"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0.222***</w:t>
            </w:r>
          </w:p>
        </w:tc>
      </w:tr>
      <w:tr w:rsidR="001907C1" w:rsidRPr="007048BA" w14:paraId="5CEA3D0A" w14:textId="77777777" w:rsidTr="001907C1">
        <w:trPr>
          <w:jc w:val="center"/>
        </w:trPr>
        <w:tc>
          <w:tcPr>
            <w:tcW w:w="0" w:type="auto"/>
          </w:tcPr>
          <w:p w14:paraId="4923EA8A"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01E991EB"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(0.223)</w:t>
            </w:r>
          </w:p>
        </w:tc>
        <w:tc>
          <w:tcPr>
            <w:tcW w:w="0" w:type="auto"/>
          </w:tcPr>
          <w:p w14:paraId="788F996B"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(0.250)</w:t>
            </w:r>
          </w:p>
        </w:tc>
        <w:tc>
          <w:tcPr>
            <w:tcW w:w="0" w:type="auto"/>
            <w:tcBorders>
              <w:right w:val="single" w:sz="4" w:space="0" w:color="auto"/>
            </w:tcBorders>
          </w:tcPr>
          <w:p w14:paraId="37FD8ECB"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(0.229)</w:t>
            </w:r>
          </w:p>
        </w:tc>
        <w:tc>
          <w:tcPr>
            <w:tcW w:w="0" w:type="auto"/>
            <w:tcBorders>
              <w:left w:val="single" w:sz="4" w:space="0" w:color="auto"/>
            </w:tcBorders>
          </w:tcPr>
          <w:p w14:paraId="155BC1F6"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(0.007)</w:t>
            </w:r>
          </w:p>
        </w:tc>
        <w:tc>
          <w:tcPr>
            <w:tcW w:w="0" w:type="auto"/>
          </w:tcPr>
          <w:p w14:paraId="7C2CC764"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(0.007)</w:t>
            </w:r>
          </w:p>
        </w:tc>
      </w:tr>
      <w:tr w:rsidR="001907C1" w:rsidRPr="007048BA" w14:paraId="430982AF" w14:textId="77777777" w:rsidTr="001907C1">
        <w:trPr>
          <w:jc w:val="center"/>
        </w:trPr>
        <w:tc>
          <w:tcPr>
            <w:tcW w:w="0" w:type="auto"/>
          </w:tcPr>
          <w:p w14:paraId="21349043"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RUM</w:t>
            </w:r>
          </w:p>
        </w:tc>
        <w:tc>
          <w:tcPr>
            <w:tcW w:w="0" w:type="auto"/>
          </w:tcPr>
          <w:p w14:paraId="788F15D4"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0.426</w:t>
            </w:r>
          </w:p>
        </w:tc>
        <w:tc>
          <w:tcPr>
            <w:tcW w:w="0" w:type="auto"/>
          </w:tcPr>
          <w:p w14:paraId="24456EC3"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0.412</w:t>
            </w:r>
          </w:p>
        </w:tc>
        <w:tc>
          <w:tcPr>
            <w:tcW w:w="0" w:type="auto"/>
            <w:tcBorders>
              <w:right w:val="single" w:sz="4" w:space="0" w:color="auto"/>
            </w:tcBorders>
          </w:tcPr>
          <w:p w14:paraId="16B6F55A"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0.368</w:t>
            </w:r>
          </w:p>
        </w:tc>
        <w:tc>
          <w:tcPr>
            <w:tcW w:w="0" w:type="auto"/>
            <w:tcBorders>
              <w:left w:val="single" w:sz="4" w:space="0" w:color="auto"/>
            </w:tcBorders>
          </w:tcPr>
          <w:p w14:paraId="03EF2E41"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0.208</w:t>
            </w:r>
          </w:p>
        </w:tc>
        <w:tc>
          <w:tcPr>
            <w:tcW w:w="0" w:type="auto"/>
          </w:tcPr>
          <w:p w14:paraId="09CE1BB4"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0.210</w:t>
            </w:r>
          </w:p>
        </w:tc>
      </w:tr>
      <w:tr w:rsidR="001907C1" w:rsidRPr="007048BA" w14:paraId="75CFA0D2" w14:textId="77777777" w:rsidTr="001907C1">
        <w:trPr>
          <w:jc w:val="center"/>
        </w:trPr>
        <w:tc>
          <w:tcPr>
            <w:tcW w:w="0" w:type="auto"/>
          </w:tcPr>
          <w:p w14:paraId="5EE7598D"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6C63583A"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(0.592)</w:t>
            </w:r>
          </w:p>
        </w:tc>
        <w:tc>
          <w:tcPr>
            <w:tcW w:w="0" w:type="auto"/>
          </w:tcPr>
          <w:p w14:paraId="3A3C9963"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(0.604)</w:t>
            </w:r>
          </w:p>
        </w:tc>
        <w:tc>
          <w:tcPr>
            <w:tcW w:w="0" w:type="auto"/>
            <w:tcBorders>
              <w:right w:val="single" w:sz="4" w:space="0" w:color="auto"/>
            </w:tcBorders>
          </w:tcPr>
          <w:p w14:paraId="41D54F98"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(0.643)</w:t>
            </w:r>
          </w:p>
        </w:tc>
        <w:tc>
          <w:tcPr>
            <w:tcW w:w="0" w:type="auto"/>
            <w:tcBorders>
              <w:left w:val="single" w:sz="4" w:space="0" w:color="auto"/>
            </w:tcBorders>
          </w:tcPr>
          <w:p w14:paraId="2F5B51E3"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(0.548)</w:t>
            </w:r>
          </w:p>
        </w:tc>
        <w:tc>
          <w:tcPr>
            <w:tcW w:w="0" w:type="auto"/>
          </w:tcPr>
          <w:p w14:paraId="5D6138DF"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(0.544)</w:t>
            </w:r>
          </w:p>
        </w:tc>
      </w:tr>
      <w:tr w:rsidR="001907C1" w:rsidRPr="007048BA" w14:paraId="3F04611F" w14:textId="77777777" w:rsidTr="001907C1">
        <w:trPr>
          <w:jc w:val="center"/>
        </w:trPr>
        <w:tc>
          <w:tcPr>
            <w:tcW w:w="0" w:type="auto"/>
          </w:tcPr>
          <w:p w14:paraId="39598203"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TVOL</w:t>
            </w:r>
          </w:p>
        </w:tc>
        <w:tc>
          <w:tcPr>
            <w:tcW w:w="0" w:type="auto"/>
          </w:tcPr>
          <w:p w14:paraId="39DD9252"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0.309*</w:t>
            </w:r>
          </w:p>
        </w:tc>
        <w:tc>
          <w:tcPr>
            <w:tcW w:w="0" w:type="auto"/>
          </w:tcPr>
          <w:p w14:paraId="0443167B"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0.318*</w:t>
            </w:r>
          </w:p>
        </w:tc>
        <w:tc>
          <w:tcPr>
            <w:tcW w:w="0" w:type="auto"/>
            <w:tcBorders>
              <w:right w:val="single" w:sz="4" w:space="0" w:color="auto"/>
            </w:tcBorders>
          </w:tcPr>
          <w:p w14:paraId="1CC21320"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0.293</w:t>
            </w:r>
          </w:p>
        </w:tc>
        <w:tc>
          <w:tcPr>
            <w:tcW w:w="0" w:type="auto"/>
            <w:tcBorders>
              <w:left w:val="single" w:sz="4" w:space="0" w:color="auto"/>
            </w:tcBorders>
          </w:tcPr>
          <w:p w14:paraId="5C646D11"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-0.112</w:t>
            </w:r>
          </w:p>
        </w:tc>
        <w:tc>
          <w:tcPr>
            <w:tcW w:w="0" w:type="auto"/>
          </w:tcPr>
          <w:p w14:paraId="13B91918"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-0.112</w:t>
            </w:r>
          </w:p>
        </w:tc>
      </w:tr>
      <w:tr w:rsidR="001907C1" w:rsidRPr="007048BA" w14:paraId="0BC7BB5E" w14:textId="77777777" w:rsidTr="001907C1">
        <w:trPr>
          <w:jc w:val="center"/>
        </w:trPr>
        <w:tc>
          <w:tcPr>
            <w:tcW w:w="0" w:type="auto"/>
          </w:tcPr>
          <w:p w14:paraId="260EACF8"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1C0E5D3E"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(0.091)</w:t>
            </w:r>
          </w:p>
        </w:tc>
        <w:tc>
          <w:tcPr>
            <w:tcW w:w="0" w:type="auto"/>
          </w:tcPr>
          <w:p w14:paraId="6E1BE15F"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(0.081)</w:t>
            </w:r>
          </w:p>
        </w:tc>
        <w:tc>
          <w:tcPr>
            <w:tcW w:w="0" w:type="auto"/>
            <w:tcBorders>
              <w:right w:val="single" w:sz="4" w:space="0" w:color="auto"/>
            </w:tcBorders>
          </w:tcPr>
          <w:p w14:paraId="3EA1EF26"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(0.110)</w:t>
            </w:r>
          </w:p>
        </w:tc>
        <w:tc>
          <w:tcPr>
            <w:tcW w:w="0" w:type="auto"/>
            <w:tcBorders>
              <w:left w:val="single" w:sz="4" w:space="0" w:color="auto"/>
            </w:tcBorders>
          </w:tcPr>
          <w:p w14:paraId="65606589"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(0.305)</w:t>
            </w:r>
          </w:p>
        </w:tc>
        <w:tc>
          <w:tcPr>
            <w:tcW w:w="0" w:type="auto"/>
          </w:tcPr>
          <w:p w14:paraId="3E2425B7"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(0.305)</w:t>
            </w:r>
          </w:p>
        </w:tc>
      </w:tr>
      <w:tr w:rsidR="001907C1" w:rsidRPr="007048BA" w14:paraId="1332FEFC" w14:textId="77777777" w:rsidTr="001907C1">
        <w:trPr>
          <w:jc w:val="center"/>
        </w:trPr>
        <w:tc>
          <w:tcPr>
            <w:tcW w:w="0" w:type="auto"/>
          </w:tcPr>
          <w:p w14:paraId="086BCF7B"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SENT</w:t>
            </w:r>
          </w:p>
        </w:tc>
        <w:tc>
          <w:tcPr>
            <w:tcW w:w="0" w:type="auto"/>
          </w:tcPr>
          <w:p w14:paraId="2B035C5B"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-0.036</w:t>
            </w:r>
          </w:p>
        </w:tc>
        <w:tc>
          <w:tcPr>
            <w:tcW w:w="0" w:type="auto"/>
          </w:tcPr>
          <w:p w14:paraId="3AFACB27"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0.011</w:t>
            </w:r>
          </w:p>
        </w:tc>
        <w:tc>
          <w:tcPr>
            <w:tcW w:w="0" w:type="auto"/>
            <w:tcBorders>
              <w:right w:val="single" w:sz="4" w:space="0" w:color="auto"/>
            </w:tcBorders>
          </w:tcPr>
          <w:p w14:paraId="42506492"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-0.002</w:t>
            </w:r>
          </w:p>
        </w:tc>
        <w:tc>
          <w:tcPr>
            <w:tcW w:w="0" w:type="auto"/>
            <w:tcBorders>
              <w:left w:val="single" w:sz="4" w:space="0" w:color="auto"/>
            </w:tcBorders>
          </w:tcPr>
          <w:p w14:paraId="212F00DE"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0.243</w:t>
            </w:r>
          </w:p>
        </w:tc>
        <w:tc>
          <w:tcPr>
            <w:tcW w:w="0" w:type="auto"/>
          </w:tcPr>
          <w:p w14:paraId="23411799"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0.243</w:t>
            </w:r>
          </w:p>
        </w:tc>
      </w:tr>
      <w:tr w:rsidR="001907C1" w:rsidRPr="007048BA" w14:paraId="08D5FC1B" w14:textId="77777777" w:rsidTr="001907C1">
        <w:trPr>
          <w:jc w:val="center"/>
        </w:trPr>
        <w:tc>
          <w:tcPr>
            <w:tcW w:w="0" w:type="auto"/>
          </w:tcPr>
          <w:p w14:paraId="266CB814"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33DEA963"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(0.937)</w:t>
            </w:r>
          </w:p>
        </w:tc>
        <w:tc>
          <w:tcPr>
            <w:tcW w:w="0" w:type="auto"/>
          </w:tcPr>
          <w:p w14:paraId="001517CE"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(0.980)</w:t>
            </w:r>
          </w:p>
        </w:tc>
        <w:tc>
          <w:tcPr>
            <w:tcW w:w="0" w:type="auto"/>
            <w:tcBorders>
              <w:right w:val="single" w:sz="4" w:space="0" w:color="auto"/>
            </w:tcBorders>
          </w:tcPr>
          <w:p w14:paraId="443EEF56"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(0.997)</w:t>
            </w:r>
          </w:p>
        </w:tc>
        <w:tc>
          <w:tcPr>
            <w:tcW w:w="0" w:type="auto"/>
            <w:tcBorders>
              <w:left w:val="single" w:sz="4" w:space="0" w:color="auto"/>
            </w:tcBorders>
          </w:tcPr>
          <w:p w14:paraId="3D70843F"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(0.259)</w:t>
            </w:r>
          </w:p>
        </w:tc>
        <w:tc>
          <w:tcPr>
            <w:tcW w:w="0" w:type="auto"/>
          </w:tcPr>
          <w:p w14:paraId="208E2960"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(0.259)</w:t>
            </w:r>
          </w:p>
        </w:tc>
      </w:tr>
      <w:tr w:rsidR="001907C1" w:rsidRPr="007048BA" w14:paraId="21AB5306" w14:textId="77777777" w:rsidTr="001907C1">
        <w:trPr>
          <w:jc w:val="center"/>
        </w:trPr>
        <w:tc>
          <w:tcPr>
            <w:tcW w:w="0" w:type="auto"/>
          </w:tcPr>
          <w:p w14:paraId="14353C14"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Constant</w:t>
            </w:r>
          </w:p>
        </w:tc>
        <w:tc>
          <w:tcPr>
            <w:tcW w:w="0" w:type="auto"/>
          </w:tcPr>
          <w:p w14:paraId="594E7B71"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-4.450***</w:t>
            </w:r>
          </w:p>
        </w:tc>
        <w:tc>
          <w:tcPr>
            <w:tcW w:w="0" w:type="auto"/>
          </w:tcPr>
          <w:p w14:paraId="32E29663"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-4.327***</w:t>
            </w:r>
          </w:p>
        </w:tc>
        <w:tc>
          <w:tcPr>
            <w:tcW w:w="0" w:type="auto"/>
            <w:tcBorders>
              <w:right w:val="single" w:sz="4" w:space="0" w:color="auto"/>
            </w:tcBorders>
          </w:tcPr>
          <w:p w14:paraId="39B022D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-4.512***</w:t>
            </w:r>
          </w:p>
        </w:tc>
        <w:tc>
          <w:tcPr>
            <w:tcW w:w="0" w:type="auto"/>
            <w:tcBorders>
              <w:left w:val="single" w:sz="4" w:space="0" w:color="auto"/>
            </w:tcBorders>
          </w:tcPr>
          <w:p w14:paraId="35365C64"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-3.618***</w:t>
            </w:r>
          </w:p>
        </w:tc>
        <w:tc>
          <w:tcPr>
            <w:tcW w:w="0" w:type="auto"/>
          </w:tcPr>
          <w:p w14:paraId="01833595"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-3.204***</w:t>
            </w:r>
          </w:p>
        </w:tc>
      </w:tr>
      <w:tr w:rsidR="001907C1" w:rsidRPr="007048BA" w14:paraId="40688DE3" w14:textId="77777777" w:rsidTr="001907C1">
        <w:trPr>
          <w:jc w:val="center"/>
        </w:trPr>
        <w:tc>
          <w:tcPr>
            <w:tcW w:w="0" w:type="auto"/>
          </w:tcPr>
          <w:p w14:paraId="449CC201"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4CCB87E0"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372886E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Borders>
              <w:right w:val="single" w:sz="4" w:space="0" w:color="auto"/>
            </w:tcBorders>
          </w:tcPr>
          <w:p w14:paraId="28CCF0D0"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Borders>
              <w:left w:val="single" w:sz="4" w:space="0" w:color="auto"/>
            </w:tcBorders>
          </w:tcPr>
          <w:p w14:paraId="593F36A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0" w:type="auto"/>
          </w:tcPr>
          <w:p w14:paraId="69215FE4"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1907C1" w:rsidRPr="007048BA" w14:paraId="72F6240C" w14:textId="77777777" w:rsidTr="001907C1">
        <w:trPr>
          <w:jc w:val="center"/>
        </w:trPr>
        <w:tc>
          <w:tcPr>
            <w:tcW w:w="0" w:type="auto"/>
          </w:tcPr>
          <w:p w14:paraId="06181210"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Industry</w:t>
            </w:r>
          </w:p>
        </w:tc>
        <w:tc>
          <w:tcPr>
            <w:tcW w:w="0" w:type="auto"/>
          </w:tcPr>
          <w:p w14:paraId="6479A60F"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29E47AC5"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Borders>
              <w:right w:val="single" w:sz="4" w:space="0" w:color="auto"/>
            </w:tcBorders>
          </w:tcPr>
          <w:p w14:paraId="3D46B1EE"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Borders>
              <w:left w:val="single" w:sz="4" w:space="0" w:color="auto"/>
            </w:tcBorders>
          </w:tcPr>
          <w:p w14:paraId="5C24D38C"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0BD484C5"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r>
      <w:tr w:rsidR="001907C1" w:rsidRPr="007048BA" w14:paraId="724F07D6" w14:textId="77777777" w:rsidTr="001907C1">
        <w:trPr>
          <w:jc w:val="center"/>
        </w:trPr>
        <w:tc>
          <w:tcPr>
            <w:tcW w:w="0" w:type="auto"/>
          </w:tcPr>
          <w:p w14:paraId="67D1E02F"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Year</w:t>
            </w:r>
          </w:p>
        </w:tc>
        <w:tc>
          <w:tcPr>
            <w:tcW w:w="0" w:type="auto"/>
          </w:tcPr>
          <w:p w14:paraId="799266C7"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007DDC3B"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Borders>
              <w:right w:val="single" w:sz="4" w:space="0" w:color="auto"/>
            </w:tcBorders>
          </w:tcPr>
          <w:p w14:paraId="77766154"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Borders>
              <w:left w:val="single" w:sz="4" w:space="0" w:color="auto"/>
            </w:tcBorders>
          </w:tcPr>
          <w:p w14:paraId="1380BF91"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Pr>
          <w:p w14:paraId="4D41D9D8"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r>
      <w:tr w:rsidR="001907C1" w:rsidRPr="007048BA" w14:paraId="4EF59968" w14:textId="77777777" w:rsidTr="001907C1">
        <w:trPr>
          <w:jc w:val="center"/>
        </w:trPr>
        <w:tc>
          <w:tcPr>
            <w:tcW w:w="0" w:type="auto"/>
          </w:tcPr>
          <w:p w14:paraId="5CEC8ACF" w14:textId="77777777" w:rsidR="001907C1" w:rsidRPr="007048BA" w:rsidRDefault="001907C1" w:rsidP="001907C1">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Obs.</w:t>
            </w:r>
          </w:p>
        </w:tc>
        <w:tc>
          <w:tcPr>
            <w:tcW w:w="0" w:type="auto"/>
            <w:tcBorders>
              <w:bottom w:val="single" w:sz="4" w:space="0" w:color="auto"/>
            </w:tcBorders>
          </w:tcPr>
          <w:p w14:paraId="799620F4"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3,675</w:t>
            </w:r>
          </w:p>
        </w:tc>
        <w:tc>
          <w:tcPr>
            <w:tcW w:w="0" w:type="auto"/>
            <w:tcBorders>
              <w:bottom w:val="single" w:sz="4" w:space="0" w:color="auto"/>
            </w:tcBorders>
          </w:tcPr>
          <w:p w14:paraId="0F7B3737"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3,675</w:t>
            </w:r>
          </w:p>
        </w:tc>
        <w:tc>
          <w:tcPr>
            <w:tcW w:w="0" w:type="auto"/>
            <w:tcBorders>
              <w:bottom w:val="single" w:sz="4" w:space="0" w:color="auto"/>
              <w:right w:val="single" w:sz="4" w:space="0" w:color="auto"/>
            </w:tcBorders>
          </w:tcPr>
          <w:p w14:paraId="0501F527"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3,675</w:t>
            </w:r>
          </w:p>
        </w:tc>
        <w:tc>
          <w:tcPr>
            <w:tcW w:w="0" w:type="auto"/>
            <w:tcBorders>
              <w:left w:val="single" w:sz="4" w:space="0" w:color="auto"/>
            </w:tcBorders>
          </w:tcPr>
          <w:p w14:paraId="3726872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9,456</w:t>
            </w:r>
          </w:p>
        </w:tc>
        <w:tc>
          <w:tcPr>
            <w:tcW w:w="0" w:type="auto"/>
          </w:tcPr>
          <w:p w14:paraId="5C1C910D" w14:textId="77777777" w:rsidR="001907C1" w:rsidRPr="007048BA" w:rsidRDefault="001907C1" w:rsidP="001907C1">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9,456</w:t>
            </w:r>
          </w:p>
        </w:tc>
      </w:tr>
    </w:tbl>
    <w:p w14:paraId="0AA83C3E" w14:textId="77777777" w:rsidR="00BB3D0E" w:rsidRPr="007048BA" w:rsidRDefault="00BB3D0E" w:rsidP="001C29A9">
      <w:pPr>
        <w:tabs>
          <w:tab w:val="left" w:pos="2580"/>
        </w:tabs>
        <w:autoSpaceDE w:val="0"/>
        <w:autoSpaceDN w:val="0"/>
        <w:adjustRightInd w:val="0"/>
        <w:spacing w:after="0"/>
        <w:ind w:firstLine="227"/>
        <w:rPr>
          <w:rFonts w:eastAsia="PMingLiU" w:cs="Times New Roman"/>
          <w:b/>
          <w:sz w:val="28"/>
          <w:szCs w:val="24"/>
          <w:lang w:val="en-GB" w:eastAsia="zh-TW"/>
        </w:rPr>
      </w:pPr>
    </w:p>
    <w:p w14:paraId="46E170C4" w14:textId="77777777" w:rsidR="001C29A9" w:rsidRPr="007048BA" w:rsidRDefault="001C29A9" w:rsidP="001C29A9">
      <w:pPr>
        <w:pStyle w:val="References0"/>
        <w:spacing w:line="240" w:lineRule="auto"/>
        <w:rPr>
          <w:lang w:val="en-GB"/>
        </w:rPr>
        <w:sectPr w:rsidR="001C29A9" w:rsidRPr="007048BA" w:rsidSect="00BB3D0E">
          <w:pgSz w:w="12240" w:h="15840"/>
          <w:pgMar w:top="1304" w:right="964" w:bottom="1304" w:left="1077" w:header="720" w:footer="720" w:gutter="0"/>
          <w:cols w:space="720"/>
          <w:docGrid w:linePitch="360"/>
        </w:sectPr>
      </w:pPr>
    </w:p>
    <w:p w14:paraId="1B1F9C8B" w14:textId="77777777" w:rsidR="00BB3D0E" w:rsidRPr="007048BA" w:rsidRDefault="00BB3D0E" w:rsidP="0059733E">
      <w:pPr>
        <w:rPr>
          <w:b/>
          <w:sz w:val="28"/>
          <w:lang w:val="en-GB" w:eastAsia="zh-TW"/>
        </w:rPr>
        <w:sectPr w:rsidR="00BB3D0E" w:rsidRPr="007048BA" w:rsidSect="007B5ED9">
          <w:type w:val="continuous"/>
          <w:pgSz w:w="12240" w:h="15840"/>
          <w:pgMar w:top="1304" w:right="964" w:bottom="1304" w:left="1077" w:header="720" w:footer="720" w:gutter="0"/>
          <w:cols w:space="720"/>
          <w:docGrid w:linePitch="360"/>
        </w:sectPr>
      </w:pPr>
    </w:p>
    <w:p w14:paraId="5BB6A305" w14:textId="7E298D53" w:rsidR="0060367E" w:rsidRPr="007048BA" w:rsidRDefault="0060367E" w:rsidP="0059733E">
      <w:pPr>
        <w:rPr>
          <w:rFonts w:eastAsia="PMingLiU" w:cs="Times New Roman"/>
          <w:b/>
          <w:sz w:val="28"/>
          <w:szCs w:val="24"/>
          <w:lang w:val="en-GB" w:eastAsia="zh-TW"/>
        </w:rPr>
      </w:pPr>
      <w:r w:rsidRPr="007048BA">
        <w:rPr>
          <w:b/>
          <w:sz w:val="28"/>
          <w:lang w:val="en-GB" w:eastAsia="zh-TW"/>
        </w:rPr>
        <w:lastRenderedPageBreak/>
        <w:t xml:space="preserve">Table </w:t>
      </w:r>
      <w:r w:rsidR="005254B8" w:rsidRPr="007048BA">
        <w:rPr>
          <w:b/>
          <w:sz w:val="28"/>
          <w:lang w:val="en-GB" w:eastAsia="zh-TW"/>
        </w:rPr>
        <w:t>1</w:t>
      </w:r>
      <w:r w:rsidR="005E6F17" w:rsidRPr="007048BA">
        <w:rPr>
          <w:b/>
          <w:sz w:val="28"/>
          <w:lang w:val="en-GB" w:eastAsia="zh-TW"/>
        </w:rPr>
        <w:t>1</w:t>
      </w:r>
      <w:r w:rsidR="0059733E" w:rsidRPr="007048BA">
        <w:rPr>
          <w:b/>
          <w:sz w:val="28"/>
          <w:lang w:val="en-GB" w:eastAsia="zh-TW"/>
        </w:rPr>
        <w:t xml:space="preserve">: </w:t>
      </w:r>
      <w:r w:rsidRPr="007048BA">
        <w:rPr>
          <w:rFonts w:eastAsia="PMingLiU" w:cs="Times New Roman"/>
          <w:b/>
          <w:sz w:val="28"/>
          <w:szCs w:val="24"/>
          <w:lang w:val="en-GB" w:eastAsia="zh-TW"/>
        </w:rPr>
        <w:t>Determinants of bid likelihood.</w:t>
      </w:r>
    </w:p>
    <w:p w14:paraId="0898E377" w14:textId="379F4351" w:rsidR="0060367E" w:rsidRPr="007048BA" w:rsidRDefault="0060367E" w:rsidP="0060367E">
      <w:pPr>
        <w:tabs>
          <w:tab w:val="left" w:pos="1985"/>
        </w:tabs>
        <w:autoSpaceDE w:val="0"/>
        <w:autoSpaceDN w:val="0"/>
        <w:adjustRightInd w:val="0"/>
        <w:spacing w:after="0" w:line="240" w:lineRule="auto"/>
        <w:ind w:firstLine="0"/>
        <w:rPr>
          <w:rFonts w:eastAsia="PMingLiU" w:cs="Times New Roman"/>
          <w:sz w:val="20"/>
          <w:szCs w:val="24"/>
          <w:lang w:val="en-GB" w:eastAsia="zh-TW"/>
        </w:rPr>
      </w:pPr>
      <w:r w:rsidRPr="007048BA">
        <w:rPr>
          <w:rFonts w:eastAsia="PMingLiU" w:cs="Times New Roman"/>
          <w:sz w:val="20"/>
          <w:szCs w:val="24"/>
          <w:lang w:val="en-GB" w:eastAsia="zh-TW"/>
        </w:rPr>
        <w:t>The table shows panel logit regression summary results for models which predict firm takeover likelihood as a function of firm financial characteristics. The model is adapted from equation (</w:t>
      </w:r>
      <w:r w:rsidR="00316571" w:rsidRPr="007048BA">
        <w:rPr>
          <w:rFonts w:eastAsia="PMingLiU" w:cs="Times New Roman"/>
          <w:sz w:val="20"/>
          <w:szCs w:val="24"/>
          <w:lang w:val="en-GB" w:eastAsia="zh-TW"/>
        </w:rPr>
        <w:t>10</w:t>
      </w:r>
      <w:r w:rsidRPr="007048BA">
        <w:rPr>
          <w:rFonts w:eastAsia="PMingLiU" w:cs="Times New Roman"/>
          <w:sz w:val="20"/>
          <w:szCs w:val="24"/>
          <w:lang w:val="en-GB" w:eastAsia="zh-TW"/>
        </w:rPr>
        <w:t>) and specified as follows;</w:t>
      </w:r>
    </w:p>
    <w:p w14:paraId="6C5B0E3D" w14:textId="77777777" w:rsidR="0060367E" w:rsidRPr="007048BA" w:rsidRDefault="0060367E" w:rsidP="0060367E">
      <w:pPr>
        <w:tabs>
          <w:tab w:val="left" w:pos="1985"/>
        </w:tabs>
        <w:autoSpaceDE w:val="0"/>
        <w:autoSpaceDN w:val="0"/>
        <w:adjustRightInd w:val="0"/>
        <w:spacing w:after="0" w:line="240" w:lineRule="auto"/>
        <w:ind w:firstLine="0"/>
        <w:rPr>
          <w:rFonts w:eastAsia="PMingLiU" w:cs="Times New Roman"/>
          <w:sz w:val="20"/>
          <w:szCs w:val="24"/>
          <w:lang w:val="en-GB" w:eastAsia="zh-TW"/>
        </w:rPr>
      </w:pPr>
    </w:p>
    <w:p w14:paraId="7C3E3B55" w14:textId="5F45C0AC" w:rsidR="0060367E" w:rsidRPr="007048BA" w:rsidRDefault="0060367E" w:rsidP="0060367E">
      <w:pPr>
        <w:autoSpaceDE w:val="0"/>
        <w:autoSpaceDN w:val="0"/>
        <w:adjustRightInd w:val="0"/>
        <w:spacing w:after="0" w:line="240" w:lineRule="auto"/>
        <w:ind w:firstLine="0"/>
        <w:rPr>
          <w:rFonts w:eastAsia="PMingLiU" w:cs="Times New Roman"/>
          <w:sz w:val="20"/>
          <w:szCs w:val="24"/>
          <w:lang w:val="en-GB" w:eastAsia="zh-TW"/>
        </w:rPr>
      </w:pPr>
      <m:oMath>
        <m:r>
          <m:rPr>
            <m:sty m:val="p"/>
          </m:rPr>
          <w:rPr>
            <w:rFonts w:ascii="Cambria Math" w:eastAsia="PMingLiU" w:hAnsi="Cambria Math" w:cs="cmr12"/>
            <w:sz w:val="20"/>
            <w:szCs w:val="24"/>
            <w:lang w:val="en-GB" w:eastAsia="zh-TW"/>
          </w:rPr>
          <m:t>Pr⁡</m:t>
        </m:r>
        <m:r>
          <w:rPr>
            <w:rFonts w:ascii="Cambria Math" w:eastAsia="PMingLiU" w:hAnsi="Cambria Math" w:cs="cmr12"/>
            <w:sz w:val="20"/>
            <w:szCs w:val="24"/>
            <w:lang w:val="en-GB" w:eastAsia="zh-TW"/>
          </w:rPr>
          <m:t>[</m:t>
        </m:r>
        <m:sSub>
          <m:sSubPr>
            <m:ctrlPr>
              <w:rPr>
                <w:rFonts w:ascii="Cambria Math" w:eastAsia="PMingLiU" w:hAnsi="Cambria Math" w:cs="cmr12"/>
                <w:i/>
                <w:sz w:val="20"/>
                <w:szCs w:val="24"/>
                <w:lang w:val="en-GB" w:eastAsia="zh-TW"/>
              </w:rPr>
            </m:ctrlPr>
          </m:sSubPr>
          <m:e>
            <m:r>
              <w:rPr>
                <w:rFonts w:ascii="Cambria Math" w:eastAsia="PMingLiU" w:hAnsi="Cambria Math" w:cs="cmr12"/>
                <w:sz w:val="20"/>
                <w:szCs w:val="24"/>
                <w:lang w:val="en-GB" w:eastAsia="zh-TW"/>
              </w:rPr>
              <m:t>Bidder</m:t>
            </m:r>
          </m:e>
          <m:sub>
            <m:r>
              <w:rPr>
                <w:rFonts w:ascii="Cambria Math" w:eastAsia="PMingLiU" w:hAnsi="Cambria Math" w:cs="cmr12"/>
                <w:sz w:val="20"/>
                <w:szCs w:val="24"/>
                <w:lang w:val="en-GB" w:eastAsia="zh-TW"/>
              </w:rPr>
              <m:t>it</m:t>
            </m:r>
          </m:sub>
        </m:sSub>
        <m:r>
          <w:rPr>
            <w:rFonts w:ascii="Cambria Math" w:eastAsia="PMingLiU" w:hAnsi="Cambria Math" w:cs="cmr12"/>
            <w:sz w:val="20"/>
            <w:szCs w:val="24"/>
            <w:lang w:val="en-GB" w:eastAsia="zh-TW"/>
          </w:rPr>
          <m:t>=1]=F</m:t>
        </m:r>
        <m:d>
          <m:dPr>
            <m:ctrlPr>
              <w:rPr>
                <w:rFonts w:ascii="Cambria Math" w:eastAsia="PMingLiU" w:hAnsi="Cambria Math" w:cs="cmr12"/>
                <w:i/>
                <w:sz w:val="20"/>
                <w:szCs w:val="24"/>
                <w:lang w:val="en-GB" w:eastAsia="zh-TW"/>
              </w:rPr>
            </m:ctrlPr>
          </m:dPr>
          <m:e>
            <m:r>
              <w:rPr>
                <w:rFonts w:ascii="Cambria Math" w:eastAsia="PMingLiU" w:hAnsi="Cambria Math" w:cs="cmr12"/>
                <w:sz w:val="20"/>
                <w:szCs w:val="24"/>
                <w:lang w:val="en-GB" w:eastAsia="zh-TW"/>
              </w:rPr>
              <m:t>α+β*</m:t>
            </m:r>
            <m:sSub>
              <m:sSubPr>
                <m:ctrlPr>
                  <w:rPr>
                    <w:rFonts w:ascii="Cambria Math" w:eastAsia="PMingLiU" w:hAnsi="Cambria Math" w:cs="cmr12"/>
                    <w:i/>
                    <w:sz w:val="20"/>
                    <w:szCs w:val="24"/>
                    <w:lang w:val="en-GB" w:eastAsia="zh-TW"/>
                  </w:rPr>
                </m:ctrlPr>
              </m:sSubPr>
              <m:e>
                <m:r>
                  <w:rPr>
                    <w:rFonts w:ascii="Cambria Math" w:eastAsia="PMingLiU" w:hAnsi="Cambria Math" w:cs="cmr12"/>
                    <w:sz w:val="20"/>
                    <w:szCs w:val="24"/>
                    <w:lang w:val="en-GB" w:eastAsia="zh-TW"/>
                  </w:rPr>
                  <m:t>Performance</m:t>
                </m:r>
              </m:e>
              <m:sub>
                <m:r>
                  <w:rPr>
                    <w:rFonts w:ascii="Cambria Math" w:eastAsia="PMingLiU" w:hAnsi="Cambria Math" w:cs="cmr12"/>
                    <w:sz w:val="20"/>
                    <w:szCs w:val="24"/>
                    <w:lang w:val="en-GB" w:eastAsia="zh-TW"/>
                  </w:rPr>
                  <m:t>it-1</m:t>
                </m:r>
              </m:sub>
            </m:sSub>
            <m:r>
              <w:rPr>
                <w:rFonts w:ascii="Cambria Math" w:eastAsia="PMingLiU" w:hAnsi="Cambria Math" w:cs="cmr12"/>
                <w:sz w:val="20"/>
                <w:szCs w:val="24"/>
                <w:lang w:val="en-GB" w:eastAsia="zh-TW"/>
              </w:rPr>
              <m:t>+</m:t>
            </m:r>
            <m:sSub>
              <m:sSubPr>
                <m:ctrlPr>
                  <w:rPr>
                    <w:rFonts w:ascii="Cambria Math" w:eastAsia="PMingLiU" w:hAnsi="Cambria Math" w:cs="cmr12"/>
                    <w:i/>
                    <w:sz w:val="20"/>
                    <w:szCs w:val="24"/>
                    <w:lang w:val="en-GB" w:eastAsia="zh-TW"/>
                  </w:rPr>
                </m:ctrlPr>
              </m:sSubPr>
              <m:e>
                <m:r>
                  <w:rPr>
                    <w:rFonts w:ascii="Cambria Math" w:eastAsia="PMingLiU" w:hAnsi="Cambria Math" w:cs="cmr12"/>
                    <w:sz w:val="20"/>
                    <w:szCs w:val="24"/>
                    <w:lang w:val="en-GB" w:eastAsia="zh-TW"/>
                  </w:rPr>
                  <m:t>γ*Controls</m:t>
                </m:r>
              </m:e>
              <m:sub>
                <m:r>
                  <w:rPr>
                    <w:rFonts w:ascii="Cambria Math" w:eastAsia="PMingLiU" w:hAnsi="Cambria Math" w:cs="cmr12"/>
                    <w:sz w:val="20"/>
                    <w:szCs w:val="24"/>
                    <w:lang w:val="en-GB" w:eastAsia="zh-TW"/>
                  </w:rPr>
                  <m:t>it-1</m:t>
                </m:r>
              </m:sub>
            </m:sSub>
            <m:r>
              <w:rPr>
                <w:rFonts w:ascii="Cambria Math" w:eastAsia="PMingLiU" w:hAnsi="Cambria Math" w:cs="cmr12"/>
                <w:sz w:val="20"/>
                <w:szCs w:val="24"/>
                <w:lang w:val="en-GB" w:eastAsia="zh-TW"/>
              </w:rPr>
              <m:t>+</m:t>
            </m:r>
            <m:sSub>
              <m:sSubPr>
                <m:ctrlPr>
                  <w:rPr>
                    <w:rFonts w:ascii="Cambria Math" w:eastAsia="PMingLiU" w:hAnsi="Cambria Math" w:cs="cmr12"/>
                    <w:i/>
                    <w:sz w:val="20"/>
                    <w:szCs w:val="24"/>
                    <w:lang w:val="en-GB" w:eastAsia="zh-TW"/>
                  </w:rPr>
                </m:ctrlPr>
              </m:sSubPr>
              <m:e>
                <m:r>
                  <w:rPr>
                    <w:rFonts w:ascii="Cambria Math" w:eastAsia="PMingLiU" w:hAnsi="Cambria Math" w:cs="cmr12"/>
                    <w:sz w:val="20"/>
                    <w:szCs w:val="24"/>
                    <w:lang w:val="en-GB" w:eastAsia="zh-TW"/>
                  </w:rPr>
                  <m:t>ε</m:t>
                </m:r>
              </m:e>
              <m:sub>
                <m:r>
                  <w:rPr>
                    <w:rFonts w:ascii="Cambria Math" w:eastAsia="PMingLiU" w:hAnsi="Cambria Math" w:cs="cmr12"/>
                    <w:sz w:val="20"/>
                    <w:szCs w:val="24"/>
                    <w:lang w:val="en-GB" w:eastAsia="zh-TW"/>
                  </w:rPr>
                  <m:t>it</m:t>
                </m:r>
              </m:sub>
            </m:sSub>
          </m:e>
        </m:d>
      </m:oMath>
      <w:r w:rsidRPr="007048BA">
        <w:rPr>
          <w:rFonts w:eastAsia="PMingLiU" w:cs="Times New Roman"/>
          <w:sz w:val="20"/>
          <w:szCs w:val="24"/>
          <w:lang w:val="en-GB" w:eastAsia="zh-TW"/>
        </w:rPr>
        <w:t xml:space="preserve">     (</w:t>
      </w:r>
      <w:r w:rsidR="00316571" w:rsidRPr="007048BA">
        <w:rPr>
          <w:rFonts w:eastAsia="PMingLiU" w:cs="Times New Roman"/>
          <w:sz w:val="20"/>
          <w:szCs w:val="24"/>
          <w:lang w:val="en-GB" w:eastAsia="zh-TW"/>
        </w:rPr>
        <w:t>10</w:t>
      </w:r>
      <w:r w:rsidRPr="007048BA">
        <w:rPr>
          <w:rFonts w:eastAsia="PMingLiU" w:cs="Times New Roman"/>
          <w:sz w:val="20"/>
          <w:szCs w:val="24"/>
          <w:lang w:val="en-GB" w:eastAsia="zh-TW"/>
        </w:rPr>
        <w:t xml:space="preserve">)   </w:t>
      </w:r>
    </w:p>
    <w:p w14:paraId="7A7731C6" w14:textId="77777777" w:rsidR="0060367E" w:rsidRPr="007048BA" w:rsidRDefault="0060367E" w:rsidP="0060367E">
      <w:pPr>
        <w:autoSpaceDE w:val="0"/>
        <w:autoSpaceDN w:val="0"/>
        <w:adjustRightInd w:val="0"/>
        <w:spacing w:after="0" w:line="240" w:lineRule="auto"/>
        <w:ind w:firstLine="0"/>
        <w:rPr>
          <w:rFonts w:eastAsia="PMingLiU" w:cs="Times New Roman"/>
          <w:sz w:val="20"/>
          <w:szCs w:val="24"/>
          <w:lang w:val="en-GB" w:eastAsia="zh-TW"/>
        </w:rPr>
      </w:pPr>
      <w:r w:rsidRPr="007048BA">
        <w:rPr>
          <w:rFonts w:eastAsia="PMingLiU" w:cs="Times New Roman"/>
          <w:sz w:val="20"/>
          <w:szCs w:val="24"/>
          <w:lang w:val="en-GB" w:eastAsia="zh-TW"/>
        </w:rPr>
        <w:t xml:space="preserve"> </w:t>
      </w:r>
    </w:p>
    <w:p w14:paraId="49BD698C" w14:textId="4685970A" w:rsidR="0060367E" w:rsidRPr="007048BA" w:rsidRDefault="0060367E" w:rsidP="0060367E">
      <w:pPr>
        <w:tabs>
          <w:tab w:val="left" w:pos="1985"/>
        </w:tabs>
        <w:autoSpaceDE w:val="0"/>
        <w:autoSpaceDN w:val="0"/>
        <w:adjustRightInd w:val="0"/>
        <w:spacing w:after="0" w:line="240" w:lineRule="auto"/>
        <w:ind w:firstLine="0"/>
        <w:rPr>
          <w:rFonts w:eastAsia="PMingLiU" w:cs="Times New Roman"/>
          <w:sz w:val="20"/>
          <w:szCs w:val="24"/>
          <w:lang w:val="en-GB" w:eastAsia="zh-TW"/>
        </w:rPr>
      </w:pPr>
      <w:r w:rsidRPr="007048BA">
        <w:rPr>
          <w:rFonts w:eastAsia="PMingLiU" w:cs="Times New Roman"/>
          <w:sz w:val="20"/>
          <w:szCs w:val="24"/>
          <w:lang w:val="en-GB" w:eastAsia="zh-TW"/>
        </w:rPr>
        <w:t xml:space="preserve">Here, </w:t>
      </w:r>
      <w:r w:rsidR="00253478" w:rsidRPr="007048BA">
        <w:rPr>
          <w:rFonts w:eastAsia="PMingLiU" w:cs="Times New Roman"/>
          <w:sz w:val="20"/>
          <w:szCs w:val="24"/>
          <w:lang w:val="en-GB" w:eastAsia="zh-TW"/>
        </w:rPr>
        <w:t xml:space="preserve">the dependent variable </w:t>
      </w:r>
      <w:r w:rsidR="00253478" w:rsidRPr="007048BA">
        <w:rPr>
          <w:rFonts w:eastAsia="PMingLiU" w:cs="Times New Roman"/>
          <w:i/>
          <w:sz w:val="20"/>
          <w:szCs w:val="24"/>
          <w:lang w:val="en-GB" w:eastAsia="zh-TW"/>
        </w:rPr>
        <w:t>(</w:t>
      </w:r>
      <w:r w:rsidR="00316571" w:rsidRPr="007048BA">
        <w:rPr>
          <w:rFonts w:eastAsia="PMingLiU" w:cs="Times New Roman"/>
          <w:i/>
          <w:sz w:val="20"/>
          <w:szCs w:val="24"/>
          <w:lang w:val="en-GB" w:eastAsia="zh-TW"/>
        </w:rPr>
        <w:t>Bidder</w:t>
      </w:r>
      <w:r w:rsidR="00253478" w:rsidRPr="007048BA">
        <w:rPr>
          <w:rFonts w:eastAsia="PMingLiU" w:cs="Times New Roman"/>
          <w:i/>
          <w:sz w:val="20"/>
          <w:szCs w:val="24"/>
          <w:lang w:val="en-GB" w:eastAsia="zh-TW"/>
        </w:rPr>
        <w:t>)</w:t>
      </w:r>
      <w:r w:rsidRPr="007048BA">
        <w:rPr>
          <w:rFonts w:eastAsia="PMingLiU" w:cs="Times New Roman"/>
          <w:i/>
          <w:sz w:val="20"/>
          <w:szCs w:val="24"/>
          <w:lang w:val="en-GB" w:eastAsia="zh-TW"/>
        </w:rPr>
        <w:t xml:space="preserve"> </w:t>
      </w:r>
      <w:r w:rsidRPr="007048BA">
        <w:rPr>
          <w:rFonts w:eastAsia="PMingLiU" w:cs="Times New Roman"/>
          <w:sz w:val="20"/>
          <w:szCs w:val="24"/>
          <w:lang w:val="en-GB" w:eastAsia="zh-TW"/>
        </w:rPr>
        <w:t>takes a value of one if a firm (</w:t>
      </w:r>
      <w:r w:rsidRPr="007048BA">
        <w:rPr>
          <w:rFonts w:eastAsia="PMingLiU" w:cs="Times New Roman"/>
          <w:i/>
          <w:sz w:val="20"/>
          <w:szCs w:val="24"/>
          <w:lang w:val="en-GB" w:eastAsia="zh-TW"/>
        </w:rPr>
        <w:t>i</w:t>
      </w:r>
      <w:r w:rsidRPr="007048BA">
        <w:rPr>
          <w:rFonts w:eastAsia="PMingLiU" w:cs="Times New Roman"/>
          <w:sz w:val="20"/>
          <w:szCs w:val="24"/>
          <w:lang w:val="en-GB" w:eastAsia="zh-TW"/>
        </w:rPr>
        <w:t>) initiates a takeover bid for control in a period (</w:t>
      </w:r>
      <w:r w:rsidRPr="007048BA">
        <w:rPr>
          <w:rFonts w:eastAsia="PMingLiU" w:cs="Times New Roman"/>
          <w:i/>
          <w:sz w:val="20"/>
          <w:szCs w:val="24"/>
          <w:lang w:val="en-GB" w:eastAsia="zh-TW"/>
        </w:rPr>
        <w:t>t</w:t>
      </w:r>
      <w:r w:rsidRPr="007048BA">
        <w:rPr>
          <w:rFonts w:eastAsia="PMingLiU" w:cs="Times New Roman"/>
          <w:sz w:val="20"/>
          <w:szCs w:val="24"/>
          <w:lang w:val="en-GB" w:eastAsia="zh-TW"/>
        </w:rPr>
        <w:t xml:space="preserve">) and a value of zero otherwise. </w:t>
      </w:r>
      <w:r w:rsidR="00316571" w:rsidRPr="007048BA">
        <w:rPr>
          <w:rFonts w:eastAsia="PMingLiU" w:cs="Times New Roman"/>
          <w:i/>
          <w:sz w:val="20"/>
          <w:szCs w:val="24"/>
          <w:lang w:val="en-GB" w:eastAsia="zh-TW"/>
        </w:rPr>
        <w:t>P</w:t>
      </w:r>
      <w:r w:rsidR="00ED262D" w:rsidRPr="007048BA">
        <w:rPr>
          <w:rFonts w:eastAsia="PMingLiU" w:cs="Times New Roman"/>
          <w:i/>
          <w:sz w:val="20"/>
          <w:szCs w:val="24"/>
          <w:lang w:val="en-GB" w:eastAsia="zh-TW"/>
        </w:rPr>
        <w:t>oor</w:t>
      </w:r>
      <w:r w:rsidRPr="007048BA">
        <w:rPr>
          <w:rFonts w:eastAsia="PMingLiU" w:cs="Times New Roman"/>
          <w:i/>
          <w:sz w:val="20"/>
          <w:szCs w:val="24"/>
          <w:lang w:val="en-GB" w:eastAsia="zh-TW"/>
        </w:rPr>
        <w:t xml:space="preserve">, </w:t>
      </w:r>
      <w:r w:rsidR="00ED262D" w:rsidRPr="007048BA">
        <w:rPr>
          <w:rFonts w:eastAsia="PMingLiU" w:cs="Times New Roman"/>
          <w:i/>
          <w:sz w:val="20"/>
          <w:szCs w:val="24"/>
          <w:lang w:val="en-GB" w:eastAsia="zh-TW"/>
        </w:rPr>
        <w:t>myopia</w:t>
      </w:r>
      <w:r w:rsidRPr="007048BA">
        <w:rPr>
          <w:rFonts w:eastAsia="PMingLiU" w:cs="Times New Roman"/>
          <w:i/>
          <w:sz w:val="20"/>
          <w:szCs w:val="24"/>
          <w:lang w:val="en-GB" w:eastAsia="zh-TW"/>
        </w:rPr>
        <w:t xml:space="preserve">, </w:t>
      </w:r>
      <w:r w:rsidR="00ED262D" w:rsidRPr="007048BA">
        <w:rPr>
          <w:rFonts w:eastAsia="PMingLiU" w:cs="Times New Roman"/>
          <w:i/>
          <w:sz w:val="20"/>
          <w:szCs w:val="24"/>
          <w:lang w:val="en-GB" w:eastAsia="zh-TW"/>
        </w:rPr>
        <w:t>hyperopia</w:t>
      </w:r>
      <w:r w:rsidRPr="007048BA">
        <w:rPr>
          <w:rFonts w:eastAsia="PMingLiU" w:cs="Times New Roman"/>
          <w:sz w:val="20"/>
          <w:szCs w:val="24"/>
          <w:lang w:val="en-GB" w:eastAsia="zh-TW"/>
        </w:rPr>
        <w:t xml:space="preserve"> and </w:t>
      </w:r>
      <w:r w:rsidR="00ED262D" w:rsidRPr="007048BA">
        <w:rPr>
          <w:rFonts w:eastAsia="PMingLiU" w:cs="Times New Roman"/>
          <w:i/>
          <w:sz w:val="20"/>
          <w:szCs w:val="24"/>
          <w:lang w:val="en-GB" w:eastAsia="zh-TW"/>
        </w:rPr>
        <w:t>efficient</w:t>
      </w:r>
      <w:r w:rsidRPr="007048BA">
        <w:rPr>
          <w:rFonts w:eastAsia="PMingLiU" w:cs="Times New Roman"/>
          <w:sz w:val="20"/>
          <w:szCs w:val="24"/>
          <w:lang w:val="en-GB" w:eastAsia="zh-TW"/>
        </w:rPr>
        <w:t xml:space="preserve"> are used as proxies of </w:t>
      </w:r>
      <w:r w:rsidR="00EF63A8" w:rsidRPr="007048BA">
        <w:rPr>
          <w:rFonts w:eastAsia="PMingLiU" w:cs="Times New Roman"/>
          <w:i/>
          <w:sz w:val="20"/>
          <w:szCs w:val="24"/>
          <w:lang w:val="en-GB" w:eastAsia="zh-TW"/>
        </w:rPr>
        <w:t>performance</w:t>
      </w:r>
      <w:r w:rsidRPr="007048BA">
        <w:rPr>
          <w:rFonts w:eastAsia="PMingLiU" w:cs="Times New Roman"/>
          <w:sz w:val="20"/>
          <w:szCs w:val="24"/>
          <w:lang w:val="en-GB" w:eastAsia="zh-TW"/>
        </w:rPr>
        <w:t xml:space="preserve"> in models (1) to (4)</w:t>
      </w:r>
      <w:r w:rsidRPr="007048BA">
        <w:rPr>
          <w:rFonts w:eastAsia="PMingLiU" w:cs="Times New Roman"/>
          <w:i/>
          <w:sz w:val="20"/>
          <w:szCs w:val="24"/>
          <w:lang w:val="en-GB" w:eastAsia="zh-TW"/>
        </w:rPr>
        <w:t xml:space="preserve"> </w:t>
      </w:r>
      <w:r w:rsidRPr="007048BA">
        <w:rPr>
          <w:rFonts w:eastAsia="PMingLiU" w:cs="Times New Roman"/>
          <w:sz w:val="20"/>
          <w:szCs w:val="24"/>
          <w:lang w:val="en-GB" w:eastAsia="zh-TW"/>
        </w:rPr>
        <w:t xml:space="preserve">(see </w:t>
      </w:r>
      <w:r w:rsidR="001509DA" w:rsidRPr="007048BA">
        <w:rPr>
          <w:rFonts w:eastAsia="PMingLiU" w:cs="Times New Roman"/>
          <w:sz w:val="20"/>
          <w:szCs w:val="24"/>
          <w:lang w:val="en-GB" w:eastAsia="zh-TW"/>
        </w:rPr>
        <w:t>Figure 1</w:t>
      </w:r>
      <w:r w:rsidRPr="007048BA">
        <w:rPr>
          <w:rFonts w:eastAsia="PMingLiU" w:cs="Times New Roman"/>
          <w:sz w:val="20"/>
          <w:szCs w:val="24"/>
          <w:lang w:val="en-GB" w:eastAsia="zh-TW"/>
        </w:rPr>
        <w:t xml:space="preserve"> for full definitions of these proxies). For conciseness, only the coefficient of the main independent variable (</w:t>
      </w:r>
      <w:r w:rsidR="00EF63A8" w:rsidRPr="007048BA">
        <w:rPr>
          <w:rFonts w:eastAsia="PMingLiU" w:cs="Times New Roman"/>
          <w:i/>
          <w:sz w:val="20"/>
          <w:szCs w:val="24"/>
          <w:lang w:val="en-GB" w:eastAsia="zh-TW"/>
        </w:rPr>
        <w:t>performance</w:t>
      </w:r>
      <w:r w:rsidRPr="007048BA">
        <w:rPr>
          <w:rFonts w:eastAsia="PMingLiU" w:cs="Times New Roman"/>
          <w:sz w:val="20"/>
          <w:szCs w:val="24"/>
          <w:lang w:val="en-GB" w:eastAsia="zh-TW"/>
        </w:rPr>
        <w:t xml:space="preserve">) and its </w:t>
      </w:r>
      <w:r w:rsidR="00D44A7E" w:rsidRPr="007048BA">
        <w:rPr>
          <w:rFonts w:eastAsia="PMingLiU" w:cs="Times New Roman"/>
          <w:i/>
          <w:sz w:val="20"/>
          <w:szCs w:val="24"/>
          <w:lang w:val="en-GB" w:eastAsia="zh-TW"/>
        </w:rPr>
        <w:t>p-value</w:t>
      </w:r>
      <w:r w:rsidRPr="007048BA">
        <w:rPr>
          <w:rFonts w:eastAsia="PMingLiU" w:cs="Times New Roman"/>
          <w:sz w:val="20"/>
          <w:szCs w:val="24"/>
          <w:lang w:val="en-GB" w:eastAsia="zh-TW"/>
        </w:rPr>
        <w:t xml:space="preserve"> are presented. The control variables (suppressed from each model) are fully discussed in Appendix 1. These include Tobin’s Q (TBQ), liquidity (LIQ), leverage (LEV), sales growth (SGW), growth-resource mismatch dummy (GRD), industry disturbance dummy (IDD), free cash flow (FCF), tangible assets (TANG), firm size (SIZE), firm age (AGE), industry concentration (HHI) and block holder’s dummy (</w:t>
      </w:r>
      <w:r w:rsidR="00EF63A8" w:rsidRPr="007048BA">
        <w:rPr>
          <w:rFonts w:eastAsia="PMingLiU" w:cs="Times New Roman"/>
          <w:sz w:val="20"/>
          <w:szCs w:val="24"/>
          <w:lang w:val="en-GB" w:eastAsia="zh-TW"/>
        </w:rPr>
        <w:t>BLOC</w:t>
      </w:r>
      <w:r w:rsidRPr="007048BA">
        <w:rPr>
          <w:rFonts w:eastAsia="PMingLiU" w:cs="Times New Roman"/>
          <w:sz w:val="20"/>
          <w:szCs w:val="24"/>
          <w:lang w:val="en-GB" w:eastAsia="zh-TW"/>
        </w:rPr>
        <w:t xml:space="preserve">). </w:t>
      </w:r>
      <w:r w:rsidRPr="007048BA">
        <w:rPr>
          <w:rFonts w:eastAsia="Times New Roman" w:cs="Times New Roman"/>
          <w:color w:val="000000"/>
          <w:sz w:val="20"/>
          <w:lang w:val="en-GB" w:eastAsia="en-GB"/>
        </w:rPr>
        <w:t xml:space="preserve">The </w:t>
      </w:r>
      <w:r w:rsidR="00D44A7E" w:rsidRPr="007048BA">
        <w:rPr>
          <w:rFonts w:eastAsia="Times New Roman" w:cs="Times New Roman"/>
          <w:i/>
          <w:color w:val="000000"/>
          <w:sz w:val="20"/>
          <w:lang w:val="en-GB" w:eastAsia="en-GB"/>
        </w:rPr>
        <w:t>p-values</w:t>
      </w:r>
      <w:r w:rsidRPr="007048BA">
        <w:rPr>
          <w:rFonts w:eastAsia="Times New Roman" w:cs="Times New Roman"/>
          <w:color w:val="000000"/>
          <w:sz w:val="20"/>
          <w:lang w:val="en-GB" w:eastAsia="en-GB"/>
        </w:rPr>
        <w:t xml:space="preserve"> for model coefficients are presented in parenthesis. </w:t>
      </w:r>
      <w:r w:rsidRPr="007048BA">
        <w:rPr>
          <w:rFonts w:eastAsia="PMingLiU" w:cs="Times New Roman"/>
          <w:sz w:val="20"/>
          <w:szCs w:val="24"/>
          <w:lang w:val="en-GB" w:eastAsia="zh-TW"/>
        </w:rPr>
        <w:t>***, **, * indicate statistical significance at the 1%, 5% and 10% level of significance, respectively.</w:t>
      </w:r>
    </w:p>
    <w:p w14:paraId="7C0151F2" w14:textId="77777777" w:rsidR="004B6288" w:rsidRPr="007048BA" w:rsidRDefault="004B6288" w:rsidP="0060367E">
      <w:pPr>
        <w:tabs>
          <w:tab w:val="left" w:pos="1985"/>
        </w:tabs>
        <w:autoSpaceDE w:val="0"/>
        <w:autoSpaceDN w:val="0"/>
        <w:adjustRightInd w:val="0"/>
        <w:spacing w:after="0" w:line="240" w:lineRule="auto"/>
        <w:ind w:firstLine="0"/>
        <w:rPr>
          <w:rFonts w:eastAsia="PMingLiU" w:cs="Times New Roman"/>
          <w:sz w:val="20"/>
          <w:szCs w:val="24"/>
          <w:lang w:val="en-GB" w:eastAsia="zh-TW"/>
        </w:rPr>
      </w:pPr>
    </w:p>
    <w:tbl>
      <w:tblPr>
        <w:tblW w:w="0" w:type="auto"/>
        <w:jc w:val="center"/>
        <w:tblBorders>
          <w:top w:val="single" w:sz="4" w:space="0" w:color="auto"/>
          <w:bottom w:val="single" w:sz="4" w:space="0" w:color="auto"/>
        </w:tblBorders>
        <w:tblCellMar>
          <w:left w:w="75" w:type="dxa"/>
          <w:right w:w="75" w:type="dxa"/>
        </w:tblCellMar>
        <w:tblLook w:val="0000" w:firstRow="0" w:lastRow="0" w:firstColumn="0" w:lastColumn="0" w:noHBand="0" w:noVBand="0"/>
      </w:tblPr>
      <w:tblGrid>
        <w:gridCol w:w="1177"/>
        <w:gridCol w:w="1010"/>
        <w:gridCol w:w="897"/>
        <w:gridCol w:w="1190"/>
        <w:gridCol w:w="1017"/>
      </w:tblGrid>
      <w:tr w:rsidR="00297702" w:rsidRPr="007048BA" w14:paraId="4CEA1C0E" w14:textId="77777777" w:rsidTr="00CB3E5A">
        <w:trPr>
          <w:jc w:val="center"/>
        </w:trPr>
        <w:tc>
          <w:tcPr>
            <w:tcW w:w="0" w:type="auto"/>
          </w:tcPr>
          <w:p w14:paraId="4D1B7891" w14:textId="6B20290E" w:rsidR="00297702" w:rsidRPr="007048BA" w:rsidRDefault="00297702" w:rsidP="00297702">
            <w:pPr>
              <w:widowControl w:val="0"/>
              <w:autoSpaceDE w:val="0"/>
              <w:autoSpaceDN w:val="0"/>
              <w:adjustRightInd w:val="0"/>
              <w:spacing w:after="0" w:line="240" w:lineRule="auto"/>
              <w:ind w:firstLine="0"/>
              <w:jc w:val="left"/>
              <w:rPr>
                <w:rFonts w:eastAsia="Times New Roman" w:cs="Times New Roman"/>
                <w:szCs w:val="24"/>
                <w:lang w:val="en-GB" w:eastAsia="en-GB"/>
              </w:rPr>
            </w:pPr>
          </w:p>
        </w:tc>
        <w:tc>
          <w:tcPr>
            <w:tcW w:w="0" w:type="auto"/>
            <w:tcBorders>
              <w:bottom w:val="nil"/>
            </w:tcBorders>
          </w:tcPr>
          <w:p w14:paraId="31ED2792"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b/>
                <w:i/>
                <w:szCs w:val="24"/>
                <w:lang w:val="en-GB" w:eastAsia="en-GB"/>
              </w:rPr>
            </w:pPr>
            <w:r w:rsidRPr="007048BA">
              <w:rPr>
                <w:rFonts w:eastAsia="Times New Roman" w:cs="Times New Roman"/>
                <w:b/>
                <w:i/>
                <w:szCs w:val="24"/>
                <w:lang w:val="en-GB" w:eastAsia="en-GB"/>
              </w:rPr>
              <w:t>Poor</w:t>
            </w:r>
          </w:p>
        </w:tc>
        <w:tc>
          <w:tcPr>
            <w:tcW w:w="0" w:type="auto"/>
            <w:tcBorders>
              <w:bottom w:val="nil"/>
            </w:tcBorders>
          </w:tcPr>
          <w:p w14:paraId="7213DE28"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b/>
                <w:i/>
                <w:szCs w:val="24"/>
                <w:lang w:val="en-GB" w:eastAsia="en-GB"/>
              </w:rPr>
            </w:pPr>
            <w:r w:rsidRPr="007048BA">
              <w:rPr>
                <w:rFonts w:eastAsia="Times New Roman" w:cs="Times New Roman"/>
                <w:b/>
                <w:i/>
                <w:szCs w:val="24"/>
                <w:lang w:val="en-GB" w:eastAsia="en-GB"/>
              </w:rPr>
              <w:t>Myopia</w:t>
            </w:r>
          </w:p>
        </w:tc>
        <w:tc>
          <w:tcPr>
            <w:tcW w:w="0" w:type="auto"/>
            <w:tcBorders>
              <w:bottom w:val="nil"/>
            </w:tcBorders>
          </w:tcPr>
          <w:p w14:paraId="7F3EA7BA"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b/>
                <w:i/>
                <w:szCs w:val="24"/>
                <w:lang w:val="en-GB" w:eastAsia="en-GB"/>
              </w:rPr>
            </w:pPr>
            <w:r w:rsidRPr="007048BA">
              <w:rPr>
                <w:rFonts w:eastAsia="Times New Roman" w:cs="Times New Roman"/>
                <w:b/>
                <w:i/>
                <w:szCs w:val="24"/>
                <w:lang w:val="en-GB" w:eastAsia="en-GB"/>
              </w:rPr>
              <w:t>Hyperopia</w:t>
            </w:r>
          </w:p>
        </w:tc>
        <w:tc>
          <w:tcPr>
            <w:tcW w:w="0" w:type="auto"/>
            <w:tcBorders>
              <w:bottom w:val="nil"/>
            </w:tcBorders>
          </w:tcPr>
          <w:p w14:paraId="21B58CDF"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b/>
                <w:i/>
                <w:szCs w:val="24"/>
                <w:lang w:val="en-GB" w:eastAsia="en-GB"/>
              </w:rPr>
            </w:pPr>
            <w:r w:rsidRPr="007048BA">
              <w:rPr>
                <w:rFonts w:eastAsia="Times New Roman" w:cs="Times New Roman"/>
                <w:b/>
                <w:i/>
                <w:szCs w:val="24"/>
                <w:lang w:val="en-GB" w:eastAsia="en-GB"/>
              </w:rPr>
              <w:t>Efficient</w:t>
            </w:r>
          </w:p>
        </w:tc>
      </w:tr>
      <w:tr w:rsidR="005D120E" w:rsidRPr="007048BA" w14:paraId="052F529F" w14:textId="77777777" w:rsidTr="00CB3E5A">
        <w:trPr>
          <w:jc w:val="center"/>
        </w:trPr>
        <w:tc>
          <w:tcPr>
            <w:tcW w:w="0" w:type="auto"/>
          </w:tcPr>
          <w:p w14:paraId="6BD2EC65" w14:textId="77777777" w:rsidR="005D120E" w:rsidRPr="007048BA" w:rsidRDefault="005D120E" w:rsidP="00BC701D">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Borders>
              <w:top w:val="nil"/>
              <w:bottom w:val="single" w:sz="4" w:space="0" w:color="auto"/>
            </w:tcBorders>
          </w:tcPr>
          <w:p w14:paraId="15C3C08D" w14:textId="77777777" w:rsidR="005D120E" w:rsidRPr="007048BA" w:rsidRDefault="005D120E" w:rsidP="00BC701D">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(1)</w:t>
            </w:r>
          </w:p>
        </w:tc>
        <w:tc>
          <w:tcPr>
            <w:tcW w:w="0" w:type="auto"/>
            <w:tcBorders>
              <w:top w:val="nil"/>
              <w:bottom w:val="single" w:sz="4" w:space="0" w:color="auto"/>
            </w:tcBorders>
          </w:tcPr>
          <w:p w14:paraId="11BE9D65" w14:textId="77777777" w:rsidR="005D120E" w:rsidRPr="007048BA" w:rsidRDefault="005D120E" w:rsidP="00BC701D">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(2)</w:t>
            </w:r>
          </w:p>
        </w:tc>
        <w:tc>
          <w:tcPr>
            <w:tcW w:w="0" w:type="auto"/>
            <w:tcBorders>
              <w:top w:val="nil"/>
              <w:bottom w:val="single" w:sz="4" w:space="0" w:color="auto"/>
            </w:tcBorders>
          </w:tcPr>
          <w:p w14:paraId="58A8D9B2" w14:textId="77777777" w:rsidR="005D120E" w:rsidRPr="007048BA" w:rsidRDefault="005D120E" w:rsidP="00BC701D">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(3)</w:t>
            </w:r>
          </w:p>
        </w:tc>
        <w:tc>
          <w:tcPr>
            <w:tcW w:w="0" w:type="auto"/>
            <w:tcBorders>
              <w:top w:val="nil"/>
              <w:bottom w:val="single" w:sz="4" w:space="0" w:color="auto"/>
            </w:tcBorders>
          </w:tcPr>
          <w:p w14:paraId="60B46FBB" w14:textId="77777777" w:rsidR="005D120E" w:rsidRPr="007048BA" w:rsidRDefault="005D120E" w:rsidP="00BC701D">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(4)</w:t>
            </w:r>
          </w:p>
        </w:tc>
      </w:tr>
      <w:tr w:rsidR="00297702" w:rsidRPr="007048BA" w14:paraId="6D7353CC" w14:textId="77777777" w:rsidTr="00CB3E5A">
        <w:trPr>
          <w:jc w:val="center"/>
        </w:trPr>
        <w:tc>
          <w:tcPr>
            <w:tcW w:w="0" w:type="auto"/>
          </w:tcPr>
          <w:p w14:paraId="4C432525" w14:textId="77777777" w:rsidR="00297702" w:rsidRPr="007048BA" w:rsidRDefault="00297702" w:rsidP="00297702">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Poor</w:t>
            </w:r>
          </w:p>
        </w:tc>
        <w:tc>
          <w:tcPr>
            <w:tcW w:w="0" w:type="auto"/>
            <w:tcBorders>
              <w:top w:val="single" w:sz="4" w:space="0" w:color="auto"/>
            </w:tcBorders>
          </w:tcPr>
          <w:p w14:paraId="46F4D109"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-0.253**</w:t>
            </w:r>
          </w:p>
        </w:tc>
        <w:tc>
          <w:tcPr>
            <w:tcW w:w="0" w:type="auto"/>
            <w:tcBorders>
              <w:top w:val="single" w:sz="4" w:space="0" w:color="auto"/>
            </w:tcBorders>
          </w:tcPr>
          <w:p w14:paraId="390422E2"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single" w:sz="4" w:space="0" w:color="auto"/>
            </w:tcBorders>
          </w:tcPr>
          <w:p w14:paraId="6EBAFF0E"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single" w:sz="4" w:space="0" w:color="auto"/>
            </w:tcBorders>
          </w:tcPr>
          <w:p w14:paraId="16D7BCD1"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297702" w:rsidRPr="007048BA" w14:paraId="4E291914" w14:textId="77777777" w:rsidTr="00CB3E5A">
        <w:trPr>
          <w:jc w:val="center"/>
        </w:trPr>
        <w:tc>
          <w:tcPr>
            <w:tcW w:w="0" w:type="auto"/>
          </w:tcPr>
          <w:p w14:paraId="7C62A9F3" w14:textId="77777777" w:rsidR="00297702" w:rsidRPr="007048BA" w:rsidRDefault="00297702" w:rsidP="00297702">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701EBE65"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(0.044)</w:t>
            </w:r>
          </w:p>
        </w:tc>
        <w:tc>
          <w:tcPr>
            <w:tcW w:w="0" w:type="auto"/>
          </w:tcPr>
          <w:p w14:paraId="667B10EA"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1A44D453"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5D923C88"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297702" w:rsidRPr="007048BA" w14:paraId="08BD922A" w14:textId="77777777" w:rsidTr="00CB3E5A">
        <w:trPr>
          <w:jc w:val="center"/>
        </w:trPr>
        <w:tc>
          <w:tcPr>
            <w:tcW w:w="0" w:type="auto"/>
          </w:tcPr>
          <w:p w14:paraId="19B3EEC8" w14:textId="77777777" w:rsidR="00297702" w:rsidRPr="007048BA" w:rsidRDefault="00297702" w:rsidP="00297702">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Myopia</w:t>
            </w:r>
          </w:p>
        </w:tc>
        <w:tc>
          <w:tcPr>
            <w:tcW w:w="0" w:type="auto"/>
          </w:tcPr>
          <w:p w14:paraId="26DC3252"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68832816"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0.029</w:t>
            </w:r>
          </w:p>
        </w:tc>
        <w:tc>
          <w:tcPr>
            <w:tcW w:w="0" w:type="auto"/>
          </w:tcPr>
          <w:p w14:paraId="0AA5CBF5"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158E2211"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297702" w:rsidRPr="007048BA" w14:paraId="6C4AE17A" w14:textId="77777777" w:rsidTr="00CB3E5A">
        <w:trPr>
          <w:jc w:val="center"/>
        </w:trPr>
        <w:tc>
          <w:tcPr>
            <w:tcW w:w="0" w:type="auto"/>
          </w:tcPr>
          <w:p w14:paraId="6B9CFA45" w14:textId="77777777" w:rsidR="00297702" w:rsidRPr="007048BA" w:rsidRDefault="00297702" w:rsidP="00297702">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003A1EEF"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50C15FA9"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(0.690)</w:t>
            </w:r>
          </w:p>
        </w:tc>
        <w:tc>
          <w:tcPr>
            <w:tcW w:w="0" w:type="auto"/>
          </w:tcPr>
          <w:p w14:paraId="257FB003"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2E902E3F"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297702" w:rsidRPr="007048BA" w14:paraId="5235F13D" w14:textId="77777777" w:rsidTr="00CB3E5A">
        <w:trPr>
          <w:jc w:val="center"/>
        </w:trPr>
        <w:tc>
          <w:tcPr>
            <w:tcW w:w="0" w:type="auto"/>
          </w:tcPr>
          <w:p w14:paraId="0FB9072D" w14:textId="77777777" w:rsidR="00297702" w:rsidRPr="007048BA" w:rsidRDefault="00297702" w:rsidP="00297702">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Hyperopia</w:t>
            </w:r>
          </w:p>
        </w:tc>
        <w:tc>
          <w:tcPr>
            <w:tcW w:w="0" w:type="auto"/>
          </w:tcPr>
          <w:p w14:paraId="4854F495"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7E37CA8C"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3D625592"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0.190*</w:t>
            </w:r>
          </w:p>
        </w:tc>
        <w:tc>
          <w:tcPr>
            <w:tcW w:w="0" w:type="auto"/>
          </w:tcPr>
          <w:p w14:paraId="00798D7F"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297702" w:rsidRPr="007048BA" w14:paraId="122FBC4A" w14:textId="77777777" w:rsidTr="00CB3E5A">
        <w:trPr>
          <w:jc w:val="center"/>
        </w:trPr>
        <w:tc>
          <w:tcPr>
            <w:tcW w:w="0" w:type="auto"/>
          </w:tcPr>
          <w:p w14:paraId="7A74A286" w14:textId="77777777" w:rsidR="00297702" w:rsidRPr="007048BA" w:rsidRDefault="00297702" w:rsidP="00297702">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678BF387"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7F0A5DD4"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4BBE7B69"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(0.089)</w:t>
            </w:r>
          </w:p>
        </w:tc>
        <w:tc>
          <w:tcPr>
            <w:tcW w:w="0" w:type="auto"/>
          </w:tcPr>
          <w:p w14:paraId="65914C79"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297702" w:rsidRPr="007048BA" w14:paraId="2F442664" w14:textId="77777777" w:rsidTr="00CB3E5A">
        <w:trPr>
          <w:jc w:val="center"/>
        </w:trPr>
        <w:tc>
          <w:tcPr>
            <w:tcW w:w="0" w:type="auto"/>
          </w:tcPr>
          <w:p w14:paraId="4C571FCD" w14:textId="77777777" w:rsidR="00297702" w:rsidRPr="007048BA" w:rsidRDefault="00297702" w:rsidP="00297702">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Efficient</w:t>
            </w:r>
          </w:p>
        </w:tc>
        <w:tc>
          <w:tcPr>
            <w:tcW w:w="0" w:type="auto"/>
          </w:tcPr>
          <w:p w14:paraId="456BC8CC"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53032555"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3ABC04F2"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5A16944D"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-0.017</w:t>
            </w:r>
          </w:p>
        </w:tc>
      </w:tr>
      <w:tr w:rsidR="00297702" w:rsidRPr="007048BA" w14:paraId="7659A89F" w14:textId="77777777" w:rsidTr="00CB3E5A">
        <w:trPr>
          <w:jc w:val="center"/>
        </w:trPr>
        <w:tc>
          <w:tcPr>
            <w:tcW w:w="0" w:type="auto"/>
          </w:tcPr>
          <w:p w14:paraId="64818AB1" w14:textId="77777777" w:rsidR="00297702" w:rsidRPr="007048BA" w:rsidRDefault="00297702" w:rsidP="00297702">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Pr>
          <w:p w14:paraId="58B28343"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53628ECF"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070D8381"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Pr>
          <w:p w14:paraId="2C7A9959"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(0.814)</w:t>
            </w:r>
          </w:p>
        </w:tc>
      </w:tr>
      <w:tr w:rsidR="00297702" w:rsidRPr="007048BA" w14:paraId="62A177AA" w14:textId="77777777" w:rsidTr="00CB3E5A">
        <w:trPr>
          <w:jc w:val="center"/>
        </w:trPr>
        <w:tc>
          <w:tcPr>
            <w:tcW w:w="0" w:type="auto"/>
          </w:tcPr>
          <w:p w14:paraId="10D848FC" w14:textId="7F4BA270" w:rsidR="00297702" w:rsidRPr="007048BA" w:rsidRDefault="00297702" w:rsidP="00297702">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 w:val="22"/>
                <w:szCs w:val="24"/>
                <w:lang w:val="en-GB" w:eastAsia="en-GB"/>
              </w:rPr>
              <w:t>Industry</w:t>
            </w:r>
          </w:p>
        </w:tc>
        <w:tc>
          <w:tcPr>
            <w:tcW w:w="0" w:type="auto"/>
          </w:tcPr>
          <w:p w14:paraId="54749342" w14:textId="13A39568"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 w:val="22"/>
                <w:szCs w:val="24"/>
                <w:lang w:val="en-GB" w:eastAsia="en-GB"/>
              </w:rPr>
              <w:t>YES</w:t>
            </w:r>
          </w:p>
        </w:tc>
        <w:tc>
          <w:tcPr>
            <w:tcW w:w="0" w:type="auto"/>
          </w:tcPr>
          <w:p w14:paraId="17422F29" w14:textId="05A76DDC"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 w:val="22"/>
                <w:szCs w:val="24"/>
                <w:lang w:val="en-GB" w:eastAsia="en-GB"/>
              </w:rPr>
              <w:t>YES</w:t>
            </w:r>
          </w:p>
        </w:tc>
        <w:tc>
          <w:tcPr>
            <w:tcW w:w="0" w:type="auto"/>
          </w:tcPr>
          <w:p w14:paraId="6117E5C0" w14:textId="032E3172"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 w:val="22"/>
                <w:szCs w:val="24"/>
                <w:lang w:val="en-GB" w:eastAsia="en-GB"/>
              </w:rPr>
              <w:t>YES</w:t>
            </w:r>
          </w:p>
        </w:tc>
        <w:tc>
          <w:tcPr>
            <w:tcW w:w="0" w:type="auto"/>
          </w:tcPr>
          <w:p w14:paraId="6CD5D6E1" w14:textId="1E2B8F73"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 w:val="22"/>
                <w:szCs w:val="24"/>
                <w:lang w:val="en-GB" w:eastAsia="en-GB"/>
              </w:rPr>
              <w:t>YES</w:t>
            </w:r>
          </w:p>
        </w:tc>
      </w:tr>
      <w:tr w:rsidR="00297702" w:rsidRPr="007048BA" w14:paraId="6F4A2625" w14:textId="77777777" w:rsidTr="00CB3E5A">
        <w:trPr>
          <w:jc w:val="center"/>
        </w:trPr>
        <w:tc>
          <w:tcPr>
            <w:tcW w:w="0" w:type="auto"/>
          </w:tcPr>
          <w:p w14:paraId="67788D65" w14:textId="082AE8A1" w:rsidR="00297702" w:rsidRPr="007048BA" w:rsidRDefault="00297702" w:rsidP="00297702">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 w:val="22"/>
                <w:szCs w:val="24"/>
                <w:lang w:val="en-GB" w:eastAsia="en-GB"/>
              </w:rPr>
              <w:t>Year</w:t>
            </w:r>
          </w:p>
        </w:tc>
        <w:tc>
          <w:tcPr>
            <w:tcW w:w="0" w:type="auto"/>
          </w:tcPr>
          <w:p w14:paraId="16D55753" w14:textId="712B154B"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 w:val="22"/>
                <w:szCs w:val="24"/>
                <w:lang w:val="en-GB" w:eastAsia="en-GB"/>
              </w:rPr>
              <w:t>YES</w:t>
            </w:r>
          </w:p>
        </w:tc>
        <w:tc>
          <w:tcPr>
            <w:tcW w:w="0" w:type="auto"/>
          </w:tcPr>
          <w:p w14:paraId="1183D9C1" w14:textId="1CDCCFEA"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 w:val="22"/>
                <w:szCs w:val="24"/>
                <w:lang w:val="en-GB" w:eastAsia="en-GB"/>
              </w:rPr>
              <w:t>YES</w:t>
            </w:r>
          </w:p>
        </w:tc>
        <w:tc>
          <w:tcPr>
            <w:tcW w:w="0" w:type="auto"/>
          </w:tcPr>
          <w:p w14:paraId="0A458959" w14:textId="5E210C9D"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 w:val="22"/>
                <w:szCs w:val="24"/>
                <w:lang w:val="en-GB" w:eastAsia="en-GB"/>
              </w:rPr>
              <w:t>YES</w:t>
            </w:r>
          </w:p>
        </w:tc>
        <w:tc>
          <w:tcPr>
            <w:tcW w:w="0" w:type="auto"/>
          </w:tcPr>
          <w:p w14:paraId="28B2D2B5" w14:textId="34EDBD40"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 w:val="22"/>
                <w:szCs w:val="24"/>
                <w:lang w:val="en-GB" w:eastAsia="en-GB"/>
              </w:rPr>
              <w:t>YES</w:t>
            </w:r>
          </w:p>
        </w:tc>
      </w:tr>
      <w:tr w:rsidR="00297702" w:rsidRPr="007048BA" w14:paraId="32BCFCC2" w14:textId="77777777" w:rsidTr="00CB3E5A">
        <w:trPr>
          <w:jc w:val="center"/>
        </w:trPr>
        <w:tc>
          <w:tcPr>
            <w:tcW w:w="0" w:type="auto"/>
          </w:tcPr>
          <w:p w14:paraId="0AA642B8" w14:textId="6F26830A" w:rsidR="00297702" w:rsidRPr="007048BA" w:rsidRDefault="00297702" w:rsidP="00997519">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Obs</w:t>
            </w:r>
            <w:r w:rsidR="00997519" w:rsidRPr="007048BA">
              <w:rPr>
                <w:rFonts w:eastAsia="Times New Roman" w:cs="Times New Roman"/>
                <w:i/>
                <w:szCs w:val="24"/>
                <w:lang w:val="en-GB" w:eastAsia="en-GB"/>
              </w:rPr>
              <w:t>.</w:t>
            </w:r>
          </w:p>
        </w:tc>
        <w:tc>
          <w:tcPr>
            <w:tcW w:w="0" w:type="auto"/>
          </w:tcPr>
          <w:p w14:paraId="275A4844"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8,222</w:t>
            </w:r>
          </w:p>
        </w:tc>
        <w:tc>
          <w:tcPr>
            <w:tcW w:w="0" w:type="auto"/>
          </w:tcPr>
          <w:p w14:paraId="4D930DC0"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8,222</w:t>
            </w:r>
          </w:p>
        </w:tc>
        <w:tc>
          <w:tcPr>
            <w:tcW w:w="0" w:type="auto"/>
          </w:tcPr>
          <w:p w14:paraId="1D836FAB"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8,222</w:t>
            </w:r>
          </w:p>
        </w:tc>
        <w:tc>
          <w:tcPr>
            <w:tcW w:w="0" w:type="auto"/>
          </w:tcPr>
          <w:p w14:paraId="565FC2B2"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8,222</w:t>
            </w:r>
          </w:p>
        </w:tc>
      </w:tr>
      <w:tr w:rsidR="00297702" w:rsidRPr="007048BA" w14:paraId="35A85D1F" w14:textId="77777777" w:rsidTr="00CB3E5A">
        <w:trPr>
          <w:jc w:val="center"/>
        </w:trPr>
        <w:tc>
          <w:tcPr>
            <w:tcW w:w="0" w:type="auto"/>
          </w:tcPr>
          <w:p w14:paraId="17396D01" w14:textId="77777777" w:rsidR="00297702" w:rsidRPr="007048BA" w:rsidRDefault="00297702" w:rsidP="00297702">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Firms</w:t>
            </w:r>
          </w:p>
        </w:tc>
        <w:tc>
          <w:tcPr>
            <w:tcW w:w="0" w:type="auto"/>
          </w:tcPr>
          <w:p w14:paraId="111780A1"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604</w:t>
            </w:r>
          </w:p>
        </w:tc>
        <w:tc>
          <w:tcPr>
            <w:tcW w:w="0" w:type="auto"/>
          </w:tcPr>
          <w:p w14:paraId="4DAE5BFB"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604</w:t>
            </w:r>
          </w:p>
        </w:tc>
        <w:tc>
          <w:tcPr>
            <w:tcW w:w="0" w:type="auto"/>
          </w:tcPr>
          <w:p w14:paraId="350B8E91"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604</w:t>
            </w:r>
          </w:p>
        </w:tc>
        <w:tc>
          <w:tcPr>
            <w:tcW w:w="0" w:type="auto"/>
          </w:tcPr>
          <w:p w14:paraId="1769171C" w14:textId="77777777" w:rsidR="00297702" w:rsidRPr="007048BA" w:rsidRDefault="00297702" w:rsidP="00297702">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604</w:t>
            </w:r>
          </w:p>
        </w:tc>
      </w:tr>
    </w:tbl>
    <w:p w14:paraId="41A5F3D3" w14:textId="6A477CCB" w:rsidR="00297702" w:rsidRPr="007048BA" w:rsidRDefault="00297702" w:rsidP="0060367E">
      <w:pPr>
        <w:tabs>
          <w:tab w:val="left" w:pos="1985"/>
        </w:tabs>
        <w:autoSpaceDE w:val="0"/>
        <w:autoSpaceDN w:val="0"/>
        <w:adjustRightInd w:val="0"/>
        <w:spacing w:after="0" w:line="240" w:lineRule="auto"/>
        <w:ind w:firstLine="0"/>
        <w:rPr>
          <w:rFonts w:eastAsia="PMingLiU" w:cs="Times New Roman"/>
          <w:sz w:val="20"/>
          <w:szCs w:val="24"/>
          <w:lang w:val="en-GB" w:eastAsia="zh-TW"/>
        </w:rPr>
      </w:pPr>
    </w:p>
    <w:p w14:paraId="538B588D" w14:textId="77777777" w:rsidR="00297702" w:rsidRPr="007048BA" w:rsidRDefault="00297702" w:rsidP="0060367E">
      <w:pPr>
        <w:tabs>
          <w:tab w:val="left" w:pos="1985"/>
        </w:tabs>
        <w:autoSpaceDE w:val="0"/>
        <w:autoSpaceDN w:val="0"/>
        <w:adjustRightInd w:val="0"/>
        <w:spacing w:after="0" w:line="240" w:lineRule="auto"/>
        <w:ind w:firstLine="0"/>
        <w:rPr>
          <w:rFonts w:eastAsia="PMingLiU" w:cs="Times New Roman"/>
          <w:sz w:val="20"/>
          <w:szCs w:val="24"/>
          <w:lang w:val="en-GB" w:eastAsia="zh-TW"/>
        </w:rPr>
      </w:pPr>
    </w:p>
    <w:p w14:paraId="0286FA01" w14:textId="77777777" w:rsidR="0060367E" w:rsidRPr="007048BA" w:rsidRDefault="0060367E" w:rsidP="0060367E">
      <w:pPr>
        <w:tabs>
          <w:tab w:val="left" w:pos="1985"/>
        </w:tabs>
        <w:autoSpaceDE w:val="0"/>
        <w:autoSpaceDN w:val="0"/>
        <w:adjustRightInd w:val="0"/>
        <w:spacing w:after="0" w:line="240" w:lineRule="auto"/>
        <w:ind w:firstLine="0"/>
        <w:rPr>
          <w:rFonts w:eastAsia="PMingLiU" w:cs="Times New Roman"/>
          <w:szCs w:val="24"/>
          <w:lang w:val="en-GB" w:eastAsia="zh-TW"/>
        </w:rPr>
      </w:pPr>
    </w:p>
    <w:p w14:paraId="1F83EBFE" w14:textId="50E23551" w:rsidR="0060367E" w:rsidRPr="007048BA" w:rsidRDefault="0060367E" w:rsidP="0060367E">
      <w:pPr>
        <w:rPr>
          <w:rFonts w:eastAsia="PMingLiU" w:cs="Times New Roman"/>
          <w:sz w:val="28"/>
          <w:szCs w:val="24"/>
          <w:lang w:val="en-GB" w:eastAsia="zh-TW"/>
        </w:rPr>
      </w:pPr>
    </w:p>
    <w:p w14:paraId="1F63FC2C" w14:textId="77777777" w:rsidR="001755A8" w:rsidRPr="007048BA" w:rsidRDefault="001755A8" w:rsidP="0060367E">
      <w:pPr>
        <w:rPr>
          <w:rFonts w:eastAsia="PMingLiU" w:cs="Times New Roman"/>
          <w:b/>
          <w:sz w:val="28"/>
          <w:szCs w:val="24"/>
          <w:lang w:val="en-GB" w:eastAsia="zh-TW"/>
        </w:rPr>
        <w:sectPr w:rsidR="001755A8" w:rsidRPr="007048BA" w:rsidSect="00BB3D0E">
          <w:pgSz w:w="12240" w:h="15840"/>
          <w:pgMar w:top="1304" w:right="964" w:bottom="1304" w:left="1077" w:header="720" w:footer="720" w:gutter="0"/>
          <w:cols w:space="720"/>
          <w:docGrid w:linePitch="360"/>
        </w:sectPr>
      </w:pPr>
    </w:p>
    <w:p w14:paraId="0E1A6A4F" w14:textId="44983CDE" w:rsidR="0060367E" w:rsidRPr="007048BA" w:rsidRDefault="00EA2EE0" w:rsidP="0060367E">
      <w:pPr>
        <w:rPr>
          <w:rFonts w:eastAsia="PMingLiU" w:cs="Times New Roman"/>
          <w:b/>
          <w:sz w:val="28"/>
          <w:szCs w:val="24"/>
          <w:lang w:val="en-GB" w:eastAsia="zh-TW"/>
        </w:rPr>
      </w:pPr>
      <w:r w:rsidRPr="007048BA">
        <w:rPr>
          <w:rFonts w:eastAsia="PMingLiU" w:cs="Times New Roman"/>
          <w:b/>
          <w:sz w:val="28"/>
          <w:szCs w:val="24"/>
          <w:lang w:val="en-GB" w:eastAsia="zh-TW"/>
        </w:rPr>
        <w:lastRenderedPageBreak/>
        <w:t>Table 12</w:t>
      </w:r>
      <w:r w:rsidR="000730BA" w:rsidRPr="007048BA">
        <w:rPr>
          <w:rFonts w:eastAsia="PMingLiU" w:cs="Times New Roman"/>
          <w:b/>
          <w:sz w:val="28"/>
          <w:szCs w:val="24"/>
          <w:lang w:val="en-GB" w:eastAsia="zh-TW"/>
        </w:rPr>
        <w:t>: Firm valuation versus management performance</w:t>
      </w:r>
    </w:p>
    <w:p w14:paraId="2949683C" w14:textId="56E3E201" w:rsidR="001755A8" w:rsidRPr="007048BA" w:rsidRDefault="001755A8" w:rsidP="005D4313">
      <w:pPr>
        <w:pStyle w:val="Tablenotes"/>
        <w:rPr>
          <w:lang w:val="en-GB" w:eastAsia="zh-TW"/>
        </w:rPr>
      </w:pPr>
      <w:r w:rsidRPr="007048BA">
        <w:rPr>
          <w:lang w:val="en-GB" w:eastAsia="zh-TW"/>
        </w:rPr>
        <w:t xml:space="preserve">This table explores whether the categories of management performance proxy for valuation, i.e., whether </w:t>
      </w:r>
      <w:r w:rsidRPr="007048BA">
        <w:rPr>
          <w:i/>
          <w:lang w:val="en-GB" w:eastAsia="zh-TW"/>
        </w:rPr>
        <w:t>poor</w:t>
      </w:r>
      <w:r w:rsidRPr="007048BA">
        <w:rPr>
          <w:lang w:val="en-GB" w:eastAsia="zh-TW"/>
        </w:rPr>
        <w:t xml:space="preserve"> and </w:t>
      </w:r>
      <w:r w:rsidRPr="007048BA">
        <w:rPr>
          <w:i/>
          <w:lang w:val="en-GB" w:eastAsia="zh-TW"/>
        </w:rPr>
        <w:t>myopic</w:t>
      </w:r>
      <w:r w:rsidRPr="007048BA">
        <w:rPr>
          <w:lang w:val="en-GB" w:eastAsia="zh-TW"/>
        </w:rPr>
        <w:t xml:space="preserve"> firms </w:t>
      </w:r>
      <w:r w:rsidRPr="007048BA">
        <w:rPr>
          <w:i/>
          <w:lang w:val="en-GB" w:eastAsia="zh-TW"/>
        </w:rPr>
        <w:t>(PM)</w:t>
      </w:r>
      <w:r w:rsidRPr="007048BA">
        <w:rPr>
          <w:lang w:val="en-GB" w:eastAsia="zh-TW"/>
        </w:rPr>
        <w:t xml:space="preserve"> are low valuation</w:t>
      </w:r>
      <w:r w:rsidR="00F839FD" w:rsidRPr="007048BA">
        <w:rPr>
          <w:lang w:val="en-GB" w:eastAsia="zh-TW"/>
        </w:rPr>
        <w:t xml:space="preserve"> (undervalued)</w:t>
      </w:r>
      <w:r w:rsidRPr="007048BA">
        <w:rPr>
          <w:lang w:val="en-GB" w:eastAsia="zh-TW"/>
        </w:rPr>
        <w:t xml:space="preserve"> firms while </w:t>
      </w:r>
      <w:r w:rsidRPr="007048BA">
        <w:rPr>
          <w:i/>
          <w:lang w:val="en-GB" w:eastAsia="zh-TW"/>
        </w:rPr>
        <w:t>hyperopic</w:t>
      </w:r>
      <w:r w:rsidRPr="007048BA">
        <w:rPr>
          <w:lang w:val="en-GB" w:eastAsia="zh-TW"/>
        </w:rPr>
        <w:t xml:space="preserve"> and </w:t>
      </w:r>
      <w:r w:rsidRPr="007048BA">
        <w:rPr>
          <w:i/>
          <w:lang w:val="en-GB" w:eastAsia="zh-TW"/>
        </w:rPr>
        <w:t>efficient</w:t>
      </w:r>
      <w:r w:rsidRPr="007048BA">
        <w:rPr>
          <w:lang w:val="en-GB" w:eastAsia="zh-TW"/>
        </w:rPr>
        <w:t xml:space="preserve"> firms (</w:t>
      </w:r>
      <w:r w:rsidRPr="007048BA">
        <w:rPr>
          <w:i/>
          <w:lang w:val="en-GB" w:eastAsia="zh-TW"/>
        </w:rPr>
        <w:t>HE</w:t>
      </w:r>
      <w:r w:rsidRPr="007048BA">
        <w:rPr>
          <w:lang w:val="en-GB" w:eastAsia="zh-TW"/>
        </w:rPr>
        <w:t>) are high valuation</w:t>
      </w:r>
      <w:r w:rsidR="00F839FD" w:rsidRPr="007048BA">
        <w:rPr>
          <w:lang w:val="en-GB" w:eastAsia="zh-TW"/>
        </w:rPr>
        <w:t xml:space="preserve"> (overvalued)</w:t>
      </w:r>
      <w:r w:rsidRPr="007048BA">
        <w:rPr>
          <w:lang w:val="en-GB" w:eastAsia="zh-TW"/>
        </w:rPr>
        <w:t xml:space="preserve"> firms. Panel A presents differences of mean and median market-to-book (</w:t>
      </w:r>
      <w:r w:rsidRPr="007048BA">
        <w:rPr>
          <w:i/>
          <w:lang w:val="en-GB" w:eastAsia="zh-TW"/>
        </w:rPr>
        <w:t>MTB</w:t>
      </w:r>
      <w:r w:rsidRPr="007048BA">
        <w:rPr>
          <w:lang w:val="en-GB" w:eastAsia="zh-TW"/>
        </w:rPr>
        <w:t>) values and Tobin’s Q (</w:t>
      </w:r>
      <w:r w:rsidRPr="007048BA">
        <w:rPr>
          <w:i/>
          <w:lang w:val="en-GB" w:eastAsia="zh-TW"/>
        </w:rPr>
        <w:t>TBQ</w:t>
      </w:r>
      <w:r w:rsidRPr="007048BA">
        <w:rPr>
          <w:lang w:val="en-GB" w:eastAsia="zh-TW"/>
        </w:rPr>
        <w:t xml:space="preserve">) of two groups; </w:t>
      </w:r>
      <w:r w:rsidRPr="007048BA">
        <w:rPr>
          <w:i/>
          <w:lang w:val="en-GB" w:eastAsia="zh-TW"/>
        </w:rPr>
        <w:t>PM</w:t>
      </w:r>
      <w:r w:rsidRPr="007048BA">
        <w:rPr>
          <w:lang w:val="en-GB" w:eastAsia="zh-TW"/>
        </w:rPr>
        <w:t xml:space="preserve"> (</w:t>
      </w:r>
      <w:r w:rsidRPr="007048BA">
        <w:rPr>
          <w:i/>
          <w:lang w:val="en-GB" w:eastAsia="zh-TW"/>
        </w:rPr>
        <w:t>poor</w:t>
      </w:r>
      <w:r w:rsidRPr="007048BA">
        <w:rPr>
          <w:lang w:val="en-GB" w:eastAsia="zh-TW"/>
        </w:rPr>
        <w:t xml:space="preserve"> and </w:t>
      </w:r>
      <w:r w:rsidRPr="007048BA">
        <w:rPr>
          <w:i/>
          <w:lang w:val="en-GB" w:eastAsia="zh-TW"/>
        </w:rPr>
        <w:t>myopic</w:t>
      </w:r>
      <w:r w:rsidRPr="007048BA">
        <w:rPr>
          <w:lang w:val="en-GB" w:eastAsia="zh-TW"/>
        </w:rPr>
        <w:t xml:space="preserve"> firms) versus </w:t>
      </w:r>
      <w:r w:rsidRPr="007048BA">
        <w:rPr>
          <w:i/>
          <w:lang w:val="en-GB" w:eastAsia="zh-TW"/>
        </w:rPr>
        <w:t>HE</w:t>
      </w:r>
      <w:r w:rsidRPr="007048BA">
        <w:rPr>
          <w:lang w:val="en-GB" w:eastAsia="zh-TW"/>
        </w:rPr>
        <w:t xml:space="preserve"> (</w:t>
      </w:r>
      <w:r w:rsidRPr="007048BA">
        <w:rPr>
          <w:i/>
          <w:lang w:val="en-GB" w:eastAsia="zh-TW"/>
        </w:rPr>
        <w:t>hyperopic</w:t>
      </w:r>
      <w:r w:rsidRPr="007048BA">
        <w:rPr>
          <w:lang w:val="en-GB" w:eastAsia="zh-TW"/>
        </w:rPr>
        <w:t xml:space="preserve"> and </w:t>
      </w:r>
      <w:r w:rsidRPr="007048BA">
        <w:rPr>
          <w:i/>
          <w:lang w:val="en-GB" w:eastAsia="zh-TW"/>
        </w:rPr>
        <w:t>efficient</w:t>
      </w:r>
      <w:r w:rsidRPr="007048BA">
        <w:rPr>
          <w:lang w:val="en-GB" w:eastAsia="zh-TW"/>
        </w:rPr>
        <w:t xml:space="preserve"> firms). </w:t>
      </w:r>
      <w:r w:rsidR="00770B4C" w:rsidRPr="007048BA">
        <w:rPr>
          <w:lang w:val="en-GB" w:eastAsia="zh-TW"/>
        </w:rPr>
        <w:t xml:space="preserve">Panel B presents results for panel fixed effects regressions where the dependent variable is </w:t>
      </w:r>
      <w:r w:rsidR="00770B4C" w:rsidRPr="007048BA">
        <w:rPr>
          <w:i/>
          <w:lang w:val="en-GB" w:eastAsia="zh-TW"/>
        </w:rPr>
        <w:t>MTB</w:t>
      </w:r>
      <w:r w:rsidR="00770B4C" w:rsidRPr="007048BA">
        <w:rPr>
          <w:lang w:val="en-GB" w:eastAsia="zh-TW"/>
        </w:rPr>
        <w:t xml:space="preserve"> (models, 1 and 2) and </w:t>
      </w:r>
      <w:r w:rsidR="00770B4C" w:rsidRPr="007048BA">
        <w:rPr>
          <w:i/>
          <w:lang w:val="en-GB" w:eastAsia="zh-TW"/>
        </w:rPr>
        <w:t>TBQ</w:t>
      </w:r>
      <w:r w:rsidR="00770B4C" w:rsidRPr="007048BA">
        <w:rPr>
          <w:lang w:val="en-GB" w:eastAsia="zh-TW"/>
        </w:rPr>
        <w:t xml:space="preserve"> (models 3 and 4). The main independent variable is </w:t>
      </w:r>
      <w:r w:rsidR="00770B4C" w:rsidRPr="007048BA">
        <w:rPr>
          <w:i/>
          <w:lang w:val="en-GB" w:eastAsia="zh-TW"/>
        </w:rPr>
        <w:t>PM_HE,</w:t>
      </w:r>
      <w:r w:rsidR="00770B4C" w:rsidRPr="007048BA">
        <w:rPr>
          <w:lang w:val="en-GB" w:eastAsia="zh-TW"/>
        </w:rPr>
        <w:t xml:space="preserve"> a dummy variable which takes a value of 1 if a firm is classified as </w:t>
      </w:r>
      <w:r w:rsidR="00770B4C" w:rsidRPr="007048BA">
        <w:rPr>
          <w:i/>
          <w:lang w:val="en-GB" w:eastAsia="zh-TW"/>
        </w:rPr>
        <w:t>hyperopic</w:t>
      </w:r>
      <w:r w:rsidR="00770B4C" w:rsidRPr="007048BA">
        <w:rPr>
          <w:lang w:val="en-GB" w:eastAsia="zh-TW"/>
        </w:rPr>
        <w:t xml:space="preserve"> or efficient and a value of 0, if the firm is classified as poor or myopic. Models 1 and 3 have no additional control variables. Models 2 and 4 control for </w:t>
      </w:r>
      <w:r w:rsidR="005D4313" w:rsidRPr="007048BA">
        <w:rPr>
          <w:lang w:val="en-GB" w:eastAsia="zh-TW"/>
        </w:rPr>
        <w:t>liquidity (</w:t>
      </w:r>
      <w:r w:rsidR="005D4313" w:rsidRPr="007048BA">
        <w:rPr>
          <w:i/>
          <w:lang w:val="en-GB" w:eastAsia="zh-TW"/>
        </w:rPr>
        <w:t>LIQ</w:t>
      </w:r>
      <w:r w:rsidR="005D4313" w:rsidRPr="007048BA">
        <w:rPr>
          <w:lang w:val="en-GB" w:eastAsia="zh-TW"/>
        </w:rPr>
        <w:t xml:space="preserve">), </w:t>
      </w:r>
      <w:r w:rsidR="00F839FD" w:rsidRPr="007048BA">
        <w:rPr>
          <w:lang w:val="en-GB" w:eastAsia="zh-TW"/>
        </w:rPr>
        <w:t>l</w:t>
      </w:r>
      <w:r w:rsidR="005D4313" w:rsidRPr="007048BA">
        <w:rPr>
          <w:lang w:val="en-GB" w:eastAsia="zh-TW"/>
        </w:rPr>
        <w:t>everage (</w:t>
      </w:r>
      <w:r w:rsidR="005D4313" w:rsidRPr="007048BA">
        <w:rPr>
          <w:i/>
          <w:lang w:val="en-GB" w:eastAsia="zh-TW"/>
        </w:rPr>
        <w:t>LEV</w:t>
      </w:r>
      <w:r w:rsidR="005D4313" w:rsidRPr="007048BA">
        <w:rPr>
          <w:lang w:val="en-GB" w:eastAsia="zh-TW"/>
        </w:rPr>
        <w:t>), sales growth (</w:t>
      </w:r>
      <w:r w:rsidR="005D4313" w:rsidRPr="007048BA">
        <w:rPr>
          <w:i/>
          <w:lang w:val="en-GB" w:eastAsia="zh-TW"/>
        </w:rPr>
        <w:t>SGW</w:t>
      </w:r>
      <w:r w:rsidR="005D4313" w:rsidRPr="007048BA">
        <w:rPr>
          <w:lang w:val="en-GB" w:eastAsia="zh-TW"/>
        </w:rPr>
        <w:t>), free cash flow (FCF), tangible fixed assets (</w:t>
      </w:r>
      <w:r w:rsidR="005D4313" w:rsidRPr="007048BA">
        <w:rPr>
          <w:i/>
          <w:lang w:val="en-GB" w:eastAsia="zh-TW"/>
        </w:rPr>
        <w:t>TANG</w:t>
      </w:r>
      <w:r w:rsidR="005D4313" w:rsidRPr="007048BA">
        <w:rPr>
          <w:lang w:val="en-GB" w:eastAsia="zh-TW"/>
        </w:rPr>
        <w:t>), firm size (</w:t>
      </w:r>
      <w:r w:rsidR="005D4313" w:rsidRPr="007048BA">
        <w:rPr>
          <w:i/>
          <w:lang w:val="en-GB" w:eastAsia="zh-TW"/>
        </w:rPr>
        <w:t>SIZE</w:t>
      </w:r>
      <w:r w:rsidR="005D4313" w:rsidRPr="007048BA">
        <w:rPr>
          <w:lang w:val="en-GB" w:eastAsia="zh-TW"/>
        </w:rPr>
        <w:t>), firm age (</w:t>
      </w:r>
      <w:r w:rsidR="005D4313" w:rsidRPr="007048BA">
        <w:rPr>
          <w:i/>
          <w:lang w:val="en-GB" w:eastAsia="zh-TW"/>
        </w:rPr>
        <w:t>AGE</w:t>
      </w:r>
      <w:r w:rsidR="005D4313" w:rsidRPr="007048BA">
        <w:rPr>
          <w:lang w:val="en-GB" w:eastAsia="zh-TW"/>
        </w:rPr>
        <w:t>), industry concentration (</w:t>
      </w:r>
      <w:r w:rsidR="005D4313" w:rsidRPr="007048BA">
        <w:rPr>
          <w:i/>
          <w:lang w:val="en-GB" w:eastAsia="zh-TW"/>
        </w:rPr>
        <w:t>HHI</w:t>
      </w:r>
      <w:r w:rsidR="005D4313" w:rsidRPr="007048BA">
        <w:rPr>
          <w:lang w:val="en-GB" w:eastAsia="zh-TW"/>
        </w:rPr>
        <w:t>) and the presence of block holders (</w:t>
      </w:r>
      <w:r w:rsidR="00EF63A8" w:rsidRPr="007048BA">
        <w:rPr>
          <w:i/>
          <w:lang w:val="en-GB" w:eastAsia="zh-TW"/>
        </w:rPr>
        <w:t>BLOC</w:t>
      </w:r>
      <w:r w:rsidR="005D4313" w:rsidRPr="007048BA">
        <w:rPr>
          <w:lang w:val="en-GB" w:eastAsia="zh-TW"/>
        </w:rPr>
        <w:t xml:space="preserve">). </w:t>
      </w:r>
      <w:r w:rsidR="00734096" w:rsidRPr="007048BA">
        <w:rPr>
          <w:lang w:val="en-GB" w:eastAsia="zh-TW"/>
        </w:rPr>
        <w:t>T</w:t>
      </w:r>
      <w:r w:rsidR="008C3BD9" w:rsidRPr="007048BA">
        <w:rPr>
          <w:lang w:val="en-GB" w:eastAsia="zh-TW"/>
        </w:rPr>
        <w:t xml:space="preserve">he coefficients of control variables </w:t>
      </w:r>
      <w:r w:rsidR="00734096" w:rsidRPr="007048BA">
        <w:rPr>
          <w:lang w:val="en-GB" w:eastAsia="zh-TW"/>
        </w:rPr>
        <w:t xml:space="preserve">in models 2 and 4 </w:t>
      </w:r>
      <w:r w:rsidR="008C3BD9" w:rsidRPr="007048BA">
        <w:rPr>
          <w:lang w:val="en-GB" w:eastAsia="zh-TW"/>
        </w:rPr>
        <w:t xml:space="preserve">are suppressed to save space. </w:t>
      </w:r>
      <w:r w:rsidR="005D4313" w:rsidRPr="007048BA">
        <w:rPr>
          <w:lang w:val="en-GB" w:eastAsia="zh-TW"/>
        </w:rPr>
        <w:t>All variables are fully defined in Appendix 1.</w:t>
      </w:r>
      <w:r w:rsidR="005D4313" w:rsidRPr="007048BA">
        <w:t xml:space="preserve"> </w:t>
      </w:r>
      <w:r w:rsidR="005D4313" w:rsidRPr="007048BA">
        <w:rPr>
          <w:lang w:val="en-GB" w:eastAsia="zh-TW"/>
        </w:rPr>
        <w:t xml:space="preserve">The </w:t>
      </w:r>
      <w:r w:rsidR="005D4313" w:rsidRPr="007048BA">
        <w:rPr>
          <w:i/>
          <w:lang w:val="en-GB" w:eastAsia="zh-TW"/>
        </w:rPr>
        <w:t>p-values</w:t>
      </w:r>
      <w:r w:rsidR="005D4313" w:rsidRPr="007048BA">
        <w:rPr>
          <w:lang w:val="en-GB" w:eastAsia="zh-TW"/>
        </w:rPr>
        <w:t xml:space="preserve"> for model coefficients are presented in parenthesis. ***, **, * indicate statistical significance at the 1%, 5% and 10% level of significance, respectively.</w:t>
      </w:r>
    </w:p>
    <w:p w14:paraId="2353584F" w14:textId="72FB2F10" w:rsidR="00A25AE5" w:rsidRPr="007048BA" w:rsidRDefault="00A25AE5" w:rsidP="0060367E">
      <w:pPr>
        <w:rPr>
          <w:rFonts w:eastAsia="PMingLiU" w:cs="Times New Roman"/>
          <w:b/>
          <w:i/>
          <w:sz w:val="28"/>
          <w:szCs w:val="24"/>
          <w:lang w:val="en-GB" w:eastAsia="zh-TW"/>
        </w:rPr>
      </w:pPr>
      <w:r w:rsidRPr="007048BA">
        <w:rPr>
          <w:rFonts w:eastAsia="PMingLiU" w:cs="Times New Roman"/>
          <w:b/>
          <w:i/>
          <w:sz w:val="28"/>
          <w:szCs w:val="24"/>
          <w:lang w:val="en-GB" w:eastAsia="zh-TW"/>
        </w:rPr>
        <w:t>Panel A</w:t>
      </w:r>
      <w:r w:rsidR="00AE50C4" w:rsidRPr="007048BA">
        <w:rPr>
          <w:rFonts w:eastAsia="PMingLiU" w:cs="Times New Roman"/>
          <w:b/>
          <w:i/>
          <w:sz w:val="28"/>
          <w:szCs w:val="24"/>
          <w:lang w:val="en-GB" w:eastAsia="zh-TW"/>
        </w:rPr>
        <w:t xml:space="preserve">: Difference in means and medians </w:t>
      </w:r>
    </w:p>
    <w:tbl>
      <w:tblPr>
        <w:tblW w:w="9114" w:type="dxa"/>
        <w:jc w:val="center"/>
        <w:tblBorders>
          <w:top w:val="single" w:sz="4" w:space="0" w:color="auto"/>
          <w:bottom w:val="single" w:sz="4" w:space="0" w:color="auto"/>
        </w:tblBorders>
        <w:tblLook w:val="04A0" w:firstRow="1" w:lastRow="0" w:firstColumn="1" w:lastColumn="0" w:noHBand="0" w:noVBand="1"/>
      </w:tblPr>
      <w:tblGrid>
        <w:gridCol w:w="1650"/>
        <w:gridCol w:w="2133"/>
        <w:gridCol w:w="2704"/>
        <w:gridCol w:w="1411"/>
        <w:gridCol w:w="1216"/>
      </w:tblGrid>
      <w:tr w:rsidR="00EA2EE0" w:rsidRPr="007048BA" w14:paraId="2FBC96B8" w14:textId="77777777" w:rsidTr="00714181">
        <w:trPr>
          <w:trHeight w:val="300"/>
          <w:jc w:val="center"/>
        </w:trPr>
        <w:tc>
          <w:tcPr>
            <w:tcW w:w="1650" w:type="dxa"/>
            <w:shd w:val="clear" w:color="auto" w:fill="auto"/>
            <w:noWrap/>
            <w:vAlign w:val="center"/>
            <w:hideMark/>
          </w:tcPr>
          <w:p w14:paraId="1C51097A" w14:textId="77777777" w:rsidR="00EA2EE0" w:rsidRPr="007048BA" w:rsidRDefault="00EA2EE0" w:rsidP="006F531A">
            <w:pPr>
              <w:spacing w:after="0" w:line="240" w:lineRule="auto"/>
              <w:ind w:firstLine="0"/>
              <w:jc w:val="center"/>
              <w:rPr>
                <w:rFonts w:eastAsia="Times New Roman" w:cs="Times New Roman"/>
                <w:b/>
                <w:szCs w:val="24"/>
                <w:lang w:val="en-GB" w:eastAsia="en-GB"/>
              </w:rPr>
            </w:pPr>
          </w:p>
        </w:tc>
        <w:tc>
          <w:tcPr>
            <w:tcW w:w="2133" w:type="dxa"/>
            <w:tcBorders>
              <w:top w:val="single" w:sz="4" w:space="0" w:color="auto"/>
              <w:bottom w:val="single" w:sz="4" w:space="0" w:color="auto"/>
            </w:tcBorders>
            <w:shd w:val="clear" w:color="auto" w:fill="auto"/>
            <w:noWrap/>
            <w:vAlign w:val="center"/>
            <w:hideMark/>
          </w:tcPr>
          <w:p w14:paraId="230247C2" w14:textId="77777777" w:rsidR="006F531A" w:rsidRPr="007048BA" w:rsidRDefault="00EA2EE0" w:rsidP="006F531A">
            <w:pPr>
              <w:spacing w:after="0" w:line="240" w:lineRule="auto"/>
              <w:ind w:firstLine="0"/>
              <w:jc w:val="center"/>
              <w:rPr>
                <w:rFonts w:eastAsia="Times New Roman" w:cs="Times New Roman"/>
                <w:b/>
                <w:i/>
                <w:color w:val="000000"/>
                <w:szCs w:val="24"/>
                <w:lang w:val="en-GB" w:eastAsia="en-GB"/>
              </w:rPr>
            </w:pPr>
            <w:r w:rsidRPr="007048BA">
              <w:rPr>
                <w:rFonts w:eastAsia="Times New Roman" w:cs="Times New Roman"/>
                <w:b/>
                <w:i/>
                <w:color w:val="000000"/>
                <w:szCs w:val="24"/>
                <w:lang w:val="en-GB" w:eastAsia="en-GB"/>
              </w:rPr>
              <w:t>Poor and Myopia</w:t>
            </w:r>
          </w:p>
          <w:p w14:paraId="6BE54151" w14:textId="711BBEF1" w:rsidR="00EA2EE0" w:rsidRPr="007048BA" w:rsidRDefault="00EA2EE0" w:rsidP="006F531A">
            <w:pPr>
              <w:spacing w:after="0" w:line="240" w:lineRule="auto"/>
              <w:ind w:firstLine="0"/>
              <w:jc w:val="center"/>
              <w:rPr>
                <w:rFonts w:eastAsia="Times New Roman" w:cs="Times New Roman"/>
                <w:b/>
                <w:i/>
                <w:color w:val="000000"/>
                <w:szCs w:val="24"/>
                <w:lang w:val="en-GB" w:eastAsia="en-GB"/>
              </w:rPr>
            </w:pPr>
            <w:r w:rsidRPr="007048BA">
              <w:rPr>
                <w:rFonts w:eastAsia="Times New Roman" w:cs="Times New Roman"/>
                <w:b/>
                <w:i/>
                <w:color w:val="000000"/>
                <w:szCs w:val="24"/>
                <w:lang w:val="en-GB" w:eastAsia="en-GB"/>
              </w:rPr>
              <w:t>(PM)</w:t>
            </w:r>
          </w:p>
        </w:tc>
        <w:tc>
          <w:tcPr>
            <w:tcW w:w="2704" w:type="dxa"/>
            <w:tcBorders>
              <w:top w:val="single" w:sz="4" w:space="0" w:color="auto"/>
              <w:bottom w:val="single" w:sz="4" w:space="0" w:color="auto"/>
            </w:tcBorders>
            <w:shd w:val="clear" w:color="auto" w:fill="auto"/>
            <w:noWrap/>
            <w:vAlign w:val="center"/>
            <w:hideMark/>
          </w:tcPr>
          <w:p w14:paraId="225CC145" w14:textId="50791E82" w:rsidR="006F531A" w:rsidRPr="007048BA" w:rsidRDefault="00EA2EE0" w:rsidP="006F531A">
            <w:pPr>
              <w:spacing w:after="0" w:line="240" w:lineRule="auto"/>
              <w:ind w:firstLine="0"/>
              <w:jc w:val="center"/>
              <w:rPr>
                <w:rFonts w:eastAsia="Times New Roman" w:cs="Times New Roman"/>
                <w:b/>
                <w:i/>
                <w:color w:val="000000"/>
                <w:szCs w:val="24"/>
                <w:lang w:val="en-GB" w:eastAsia="en-GB"/>
              </w:rPr>
            </w:pPr>
            <w:r w:rsidRPr="007048BA">
              <w:rPr>
                <w:rFonts w:eastAsia="Times New Roman" w:cs="Times New Roman"/>
                <w:b/>
                <w:i/>
                <w:color w:val="000000"/>
                <w:szCs w:val="24"/>
                <w:lang w:val="en-GB" w:eastAsia="en-GB"/>
              </w:rPr>
              <w:t>Hyperopia and Efficient</w:t>
            </w:r>
          </w:p>
          <w:p w14:paraId="5507C2E0" w14:textId="4001DBDF" w:rsidR="00EA2EE0" w:rsidRPr="007048BA" w:rsidRDefault="00EA2EE0" w:rsidP="006F531A">
            <w:pPr>
              <w:spacing w:after="0" w:line="240" w:lineRule="auto"/>
              <w:ind w:firstLine="0"/>
              <w:jc w:val="center"/>
              <w:rPr>
                <w:rFonts w:eastAsia="Times New Roman" w:cs="Times New Roman"/>
                <w:b/>
                <w:i/>
                <w:color w:val="000000"/>
                <w:szCs w:val="24"/>
                <w:lang w:val="en-GB" w:eastAsia="en-GB"/>
              </w:rPr>
            </w:pPr>
            <w:r w:rsidRPr="007048BA">
              <w:rPr>
                <w:rFonts w:eastAsia="Times New Roman" w:cs="Times New Roman"/>
                <w:b/>
                <w:i/>
                <w:color w:val="000000"/>
                <w:szCs w:val="24"/>
                <w:lang w:val="en-GB" w:eastAsia="en-GB"/>
              </w:rPr>
              <w:t>(HE)</w:t>
            </w:r>
          </w:p>
        </w:tc>
        <w:tc>
          <w:tcPr>
            <w:tcW w:w="1411" w:type="dxa"/>
            <w:tcBorders>
              <w:top w:val="single" w:sz="4" w:space="0" w:color="auto"/>
              <w:bottom w:val="single" w:sz="4" w:space="0" w:color="auto"/>
            </w:tcBorders>
            <w:shd w:val="clear" w:color="auto" w:fill="auto"/>
            <w:noWrap/>
            <w:vAlign w:val="center"/>
            <w:hideMark/>
          </w:tcPr>
          <w:p w14:paraId="5B86193C" w14:textId="51943DEA" w:rsidR="006F531A" w:rsidRPr="007048BA" w:rsidRDefault="00EA2EE0" w:rsidP="006F531A">
            <w:pPr>
              <w:spacing w:after="0" w:line="240" w:lineRule="auto"/>
              <w:ind w:firstLine="0"/>
              <w:jc w:val="center"/>
              <w:rPr>
                <w:rFonts w:eastAsia="Times New Roman" w:cs="Times New Roman"/>
                <w:b/>
                <w:i/>
                <w:color w:val="000000"/>
                <w:szCs w:val="24"/>
                <w:lang w:val="en-GB" w:eastAsia="en-GB"/>
              </w:rPr>
            </w:pPr>
            <w:r w:rsidRPr="007048BA">
              <w:rPr>
                <w:rFonts w:eastAsia="Times New Roman" w:cs="Times New Roman"/>
                <w:b/>
                <w:i/>
                <w:color w:val="000000"/>
                <w:szCs w:val="24"/>
                <w:lang w:val="en-GB" w:eastAsia="en-GB"/>
              </w:rPr>
              <w:t>Difference</w:t>
            </w:r>
          </w:p>
          <w:p w14:paraId="25CBEE5B" w14:textId="1C96AD61" w:rsidR="00EA2EE0" w:rsidRPr="007048BA" w:rsidRDefault="00EA2EE0" w:rsidP="006F531A">
            <w:pPr>
              <w:spacing w:after="0" w:line="240" w:lineRule="auto"/>
              <w:ind w:firstLine="0"/>
              <w:jc w:val="center"/>
              <w:rPr>
                <w:rFonts w:eastAsia="Times New Roman" w:cs="Times New Roman"/>
                <w:b/>
                <w:i/>
                <w:color w:val="000000"/>
                <w:szCs w:val="24"/>
                <w:lang w:val="en-GB" w:eastAsia="en-GB"/>
              </w:rPr>
            </w:pPr>
            <w:r w:rsidRPr="007048BA">
              <w:rPr>
                <w:rFonts w:eastAsia="Times New Roman" w:cs="Times New Roman"/>
                <w:b/>
                <w:i/>
                <w:color w:val="000000"/>
                <w:szCs w:val="24"/>
                <w:lang w:val="en-GB" w:eastAsia="en-GB"/>
              </w:rPr>
              <w:t>(HE-PM)</w:t>
            </w:r>
          </w:p>
        </w:tc>
        <w:tc>
          <w:tcPr>
            <w:tcW w:w="1216" w:type="dxa"/>
            <w:tcBorders>
              <w:top w:val="single" w:sz="4" w:space="0" w:color="auto"/>
              <w:bottom w:val="single" w:sz="4" w:space="0" w:color="auto"/>
            </w:tcBorders>
            <w:shd w:val="clear" w:color="auto" w:fill="auto"/>
            <w:noWrap/>
            <w:vAlign w:val="center"/>
            <w:hideMark/>
          </w:tcPr>
          <w:p w14:paraId="1B83F0E1" w14:textId="77777777" w:rsidR="00EA2EE0" w:rsidRPr="007048BA" w:rsidRDefault="00EA2EE0" w:rsidP="006F531A">
            <w:pPr>
              <w:spacing w:after="0" w:line="240" w:lineRule="auto"/>
              <w:ind w:firstLine="0"/>
              <w:jc w:val="center"/>
              <w:rPr>
                <w:rFonts w:eastAsia="Times New Roman" w:cs="Times New Roman"/>
                <w:b/>
                <w:i/>
                <w:color w:val="000000"/>
                <w:szCs w:val="24"/>
                <w:lang w:val="en-GB" w:eastAsia="en-GB"/>
              </w:rPr>
            </w:pPr>
            <w:r w:rsidRPr="007048BA">
              <w:rPr>
                <w:rFonts w:eastAsia="Times New Roman" w:cs="Times New Roman"/>
                <w:b/>
                <w:i/>
                <w:color w:val="000000"/>
                <w:szCs w:val="24"/>
                <w:lang w:val="en-GB" w:eastAsia="en-GB"/>
              </w:rPr>
              <w:t>(p-value)</w:t>
            </w:r>
          </w:p>
        </w:tc>
      </w:tr>
      <w:tr w:rsidR="00EA2EE0" w:rsidRPr="007048BA" w14:paraId="355D278E" w14:textId="77777777" w:rsidTr="00714181">
        <w:trPr>
          <w:trHeight w:val="300"/>
          <w:jc w:val="center"/>
        </w:trPr>
        <w:tc>
          <w:tcPr>
            <w:tcW w:w="1650" w:type="dxa"/>
            <w:shd w:val="clear" w:color="auto" w:fill="auto"/>
            <w:noWrap/>
            <w:vAlign w:val="bottom"/>
            <w:hideMark/>
          </w:tcPr>
          <w:p w14:paraId="70EEE669" w14:textId="77777777" w:rsidR="00EA2EE0" w:rsidRPr="007048BA" w:rsidRDefault="00EA2EE0" w:rsidP="00EA2EE0">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Mean MTB</w:t>
            </w:r>
          </w:p>
        </w:tc>
        <w:tc>
          <w:tcPr>
            <w:tcW w:w="2133" w:type="dxa"/>
            <w:tcBorders>
              <w:top w:val="single" w:sz="4" w:space="0" w:color="auto"/>
            </w:tcBorders>
            <w:shd w:val="clear" w:color="auto" w:fill="auto"/>
            <w:noWrap/>
            <w:vAlign w:val="bottom"/>
            <w:hideMark/>
          </w:tcPr>
          <w:p w14:paraId="180A349F" w14:textId="77777777" w:rsidR="00EA2EE0" w:rsidRPr="007048BA" w:rsidRDefault="00EA2EE0" w:rsidP="006F531A">
            <w:pPr>
              <w:spacing w:after="0" w:line="240" w:lineRule="auto"/>
              <w:ind w:firstLine="0"/>
              <w:jc w:val="center"/>
              <w:rPr>
                <w:rFonts w:eastAsia="Times New Roman" w:cs="Times New Roman"/>
                <w:color w:val="000000"/>
                <w:szCs w:val="24"/>
                <w:lang w:val="en-GB" w:eastAsia="en-GB"/>
              </w:rPr>
            </w:pPr>
            <w:r w:rsidRPr="007048BA">
              <w:rPr>
                <w:rFonts w:eastAsia="Times New Roman" w:cs="Times New Roman"/>
                <w:color w:val="000000"/>
                <w:szCs w:val="24"/>
                <w:lang w:val="en-GB" w:eastAsia="en-GB"/>
              </w:rPr>
              <w:t>1.727</w:t>
            </w:r>
          </w:p>
        </w:tc>
        <w:tc>
          <w:tcPr>
            <w:tcW w:w="2704" w:type="dxa"/>
            <w:tcBorders>
              <w:top w:val="single" w:sz="4" w:space="0" w:color="auto"/>
            </w:tcBorders>
            <w:shd w:val="clear" w:color="auto" w:fill="auto"/>
            <w:noWrap/>
            <w:vAlign w:val="bottom"/>
            <w:hideMark/>
          </w:tcPr>
          <w:p w14:paraId="5A916F95" w14:textId="77777777" w:rsidR="00EA2EE0" w:rsidRPr="007048BA" w:rsidRDefault="00EA2EE0" w:rsidP="006F531A">
            <w:pPr>
              <w:spacing w:after="0" w:line="240" w:lineRule="auto"/>
              <w:ind w:firstLine="0"/>
              <w:jc w:val="center"/>
              <w:rPr>
                <w:rFonts w:eastAsia="Times New Roman" w:cs="Times New Roman"/>
                <w:color w:val="000000"/>
                <w:szCs w:val="24"/>
                <w:lang w:val="en-GB" w:eastAsia="en-GB"/>
              </w:rPr>
            </w:pPr>
            <w:r w:rsidRPr="007048BA">
              <w:rPr>
                <w:rFonts w:eastAsia="Times New Roman" w:cs="Times New Roman"/>
                <w:color w:val="000000"/>
                <w:szCs w:val="24"/>
                <w:lang w:val="en-GB" w:eastAsia="en-GB"/>
              </w:rPr>
              <w:t>1.694</w:t>
            </w:r>
          </w:p>
        </w:tc>
        <w:tc>
          <w:tcPr>
            <w:tcW w:w="1411" w:type="dxa"/>
            <w:tcBorders>
              <w:top w:val="single" w:sz="4" w:space="0" w:color="auto"/>
            </w:tcBorders>
            <w:shd w:val="clear" w:color="auto" w:fill="auto"/>
            <w:noWrap/>
            <w:vAlign w:val="bottom"/>
            <w:hideMark/>
          </w:tcPr>
          <w:p w14:paraId="18728D55" w14:textId="77777777" w:rsidR="00EA2EE0" w:rsidRPr="007048BA" w:rsidRDefault="00EA2EE0" w:rsidP="006F531A">
            <w:pPr>
              <w:spacing w:after="0" w:line="240" w:lineRule="auto"/>
              <w:ind w:firstLine="0"/>
              <w:jc w:val="center"/>
              <w:rPr>
                <w:rFonts w:eastAsia="Times New Roman" w:cs="Times New Roman"/>
                <w:color w:val="000000"/>
                <w:szCs w:val="24"/>
                <w:lang w:val="en-GB" w:eastAsia="en-GB"/>
              </w:rPr>
            </w:pPr>
            <w:r w:rsidRPr="007048BA">
              <w:rPr>
                <w:rFonts w:eastAsia="Times New Roman" w:cs="Times New Roman"/>
                <w:color w:val="000000"/>
                <w:szCs w:val="24"/>
                <w:lang w:val="en-GB" w:eastAsia="en-GB"/>
              </w:rPr>
              <w:t>-0.033</w:t>
            </w:r>
          </w:p>
        </w:tc>
        <w:tc>
          <w:tcPr>
            <w:tcW w:w="1216" w:type="dxa"/>
            <w:tcBorders>
              <w:top w:val="single" w:sz="4" w:space="0" w:color="auto"/>
            </w:tcBorders>
            <w:shd w:val="clear" w:color="auto" w:fill="auto"/>
            <w:noWrap/>
            <w:vAlign w:val="bottom"/>
            <w:hideMark/>
          </w:tcPr>
          <w:p w14:paraId="7DA4C66C" w14:textId="77777777" w:rsidR="00EA2EE0" w:rsidRPr="007048BA" w:rsidRDefault="00EA2EE0" w:rsidP="006F531A">
            <w:pPr>
              <w:spacing w:after="0" w:line="240" w:lineRule="auto"/>
              <w:ind w:firstLine="0"/>
              <w:jc w:val="center"/>
              <w:rPr>
                <w:rFonts w:eastAsia="Times New Roman" w:cs="Times New Roman"/>
                <w:color w:val="000000"/>
                <w:szCs w:val="24"/>
                <w:lang w:val="en-GB" w:eastAsia="en-GB"/>
              </w:rPr>
            </w:pPr>
            <w:r w:rsidRPr="007048BA">
              <w:rPr>
                <w:rFonts w:eastAsia="Times New Roman" w:cs="Times New Roman"/>
                <w:color w:val="000000"/>
                <w:szCs w:val="24"/>
                <w:lang w:val="en-GB" w:eastAsia="en-GB"/>
              </w:rPr>
              <w:t>(0.205)</w:t>
            </w:r>
          </w:p>
        </w:tc>
      </w:tr>
      <w:tr w:rsidR="00EA2EE0" w:rsidRPr="007048BA" w14:paraId="0DC3C2DA" w14:textId="77777777" w:rsidTr="00714181">
        <w:trPr>
          <w:trHeight w:val="300"/>
          <w:jc w:val="center"/>
        </w:trPr>
        <w:tc>
          <w:tcPr>
            <w:tcW w:w="1650" w:type="dxa"/>
            <w:shd w:val="clear" w:color="auto" w:fill="auto"/>
            <w:noWrap/>
            <w:vAlign w:val="bottom"/>
            <w:hideMark/>
          </w:tcPr>
          <w:p w14:paraId="51C3320D" w14:textId="77777777" w:rsidR="00EA2EE0" w:rsidRPr="007048BA" w:rsidRDefault="00EA2EE0" w:rsidP="00EA2EE0">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Median MTB</w:t>
            </w:r>
          </w:p>
        </w:tc>
        <w:tc>
          <w:tcPr>
            <w:tcW w:w="2133" w:type="dxa"/>
            <w:shd w:val="clear" w:color="auto" w:fill="auto"/>
            <w:noWrap/>
            <w:vAlign w:val="bottom"/>
            <w:hideMark/>
          </w:tcPr>
          <w:p w14:paraId="4863F0CB" w14:textId="77777777" w:rsidR="00EA2EE0" w:rsidRPr="007048BA" w:rsidRDefault="00EA2EE0" w:rsidP="006F531A">
            <w:pPr>
              <w:spacing w:after="0" w:line="240" w:lineRule="auto"/>
              <w:ind w:firstLine="0"/>
              <w:jc w:val="center"/>
              <w:rPr>
                <w:rFonts w:eastAsia="Times New Roman" w:cs="Times New Roman"/>
                <w:color w:val="000000"/>
                <w:szCs w:val="24"/>
                <w:lang w:val="en-GB" w:eastAsia="en-GB"/>
              </w:rPr>
            </w:pPr>
            <w:r w:rsidRPr="007048BA">
              <w:rPr>
                <w:rFonts w:eastAsia="Times New Roman" w:cs="Times New Roman"/>
                <w:color w:val="000000"/>
                <w:szCs w:val="24"/>
                <w:lang w:val="en-GB" w:eastAsia="en-GB"/>
              </w:rPr>
              <w:t>1.044</w:t>
            </w:r>
          </w:p>
        </w:tc>
        <w:tc>
          <w:tcPr>
            <w:tcW w:w="2704" w:type="dxa"/>
            <w:shd w:val="clear" w:color="auto" w:fill="auto"/>
            <w:noWrap/>
            <w:vAlign w:val="bottom"/>
            <w:hideMark/>
          </w:tcPr>
          <w:p w14:paraId="3D196DF1" w14:textId="77777777" w:rsidR="00EA2EE0" w:rsidRPr="007048BA" w:rsidRDefault="00EA2EE0" w:rsidP="006F531A">
            <w:pPr>
              <w:spacing w:after="0" w:line="240" w:lineRule="auto"/>
              <w:ind w:firstLine="0"/>
              <w:jc w:val="center"/>
              <w:rPr>
                <w:rFonts w:eastAsia="Times New Roman" w:cs="Times New Roman"/>
                <w:color w:val="000000"/>
                <w:szCs w:val="24"/>
                <w:lang w:val="en-GB" w:eastAsia="en-GB"/>
              </w:rPr>
            </w:pPr>
            <w:r w:rsidRPr="007048BA">
              <w:rPr>
                <w:rFonts w:eastAsia="Times New Roman" w:cs="Times New Roman"/>
                <w:color w:val="000000"/>
                <w:szCs w:val="24"/>
                <w:lang w:val="en-GB" w:eastAsia="en-GB"/>
              </w:rPr>
              <w:t>0.991</w:t>
            </w:r>
          </w:p>
        </w:tc>
        <w:tc>
          <w:tcPr>
            <w:tcW w:w="1411" w:type="dxa"/>
            <w:shd w:val="clear" w:color="auto" w:fill="auto"/>
            <w:noWrap/>
            <w:vAlign w:val="bottom"/>
            <w:hideMark/>
          </w:tcPr>
          <w:p w14:paraId="139B9A5C" w14:textId="16BE7C67" w:rsidR="00EA2EE0" w:rsidRPr="007048BA" w:rsidRDefault="00EA2EE0" w:rsidP="006F531A">
            <w:pPr>
              <w:spacing w:after="0" w:line="240" w:lineRule="auto"/>
              <w:ind w:firstLine="0"/>
              <w:jc w:val="center"/>
              <w:rPr>
                <w:rFonts w:eastAsia="Times New Roman" w:cs="Times New Roman"/>
                <w:color w:val="000000"/>
                <w:szCs w:val="24"/>
                <w:lang w:val="en-GB" w:eastAsia="en-GB"/>
              </w:rPr>
            </w:pPr>
            <w:r w:rsidRPr="007048BA">
              <w:rPr>
                <w:rFonts w:eastAsia="Times New Roman" w:cs="Times New Roman"/>
                <w:color w:val="000000"/>
                <w:szCs w:val="24"/>
                <w:lang w:val="en-GB" w:eastAsia="en-GB"/>
              </w:rPr>
              <w:t>-0.053</w:t>
            </w:r>
            <w:r w:rsidR="006F531A" w:rsidRPr="007048BA">
              <w:rPr>
                <w:rFonts w:eastAsia="Times New Roman" w:cs="Times New Roman"/>
                <w:color w:val="000000"/>
                <w:szCs w:val="24"/>
                <w:lang w:val="en-GB" w:eastAsia="en-GB"/>
              </w:rPr>
              <w:t>***</w:t>
            </w:r>
          </w:p>
        </w:tc>
        <w:tc>
          <w:tcPr>
            <w:tcW w:w="1216" w:type="dxa"/>
            <w:shd w:val="clear" w:color="auto" w:fill="auto"/>
            <w:noWrap/>
            <w:vAlign w:val="bottom"/>
            <w:hideMark/>
          </w:tcPr>
          <w:p w14:paraId="537D6CCC" w14:textId="77777777" w:rsidR="00EA2EE0" w:rsidRPr="007048BA" w:rsidRDefault="00EA2EE0" w:rsidP="006F531A">
            <w:pPr>
              <w:spacing w:after="0" w:line="240" w:lineRule="auto"/>
              <w:ind w:firstLine="0"/>
              <w:jc w:val="center"/>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r>
      <w:tr w:rsidR="00EA2EE0" w:rsidRPr="007048BA" w14:paraId="7BBC566C" w14:textId="77777777" w:rsidTr="00714181">
        <w:trPr>
          <w:trHeight w:val="300"/>
          <w:jc w:val="center"/>
        </w:trPr>
        <w:tc>
          <w:tcPr>
            <w:tcW w:w="1650" w:type="dxa"/>
            <w:shd w:val="clear" w:color="auto" w:fill="auto"/>
            <w:noWrap/>
            <w:vAlign w:val="bottom"/>
            <w:hideMark/>
          </w:tcPr>
          <w:p w14:paraId="2A16D886" w14:textId="77777777" w:rsidR="00EA2EE0" w:rsidRPr="007048BA" w:rsidRDefault="00EA2EE0" w:rsidP="00EA2EE0">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Mean TBQ</w:t>
            </w:r>
          </w:p>
        </w:tc>
        <w:tc>
          <w:tcPr>
            <w:tcW w:w="2133" w:type="dxa"/>
            <w:shd w:val="clear" w:color="auto" w:fill="auto"/>
            <w:noWrap/>
            <w:vAlign w:val="bottom"/>
            <w:hideMark/>
          </w:tcPr>
          <w:p w14:paraId="497D506A" w14:textId="77777777" w:rsidR="00EA2EE0" w:rsidRPr="007048BA" w:rsidRDefault="00EA2EE0" w:rsidP="006F531A">
            <w:pPr>
              <w:spacing w:after="0" w:line="240" w:lineRule="auto"/>
              <w:ind w:firstLine="0"/>
              <w:jc w:val="center"/>
              <w:rPr>
                <w:rFonts w:eastAsia="Times New Roman" w:cs="Times New Roman"/>
                <w:color w:val="000000"/>
                <w:szCs w:val="24"/>
                <w:lang w:val="en-GB" w:eastAsia="en-GB"/>
              </w:rPr>
            </w:pPr>
            <w:r w:rsidRPr="007048BA">
              <w:rPr>
                <w:rFonts w:eastAsia="Times New Roman" w:cs="Times New Roman"/>
                <w:color w:val="000000"/>
                <w:szCs w:val="24"/>
                <w:lang w:val="en-GB" w:eastAsia="en-GB"/>
              </w:rPr>
              <w:t>2.064</w:t>
            </w:r>
          </w:p>
        </w:tc>
        <w:tc>
          <w:tcPr>
            <w:tcW w:w="2704" w:type="dxa"/>
            <w:shd w:val="clear" w:color="auto" w:fill="auto"/>
            <w:noWrap/>
            <w:vAlign w:val="bottom"/>
            <w:hideMark/>
          </w:tcPr>
          <w:p w14:paraId="6782D423" w14:textId="77777777" w:rsidR="00EA2EE0" w:rsidRPr="007048BA" w:rsidRDefault="00EA2EE0" w:rsidP="006F531A">
            <w:pPr>
              <w:spacing w:after="0" w:line="240" w:lineRule="auto"/>
              <w:ind w:firstLine="0"/>
              <w:jc w:val="center"/>
              <w:rPr>
                <w:rFonts w:eastAsia="Times New Roman" w:cs="Times New Roman"/>
                <w:color w:val="000000"/>
                <w:szCs w:val="24"/>
                <w:lang w:val="en-GB" w:eastAsia="en-GB"/>
              </w:rPr>
            </w:pPr>
            <w:r w:rsidRPr="007048BA">
              <w:rPr>
                <w:rFonts w:eastAsia="Times New Roman" w:cs="Times New Roman"/>
                <w:color w:val="000000"/>
                <w:szCs w:val="24"/>
                <w:lang w:val="en-GB" w:eastAsia="en-GB"/>
              </w:rPr>
              <w:t>1.888</w:t>
            </w:r>
          </w:p>
        </w:tc>
        <w:tc>
          <w:tcPr>
            <w:tcW w:w="1411" w:type="dxa"/>
            <w:shd w:val="clear" w:color="auto" w:fill="auto"/>
            <w:noWrap/>
            <w:vAlign w:val="bottom"/>
            <w:hideMark/>
          </w:tcPr>
          <w:p w14:paraId="2111368E" w14:textId="4B39A946" w:rsidR="00EA2EE0" w:rsidRPr="007048BA" w:rsidRDefault="00EA2EE0" w:rsidP="006F531A">
            <w:pPr>
              <w:spacing w:after="0" w:line="240" w:lineRule="auto"/>
              <w:ind w:firstLine="0"/>
              <w:jc w:val="center"/>
              <w:rPr>
                <w:rFonts w:eastAsia="Times New Roman" w:cs="Times New Roman"/>
                <w:color w:val="000000"/>
                <w:szCs w:val="24"/>
                <w:lang w:val="en-GB" w:eastAsia="en-GB"/>
              </w:rPr>
            </w:pPr>
            <w:r w:rsidRPr="007048BA">
              <w:rPr>
                <w:rFonts w:eastAsia="Times New Roman" w:cs="Times New Roman"/>
                <w:color w:val="000000"/>
                <w:szCs w:val="24"/>
                <w:lang w:val="en-GB" w:eastAsia="en-GB"/>
              </w:rPr>
              <w:t>-0.176</w:t>
            </w:r>
            <w:r w:rsidR="006F531A" w:rsidRPr="007048BA">
              <w:rPr>
                <w:rFonts w:eastAsia="Times New Roman" w:cs="Times New Roman"/>
                <w:color w:val="000000"/>
                <w:szCs w:val="24"/>
                <w:lang w:val="en-GB" w:eastAsia="en-GB"/>
              </w:rPr>
              <w:t>***</w:t>
            </w:r>
          </w:p>
        </w:tc>
        <w:tc>
          <w:tcPr>
            <w:tcW w:w="1216" w:type="dxa"/>
            <w:shd w:val="clear" w:color="auto" w:fill="auto"/>
            <w:noWrap/>
            <w:vAlign w:val="bottom"/>
            <w:hideMark/>
          </w:tcPr>
          <w:p w14:paraId="2C66B862" w14:textId="77777777" w:rsidR="00EA2EE0" w:rsidRPr="007048BA" w:rsidRDefault="00EA2EE0" w:rsidP="006F531A">
            <w:pPr>
              <w:spacing w:after="0" w:line="240" w:lineRule="auto"/>
              <w:ind w:firstLine="0"/>
              <w:jc w:val="center"/>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r>
      <w:tr w:rsidR="00EA2EE0" w:rsidRPr="007048BA" w14:paraId="1440D962" w14:textId="77777777" w:rsidTr="00714181">
        <w:trPr>
          <w:trHeight w:val="300"/>
          <w:jc w:val="center"/>
        </w:trPr>
        <w:tc>
          <w:tcPr>
            <w:tcW w:w="1650" w:type="dxa"/>
            <w:shd w:val="clear" w:color="auto" w:fill="auto"/>
            <w:noWrap/>
            <w:vAlign w:val="bottom"/>
            <w:hideMark/>
          </w:tcPr>
          <w:p w14:paraId="034C70BD" w14:textId="77777777" w:rsidR="00EA2EE0" w:rsidRPr="007048BA" w:rsidRDefault="00EA2EE0" w:rsidP="00EA2EE0">
            <w:pPr>
              <w:spacing w:after="0" w:line="240" w:lineRule="auto"/>
              <w:ind w:firstLine="0"/>
              <w:jc w:val="left"/>
              <w:rPr>
                <w:rFonts w:eastAsia="Times New Roman" w:cs="Times New Roman"/>
                <w:i/>
                <w:color w:val="000000"/>
                <w:szCs w:val="24"/>
                <w:lang w:val="en-GB" w:eastAsia="en-GB"/>
              </w:rPr>
            </w:pPr>
            <w:r w:rsidRPr="007048BA">
              <w:rPr>
                <w:rFonts w:eastAsia="Times New Roman" w:cs="Times New Roman"/>
                <w:i/>
                <w:color w:val="000000"/>
                <w:szCs w:val="24"/>
                <w:lang w:val="en-GB" w:eastAsia="en-GB"/>
              </w:rPr>
              <w:t>Median TBQ</w:t>
            </w:r>
          </w:p>
        </w:tc>
        <w:tc>
          <w:tcPr>
            <w:tcW w:w="2133" w:type="dxa"/>
            <w:shd w:val="clear" w:color="auto" w:fill="auto"/>
            <w:noWrap/>
            <w:vAlign w:val="bottom"/>
            <w:hideMark/>
          </w:tcPr>
          <w:p w14:paraId="268DADBF" w14:textId="77777777" w:rsidR="00EA2EE0" w:rsidRPr="007048BA" w:rsidRDefault="00EA2EE0" w:rsidP="006F531A">
            <w:pPr>
              <w:spacing w:after="0" w:line="240" w:lineRule="auto"/>
              <w:ind w:firstLine="0"/>
              <w:jc w:val="center"/>
              <w:rPr>
                <w:rFonts w:eastAsia="Times New Roman" w:cs="Times New Roman"/>
                <w:color w:val="000000"/>
                <w:szCs w:val="24"/>
                <w:lang w:val="en-GB" w:eastAsia="en-GB"/>
              </w:rPr>
            </w:pPr>
            <w:r w:rsidRPr="007048BA">
              <w:rPr>
                <w:rFonts w:eastAsia="Times New Roman" w:cs="Times New Roman"/>
                <w:color w:val="000000"/>
                <w:szCs w:val="24"/>
                <w:lang w:val="en-GB" w:eastAsia="en-GB"/>
              </w:rPr>
              <w:t>1.433</w:t>
            </w:r>
          </w:p>
        </w:tc>
        <w:tc>
          <w:tcPr>
            <w:tcW w:w="2704" w:type="dxa"/>
            <w:shd w:val="clear" w:color="auto" w:fill="auto"/>
            <w:noWrap/>
            <w:vAlign w:val="bottom"/>
            <w:hideMark/>
          </w:tcPr>
          <w:p w14:paraId="244F3CE0" w14:textId="77777777" w:rsidR="00EA2EE0" w:rsidRPr="007048BA" w:rsidRDefault="00EA2EE0" w:rsidP="006F531A">
            <w:pPr>
              <w:spacing w:after="0" w:line="240" w:lineRule="auto"/>
              <w:ind w:firstLine="0"/>
              <w:jc w:val="center"/>
              <w:rPr>
                <w:rFonts w:eastAsia="Times New Roman" w:cs="Times New Roman"/>
                <w:color w:val="000000"/>
                <w:szCs w:val="24"/>
                <w:lang w:val="en-GB" w:eastAsia="en-GB"/>
              </w:rPr>
            </w:pPr>
            <w:r w:rsidRPr="007048BA">
              <w:rPr>
                <w:rFonts w:eastAsia="Times New Roman" w:cs="Times New Roman"/>
                <w:color w:val="000000"/>
                <w:szCs w:val="24"/>
                <w:lang w:val="en-GB" w:eastAsia="en-GB"/>
              </w:rPr>
              <w:t>1.318</w:t>
            </w:r>
          </w:p>
        </w:tc>
        <w:tc>
          <w:tcPr>
            <w:tcW w:w="1411" w:type="dxa"/>
            <w:shd w:val="clear" w:color="auto" w:fill="auto"/>
            <w:noWrap/>
            <w:vAlign w:val="bottom"/>
            <w:hideMark/>
          </w:tcPr>
          <w:p w14:paraId="0EDF289B" w14:textId="57F6BE46" w:rsidR="00EA2EE0" w:rsidRPr="007048BA" w:rsidRDefault="00EA2EE0" w:rsidP="006F531A">
            <w:pPr>
              <w:spacing w:after="0" w:line="240" w:lineRule="auto"/>
              <w:ind w:firstLine="0"/>
              <w:jc w:val="center"/>
              <w:rPr>
                <w:rFonts w:eastAsia="Times New Roman" w:cs="Times New Roman"/>
                <w:color w:val="000000"/>
                <w:szCs w:val="24"/>
                <w:lang w:val="en-GB" w:eastAsia="en-GB"/>
              </w:rPr>
            </w:pPr>
            <w:r w:rsidRPr="007048BA">
              <w:rPr>
                <w:rFonts w:eastAsia="Times New Roman" w:cs="Times New Roman"/>
                <w:color w:val="000000"/>
                <w:szCs w:val="24"/>
                <w:lang w:val="en-GB" w:eastAsia="en-GB"/>
              </w:rPr>
              <w:t>-0.115</w:t>
            </w:r>
            <w:r w:rsidR="006F531A" w:rsidRPr="007048BA">
              <w:rPr>
                <w:rFonts w:eastAsia="Times New Roman" w:cs="Times New Roman"/>
                <w:color w:val="000000"/>
                <w:szCs w:val="24"/>
                <w:lang w:val="en-GB" w:eastAsia="en-GB"/>
              </w:rPr>
              <w:t>***</w:t>
            </w:r>
          </w:p>
        </w:tc>
        <w:tc>
          <w:tcPr>
            <w:tcW w:w="1216" w:type="dxa"/>
            <w:shd w:val="clear" w:color="auto" w:fill="auto"/>
            <w:noWrap/>
            <w:vAlign w:val="bottom"/>
            <w:hideMark/>
          </w:tcPr>
          <w:p w14:paraId="222583DF" w14:textId="77777777" w:rsidR="00EA2EE0" w:rsidRPr="007048BA" w:rsidRDefault="00EA2EE0" w:rsidP="006F531A">
            <w:pPr>
              <w:spacing w:after="0" w:line="240" w:lineRule="auto"/>
              <w:ind w:firstLine="0"/>
              <w:jc w:val="center"/>
              <w:rPr>
                <w:rFonts w:eastAsia="Times New Roman" w:cs="Times New Roman"/>
                <w:color w:val="000000"/>
                <w:szCs w:val="24"/>
                <w:lang w:val="en-GB" w:eastAsia="en-GB"/>
              </w:rPr>
            </w:pPr>
            <w:r w:rsidRPr="007048BA">
              <w:rPr>
                <w:rFonts w:eastAsia="Times New Roman" w:cs="Times New Roman"/>
                <w:color w:val="000000"/>
                <w:szCs w:val="24"/>
                <w:lang w:val="en-GB" w:eastAsia="en-GB"/>
              </w:rPr>
              <w:t>(0.000)</w:t>
            </w:r>
          </w:p>
        </w:tc>
      </w:tr>
    </w:tbl>
    <w:p w14:paraId="5D91AB61" w14:textId="09690CDF" w:rsidR="00A25AE5" w:rsidRPr="007048BA" w:rsidRDefault="00A25AE5" w:rsidP="00A25AE5">
      <w:pPr>
        <w:tabs>
          <w:tab w:val="left" w:pos="2325"/>
        </w:tabs>
        <w:rPr>
          <w:rFonts w:eastAsia="PMingLiU" w:cs="Times New Roman"/>
          <w:sz w:val="28"/>
          <w:szCs w:val="24"/>
          <w:lang w:val="en-GB" w:eastAsia="zh-TW"/>
        </w:rPr>
      </w:pPr>
      <w:r w:rsidRPr="007048BA">
        <w:rPr>
          <w:rFonts w:eastAsia="PMingLiU" w:cs="Times New Roman"/>
          <w:sz w:val="28"/>
          <w:szCs w:val="24"/>
          <w:lang w:val="en-GB" w:eastAsia="zh-TW"/>
        </w:rPr>
        <w:tab/>
      </w:r>
    </w:p>
    <w:p w14:paraId="3CA48660" w14:textId="7A761F46" w:rsidR="00EA2EE0" w:rsidRPr="007048BA" w:rsidRDefault="00A25AE5" w:rsidP="00A25AE5">
      <w:pPr>
        <w:tabs>
          <w:tab w:val="left" w:pos="2325"/>
        </w:tabs>
        <w:rPr>
          <w:rFonts w:eastAsia="PMingLiU" w:cs="Times New Roman"/>
          <w:b/>
          <w:i/>
          <w:sz w:val="28"/>
          <w:szCs w:val="24"/>
          <w:lang w:val="en-GB" w:eastAsia="zh-TW"/>
        </w:rPr>
        <w:sectPr w:rsidR="00EA2EE0" w:rsidRPr="007048BA" w:rsidSect="00BB3D0E">
          <w:pgSz w:w="12240" w:h="15840"/>
          <w:pgMar w:top="1304" w:right="964" w:bottom="1304" w:left="1077" w:header="720" w:footer="720" w:gutter="0"/>
          <w:cols w:space="720"/>
          <w:docGrid w:linePitch="360"/>
        </w:sectPr>
      </w:pPr>
      <w:r w:rsidRPr="007048BA">
        <w:rPr>
          <w:rFonts w:eastAsia="PMingLiU" w:cs="Times New Roman"/>
          <w:b/>
          <w:i/>
          <w:sz w:val="28"/>
          <w:szCs w:val="24"/>
          <w:lang w:val="en-GB" w:eastAsia="zh-TW"/>
        </w:rPr>
        <w:t xml:space="preserve">Panel B: </w:t>
      </w:r>
      <w:r w:rsidR="00770B4C" w:rsidRPr="007048BA">
        <w:rPr>
          <w:rFonts w:eastAsia="PMingLiU" w:cs="Times New Roman"/>
          <w:b/>
          <w:i/>
          <w:sz w:val="28"/>
          <w:szCs w:val="24"/>
          <w:lang w:val="en-GB" w:eastAsia="zh-TW"/>
        </w:rPr>
        <w:t xml:space="preserve">Panel </w:t>
      </w:r>
      <w:r w:rsidRPr="007048BA">
        <w:rPr>
          <w:rFonts w:eastAsia="PMingLiU" w:cs="Times New Roman"/>
          <w:b/>
          <w:i/>
          <w:sz w:val="28"/>
          <w:szCs w:val="24"/>
          <w:lang w:val="en-GB" w:eastAsia="zh-TW"/>
        </w:rPr>
        <w:t>regression</w:t>
      </w:r>
      <w:r w:rsidRPr="007048BA">
        <w:rPr>
          <w:rFonts w:eastAsia="PMingLiU" w:cs="Times New Roman"/>
          <w:b/>
          <w:i/>
          <w:sz w:val="28"/>
          <w:szCs w:val="24"/>
          <w:lang w:val="en-GB" w:eastAsia="zh-TW"/>
        </w:rPr>
        <w:tab/>
      </w:r>
    </w:p>
    <w:tbl>
      <w:tblPr>
        <w:tblW w:w="0" w:type="auto"/>
        <w:jc w:val="center"/>
        <w:tblBorders>
          <w:top w:val="single" w:sz="4" w:space="0" w:color="auto"/>
          <w:bottom w:val="single" w:sz="4" w:space="0" w:color="auto"/>
        </w:tblBorders>
        <w:tblLayout w:type="fixed"/>
        <w:tblCellMar>
          <w:left w:w="75" w:type="dxa"/>
          <w:right w:w="75" w:type="dxa"/>
        </w:tblCellMar>
        <w:tblLook w:val="0000" w:firstRow="0" w:lastRow="0" w:firstColumn="0" w:lastColumn="0" w:noHBand="0" w:noVBand="0"/>
      </w:tblPr>
      <w:tblGrid>
        <w:gridCol w:w="2122"/>
        <w:gridCol w:w="1842"/>
        <w:gridCol w:w="1701"/>
        <w:gridCol w:w="1418"/>
        <w:gridCol w:w="1701"/>
      </w:tblGrid>
      <w:tr w:rsidR="002D656B" w:rsidRPr="007048BA" w14:paraId="764B867F" w14:textId="77777777" w:rsidTr="00B11EFF">
        <w:trPr>
          <w:jc w:val="center"/>
        </w:trPr>
        <w:tc>
          <w:tcPr>
            <w:tcW w:w="2122" w:type="dxa"/>
            <w:tcBorders>
              <w:top w:val="single" w:sz="4" w:space="0" w:color="auto"/>
              <w:bottom w:val="nil"/>
            </w:tcBorders>
          </w:tcPr>
          <w:p w14:paraId="1FB68C7B" w14:textId="77777777" w:rsidR="002D656B" w:rsidRPr="007048BA" w:rsidRDefault="002D656B" w:rsidP="00A25AE5">
            <w:pPr>
              <w:widowControl w:val="0"/>
              <w:autoSpaceDE w:val="0"/>
              <w:autoSpaceDN w:val="0"/>
              <w:adjustRightInd w:val="0"/>
              <w:spacing w:after="0" w:line="240" w:lineRule="auto"/>
              <w:ind w:firstLine="0"/>
              <w:jc w:val="left"/>
              <w:rPr>
                <w:rFonts w:eastAsia="Times New Roman" w:cs="Times New Roman"/>
                <w:b/>
                <w:i/>
                <w:szCs w:val="24"/>
                <w:lang w:val="en-GB" w:eastAsia="en-GB"/>
              </w:rPr>
            </w:pPr>
          </w:p>
        </w:tc>
        <w:tc>
          <w:tcPr>
            <w:tcW w:w="3543" w:type="dxa"/>
            <w:gridSpan w:val="2"/>
            <w:tcBorders>
              <w:top w:val="single" w:sz="4" w:space="0" w:color="auto"/>
              <w:bottom w:val="nil"/>
            </w:tcBorders>
          </w:tcPr>
          <w:p w14:paraId="45D4B3D2" w14:textId="545C236F" w:rsidR="002D656B" w:rsidRPr="007048BA" w:rsidRDefault="002D656B" w:rsidP="00A25AE5">
            <w:pPr>
              <w:widowControl w:val="0"/>
              <w:autoSpaceDE w:val="0"/>
              <w:autoSpaceDN w:val="0"/>
              <w:adjustRightInd w:val="0"/>
              <w:spacing w:after="0" w:line="240" w:lineRule="auto"/>
              <w:ind w:firstLine="0"/>
              <w:jc w:val="center"/>
              <w:rPr>
                <w:rFonts w:eastAsia="Times New Roman" w:cs="Times New Roman"/>
                <w:b/>
                <w:i/>
                <w:szCs w:val="24"/>
                <w:lang w:val="en-GB" w:eastAsia="en-GB"/>
              </w:rPr>
            </w:pPr>
            <w:r w:rsidRPr="007048BA">
              <w:rPr>
                <w:rFonts w:eastAsia="Times New Roman" w:cs="Times New Roman"/>
                <w:b/>
                <w:i/>
                <w:szCs w:val="24"/>
                <w:lang w:val="en-GB" w:eastAsia="en-GB"/>
              </w:rPr>
              <w:t>MTB</w:t>
            </w:r>
          </w:p>
        </w:tc>
        <w:tc>
          <w:tcPr>
            <w:tcW w:w="3119" w:type="dxa"/>
            <w:gridSpan w:val="2"/>
            <w:tcBorders>
              <w:top w:val="single" w:sz="4" w:space="0" w:color="auto"/>
              <w:bottom w:val="nil"/>
            </w:tcBorders>
          </w:tcPr>
          <w:p w14:paraId="0C03511D" w14:textId="4814DB1F" w:rsidR="002D656B" w:rsidRPr="007048BA" w:rsidRDefault="002D656B" w:rsidP="00A25AE5">
            <w:pPr>
              <w:widowControl w:val="0"/>
              <w:autoSpaceDE w:val="0"/>
              <w:autoSpaceDN w:val="0"/>
              <w:adjustRightInd w:val="0"/>
              <w:spacing w:after="0" w:line="240" w:lineRule="auto"/>
              <w:ind w:firstLine="0"/>
              <w:jc w:val="center"/>
              <w:rPr>
                <w:rFonts w:eastAsia="Times New Roman" w:cs="Times New Roman"/>
                <w:b/>
                <w:i/>
                <w:szCs w:val="24"/>
                <w:lang w:val="en-GB" w:eastAsia="en-GB"/>
              </w:rPr>
            </w:pPr>
            <w:r w:rsidRPr="007048BA">
              <w:rPr>
                <w:rFonts w:eastAsia="Times New Roman" w:cs="Times New Roman"/>
                <w:b/>
                <w:i/>
                <w:szCs w:val="24"/>
                <w:lang w:val="en-GB" w:eastAsia="en-GB"/>
              </w:rPr>
              <w:t>TBQ</w:t>
            </w:r>
          </w:p>
        </w:tc>
      </w:tr>
      <w:tr w:rsidR="002D656B" w:rsidRPr="007048BA" w14:paraId="22E0B5E7" w14:textId="77777777" w:rsidTr="00B11EFF">
        <w:trPr>
          <w:jc w:val="center"/>
        </w:trPr>
        <w:tc>
          <w:tcPr>
            <w:tcW w:w="2122" w:type="dxa"/>
            <w:tcBorders>
              <w:top w:val="nil"/>
              <w:bottom w:val="nil"/>
            </w:tcBorders>
          </w:tcPr>
          <w:p w14:paraId="148579D2" w14:textId="77777777" w:rsidR="002D656B" w:rsidRPr="007048BA" w:rsidRDefault="002D656B" w:rsidP="00BC701D">
            <w:pPr>
              <w:widowControl w:val="0"/>
              <w:autoSpaceDE w:val="0"/>
              <w:autoSpaceDN w:val="0"/>
              <w:adjustRightInd w:val="0"/>
              <w:spacing w:after="0" w:line="240" w:lineRule="auto"/>
              <w:ind w:firstLine="0"/>
              <w:jc w:val="left"/>
              <w:rPr>
                <w:rFonts w:eastAsia="Times New Roman" w:cs="Times New Roman"/>
                <w:b/>
                <w:i/>
                <w:szCs w:val="24"/>
                <w:lang w:val="en-GB" w:eastAsia="en-GB"/>
              </w:rPr>
            </w:pPr>
          </w:p>
        </w:tc>
        <w:tc>
          <w:tcPr>
            <w:tcW w:w="1842" w:type="dxa"/>
            <w:tcBorders>
              <w:top w:val="nil"/>
              <w:bottom w:val="single" w:sz="4" w:space="0" w:color="auto"/>
            </w:tcBorders>
          </w:tcPr>
          <w:p w14:paraId="5F9F19B8" w14:textId="77777777" w:rsidR="002D656B" w:rsidRPr="007048BA" w:rsidRDefault="002D656B" w:rsidP="00BC701D">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(1)</w:t>
            </w:r>
          </w:p>
        </w:tc>
        <w:tc>
          <w:tcPr>
            <w:tcW w:w="1701" w:type="dxa"/>
            <w:tcBorders>
              <w:top w:val="nil"/>
              <w:bottom w:val="single" w:sz="4" w:space="0" w:color="auto"/>
            </w:tcBorders>
          </w:tcPr>
          <w:p w14:paraId="75AA9D07" w14:textId="77777777" w:rsidR="002D656B" w:rsidRPr="007048BA" w:rsidRDefault="002D656B" w:rsidP="00BC701D">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(2)</w:t>
            </w:r>
          </w:p>
        </w:tc>
        <w:tc>
          <w:tcPr>
            <w:tcW w:w="1418" w:type="dxa"/>
            <w:tcBorders>
              <w:top w:val="nil"/>
              <w:bottom w:val="single" w:sz="4" w:space="0" w:color="auto"/>
            </w:tcBorders>
          </w:tcPr>
          <w:p w14:paraId="2D57190B" w14:textId="77777777" w:rsidR="002D656B" w:rsidRPr="007048BA" w:rsidRDefault="002D656B" w:rsidP="00BC701D">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(3)</w:t>
            </w:r>
          </w:p>
        </w:tc>
        <w:tc>
          <w:tcPr>
            <w:tcW w:w="1701" w:type="dxa"/>
            <w:tcBorders>
              <w:top w:val="nil"/>
              <w:bottom w:val="single" w:sz="4" w:space="0" w:color="auto"/>
            </w:tcBorders>
          </w:tcPr>
          <w:p w14:paraId="01688C73" w14:textId="77777777" w:rsidR="002D656B" w:rsidRPr="007048BA" w:rsidRDefault="002D656B" w:rsidP="00BC701D">
            <w:pPr>
              <w:widowControl w:val="0"/>
              <w:autoSpaceDE w:val="0"/>
              <w:autoSpaceDN w:val="0"/>
              <w:adjustRightInd w:val="0"/>
              <w:spacing w:after="0" w:line="240" w:lineRule="auto"/>
              <w:ind w:firstLine="0"/>
              <w:jc w:val="center"/>
              <w:rPr>
                <w:rFonts w:eastAsia="Times New Roman" w:cs="Times New Roman"/>
                <w:i/>
                <w:szCs w:val="24"/>
                <w:lang w:val="en-GB" w:eastAsia="en-GB"/>
              </w:rPr>
            </w:pPr>
            <w:r w:rsidRPr="007048BA">
              <w:rPr>
                <w:rFonts w:eastAsia="Times New Roman" w:cs="Times New Roman"/>
                <w:i/>
                <w:szCs w:val="24"/>
                <w:lang w:val="en-GB" w:eastAsia="en-GB"/>
              </w:rPr>
              <w:t>(4)</w:t>
            </w:r>
          </w:p>
        </w:tc>
      </w:tr>
      <w:tr w:rsidR="00A25AE5" w:rsidRPr="007048BA" w14:paraId="65EC1414" w14:textId="77777777" w:rsidTr="00B11EFF">
        <w:trPr>
          <w:jc w:val="center"/>
        </w:trPr>
        <w:tc>
          <w:tcPr>
            <w:tcW w:w="2122" w:type="dxa"/>
            <w:tcBorders>
              <w:top w:val="nil"/>
              <w:bottom w:val="nil"/>
            </w:tcBorders>
          </w:tcPr>
          <w:p w14:paraId="4A73A27C" w14:textId="3DBD712D" w:rsidR="00A25AE5" w:rsidRPr="007048BA" w:rsidRDefault="00A25AE5" w:rsidP="00770B4C">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PM</w:t>
            </w:r>
            <w:r w:rsidR="00770B4C" w:rsidRPr="007048BA">
              <w:rPr>
                <w:rFonts w:eastAsia="Times New Roman" w:cs="Times New Roman"/>
                <w:i/>
                <w:szCs w:val="24"/>
                <w:lang w:val="en-GB" w:eastAsia="en-GB"/>
              </w:rPr>
              <w:t>_</w:t>
            </w:r>
            <w:r w:rsidRPr="007048BA">
              <w:rPr>
                <w:rFonts w:eastAsia="Times New Roman" w:cs="Times New Roman"/>
                <w:i/>
                <w:szCs w:val="24"/>
                <w:lang w:val="en-GB" w:eastAsia="en-GB"/>
              </w:rPr>
              <w:t>HE</w:t>
            </w:r>
          </w:p>
        </w:tc>
        <w:tc>
          <w:tcPr>
            <w:tcW w:w="1842" w:type="dxa"/>
            <w:tcBorders>
              <w:top w:val="single" w:sz="4" w:space="0" w:color="auto"/>
              <w:bottom w:val="nil"/>
            </w:tcBorders>
          </w:tcPr>
          <w:p w14:paraId="512D3BB3" w14:textId="7777777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-0.115***</w:t>
            </w:r>
          </w:p>
        </w:tc>
        <w:tc>
          <w:tcPr>
            <w:tcW w:w="1701" w:type="dxa"/>
            <w:tcBorders>
              <w:top w:val="single" w:sz="4" w:space="0" w:color="auto"/>
              <w:bottom w:val="nil"/>
            </w:tcBorders>
          </w:tcPr>
          <w:p w14:paraId="0126915A" w14:textId="7777777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-0.274***</w:t>
            </w:r>
          </w:p>
        </w:tc>
        <w:tc>
          <w:tcPr>
            <w:tcW w:w="1418" w:type="dxa"/>
            <w:tcBorders>
              <w:top w:val="single" w:sz="4" w:space="0" w:color="auto"/>
              <w:bottom w:val="nil"/>
            </w:tcBorders>
          </w:tcPr>
          <w:p w14:paraId="35A09443" w14:textId="64282068"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-0.183***</w:t>
            </w:r>
          </w:p>
        </w:tc>
        <w:tc>
          <w:tcPr>
            <w:tcW w:w="1701" w:type="dxa"/>
            <w:tcBorders>
              <w:top w:val="single" w:sz="4" w:space="0" w:color="auto"/>
              <w:bottom w:val="nil"/>
            </w:tcBorders>
          </w:tcPr>
          <w:p w14:paraId="3FA2DC59" w14:textId="06DBB44D"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-0.331***</w:t>
            </w:r>
          </w:p>
        </w:tc>
      </w:tr>
      <w:tr w:rsidR="00A25AE5" w:rsidRPr="007048BA" w14:paraId="01FE748D" w14:textId="77777777" w:rsidTr="007652EA">
        <w:trPr>
          <w:jc w:val="center"/>
        </w:trPr>
        <w:tc>
          <w:tcPr>
            <w:tcW w:w="2122" w:type="dxa"/>
            <w:tcBorders>
              <w:top w:val="nil"/>
            </w:tcBorders>
          </w:tcPr>
          <w:p w14:paraId="2CCB2F17" w14:textId="77777777" w:rsidR="00A25AE5" w:rsidRPr="007048BA" w:rsidRDefault="00A25AE5" w:rsidP="00A25AE5">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1842" w:type="dxa"/>
            <w:tcBorders>
              <w:top w:val="nil"/>
            </w:tcBorders>
          </w:tcPr>
          <w:p w14:paraId="09DA4772" w14:textId="7777777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701" w:type="dxa"/>
            <w:tcBorders>
              <w:top w:val="nil"/>
            </w:tcBorders>
          </w:tcPr>
          <w:p w14:paraId="3DAE15CB" w14:textId="7777777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418" w:type="dxa"/>
            <w:tcBorders>
              <w:top w:val="nil"/>
            </w:tcBorders>
          </w:tcPr>
          <w:p w14:paraId="6B896A68" w14:textId="727019CF"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701" w:type="dxa"/>
            <w:tcBorders>
              <w:top w:val="nil"/>
            </w:tcBorders>
          </w:tcPr>
          <w:p w14:paraId="5A86D74C" w14:textId="6C64A135"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A25AE5" w:rsidRPr="007048BA" w14:paraId="39BC976E" w14:textId="77777777" w:rsidTr="007652EA">
        <w:trPr>
          <w:jc w:val="center"/>
        </w:trPr>
        <w:tc>
          <w:tcPr>
            <w:tcW w:w="2122" w:type="dxa"/>
          </w:tcPr>
          <w:p w14:paraId="19C9F4F4" w14:textId="77777777" w:rsidR="00A25AE5" w:rsidRPr="007048BA" w:rsidRDefault="00A25AE5" w:rsidP="00A25AE5">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Controls</w:t>
            </w:r>
          </w:p>
        </w:tc>
        <w:tc>
          <w:tcPr>
            <w:tcW w:w="1842" w:type="dxa"/>
          </w:tcPr>
          <w:p w14:paraId="73C7032A" w14:textId="7777777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NO</w:t>
            </w:r>
          </w:p>
        </w:tc>
        <w:tc>
          <w:tcPr>
            <w:tcW w:w="1701" w:type="dxa"/>
          </w:tcPr>
          <w:p w14:paraId="5F7EBD67" w14:textId="7777777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418" w:type="dxa"/>
          </w:tcPr>
          <w:p w14:paraId="2ABC3197" w14:textId="519B06D8"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NO</w:t>
            </w:r>
          </w:p>
        </w:tc>
        <w:tc>
          <w:tcPr>
            <w:tcW w:w="1701" w:type="dxa"/>
          </w:tcPr>
          <w:p w14:paraId="1C350990" w14:textId="11C4173D"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r>
      <w:tr w:rsidR="00A25AE5" w:rsidRPr="007048BA" w14:paraId="64157DE7" w14:textId="77777777" w:rsidTr="007652EA">
        <w:trPr>
          <w:jc w:val="center"/>
        </w:trPr>
        <w:tc>
          <w:tcPr>
            <w:tcW w:w="2122" w:type="dxa"/>
          </w:tcPr>
          <w:p w14:paraId="130A20B2" w14:textId="77777777" w:rsidR="00A25AE5" w:rsidRPr="007048BA" w:rsidRDefault="00A25AE5" w:rsidP="00A25AE5">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Constant</w:t>
            </w:r>
          </w:p>
        </w:tc>
        <w:tc>
          <w:tcPr>
            <w:tcW w:w="1842" w:type="dxa"/>
          </w:tcPr>
          <w:p w14:paraId="0694F5F4" w14:textId="7777777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1.772***</w:t>
            </w:r>
          </w:p>
        </w:tc>
        <w:tc>
          <w:tcPr>
            <w:tcW w:w="1701" w:type="dxa"/>
          </w:tcPr>
          <w:p w14:paraId="3B5FFC03" w14:textId="7777777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10.044***</w:t>
            </w:r>
          </w:p>
        </w:tc>
        <w:tc>
          <w:tcPr>
            <w:tcW w:w="1418" w:type="dxa"/>
          </w:tcPr>
          <w:p w14:paraId="43BDDB63" w14:textId="436274FE"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2.068***</w:t>
            </w:r>
          </w:p>
        </w:tc>
        <w:tc>
          <w:tcPr>
            <w:tcW w:w="1701" w:type="dxa"/>
          </w:tcPr>
          <w:p w14:paraId="6C53C0BA" w14:textId="10C72AB3"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11.853***</w:t>
            </w:r>
          </w:p>
        </w:tc>
      </w:tr>
      <w:tr w:rsidR="00A25AE5" w:rsidRPr="007048BA" w14:paraId="45617FAC" w14:textId="77777777" w:rsidTr="007652EA">
        <w:trPr>
          <w:jc w:val="center"/>
        </w:trPr>
        <w:tc>
          <w:tcPr>
            <w:tcW w:w="2122" w:type="dxa"/>
          </w:tcPr>
          <w:p w14:paraId="278BFB22" w14:textId="77777777" w:rsidR="00A25AE5" w:rsidRPr="007048BA" w:rsidRDefault="00A25AE5" w:rsidP="00A25AE5">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1842" w:type="dxa"/>
          </w:tcPr>
          <w:p w14:paraId="402E16A0" w14:textId="7777777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701" w:type="dxa"/>
          </w:tcPr>
          <w:p w14:paraId="445476C3" w14:textId="7777777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418" w:type="dxa"/>
          </w:tcPr>
          <w:p w14:paraId="4D6D739B" w14:textId="332F1D06"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c>
          <w:tcPr>
            <w:tcW w:w="1701" w:type="dxa"/>
          </w:tcPr>
          <w:p w14:paraId="775CFCF7" w14:textId="65962DF1"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(0.000)</w:t>
            </w:r>
          </w:p>
        </w:tc>
      </w:tr>
      <w:tr w:rsidR="00A25AE5" w:rsidRPr="007048BA" w14:paraId="1CF354C6" w14:textId="77777777" w:rsidTr="007652EA">
        <w:trPr>
          <w:jc w:val="center"/>
        </w:trPr>
        <w:tc>
          <w:tcPr>
            <w:tcW w:w="2122" w:type="dxa"/>
          </w:tcPr>
          <w:p w14:paraId="486BD1B6" w14:textId="77777777" w:rsidR="00A25AE5" w:rsidRPr="007048BA" w:rsidRDefault="00A25AE5" w:rsidP="00A25AE5">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Observations</w:t>
            </w:r>
          </w:p>
        </w:tc>
        <w:tc>
          <w:tcPr>
            <w:tcW w:w="1842" w:type="dxa"/>
          </w:tcPr>
          <w:p w14:paraId="6B58FFFE" w14:textId="7777777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35,034</w:t>
            </w:r>
          </w:p>
        </w:tc>
        <w:tc>
          <w:tcPr>
            <w:tcW w:w="1701" w:type="dxa"/>
          </w:tcPr>
          <w:p w14:paraId="4B860B3A" w14:textId="7777777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24,356</w:t>
            </w:r>
          </w:p>
        </w:tc>
        <w:tc>
          <w:tcPr>
            <w:tcW w:w="1418" w:type="dxa"/>
          </w:tcPr>
          <w:p w14:paraId="38E4E800" w14:textId="31794679"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35,963</w:t>
            </w:r>
          </w:p>
        </w:tc>
        <w:tc>
          <w:tcPr>
            <w:tcW w:w="1701" w:type="dxa"/>
          </w:tcPr>
          <w:p w14:paraId="7069912D" w14:textId="7AF8E13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25,113</w:t>
            </w:r>
          </w:p>
        </w:tc>
      </w:tr>
      <w:tr w:rsidR="00A25AE5" w:rsidRPr="007048BA" w14:paraId="22FE2CF8" w14:textId="77777777" w:rsidTr="007652EA">
        <w:trPr>
          <w:jc w:val="center"/>
        </w:trPr>
        <w:tc>
          <w:tcPr>
            <w:tcW w:w="2122" w:type="dxa"/>
          </w:tcPr>
          <w:p w14:paraId="3E07F949" w14:textId="77777777" w:rsidR="00A25AE5" w:rsidRPr="007048BA" w:rsidRDefault="00A25AE5" w:rsidP="00A25AE5">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R-squared</w:t>
            </w:r>
          </w:p>
        </w:tc>
        <w:tc>
          <w:tcPr>
            <w:tcW w:w="1842" w:type="dxa"/>
          </w:tcPr>
          <w:p w14:paraId="52F338B0" w14:textId="7777777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0.001</w:t>
            </w:r>
          </w:p>
        </w:tc>
        <w:tc>
          <w:tcPr>
            <w:tcW w:w="1701" w:type="dxa"/>
          </w:tcPr>
          <w:p w14:paraId="47C167D7" w14:textId="7777777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0.082</w:t>
            </w:r>
          </w:p>
        </w:tc>
        <w:tc>
          <w:tcPr>
            <w:tcW w:w="1418" w:type="dxa"/>
          </w:tcPr>
          <w:p w14:paraId="1BB973A4" w14:textId="14915AE3"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0.003</w:t>
            </w:r>
          </w:p>
        </w:tc>
        <w:tc>
          <w:tcPr>
            <w:tcW w:w="1701" w:type="dxa"/>
          </w:tcPr>
          <w:p w14:paraId="61B97659" w14:textId="40A52CEE"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0.152</w:t>
            </w:r>
          </w:p>
        </w:tc>
      </w:tr>
      <w:tr w:rsidR="00A25AE5" w:rsidRPr="007048BA" w14:paraId="5A5FD602" w14:textId="77777777" w:rsidTr="007652EA">
        <w:trPr>
          <w:jc w:val="center"/>
        </w:trPr>
        <w:tc>
          <w:tcPr>
            <w:tcW w:w="2122" w:type="dxa"/>
          </w:tcPr>
          <w:p w14:paraId="6BD90063" w14:textId="7246F667" w:rsidR="00A25AE5" w:rsidRPr="007048BA" w:rsidRDefault="00A25AE5" w:rsidP="00A25AE5">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Fixed effects</w:t>
            </w:r>
          </w:p>
        </w:tc>
        <w:tc>
          <w:tcPr>
            <w:tcW w:w="1842" w:type="dxa"/>
          </w:tcPr>
          <w:p w14:paraId="7EF0D736" w14:textId="3F20C6BE"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701" w:type="dxa"/>
          </w:tcPr>
          <w:p w14:paraId="787D3F8E" w14:textId="32208FB3"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418" w:type="dxa"/>
          </w:tcPr>
          <w:p w14:paraId="77FC1E0C" w14:textId="229DEA71"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1701" w:type="dxa"/>
          </w:tcPr>
          <w:p w14:paraId="1E19AF1E" w14:textId="10747170"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r>
      <w:tr w:rsidR="00A25AE5" w:rsidRPr="007048BA" w14:paraId="0952AA07" w14:textId="77777777" w:rsidTr="007652EA">
        <w:trPr>
          <w:jc w:val="center"/>
        </w:trPr>
        <w:tc>
          <w:tcPr>
            <w:tcW w:w="2122" w:type="dxa"/>
          </w:tcPr>
          <w:p w14:paraId="0C0FEA82" w14:textId="59B7CBDF" w:rsidR="00A25AE5" w:rsidRPr="007048BA" w:rsidRDefault="005D4313" w:rsidP="00A25AE5">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Firms</w:t>
            </w:r>
          </w:p>
        </w:tc>
        <w:tc>
          <w:tcPr>
            <w:tcW w:w="1842" w:type="dxa"/>
          </w:tcPr>
          <w:p w14:paraId="59A42A7B" w14:textId="7777777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3,204</w:t>
            </w:r>
          </w:p>
        </w:tc>
        <w:tc>
          <w:tcPr>
            <w:tcW w:w="1701" w:type="dxa"/>
          </w:tcPr>
          <w:p w14:paraId="092B5948" w14:textId="77777777"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2,858</w:t>
            </w:r>
          </w:p>
        </w:tc>
        <w:tc>
          <w:tcPr>
            <w:tcW w:w="1418" w:type="dxa"/>
          </w:tcPr>
          <w:p w14:paraId="7C2A3ACE" w14:textId="27588285"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3,391</w:t>
            </w:r>
          </w:p>
        </w:tc>
        <w:tc>
          <w:tcPr>
            <w:tcW w:w="1701" w:type="dxa"/>
          </w:tcPr>
          <w:p w14:paraId="5F0CCE49" w14:textId="34961180" w:rsidR="00A25AE5" w:rsidRPr="007048BA" w:rsidRDefault="00A25AE5" w:rsidP="00A25AE5">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2,995</w:t>
            </w:r>
          </w:p>
        </w:tc>
      </w:tr>
    </w:tbl>
    <w:p w14:paraId="745E1714" w14:textId="4ECA381E" w:rsidR="00A25AE5" w:rsidRPr="007048BA" w:rsidRDefault="00A25AE5" w:rsidP="00A25AE5">
      <w:pPr>
        <w:jc w:val="center"/>
        <w:rPr>
          <w:b/>
          <w:sz w:val="28"/>
          <w:lang w:val="en-GB" w:eastAsia="zh-TW"/>
        </w:rPr>
      </w:pPr>
    </w:p>
    <w:p w14:paraId="3EE4983D" w14:textId="77777777" w:rsidR="005A1486" w:rsidRPr="007048BA" w:rsidRDefault="00A25AE5" w:rsidP="00A25AE5">
      <w:pPr>
        <w:tabs>
          <w:tab w:val="center" w:pos="5383"/>
        </w:tabs>
        <w:rPr>
          <w:sz w:val="28"/>
          <w:lang w:val="en-GB" w:eastAsia="zh-TW"/>
        </w:rPr>
        <w:sectPr w:rsidR="005A1486" w:rsidRPr="007048BA" w:rsidSect="007B5ED9">
          <w:type w:val="continuous"/>
          <w:pgSz w:w="12240" w:h="15840"/>
          <w:pgMar w:top="1304" w:right="964" w:bottom="1304" w:left="1077" w:header="720" w:footer="720" w:gutter="0"/>
          <w:cols w:space="720"/>
          <w:docGrid w:linePitch="360"/>
        </w:sectPr>
      </w:pPr>
      <w:r w:rsidRPr="007048BA">
        <w:rPr>
          <w:sz w:val="28"/>
          <w:lang w:val="en-GB" w:eastAsia="zh-TW"/>
        </w:rPr>
        <w:tab/>
      </w:r>
    </w:p>
    <w:p w14:paraId="3ED7BF80" w14:textId="7DCED957" w:rsidR="00297702" w:rsidRPr="007048BA" w:rsidRDefault="005A1486" w:rsidP="00A25AE5">
      <w:pPr>
        <w:tabs>
          <w:tab w:val="center" w:pos="5383"/>
        </w:tabs>
        <w:rPr>
          <w:b/>
          <w:sz w:val="28"/>
          <w:lang w:val="en-GB" w:eastAsia="zh-TW"/>
        </w:rPr>
      </w:pPr>
      <w:r w:rsidRPr="007048BA">
        <w:rPr>
          <w:b/>
          <w:sz w:val="28"/>
          <w:lang w:val="en-GB" w:eastAsia="zh-TW"/>
        </w:rPr>
        <w:lastRenderedPageBreak/>
        <w:t>Table 13</w:t>
      </w:r>
      <w:r w:rsidR="00194DA7" w:rsidRPr="007048BA">
        <w:rPr>
          <w:b/>
          <w:sz w:val="28"/>
          <w:lang w:val="en-GB" w:eastAsia="zh-TW"/>
        </w:rPr>
        <w:t xml:space="preserve">: Valuation, accounting performance and takeover likelihood. </w:t>
      </w:r>
    </w:p>
    <w:p w14:paraId="5098707D" w14:textId="7B994CA5" w:rsidR="005A1486" w:rsidRPr="007048BA" w:rsidRDefault="005A1486" w:rsidP="005A1486">
      <w:pPr>
        <w:spacing w:after="0" w:line="240" w:lineRule="auto"/>
        <w:ind w:firstLine="0"/>
        <w:rPr>
          <w:rFonts w:eastAsia="PMingLiU" w:cs="Times New Roman"/>
          <w:sz w:val="20"/>
          <w:szCs w:val="24"/>
          <w:lang w:val="en-GB" w:eastAsia="zh-TW"/>
        </w:rPr>
      </w:pPr>
      <w:r w:rsidRPr="007048BA">
        <w:rPr>
          <w:rFonts w:eastAsia="PMingLiU" w:cs="Times New Roman"/>
          <w:sz w:val="20"/>
          <w:szCs w:val="24"/>
          <w:lang w:val="en-GB" w:eastAsia="zh-TW"/>
        </w:rPr>
        <w:t xml:space="preserve">The table reports results from panel fixed effects logit models (equation </w:t>
      </w:r>
      <w:r w:rsidR="00194DA7" w:rsidRPr="007048BA">
        <w:rPr>
          <w:rFonts w:eastAsia="PMingLiU" w:cs="Times New Roman"/>
          <w:sz w:val="20"/>
          <w:szCs w:val="24"/>
          <w:lang w:val="en-GB" w:eastAsia="zh-TW"/>
        </w:rPr>
        <w:t>10</w:t>
      </w:r>
      <w:r w:rsidRPr="007048BA">
        <w:rPr>
          <w:rFonts w:eastAsia="PMingLiU" w:cs="Times New Roman"/>
          <w:sz w:val="20"/>
          <w:szCs w:val="24"/>
          <w:lang w:val="en-GB" w:eastAsia="zh-TW"/>
        </w:rPr>
        <w:t xml:space="preserve">) estimating a firm’s takeover likelihood as logit function of firm characteristics. </w:t>
      </w:r>
    </w:p>
    <w:p w14:paraId="03205703" w14:textId="7CCA2700" w:rsidR="005A1486" w:rsidRPr="007048BA" w:rsidRDefault="005A1486" w:rsidP="005A1486">
      <w:pPr>
        <w:autoSpaceDE w:val="0"/>
        <w:autoSpaceDN w:val="0"/>
        <w:adjustRightInd w:val="0"/>
        <w:spacing w:after="0" w:line="240" w:lineRule="auto"/>
        <w:ind w:firstLine="0"/>
        <w:rPr>
          <w:rFonts w:eastAsia="PMingLiU" w:cs="Times New Roman"/>
          <w:sz w:val="20"/>
          <w:szCs w:val="24"/>
          <w:lang w:val="en-GB" w:eastAsia="zh-TW"/>
        </w:rPr>
      </w:pPr>
      <m:oMath>
        <m:r>
          <m:rPr>
            <m:sty m:val="p"/>
          </m:rPr>
          <w:rPr>
            <w:rFonts w:ascii="Cambria Math" w:eastAsia="PMingLiU" w:hAnsi="Cambria Math" w:cs="cmr12"/>
            <w:sz w:val="20"/>
            <w:szCs w:val="24"/>
            <w:lang w:val="en-GB" w:eastAsia="zh-TW"/>
          </w:rPr>
          <m:t>Pr⁡</m:t>
        </m:r>
        <m:r>
          <w:rPr>
            <w:rFonts w:ascii="Cambria Math" w:eastAsia="PMingLiU" w:hAnsi="Cambria Math" w:cs="cmr12"/>
            <w:sz w:val="20"/>
            <w:szCs w:val="24"/>
            <w:lang w:val="en-GB" w:eastAsia="zh-TW"/>
          </w:rPr>
          <m:t>[</m:t>
        </m:r>
        <m:sSub>
          <m:sSubPr>
            <m:ctrlPr>
              <w:rPr>
                <w:rFonts w:ascii="Cambria Math" w:eastAsia="PMingLiU" w:hAnsi="Cambria Math" w:cs="cmr12"/>
                <w:i/>
                <w:sz w:val="20"/>
                <w:szCs w:val="24"/>
                <w:lang w:val="en-GB" w:eastAsia="zh-TW"/>
              </w:rPr>
            </m:ctrlPr>
          </m:sSubPr>
          <m:e>
            <m:r>
              <w:rPr>
                <w:rFonts w:ascii="Cambria Math" w:eastAsia="PMingLiU" w:hAnsi="Cambria Math" w:cs="cmr12"/>
                <w:sz w:val="20"/>
                <w:szCs w:val="24"/>
                <w:lang w:val="en-GB" w:eastAsia="zh-TW"/>
              </w:rPr>
              <m:t>Target</m:t>
            </m:r>
          </m:e>
          <m:sub>
            <m:r>
              <w:rPr>
                <w:rFonts w:ascii="Cambria Math" w:eastAsia="PMingLiU" w:hAnsi="Cambria Math" w:cs="cmr12"/>
                <w:sz w:val="20"/>
                <w:szCs w:val="24"/>
                <w:lang w:val="en-GB" w:eastAsia="zh-TW"/>
              </w:rPr>
              <m:t>it</m:t>
            </m:r>
          </m:sub>
        </m:sSub>
        <m:r>
          <w:rPr>
            <w:rFonts w:ascii="Cambria Math" w:eastAsia="PMingLiU" w:hAnsi="Cambria Math" w:cs="cmr12"/>
            <w:sz w:val="20"/>
            <w:szCs w:val="24"/>
            <w:lang w:val="en-GB" w:eastAsia="zh-TW"/>
          </w:rPr>
          <m:t>=1]=F</m:t>
        </m:r>
        <m:d>
          <m:dPr>
            <m:ctrlPr>
              <w:rPr>
                <w:rFonts w:ascii="Cambria Math" w:eastAsia="PMingLiU" w:hAnsi="Cambria Math" w:cs="cmr12"/>
                <w:i/>
                <w:sz w:val="20"/>
                <w:szCs w:val="24"/>
                <w:lang w:val="en-GB" w:eastAsia="zh-TW"/>
              </w:rPr>
            </m:ctrlPr>
          </m:dPr>
          <m:e>
            <m:r>
              <w:rPr>
                <w:rFonts w:ascii="Cambria Math" w:eastAsia="PMingLiU" w:hAnsi="Cambria Math" w:cs="cmr12"/>
                <w:sz w:val="20"/>
                <w:szCs w:val="24"/>
                <w:lang w:val="en-GB" w:eastAsia="zh-TW"/>
              </w:rPr>
              <m:t>α+β*</m:t>
            </m:r>
            <m:sSub>
              <m:sSubPr>
                <m:ctrlPr>
                  <w:rPr>
                    <w:rFonts w:ascii="Cambria Math" w:eastAsia="PMingLiU" w:hAnsi="Cambria Math" w:cs="cmr12"/>
                    <w:i/>
                    <w:sz w:val="20"/>
                    <w:szCs w:val="24"/>
                    <w:lang w:val="en-GB" w:eastAsia="zh-TW"/>
                  </w:rPr>
                </m:ctrlPr>
              </m:sSubPr>
              <m:e>
                <m:r>
                  <w:rPr>
                    <w:rFonts w:ascii="Cambria Math" w:eastAsia="PMingLiU" w:hAnsi="Cambria Math" w:cs="cmr12"/>
                    <w:sz w:val="20"/>
                    <w:szCs w:val="24"/>
                    <w:lang w:val="en-GB" w:eastAsia="zh-TW"/>
                  </w:rPr>
                  <m:t>Performance</m:t>
                </m:r>
              </m:e>
              <m:sub>
                <m:r>
                  <w:rPr>
                    <w:rFonts w:ascii="Cambria Math" w:eastAsia="PMingLiU" w:hAnsi="Cambria Math" w:cs="cmr12"/>
                    <w:sz w:val="20"/>
                    <w:szCs w:val="24"/>
                    <w:lang w:val="en-GB" w:eastAsia="zh-TW"/>
                  </w:rPr>
                  <m:t>it-1</m:t>
                </m:r>
              </m:sub>
            </m:sSub>
            <m:r>
              <w:rPr>
                <w:rFonts w:ascii="Cambria Math" w:eastAsia="PMingLiU" w:hAnsi="Cambria Math" w:cs="cmr12"/>
                <w:sz w:val="20"/>
                <w:szCs w:val="24"/>
                <w:lang w:val="en-GB" w:eastAsia="zh-TW"/>
              </w:rPr>
              <m:t>+</m:t>
            </m:r>
            <m:sSub>
              <m:sSubPr>
                <m:ctrlPr>
                  <w:rPr>
                    <w:rFonts w:ascii="Cambria Math" w:eastAsia="PMingLiU" w:hAnsi="Cambria Math" w:cs="cmr12"/>
                    <w:i/>
                    <w:sz w:val="20"/>
                    <w:szCs w:val="24"/>
                    <w:lang w:val="en-GB" w:eastAsia="zh-TW"/>
                  </w:rPr>
                </m:ctrlPr>
              </m:sSubPr>
              <m:e>
                <m:r>
                  <w:rPr>
                    <w:rFonts w:ascii="Cambria Math" w:eastAsia="PMingLiU" w:hAnsi="Cambria Math" w:cs="cmr12"/>
                    <w:sz w:val="20"/>
                    <w:szCs w:val="24"/>
                    <w:lang w:val="en-GB" w:eastAsia="zh-TW"/>
                  </w:rPr>
                  <m:t>γ*Controls</m:t>
                </m:r>
              </m:e>
              <m:sub>
                <m:r>
                  <w:rPr>
                    <w:rFonts w:ascii="Cambria Math" w:eastAsia="PMingLiU" w:hAnsi="Cambria Math" w:cs="cmr12"/>
                    <w:sz w:val="20"/>
                    <w:szCs w:val="24"/>
                    <w:lang w:val="en-GB" w:eastAsia="zh-TW"/>
                  </w:rPr>
                  <m:t>it-1</m:t>
                </m:r>
              </m:sub>
            </m:sSub>
            <m:r>
              <w:rPr>
                <w:rFonts w:ascii="Cambria Math" w:eastAsia="PMingLiU" w:hAnsi="Cambria Math" w:cs="cmr12"/>
                <w:sz w:val="20"/>
                <w:szCs w:val="24"/>
                <w:lang w:val="en-GB" w:eastAsia="zh-TW"/>
              </w:rPr>
              <m:t>+</m:t>
            </m:r>
            <m:sSub>
              <m:sSubPr>
                <m:ctrlPr>
                  <w:rPr>
                    <w:rFonts w:ascii="Cambria Math" w:eastAsia="PMingLiU" w:hAnsi="Cambria Math" w:cs="cmr12"/>
                    <w:i/>
                    <w:sz w:val="20"/>
                    <w:szCs w:val="24"/>
                    <w:lang w:val="en-GB" w:eastAsia="zh-TW"/>
                  </w:rPr>
                </m:ctrlPr>
              </m:sSubPr>
              <m:e>
                <m:r>
                  <w:rPr>
                    <w:rFonts w:ascii="Cambria Math" w:eastAsia="PMingLiU" w:hAnsi="Cambria Math" w:cs="cmr12"/>
                    <w:sz w:val="20"/>
                    <w:szCs w:val="24"/>
                    <w:lang w:val="en-GB" w:eastAsia="zh-TW"/>
                  </w:rPr>
                  <m:t>ε</m:t>
                </m:r>
              </m:e>
              <m:sub>
                <m:r>
                  <w:rPr>
                    <w:rFonts w:ascii="Cambria Math" w:eastAsia="PMingLiU" w:hAnsi="Cambria Math" w:cs="cmr12"/>
                    <w:sz w:val="20"/>
                    <w:szCs w:val="24"/>
                    <w:lang w:val="en-GB" w:eastAsia="zh-TW"/>
                  </w:rPr>
                  <m:t>it</m:t>
                </m:r>
              </m:sub>
            </m:sSub>
          </m:e>
        </m:d>
      </m:oMath>
      <w:r w:rsidRPr="007048BA">
        <w:rPr>
          <w:rFonts w:eastAsia="PMingLiU" w:cs="Times New Roman"/>
          <w:sz w:val="20"/>
          <w:szCs w:val="24"/>
          <w:lang w:val="en-GB" w:eastAsia="zh-TW"/>
        </w:rPr>
        <w:t xml:space="preserve">     (</w:t>
      </w:r>
      <w:r w:rsidR="00194DA7" w:rsidRPr="007048BA">
        <w:rPr>
          <w:rFonts w:eastAsia="PMingLiU" w:cs="Times New Roman"/>
          <w:sz w:val="20"/>
          <w:szCs w:val="24"/>
          <w:lang w:val="en-GB" w:eastAsia="zh-TW"/>
        </w:rPr>
        <w:t>10</w:t>
      </w:r>
      <w:r w:rsidRPr="007048BA">
        <w:rPr>
          <w:rFonts w:eastAsia="PMingLiU" w:cs="Times New Roman"/>
          <w:sz w:val="20"/>
          <w:szCs w:val="24"/>
          <w:lang w:val="en-GB" w:eastAsia="zh-TW"/>
        </w:rPr>
        <w:t xml:space="preserve">)    </w:t>
      </w:r>
    </w:p>
    <w:p w14:paraId="0AB6C9A9" w14:textId="77777777" w:rsidR="005A1486" w:rsidRPr="007048BA" w:rsidRDefault="005A1486" w:rsidP="005A1486">
      <w:pPr>
        <w:autoSpaceDE w:val="0"/>
        <w:autoSpaceDN w:val="0"/>
        <w:adjustRightInd w:val="0"/>
        <w:spacing w:after="0" w:line="240" w:lineRule="auto"/>
        <w:ind w:firstLine="0"/>
        <w:rPr>
          <w:rFonts w:eastAsia="PMingLiU" w:cs="Times New Roman"/>
          <w:sz w:val="20"/>
          <w:szCs w:val="24"/>
          <w:lang w:val="en-GB" w:eastAsia="zh-TW"/>
        </w:rPr>
      </w:pPr>
      <w:r w:rsidRPr="007048BA">
        <w:rPr>
          <w:rFonts w:eastAsia="PMingLiU" w:cs="Times New Roman"/>
          <w:sz w:val="20"/>
          <w:szCs w:val="24"/>
          <w:lang w:val="en-GB" w:eastAsia="zh-TW"/>
        </w:rPr>
        <w:t xml:space="preserve"> </w:t>
      </w:r>
    </w:p>
    <w:p w14:paraId="21631B63" w14:textId="68F59954" w:rsidR="005A1486" w:rsidRPr="007048BA" w:rsidRDefault="005A1486" w:rsidP="005A1486">
      <w:pPr>
        <w:autoSpaceDE w:val="0"/>
        <w:autoSpaceDN w:val="0"/>
        <w:adjustRightInd w:val="0"/>
        <w:spacing w:after="0" w:line="240" w:lineRule="auto"/>
        <w:ind w:firstLine="0"/>
        <w:rPr>
          <w:rFonts w:eastAsia="PMingLiU" w:cs="Times New Roman"/>
          <w:sz w:val="20"/>
          <w:szCs w:val="24"/>
          <w:lang w:val="en-GB" w:eastAsia="zh-TW"/>
        </w:rPr>
      </w:pPr>
      <w:r w:rsidRPr="007048BA">
        <w:rPr>
          <w:rFonts w:eastAsia="PMingLiU" w:cs="Times New Roman"/>
          <w:sz w:val="20"/>
          <w:szCs w:val="24"/>
          <w:lang w:val="en-GB" w:eastAsia="zh-TW"/>
        </w:rPr>
        <w:t xml:space="preserve">Here, </w:t>
      </w:r>
      <w:r w:rsidR="00AE1D1F" w:rsidRPr="007048BA">
        <w:rPr>
          <w:rFonts w:eastAsia="PMingLiU" w:cs="Times New Roman"/>
          <w:sz w:val="20"/>
          <w:szCs w:val="24"/>
          <w:lang w:val="en-GB" w:eastAsia="zh-TW"/>
        </w:rPr>
        <w:t>the dependent variable (</w:t>
      </w:r>
      <w:r w:rsidR="00AE1D1F" w:rsidRPr="007048BA">
        <w:rPr>
          <w:rFonts w:eastAsia="PMingLiU" w:cs="Times New Roman"/>
          <w:i/>
          <w:sz w:val="20"/>
          <w:szCs w:val="24"/>
          <w:lang w:val="en-GB" w:eastAsia="zh-TW"/>
        </w:rPr>
        <w:t>Target</w:t>
      </w:r>
      <w:r w:rsidR="00AE1D1F" w:rsidRPr="007048BA">
        <w:rPr>
          <w:rFonts w:eastAsia="PMingLiU" w:cs="Times New Roman"/>
          <w:sz w:val="20"/>
          <w:szCs w:val="24"/>
          <w:lang w:val="en-GB" w:eastAsia="zh-TW"/>
        </w:rPr>
        <w:t>)</w:t>
      </w:r>
      <w:r w:rsidRPr="007048BA">
        <w:rPr>
          <w:rFonts w:eastAsia="PMingLiU" w:cs="Times New Roman"/>
          <w:sz w:val="20"/>
          <w:szCs w:val="24"/>
          <w:lang w:val="en-GB" w:eastAsia="zh-TW"/>
        </w:rPr>
        <w:t xml:space="preserve"> takes a value of one if a firm (</w:t>
      </w:r>
      <w:r w:rsidRPr="007048BA">
        <w:rPr>
          <w:rFonts w:eastAsia="PMingLiU" w:cs="Times New Roman"/>
          <w:i/>
          <w:sz w:val="20"/>
          <w:szCs w:val="24"/>
          <w:lang w:val="en-GB" w:eastAsia="zh-TW"/>
        </w:rPr>
        <w:t>i</w:t>
      </w:r>
      <w:r w:rsidRPr="007048BA">
        <w:rPr>
          <w:rFonts w:eastAsia="PMingLiU" w:cs="Times New Roman"/>
          <w:sz w:val="20"/>
          <w:szCs w:val="24"/>
          <w:lang w:val="en-GB" w:eastAsia="zh-TW"/>
        </w:rPr>
        <w:t>) is the subject of a takeover bid for control in a period (</w:t>
      </w:r>
      <w:r w:rsidRPr="007048BA">
        <w:rPr>
          <w:rFonts w:eastAsia="PMingLiU" w:cs="Times New Roman"/>
          <w:i/>
          <w:sz w:val="20"/>
          <w:szCs w:val="24"/>
          <w:lang w:val="en-GB" w:eastAsia="zh-TW"/>
        </w:rPr>
        <w:t>t</w:t>
      </w:r>
      <w:r w:rsidRPr="007048BA">
        <w:rPr>
          <w:rFonts w:eastAsia="PMingLiU" w:cs="Times New Roman"/>
          <w:sz w:val="20"/>
          <w:szCs w:val="24"/>
          <w:lang w:val="en-GB" w:eastAsia="zh-TW"/>
        </w:rPr>
        <w:t xml:space="preserve">) and a value of zero otherwise. </w:t>
      </w:r>
      <w:r w:rsidR="00194DA7" w:rsidRPr="007048BA">
        <w:rPr>
          <w:rFonts w:eastAsia="PMingLiU" w:cs="Times New Roman"/>
          <w:sz w:val="20"/>
          <w:szCs w:val="24"/>
          <w:lang w:val="en-GB" w:eastAsia="zh-TW"/>
        </w:rPr>
        <w:t>We use MTB values (in place of AAR) and ROCE to classify firms in 4 categories;</w:t>
      </w:r>
      <w:r w:rsidRPr="007048BA">
        <w:rPr>
          <w:rFonts w:eastAsia="PMingLiU" w:cs="Times New Roman"/>
          <w:sz w:val="20"/>
          <w:szCs w:val="24"/>
          <w:lang w:val="en-GB" w:eastAsia="zh-TW"/>
        </w:rPr>
        <w:t xml:space="preserve"> </w:t>
      </w:r>
      <w:r w:rsidR="00ED262D" w:rsidRPr="007048BA">
        <w:rPr>
          <w:rFonts w:eastAsia="PMingLiU" w:cs="Times New Roman"/>
          <w:i/>
          <w:sz w:val="20"/>
          <w:szCs w:val="24"/>
          <w:lang w:val="en-GB" w:eastAsia="zh-TW"/>
        </w:rPr>
        <w:t>poor</w:t>
      </w:r>
      <w:r w:rsidRPr="007048BA">
        <w:rPr>
          <w:rFonts w:eastAsia="PMingLiU" w:cs="Times New Roman"/>
          <w:i/>
          <w:sz w:val="20"/>
          <w:szCs w:val="24"/>
          <w:lang w:val="en-GB" w:eastAsia="zh-TW"/>
        </w:rPr>
        <w:t xml:space="preserve">, </w:t>
      </w:r>
      <w:r w:rsidR="00ED262D" w:rsidRPr="007048BA">
        <w:rPr>
          <w:rFonts w:eastAsia="PMingLiU" w:cs="Times New Roman"/>
          <w:i/>
          <w:sz w:val="20"/>
          <w:szCs w:val="24"/>
          <w:lang w:val="en-GB" w:eastAsia="zh-TW"/>
        </w:rPr>
        <w:t>myopia</w:t>
      </w:r>
      <w:r w:rsidRPr="007048BA">
        <w:rPr>
          <w:rFonts w:eastAsia="PMingLiU" w:cs="Times New Roman"/>
          <w:i/>
          <w:sz w:val="20"/>
          <w:szCs w:val="24"/>
          <w:lang w:val="en-GB" w:eastAsia="zh-TW"/>
        </w:rPr>
        <w:t xml:space="preserve">, </w:t>
      </w:r>
      <w:r w:rsidR="00ED262D" w:rsidRPr="007048BA">
        <w:rPr>
          <w:rFonts w:eastAsia="PMingLiU" w:cs="Times New Roman"/>
          <w:i/>
          <w:sz w:val="20"/>
          <w:szCs w:val="24"/>
          <w:lang w:val="en-GB" w:eastAsia="zh-TW"/>
        </w:rPr>
        <w:t>hyperopia</w:t>
      </w:r>
      <w:r w:rsidRPr="007048BA">
        <w:rPr>
          <w:rFonts w:eastAsia="PMingLiU" w:cs="Times New Roman"/>
          <w:sz w:val="20"/>
          <w:szCs w:val="24"/>
          <w:lang w:val="en-GB" w:eastAsia="zh-TW"/>
        </w:rPr>
        <w:t xml:space="preserve"> and </w:t>
      </w:r>
      <w:r w:rsidR="00ED262D" w:rsidRPr="007048BA">
        <w:rPr>
          <w:rFonts w:eastAsia="PMingLiU" w:cs="Times New Roman"/>
          <w:i/>
          <w:sz w:val="20"/>
          <w:szCs w:val="24"/>
          <w:lang w:val="en-GB" w:eastAsia="zh-TW"/>
        </w:rPr>
        <w:t>efficient</w:t>
      </w:r>
      <w:r w:rsidR="00194DA7" w:rsidRPr="007048BA">
        <w:rPr>
          <w:rFonts w:eastAsia="PMingLiU" w:cs="Times New Roman"/>
          <w:sz w:val="20"/>
          <w:szCs w:val="24"/>
          <w:lang w:val="en-GB" w:eastAsia="zh-TW"/>
        </w:rPr>
        <w:t>.</w:t>
      </w:r>
      <w:r w:rsidRPr="007048BA">
        <w:rPr>
          <w:rFonts w:eastAsia="PMingLiU" w:cs="Times New Roman"/>
          <w:sz w:val="20"/>
          <w:szCs w:val="24"/>
          <w:lang w:val="en-GB" w:eastAsia="zh-TW"/>
        </w:rPr>
        <w:t xml:space="preserve"> </w:t>
      </w:r>
      <w:r w:rsidR="00BF66CA" w:rsidRPr="007048BA">
        <w:rPr>
          <w:rFonts w:eastAsia="PMingLiU" w:cs="Times New Roman"/>
          <w:sz w:val="20"/>
          <w:szCs w:val="24"/>
          <w:lang w:val="en-GB" w:eastAsia="zh-TW"/>
        </w:rPr>
        <w:t xml:space="preserve">See Figure 1 for details on the classification procedure. </w:t>
      </w:r>
      <w:r w:rsidR="00194DA7" w:rsidRPr="007048BA">
        <w:rPr>
          <w:rFonts w:eastAsia="PMingLiU" w:cs="Times New Roman"/>
          <w:sz w:val="20"/>
          <w:szCs w:val="24"/>
          <w:lang w:val="en-GB" w:eastAsia="zh-TW"/>
        </w:rPr>
        <w:t xml:space="preserve">We use the measures derived using MTB as our main independent variable. </w:t>
      </w:r>
      <w:r w:rsidRPr="007048BA">
        <w:rPr>
          <w:rFonts w:eastAsia="PMingLiU" w:cs="Times New Roman"/>
          <w:sz w:val="20"/>
          <w:szCs w:val="20"/>
          <w:lang w:val="en-GB" w:eastAsia="zh-TW"/>
        </w:rPr>
        <w:t>The control variables in the model are fully discussed in Appendix 1</w:t>
      </w:r>
      <w:r w:rsidR="00EE1384" w:rsidRPr="007048BA">
        <w:rPr>
          <w:rFonts w:eastAsia="PMingLiU" w:cs="Times New Roman"/>
          <w:sz w:val="20"/>
          <w:szCs w:val="20"/>
          <w:lang w:val="en-GB" w:eastAsia="zh-TW"/>
        </w:rPr>
        <w:t xml:space="preserve"> and include measures of </w:t>
      </w:r>
      <w:r w:rsidR="00EE1384" w:rsidRPr="007048BA">
        <w:rPr>
          <w:rFonts w:eastAsia="PMingLiU" w:cs="cmr12"/>
          <w:sz w:val="20"/>
          <w:szCs w:val="24"/>
          <w:lang w:val="en-GB" w:eastAsia="zh-TW"/>
        </w:rPr>
        <w:t>liquidity (</w:t>
      </w:r>
      <w:r w:rsidR="00EE1384" w:rsidRPr="007048BA">
        <w:rPr>
          <w:rFonts w:eastAsia="PMingLiU" w:cs="cmr12"/>
          <w:i/>
          <w:sz w:val="20"/>
          <w:szCs w:val="24"/>
          <w:lang w:val="en-GB" w:eastAsia="zh-TW"/>
        </w:rPr>
        <w:t>LIQ</w:t>
      </w:r>
      <w:r w:rsidR="00EE1384" w:rsidRPr="007048BA">
        <w:rPr>
          <w:rFonts w:eastAsia="PMingLiU" w:cs="cmr12"/>
          <w:sz w:val="20"/>
          <w:szCs w:val="24"/>
          <w:lang w:val="en-GB" w:eastAsia="zh-TW"/>
        </w:rPr>
        <w:t>), leverage (</w:t>
      </w:r>
      <w:r w:rsidR="00EE1384" w:rsidRPr="007048BA">
        <w:rPr>
          <w:rFonts w:eastAsia="PMingLiU" w:cs="cmr12"/>
          <w:i/>
          <w:sz w:val="20"/>
          <w:szCs w:val="24"/>
          <w:lang w:val="en-GB" w:eastAsia="zh-TW"/>
        </w:rPr>
        <w:t>LEV</w:t>
      </w:r>
      <w:r w:rsidR="00EE1384" w:rsidRPr="007048BA">
        <w:rPr>
          <w:rFonts w:eastAsia="PMingLiU" w:cs="cmr12"/>
          <w:sz w:val="20"/>
          <w:szCs w:val="24"/>
          <w:lang w:val="en-GB" w:eastAsia="zh-TW"/>
        </w:rPr>
        <w:t>), sales growth (</w:t>
      </w:r>
      <w:r w:rsidR="00EE1384" w:rsidRPr="007048BA">
        <w:rPr>
          <w:rFonts w:eastAsia="PMingLiU" w:cs="cmr12"/>
          <w:i/>
          <w:sz w:val="20"/>
          <w:szCs w:val="24"/>
          <w:lang w:val="en-GB" w:eastAsia="zh-TW"/>
        </w:rPr>
        <w:t>SGW</w:t>
      </w:r>
      <w:r w:rsidR="00EE1384" w:rsidRPr="007048BA">
        <w:rPr>
          <w:rFonts w:eastAsia="PMingLiU" w:cs="cmr12"/>
          <w:sz w:val="20"/>
          <w:szCs w:val="24"/>
          <w:lang w:val="en-GB" w:eastAsia="zh-TW"/>
        </w:rPr>
        <w:t>), growth-resource mismatch dummy (</w:t>
      </w:r>
      <w:r w:rsidR="00EE1384" w:rsidRPr="007048BA">
        <w:rPr>
          <w:rFonts w:eastAsia="PMingLiU" w:cs="cmr12"/>
          <w:i/>
          <w:sz w:val="20"/>
          <w:szCs w:val="24"/>
          <w:lang w:val="en-GB" w:eastAsia="zh-TW"/>
        </w:rPr>
        <w:t>GRD</w:t>
      </w:r>
      <w:r w:rsidR="00EE1384" w:rsidRPr="007048BA">
        <w:rPr>
          <w:rFonts w:eastAsia="PMingLiU" w:cs="cmr12"/>
          <w:sz w:val="20"/>
          <w:szCs w:val="24"/>
          <w:lang w:val="en-GB" w:eastAsia="zh-TW"/>
        </w:rPr>
        <w:t>), industry disturbance dummy (</w:t>
      </w:r>
      <w:r w:rsidR="00EE1384" w:rsidRPr="007048BA">
        <w:rPr>
          <w:rFonts w:eastAsia="PMingLiU" w:cs="cmr12"/>
          <w:i/>
          <w:sz w:val="20"/>
          <w:szCs w:val="24"/>
          <w:lang w:val="en-GB" w:eastAsia="zh-TW"/>
        </w:rPr>
        <w:t>IDD</w:t>
      </w:r>
      <w:r w:rsidR="00EE1384" w:rsidRPr="007048BA">
        <w:rPr>
          <w:rFonts w:eastAsia="PMingLiU" w:cs="cmr12"/>
          <w:sz w:val="20"/>
          <w:szCs w:val="24"/>
          <w:lang w:val="en-GB" w:eastAsia="zh-TW"/>
        </w:rPr>
        <w:t>), free cash flow (</w:t>
      </w:r>
      <w:r w:rsidR="00EE1384" w:rsidRPr="007048BA">
        <w:rPr>
          <w:rFonts w:eastAsia="PMingLiU" w:cs="cmr12"/>
          <w:i/>
          <w:sz w:val="20"/>
          <w:szCs w:val="24"/>
          <w:lang w:val="en-GB" w:eastAsia="zh-TW"/>
        </w:rPr>
        <w:t>FCF</w:t>
      </w:r>
      <w:r w:rsidR="00EE1384" w:rsidRPr="007048BA">
        <w:rPr>
          <w:rFonts w:eastAsia="PMingLiU" w:cs="cmr12"/>
          <w:sz w:val="20"/>
          <w:szCs w:val="24"/>
          <w:lang w:val="en-GB" w:eastAsia="zh-TW"/>
        </w:rPr>
        <w:t>), proportion of tangible assets (</w:t>
      </w:r>
      <w:r w:rsidR="00EE1384" w:rsidRPr="007048BA">
        <w:rPr>
          <w:rFonts w:eastAsia="PMingLiU" w:cs="cmr12"/>
          <w:i/>
          <w:sz w:val="20"/>
          <w:szCs w:val="24"/>
          <w:lang w:val="en-GB" w:eastAsia="zh-TW"/>
        </w:rPr>
        <w:t>TANG</w:t>
      </w:r>
      <w:r w:rsidR="00EE1384" w:rsidRPr="007048BA">
        <w:rPr>
          <w:rFonts w:eastAsia="PMingLiU" w:cs="cmr12"/>
          <w:sz w:val="20"/>
          <w:szCs w:val="24"/>
          <w:lang w:val="en-GB" w:eastAsia="zh-TW"/>
        </w:rPr>
        <w:t>), firm size (</w:t>
      </w:r>
      <w:r w:rsidR="00EE1384" w:rsidRPr="007048BA">
        <w:rPr>
          <w:rFonts w:eastAsia="PMingLiU" w:cs="cmr12"/>
          <w:i/>
          <w:sz w:val="20"/>
          <w:szCs w:val="24"/>
          <w:lang w:val="en-GB" w:eastAsia="zh-TW"/>
        </w:rPr>
        <w:t>SIZE</w:t>
      </w:r>
      <w:r w:rsidR="00EE1384" w:rsidRPr="007048BA">
        <w:rPr>
          <w:rFonts w:eastAsia="PMingLiU" w:cs="cmr12"/>
          <w:sz w:val="20"/>
          <w:szCs w:val="24"/>
          <w:lang w:val="en-GB" w:eastAsia="zh-TW"/>
        </w:rPr>
        <w:t>), firm age (</w:t>
      </w:r>
      <w:r w:rsidR="00EE1384" w:rsidRPr="007048BA">
        <w:rPr>
          <w:rFonts w:eastAsia="PMingLiU" w:cs="cmr12"/>
          <w:i/>
          <w:sz w:val="20"/>
          <w:szCs w:val="24"/>
          <w:lang w:val="en-GB" w:eastAsia="zh-TW"/>
        </w:rPr>
        <w:t>AGE</w:t>
      </w:r>
      <w:r w:rsidR="00EE1384" w:rsidRPr="007048BA">
        <w:rPr>
          <w:rFonts w:eastAsia="PMingLiU" w:cs="cmr12"/>
          <w:sz w:val="20"/>
          <w:szCs w:val="24"/>
          <w:lang w:val="en-GB" w:eastAsia="zh-TW"/>
        </w:rPr>
        <w:t>), Herfindahl-Hirschman Index (</w:t>
      </w:r>
      <w:r w:rsidR="00EE1384" w:rsidRPr="007048BA">
        <w:rPr>
          <w:rFonts w:eastAsia="PMingLiU" w:cs="cmr12"/>
          <w:i/>
          <w:sz w:val="20"/>
          <w:szCs w:val="24"/>
          <w:lang w:val="en-GB" w:eastAsia="zh-TW"/>
        </w:rPr>
        <w:t>HHI</w:t>
      </w:r>
      <w:r w:rsidR="00EE1384" w:rsidRPr="007048BA">
        <w:rPr>
          <w:rFonts w:eastAsia="PMingLiU" w:cs="cmr12"/>
          <w:sz w:val="20"/>
          <w:szCs w:val="24"/>
          <w:lang w:val="en-GB" w:eastAsia="zh-TW"/>
        </w:rPr>
        <w:t>), block holders dummy (</w:t>
      </w:r>
      <w:r w:rsidR="00EE1384" w:rsidRPr="007048BA">
        <w:rPr>
          <w:rFonts w:eastAsia="PMingLiU" w:cs="cmr12"/>
          <w:i/>
          <w:sz w:val="20"/>
          <w:szCs w:val="24"/>
          <w:lang w:val="en-GB" w:eastAsia="zh-TW"/>
        </w:rPr>
        <w:t>BLOC</w:t>
      </w:r>
      <w:r w:rsidR="000C31A2" w:rsidRPr="007048BA">
        <w:rPr>
          <w:rFonts w:eastAsia="PMingLiU" w:cs="cmr12"/>
          <w:sz w:val="20"/>
          <w:szCs w:val="24"/>
          <w:lang w:val="en-GB" w:eastAsia="zh-TW"/>
        </w:rPr>
        <w:t xml:space="preserve">), </w:t>
      </w:r>
      <w:r w:rsidR="00EE1384" w:rsidRPr="007048BA">
        <w:rPr>
          <w:rFonts w:eastAsia="PMingLiU" w:cs="cmr12"/>
          <w:sz w:val="20"/>
          <w:szCs w:val="24"/>
          <w:lang w:val="en-GB" w:eastAsia="zh-TW"/>
        </w:rPr>
        <w:t>a rumour dummy (</w:t>
      </w:r>
      <w:r w:rsidR="00EE1384" w:rsidRPr="007048BA">
        <w:rPr>
          <w:rFonts w:eastAsia="PMingLiU" w:cs="cmr12"/>
          <w:i/>
          <w:sz w:val="20"/>
          <w:szCs w:val="24"/>
          <w:lang w:val="en-GB" w:eastAsia="zh-TW"/>
        </w:rPr>
        <w:t>RUM</w:t>
      </w:r>
      <w:r w:rsidR="00EE1384" w:rsidRPr="007048BA">
        <w:rPr>
          <w:rFonts w:eastAsia="PMingLiU" w:cs="cmr12"/>
          <w:sz w:val="20"/>
          <w:szCs w:val="24"/>
          <w:lang w:val="en-GB" w:eastAsia="zh-TW"/>
        </w:rPr>
        <w:t>)</w:t>
      </w:r>
      <w:r w:rsidR="000C31A2" w:rsidRPr="007048BA">
        <w:rPr>
          <w:rFonts w:eastAsia="PMingLiU" w:cs="cmr12"/>
          <w:sz w:val="20"/>
          <w:szCs w:val="24"/>
          <w:lang w:val="en-GB" w:eastAsia="zh-TW"/>
        </w:rPr>
        <w:t>, trading volume (</w:t>
      </w:r>
      <w:r w:rsidR="000C31A2" w:rsidRPr="007048BA">
        <w:rPr>
          <w:rFonts w:eastAsia="PMingLiU" w:cs="cmr12"/>
          <w:i/>
          <w:sz w:val="20"/>
          <w:szCs w:val="24"/>
          <w:lang w:val="en-GB" w:eastAsia="zh-TW"/>
        </w:rPr>
        <w:t>TVOL</w:t>
      </w:r>
      <w:r w:rsidR="000C31A2" w:rsidRPr="007048BA">
        <w:rPr>
          <w:rFonts w:eastAsia="PMingLiU" w:cs="cmr12"/>
          <w:sz w:val="20"/>
          <w:szCs w:val="24"/>
          <w:lang w:val="en-GB" w:eastAsia="zh-TW"/>
        </w:rPr>
        <w:t>) and market sentiment (</w:t>
      </w:r>
      <w:r w:rsidR="000C31A2" w:rsidRPr="007048BA">
        <w:rPr>
          <w:rFonts w:eastAsia="PMingLiU" w:cs="cmr12"/>
          <w:i/>
          <w:sz w:val="20"/>
          <w:szCs w:val="24"/>
          <w:lang w:val="en-GB" w:eastAsia="zh-TW"/>
        </w:rPr>
        <w:t>SENT</w:t>
      </w:r>
      <w:r w:rsidR="000C31A2" w:rsidRPr="007048BA">
        <w:rPr>
          <w:rFonts w:eastAsia="PMingLiU" w:cs="cmr12"/>
          <w:sz w:val="20"/>
          <w:szCs w:val="24"/>
          <w:lang w:val="en-GB" w:eastAsia="zh-TW"/>
        </w:rPr>
        <w:t>)</w:t>
      </w:r>
      <w:r w:rsidRPr="007048BA">
        <w:rPr>
          <w:rFonts w:eastAsia="PMingLiU" w:cs="Times New Roman"/>
          <w:sz w:val="20"/>
          <w:szCs w:val="20"/>
          <w:lang w:val="en-GB" w:eastAsia="zh-TW"/>
        </w:rPr>
        <w:t>.</w:t>
      </w:r>
      <w:r w:rsidRPr="007048BA">
        <w:rPr>
          <w:rFonts w:eastAsia="PMingLiU" w:cs="Times New Roman"/>
          <w:sz w:val="20"/>
          <w:szCs w:val="24"/>
          <w:lang w:val="en-GB" w:eastAsia="zh-TW"/>
        </w:rPr>
        <w:t xml:space="preserve"> </w:t>
      </w:r>
      <w:r w:rsidR="00EE1384" w:rsidRPr="007048BA">
        <w:rPr>
          <w:rFonts w:eastAsia="PMingLiU" w:cs="Times New Roman"/>
          <w:sz w:val="20"/>
          <w:szCs w:val="24"/>
          <w:lang w:val="en-GB" w:eastAsia="zh-TW"/>
        </w:rPr>
        <w:t xml:space="preserve">The coefficients of control variables are suppressed to save space. </w:t>
      </w:r>
      <w:r w:rsidRPr="007048BA">
        <w:rPr>
          <w:rFonts w:eastAsia="Times New Roman" w:cs="Times New Roman"/>
          <w:sz w:val="20"/>
          <w:lang w:val="en-GB" w:eastAsia="en-GB"/>
        </w:rPr>
        <w:t xml:space="preserve">The </w:t>
      </w:r>
      <w:r w:rsidRPr="007048BA">
        <w:rPr>
          <w:rFonts w:eastAsia="Times New Roman" w:cs="Times New Roman"/>
          <w:i/>
          <w:sz w:val="20"/>
          <w:lang w:val="en-GB" w:eastAsia="en-GB"/>
        </w:rPr>
        <w:t>p-values</w:t>
      </w:r>
      <w:r w:rsidRPr="007048BA">
        <w:rPr>
          <w:rFonts w:eastAsia="Times New Roman" w:cs="Times New Roman"/>
          <w:sz w:val="20"/>
          <w:lang w:val="en-GB" w:eastAsia="en-GB"/>
        </w:rPr>
        <w:t xml:space="preserve"> for model coefficients are presented in parenthesis. </w:t>
      </w:r>
      <w:r w:rsidRPr="007048BA">
        <w:rPr>
          <w:rFonts w:eastAsia="PMingLiU" w:cs="Times New Roman"/>
          <w:sz w:val="20"/>
          <w:szCs w:val="24"/>
          <w:lang w:val="en-GB" w:eastAsia="zh-TW"/>
        </w:rPr>
        <w:t>***, **, * indicate statistical significance at the 1%, 5% and 10% level of significance, respectively.</w:t>
      </w:r>
    </w:p>
    <w:p w14:paraId="30B6B62C" w14:textId="77777777" w:rsidR="00EE1384" w:rsidRPr="007048BA" w:rsidRDefault="00EE1384" w:rsidP="005A1486">
      <w:pPr>
        <w:autoSpaceDE w:val="0"/>
        <w:autoSpaceDN w:val="0"/>
        <w:adjustRightInd w:val="0"/>
        <w:spacing w:after="0" w:line="240" w:lineRule="auto"/>
        <w:ind w:firstLine="0"/>
        <w:rPr>
          <w:rFonts w:eastAsia="PMingLiU" w:cs="Times New Roman"/>
          <w:color w:val="FF0000"/>
          <w:sz w:val="20"/>
          <w:szCs w:val="24"/>
          <w:lang w:val="en-GB" w:eastAsia="zh-TW"/>
        </w:rPr>
      </w:pPr>
    </w:p>
    <w:tbl>
      <w:tblPr>
        <w:tblW w:w="0" w:type="auto"/>
        <w:jc w:val="center"/>
        <w:tblCellMar>
          <w:left w:w="75" w:type="dxa"/>
          <w:right w:w="75" w:type="dxa"/>
        </w:tblCellMar>
        <w:tblLook w:val="0000" w:firstRow="0" w:lastRow="0" w:firstColumn="0" w:lastColumn="0" w:noHBand="0" w:noVBand="0"/>
      </w:tblPr>
      <w:tblGrid>
        <w:gridCol w:w="1177"/>
        <w:gridCol w:w="850"/>
        <w:gridCol w:w="850"/>
        <w:gridCol w:w="850"/>
        <w:gridCol w:w="850"/>
      </w:tblGrid>
      <w:tr w:rsidR="005A1486" w:rsidRPr="007048BA" w14:paraId="37A09285" w14:textId="77777777" w:rsidTr="00AE1D1F">
        <w:trPr>
          <w:jc w:val="center"/>
        </w:trPr>
        <w:tc>
          <w:tcPr>
            <w:tcW w:w="0" w:type="auto"/>
            <w:tcBorders>
              <w:top w:val="single" w:sz="6" w:space="0" w:color="auto"/>
              <w:left w:val="nil"/>
              <w:bottom w:val="single" w:sz="4" w:space="0" w:color="auto"/>
              <w:right w:val="nil"/>
            </w:tcBorders>
          </w:tcPr>
          <w:p w14:paraId="380D8BD6" w14:textId="77777777" w:rsidR="005A1486" w:rsidRPr="007048BA" w:rsidRDefault="005A1486" w:rsidP="005A1486">
            <w:pPr>
              <w:widowControl w:val="0"/>
              <w:autoSpaceDE w:val="0"/>
              <w:autoSpaceDN w:val="0"/>
              <w:adjustRightInd w:val="0"/>
              <w:spacing w:after="0" w:line="240" w:lineRule="auto"/>
              <w:ind w:firstLine="0"/>
              <w:jc w:val="left"/>
              <w:rPr>
                <w:rFonts w:eastAsia="Times New Roman" w:cs="Times New Roman"/>
                <w:szCs w:val="24"/>
                <w:lang w:val="en-GB" w:eastAsia="en-GB"/>
              </w:rPr>
            </w:pPr>
          </w:p>
        </w:tc>
        <w:tc>
          <w:tcPr>
            <w:tcW w:w="0" w:type="auto"/>
            <w:tcBorders>
              <w:top w:val="single" w:sz="6" w:space="0" w:color="auto"/>
              <w:left w:val="nil"/>
              <w:bottom w:val="single" w:sz="4" w:space="0" w:color="auto"/>
              <w:right w:val="nil"/>
            </w:tcBorders>
          </w:tcPr>
          <w:p w14:paraId="7ABA6722"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w:t>
            </w:r>
          </w:p>
        </w:tc>
        <w:tc>
          <w:tcPr>
            <w:tcW w:w="0" w:type="auto"/>
            <w:tcBorders>
              <w:top w:val="single" w:sz="6" w:space="0" w:color="auto"/>
              <w:left w:val="nil"/>
              <w:bottom w:val="single" w:sz="4" w:space="0" w:color="auto"/>
              <w:right w:val="nil"/>
            </w:tcBorders>
          </w:tcPr>
          <w:p w14:paraId="5C136DC0"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(2)</w:t>
            </w:r>
          </w:p>
        </w:tc>
        <w:tc>
          <w:tcPr>
            <w:tcW w:w="0" w:type="auto"/>
            <w:tcBorders>
              <w:top w:val="single" w:sz="6" w:space="0" w:color="auto"/>
              <w:left w:val="nil"/>
              <w:bottom w:val="single" w:sz="4" w:space="0" w:color="auto"/>
              <w:right w:val="nil"/>
            </w:tcBorders>
          </w:tcPr>
          <w:p w14:paraId="706635E4"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(3)</w:t>
            </w:r>
          </w:p>
        </w:tc>
        <w:tc>
          <w:tcPr>
            <w:tcW w:w="0" w:type="auto"/>
            <w:tcBorders>
              <w:top w:val="single" w:sz="6" w:space="0" w:color="auto"/>
              <w:left w:val="nil"/>
              <w:bottom w:val="single" w:sz="4" w:space="0" w:color="auto"/>
              <w:right w:val="nil"/>
            </w:tcBorders>
          </w:tcPr>
          <w:p w14:paraId="1C2E4F30"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(4)</w:t>
            </w:r>
          </w:p>
        </w:tc>
      </w:tr>
      <w:tr w:rsidR="005A1486" w:rsidRPr="007048BA" w14:paraId="3E909ADE" w14:textId="77777777" w:rsidTr="00AE1D1F">
        <w:trPr>
          <w:jc w:val="center"/>
        </w:trPr>
        <w:tc>
          <w:tcPr>
            <w:tcW w:w="0" w:type="auto"/>
            <w:tcBorders>
              <w:top w:val="single" w:sz="4" w:space="0" w:color="auto"/>
              <w:left w:val="nil"/>
              <w:bottom w:val="nil"/>
              <w:right w:val="nil"/>
            </w:tcBorders>
          </w:tcPr>
          <w:p w14:paraId="5A0CCB7D" w14:textId="77777777" w:rsidR="005A1486" w:rsidRPr="007048BA" w:rsidRDefault="005A1486" w:rsidP="005A1486">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Poor</w:t>
            </w:r>
          </w:p>
        </w:tc>
        <w:tc>
          <w:tcPr>
            <w:tcW w:w="0" w:type="auto"/>
            <w:tcBorders>
              <w:top w:val="single" w:sz="4" w:space="0" w:color="auto"/>
              <w:left w:val="nil"/>
              <w:bottom w:val="nil"/>
              <w:right w:val="nil"/>
            </w:tcBorders>
          </w:tcPr>
          <w:p w14:paraId="37E764E2"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0.109</w:t>
            </w:r>
          </w:p>
        </w:tc>
        <w:tc>
          <w:tcPr>
            <w:tcW w:w="0" w:type="auto"/>
            <w:tcBorders>
              <w:top w:val="single" w:sz="4" w:space="0" w:color="auto"/>
              <w:left w:val="nil"/>
              <w:bottom w:val="nil"/>
              <w:right w:val="nil"/>
            </w:tcBorders>
          </w:tcPr>
          <w:p w14:paraId="43161036"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single" w:sz="4" w:space="0" w:color="auto"/>
              <w:left w:val="nil"/>
              <w:bottom w:val="nil"/>
              <w:right w:val="nil"/>
            </w:tcBorders>
          </w:tcPr>
          <w:p w14:paraId="4078C6DA"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single" w:sz="4" w:space="0" w:color="auto"/>
              <w:left w:val="nil"/>
              <w:bottom w:val="nil"/>
              <w:right w:val="nil"/>
            </w:tcBorders>
          </w:tcPr>
          <w:p w14:paraId="74716DDD"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5A1486" w:rsidRPr="007048BA" w14:paraId="6C6B0B6E" w14:textId="77777777" w:rsidTr="006F796E">
        <w:trPr>
          <w:jc w:val="center"/>
        </w:trPr>
        <w:tc>
          <w:tcPr>
            <w:tcW w:w="0" w:type="auto"/>
            <w:tcBorders>
              <w:top w:val="nil"/>
              <w:left w:val="nil"/>
              <w:bottom w:val="nil"/>
              <w:right w:val="nil"/>
            </w:tcBorders>
          </w:tcPr>
          <w:p w14:paraId="4C91F98F" w14:textId="77777777" w:rsidR="005A1486" w:rsidRPr="007048BA" w:rsidRDefault="005A1486" w:rsidP="005A1486">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Borders>
              <w:top w:val="nil"/>
              <w:left w:val="nil"/>
              <w:bottom w:val="nil"/>
              <w:right w:val="nil"/>
            </w:tcBorders>
          </w:tcPr>
          <w:p w14:paraId="171FC4A9"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(0.109)</w:t>
            </w:r>
          </w:p>
        </w:tc>
        <w:tc>
          <w:tcPr>
            <w:tcW w:w="0" w:type="auto"/>
            <w:tcBorders>
              <w:top w:val="nil"/>
              <w:left w:val="nil"/>
              <w:bottom w:val="nil"/>
              <w:right w:val="nil"/>
            </w:tcBorders>
          </w:tcPr>
          <w:p w14:paraId="38C8357A"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nil"/>
              <w:bottom w:val="nil"/>
              <w:right w:val="nil"/>
            </w:tcBorders>
          </w:tcPr>
          <w:p w14:paraId="73B857FE"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nil"/>
              <w:bottom w:val="nil"/>
              <w:right w:val="nil"/>
            </w:tcBorders>
          </w:tcPr>
          <w:p w14:paraId="0214A0D7"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5A1486" w:rsidRPr="007048BA" w14:paraId="7F72D722" w14:textId="77777777" w:rsidTr="006F796E">
        <w:trPr>
          <w:jc w:val="center"/>
        </w:trPr>
        <w:tc>
          <w:tcPr>
            <w:tcW w:w="0" w:type="auto"/>
            <w:tcBorders>
              <w:top w:val="nil"/>
              <w:left w:val="nil"/>
              <w:bottom w:val="nil"/>
              <w:right w:val="nil"/>
            </w:tcBorders>
          </w:tcPr>
          <w:p w14:paraId="61A2650F" w14:textId="77777777" w:rsidR="005A1486" w:rsidRPr="007048BA" w:rsidRDefault="005A1486" w:rsidP="005A1486">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Myopia</w:t>
            </w:r>
          </w:p>
        </w:tc>
        <w:tc>
          <w:tcPr>
            <w:tcW w:w="0" w:type="auto"/>
            <w:tcBorders>
              <w:top w:val="nil"/>
              <w:left w:val="nil"/>
              <w:bottom w:val="nil"/>
              <w:right w:val="nil"/>
            </w:tcBorders>
          </w:tcPr>
          <w:p w14:paraId="2E0BE929"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nil"/>
              <w:bottom w:val="nil"/>
              <w:right w:val="nil"/>
            </w:tcBorders>
          </w:tcPr>
          <w:p w14:paraId="19FC9546"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0.048</w:t>
            </w:r>
          </w:p>
        </w:tc>
        <w:tc>
          <w:tcPr>
            <w:tcW w:w="0" w:type="auto"/>
            <w:tcBorders>
              <w:top w:val="nil"/>
              <w:left w:val="nil"/>
              <w:bottom w:val="nil"/>
              <w:right w:val="nil"/>
            </w:tcBorders>
          </w:tcPr>
          <w:p w14:paraId="09F76DEF"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nil"/>
              <w:bottom w:val="nil"/>
              <w:right w:val="nil"/>
            </w:tcBorders>
          </w:tcPr>
          <w:p w14:paraId="74411295"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5A1486" w:rsidRPr="007048BA" w14:paraId="5B69E9F0" w14:textId="77777777" w:rsidTr="006F796E">
        <w:trPr>
          <w:jc w:val="center"/>
        </w:trPr>
        <w:tc>
          <w:tcPr>
            <w:tcW w:w="0" w:type="auto"/>
            <w:tcBorders>
              <w:top w:val="nil"/>
              <w:left w:val="nil"/>
              <w:bottom w:val="nil"/>
              <w:right w:val="nil"/>
            </w:tcBorders>
          </w:tcPr>
          <w:p w14:paraId="73B4410A" w14:textId="77777777" w:rsidR="005A1486" w:rsidRPr="007048BA" w:rsidRDefault="005A1486" w:rsidP="005A1486">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Borders>
              <w:top w:val="nil"/>
              <w:left w:val="nil"/>
              <w:bottom w:val="nil"/>
              <w:right w:val="nil"/>
            </w:tcBorders>
          </w:tcPr>
          <w:p w14:paraId="6530090D"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nil"/>
              <w:bottom w:val="nil"/>
              <w:right w:val="nil"/>
            </w:tcBorders>
          </w:tcPr>
          <w:p w14:paraId="7ED831A1"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(0.511)</w:t>
            </w:r>
          </w:p>
        </w:tc>
        <w:tc>
          <w:tcPr>
            <w:tcW w:w="0" w:type="auto"/>
            <w:tcBorders>
              <w:top w:val="nil"/>
              <w:left w:val="nil"/>
              <w:bottom w:val="nil"/>
              <w:right w:val="nil"/>
            </w:tcBorders>
          </w:tcPr>
          <w:p w14:paraId="46F4DBA2"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nil"/>
              <w:bottom w:val="nil"/>
              <w:right w:val="nil"/>
            </w:tcBorders>
          </w:tcPr>
          <w:p w14:paraId="3A9AB04A"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5A1486" w:rsidRPr="007048BA" w14:paraId="6ED59D4F" w14:textId="77777777" w:rsidTr="006F796E">
        <w:trPr>
          <w:jc w:val="center"/>
        </w:trPr>
        <w:tc>
          <w:tcPr>
            <w:tcW w:w="0" w:type="auto"/>
            <w:tcBorders>
              <w:top w:val="nil"/>
              <w:left w:val="nil"/>
              <w:bottom w:val="nil"/>
              <w:right w:val="nil"/>
            </w:tcBorders>
          </w:tcPr>
          <w:p w14:paraId="09407AFA" w14:textId="77777777" w:rsidR="005A1486" w:rsidRPr="007048BA" w:rsidRDefault="005A1486" w:rsidP="005A1486">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Hyperopia</w:t>
            </w:r>
          </w:p>
        </w:tc>
        <w:tc>
          <w:tcPr>
            <w:tcW w:w="0" w:type="auto"/>
            <w:tcBorders>
              <w:top w:val="nil"/>
              <w:left w:val="nil"/>
              <w:bottom w:val="nil"/>
              <w:right w:val="nil"/>
            </w:tcBorders>
          </w:tcPr>
          <w:p w14:paraId="09BA73AF"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nil"/>
              <w:bottom w:val="nil"/>
              <w:right w:val="nil"/>
            </w:tcBorders>
          </w:tcPr>
          <w:p w14:paraId="50F4B027"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nil"/>
              <w:bottom w:val="nil"/>
              <w:right w:val="nil"/>
            </w:tcBorders>
          </w:tcPr>
          <w:p w14:paraId="5616AF1E"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-0.041</w:t>
            </w:r>
          </w:p>
        </w:tc>
        <w:tc>
          <w:tcPr>
            <w:tcW w:w="0" w:type="auto"/>
            <w:tcBorders>
              <w:top w:val="nil"/>
              <w:left w:val="nil"/>
              <w:bottom w:val="nil"/>
              <w:right w:val="nil"/>
            </w:tcBorders>
          </w:tcPr>
          <w:p w14:paraId="3F4901C4"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5A1486" w:rsidRPr="007048BA" w14:paraId="46591974" w14:textId="77777777" w:rsidTr="006F796E">
        <w:trPr>
          <w:jc w:val="center"/>
        </w:trPr>
        <w:tc>
          <w:tcPr>
            <w:tcW w:w="0" w:type="auto"/>
            <w:tcBorders>
              <w:top w:val="nil"/>
              <w:left w:val="nil"/>
              <w:bottom w:val="nil"/>
              <w:right w:val="nil"/>
            </w:tcBorders>
          </w:tcPr>
          <w:p w14:paraId="1400C920" w14:textId="77777777" w:rsidR="005A1486" w:rsidRPr="007048BA" w:rsidRDefault="005A1486" w:rsidP="005A1486">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Borders>
              <w:top w:val="nil"/>
              <w:left w:val="nil"/>
              <w:bottom w:val="nil"/>
              <w:right w:val="nil"/>
            </w:tcBorders>
          </w:tcPr>
          <w:p w14:paraId="7D3099FA"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nil"/>
              <w:bottom w:val="nil"/>
              <w:right w:val="nil"/>
            </w:tcBorders>
          </w:tcPr>
          <w:p w14:paraId="4C90055B"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nil"/>
              <w:bottom w:val="nil"/>
              <w:right w:val="nil"/>
            </w:tcBorders>
          </w:tcPr>
          <w:p w14:paraId="4C2A3F83"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(0.536)</w:t>
            </w:r>
          </w:p>
        </w:tc>
        <w:tc>
          <w:tcPr>
            <w:tcW w:w="0" w:type="auto"/>
            <w:tcBorders>
              <w:top w:val="nil"/>
              <w:left w:val="nil"/>
              <w:bottom w:val="nil"/>
              <w:right w:val="nil"/>
            </w:tcBorders>
          </w:tcPr>
          <w:p w14:paraId="0BD35B10"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r>
      <w:tr w:rsidR="005A1486" w:rsidRPr="007048BA" w14:paraId="2FAC58D6" w14:textId="77777777" w:rsidTr="006F796E">
        <w:trPr>
          <w:jc w:val="center"/>
        </w:trPr>
        <w:tc>
          <w:tcPr>
            <w:tcW w:w="0" w:type="auto"/>
            <w:tcBorders>
              <w:top w:val="nil"/>
              <w:left w:val="nil"/>
              <w:bottom w:val="nil"/>
              <w:right w:val="nil"/>
            </w:tcBorders>
          </w:tcPr>
          <w:p w14:paraId="63324A29" w14:textId="77777777" w:rsidR="005A1486" w:rsidRPr="007048BA" w:rsidRDefault="005A1486" w:rsidP="005A1486">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Efficient</w:t>
            </w:r>
          </w:p>
        </w:tc>
        <w:tc>
          <w:tcPr>
            <w:tcW w:w="0" w:type="auto"/>
            <w:tcBorders>
              <w:top w:val="nil"/>
              <w:left w:val="nil"/>
              <w:bottom w:val="nil"/>
              <w:right w:val="nil"/>
            </w:tcBorders>
          </w:tcPr>
          <w:p w14:paraId="1B53EAA0"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nil"/>
              <w:bottom w:val="nil"/>
              <w:right w:val="nil"/>
            </w:tcBorders>
          </w:tcPr>
          <w:p w14:paraId="7D5CCCE5"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nil"/>
              <w:bottom w:val="nil"/>
              <w:right w:val="nil"/>
            </w:tcBorders>
          </w:tcPr>
          <w:p w14:paraId="6C2D660C"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nil"/>
              <w:bottom w:val="nil"/>
              <w:right w:val="nil"/>
            </w:tcBorders>
          </w:tcPr>
          <w:p w14:paraId="24B0DA1D"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-0.084</w:t>
            </w:r>
          </w:p>
        </w:tc>
      </w:tr>
      <w:tr w:rsidR="005A1486" w:rsidRPr="007048BA" w14:paraId="2D52A429" w14:textId="77777777" w:rsidTr="006F796E">
        <w:trPr>
          <w:jc w:val="center"/>
        </w:trPr>
        <w:tc>
          <w:tcPr>
            <w:tcW w:w="0" w:type="auto"/>
            <w:tcBorders>
              <w:top w:val="nil"/>
              <w:left w:val="nil"/>
              <w:bottom w:val="nil"/>
              <w:right w:val="nil"/>
            </w:tcBorders>
          </w:tcPr>
          <w:p w14:paraId="01D8DC78" w14:textId="77777777" w:rsidR="005A1486" w:rsidRPr="007048BA" w:rsidRDefault="005A1486" w:rsidP="005A1486">
            <w:pPr>
              <w:widowControl w:val="0"/>
              <w:autoSpaceDE w:val="0"/>
              <w:autoSpaceDN w:val="0"/>
              <w:adjustRightInd w:val="0"/>
              <w:spacing w:after="0" w:line="240" w:lineRule="auto"/>
              <w:ind w:firstLine="0"/>
              <w:jc w:val="left"/>
              <w:rPr>
                <w:rFonts w:eastAsia="Times New Roman" w:cs="Times New Roman"/>
                <w:i/>
                <w:szCs w:val="24"/>
                <w:lang w:val="en-GB" w:eastAsia="en-GB"/>
              </w:rPr>
            </w:pPr>
          </w:p>
        </w:tc>
        <w:tc>
          <w:tcPr>
            <w:tcW w:w="0" w:type="auto"/>
            <w:tcBorders>
              <w:top w:val="nil"/>
              <w:left w:val="nil"/>
              <w:bottom w:val="nil"/>
              <w:right w:val="nil"/>
            </w:tcBorders>
          </w:tcPr>
          <w:p w14:paraId="778E8915"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nil"/>
              <w:bottom w:val="nil"/>
              <w:right w:val="nil"/>
            </w:tcBorders>
          </w:tcPr>
          <w:p w14:paraId="322DF241"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nil"/>
              <w:bottom w:val="nil"/>
              <w:right w:val="nil"/>
            </w:tcBorders>
          </w:tcPr>
          <w:p w14:paraId="27B36954"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p>
        </w:tc>
        <w:tc>
          <w:tcPr>
            <w:tcW w:w="0" w:type="auto"/>
            <w:tcBorders>
              <w:top w:val="nil"/>
              <w:left w:val="nil"/>
              <w:bottom w:val="nil"/>
              <w:right w:val="nil"/>
            </w:tcBorders>
          </w:tcPr>
          <w:p w14:paraId="28DC7A75"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(0.166)</w:t>
            </w:r>
          </w:p>
        </w:tc>
      </w:tr>
      <w:tr w:rsidR="005A1486" w:rsidRPr="007048BA" w14:paraId="43A4037A" w14:textId="77777777" w:rsidTr="006F796E">
        <w:trPr>
          <w:jc w:val="center"/>
        </w:trPr>
        <w:tc>
          <w:tcPr>
            <w:tcW w:w="0" w:type="auto"/>
            <w:tcBorders>
              <w:top w:val="nil"/>
              <w:left w:val="nil"/>
              <w:bottom w:val="nil"/>
              <w:right w:val="nil"/>
            </w:tcBorders>
          </w:tcPr>
          <w:p w14:paraId="56708193" w14:textId="77777777" w:rsidR="005A1486" w:rsidRPr="007048BA" w:rsidRDefault="005A1486" w:rsidP="005A1486">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Controls</w:t>
            </w:r>
          </w:p>
        </w:tc>
        <w:tc>
          <w:tcPr>
            <w:tcW w:w="0" w:type="auto"/>
            <w:tcBorders>
              <w:top w:val="nil"/>
              <w:left w:val="nil"/>
              <w:bottom w:val="nil"/>
              <w:right w:val="nil"/>
            </w:tcBorders>
          </w:tcPr>
          <w:p w14:paraId="3527C596"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Borders>
              <w:top w:val="nil"/>
              <w:left w:val="nil"/>
              <w:bottom w:val="nil"/>
              <w:right w:val="nil"/>
            </w:tcBorders>
          </w:tcPr>
          <w:p w14:paraId="51D3D585"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Borders>
              <w:top w:val="nil"/>
              <w:left w:val="nil"/>
              <w:bottom w:val="nil"/>
              <w:right w:val="nil"/>
            </w:tcBorders>
          </w:tcPr>
          <w:p w14:paraId="46B33AD7"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c>
          <w:tcPr>
            <w:tcW w:w="0" w:type="auto"/>
            <w:tcBorders>
              <w:top w:val="nil"/>
              <w:left w:val="nil"/>
              <w:bottom w:val="nil"/>
              <w:right w:val="nil"/>
            </w:tcBorders>
          </w:tcPr>
          <w:p w14:paraId="64E516AE"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YES</w:t>
            </w:r>
          </w:p>
        </w:tc>
      </w:tr>
      <w:tr w:rsidR="005A1486" w:rsidRPr="007048BA" w14:paraId="2BFD3EDF" w14:textId="77777777" w:rsidTr="006F796E">
        <w:trPr>
          <w:jc w:val="center"/>
        </w:trPr>
        <w:tc>
          <w:tcPr>
            <w:tcW w:w="0" w:type="auto"/>
            <w:tcBorders>
              <w:top w:val="nil"/>
              <w:left w:val="nil"/>
              <w:bottom w:val="nil"/>
              <w:right w:val="nil"/>
            </w:tcBorders>
          </w:tcPr>
          <w:p w14:paraId="0626393D" w14:textId="3E19422D" w:rsidR="005A1486" w:rsidRPr="007048BA" w:rsidRDefault="00194DA7" w:rsidP="005A1486">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Obs.</w:t>
            </w:r>
          </w:p>
        </w:tc>
        <w:tc>
          <w:tcPr>
            <w:tcW w:w="0" w:type="auto"/>
            <w:tcBorders>
              <w:top w:val="nil"/>
              <w:left w:val="nil"/>
              <w:bottom w:val="nil"/>
              <w:right w:val="nil"/>
            </w:tcBorders>
          </w:tcPr>
          <w:p w14:paraId="036E8B71"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14,185</w:t>
            </w:r>
          </w:p>
        </w:tc>
        <w:tc>
          <w:tcPr>
            <w:tcW w:w="0" w:type="auto"/>
            <w:tcBorders>
              <w:top w:val="nil"/>
              <w:left w:val="nil"/>
              <w:bottom w:val="nil"/>
              <w:right w:val="nil"/>
            </w:tcBorders>
          </w:tcPr>
          <w:p w14:paraId="42E81CF5"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14,185</w:t>
            </w:r>
          </w:p>
        </w:tc>
        <w:tc>
          <w:tcPr>
            <w:tcW w:w="0" w:type="auto"/>
            <w:tcBorders>
              <w:top w:val="nil"/>
              <w:left w:val="nil"/>
              <w:bottom w:val="nil"/>
              <w:right w:val="nil"/>
            </w:tcBorders>
          </w:tcPr>
          <w:p w14:paraId="5DABB19A"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14,185</w:t>
            </w:r>
          </w:p>
        </w:tc>
        <w:tc>
          <w:tcPr>
            <w:tcW w:w="0" w:type="auto"/>
            <w:tcBorders>
              <w:top w:val="nil"/>
              <w:left w:val="nil"/>
              <w:bottom w:val="nil"/>
              <w:right w:val="nil"/>
            </w:tcBorders>
          </w:tcPr>
          <w:p w14:paraId="1EC94F8B"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14,185</w:t>
            </w:r>
          </w:p>
        </w:tc>
      </w:tr>
      <w:tr w:rsidR="005A1486" w:rsidRPr="007048BA" w14:paraId="470F028A" w14:textId="77777777" w:rsidTr="006F796E">
        <w:tblPrEx>
          <w:tblBorders>
            <w:bottom w:val="single" w:sz="6" w:space="0" w:color="auto"/>
          </w:tblBorders>
        </w:tblPrEx>
        <w:trPr>
          <w:jc w:val="center"/>
        </w:trPr>
        <w:tc>
          <w:tcPr>
            <w:tcW w:w="0" w:type="auto"/>
            <w:tcBorders>
              <w:top w:val="nil"/>
              <w:left w:val="nil"/>
              <w:bottom w:val="single" w:sz="6" w:space="0" w:color="auto"/>
              <w:right w:val="nil"/>
            </w:tcBorders>
          </w:tcPr>
          <w:p w14:paraId="2D61AD68" w14:textId="77777777" w:rsidR="005A1486" w:rsidRPr="007048BA" w:rsidRDefault="005A1486" w:rsidP="005A1486">
            <w:pPr>
              <w:widowControl w:val="0"/>
              <w:autoSpaceDE w:val="0"/>
              <w:autoSpaceDN w:val="0"/>
              <w:adjustRightInd w:val="0"/>
              <w:spacing w:after="0" w:line="240" w:lineRule="auto"/>
              <w:ind w:firstLine="0"/>
              <w:jc w:val="left"/>
              <w:rPr>
                <w:rFonts w:eastAsia="Times New Roman" w:cs="Times New Roman"/>
                <w:i/>
                <w:szCs w:val="24"/>
                <w:lang w:val="en-GB" w:eastAsia="en-GB"/>
              </w:rPr>
            </w:pPr>
            <w:r w:rsidRPr="007048BA">
              <w:rPr>
                <w:rFonts w:eastAsia="Times New Roman" w:cs="Times New Roman"/>
                <w:i/>
                <w:szCs w:val="24"/>
                <w:lang w:val="en-GB" w:eastAsia="en-GB"/>
              </w:rPr>
              <w:t>Firms</w:t>
            </w:r>
          </w:p>
        </w:tc>
        <w:tc>
          <w:tcPr>
            <w:tcW w:w="0" w:type="auto"/>
            <w:tcBorders>
              <w:top w:val="nil"/>
              <w:left w:val="nil"/>
              <w:bottom w:val="single" w:sz="6" w:space="0" w:color="auto"/>
              <w:right w:val="nil"/>
            </w:tcBorders>
          </w:tcPr>
          <w:p w14:paraId="174631B2"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1,595</w:t>
            </w:r>
          </w:p>
        </w:tc>
        <w:tc>
          <w:tcPr>
            <w:tcW w:w="0" w:type="auto"/>
            <w:tcBorders>
              <w:top w:val="nil"/>
              <w:left w:val="nil"/>
              <w:bottom w:val="single" w:sz="6" w:space="0" w:color="auto"/>
              <w:right w:val="nil"/>
            </w:tcBorders>
          </w:tcPr>
          <w:p w14:paraId="7AED3501"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1,595</w:t>
            </w:r>
          </w:p>
        </w:tc>
        <w:tc>
          <w:tcPr>
            <w:tcW w:w="0" w:type="auto"/>
            <w:tcBorders>
              <w:top w:val="nil"/>
              <w:left w:val="nil"/>
              <w:bottom w:val="single" w:sz="6" w:space="0" w:color="auto"/>
              <w:right w:val="nil"/>
            </w:tcBorders>
          </w:tcPr>
          <w:p w14:paraId="7917622B"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1,595</w:t>
            </w:r>
          </w:p>
        </w:tc>
        <w:tc>
          <w:tcPr>
            <w:tcW w:w="0" w:type="auto"/>
            <w:tcBorders>
              <w:top w:val="nil"/>
              <w:left w:val="nil"/>
              <w:bottom w:val="single" w:sz="6" w:space="0" w:color="auto"/>
              <w:right w:val="nil"/>
            </w:tcBorders>
          </w:tcPr>
          <w:p w14:paraId="111E00BD" w14:textId="77777777" w:rsidR="005A1486" w:rsidRPr="007048BA" w:rsidRDefault="005A1486" w:rsidP="005A1486">
            <w:pPr>
              <w:widowControl w:val="0"/>
              <w:autoSpaceDE w:val="0"/>
              <w:autoSpaceDN w:val="0"/>
              <w:adjustRightInd w:val="0"/>
              <w:spacing w:after="0" w:line="240" w:lineRule="auto"/>
              <w:ind w:firstLine="0"/>
              <w:jc w:val="center"/>
              <w:rPr>
                <w:rFonts w:eastAsia="Times New Roman" w:cs="Times New Roman"/>
                <w:szCs w:val="24"/>
                <w:lang w:val="en-GB" w:eastAsia="en-GB"/>
              </w:rPr>
            </w:pPr>
            <w:r w:rsidRPr="007048BA">
              <w:rPr>
                <w:rFonts w:eastAsia="Times New Roman" w:cs="Times New Roman"/>
                <w:szCs w:val="24"/>
                <w:lang w:val="en-GB" w:eastAsia="en-GB"/>
              </w:rPr>
              <w:t>1,595</w:t>
            </w:r>
          </w:p>
        </w:tc>
      </w:tr>
    </w:tbl>
    <w:p w14:paraId="67B333FE" w14:textId="77777777" w:rsidR="005A1486" w:rsidRPr="007048BA" w:rsidRDefault="005A1486" w:rsidP="00A25AE5">
      <w:pPr>
        <w:tabs>
          <w:tab w:val="center" w:pos="5383"/>
        </w:tabs>
        <w:rPr>
          <w:sz w:val="28"/>
          <w:lang w:val="en-GB" w:eastAsia="zh-TW"/>
        </w:rPr>
        <w:sectPr w:rsidR="005A1486" w:rsidRPr="007048BA" w:rsidSect="005A1486">
          <w:pgSz w:w="12240" w:h="15840"/>
          <w:pgMar w:top="1304" w:right="964" w:bottom="1304" w:left="1077" w:header="720" w:footer="720" w:gutter="0"/>
          <w:cols w:space="720"/>
          <w:docGrid w:linePitch="360"/>
        </w:sectPr>
      </w:pPr>
    </w:p>
    <w:p w14:paraId="0FC0906E" w14:textId="69D6E6B8" w:rsidR="0060367E" w:rsidRPr="007048BA" w:rsidRDefault="0060367E" w:rsidP="00D8280C">
      <w:pPr>
        <w:rPr>
          <w:rFonts w:eastAsia="PMingLiU" w:cs="Times New Roman"/>
          <w:b/>
          <w:sz w:val="28"/>
          <w:szCs w:val="24"/>
          <w:lang w:val="en-GB" w:eastAsia="zh-TW"/>
        </w:rPr>
      </w:pPr>
      <w:r w:rsidRPr="007048BA">
        <w:rPr>
          <w:b/>
          <w:sz w:val="28"/>
          <w:lang w:val="en-GB" w:eastAsia="zh-TW"/>
        </w:rPr>
        <w:lastRenderedPageBreak/>
        <w:t>Figure 1</w:t>
      </w:r>
      <w:r w:rsidR="00D8280C" w:rsidRPr="007048BA">
        <w:rPr>
          <w:b/>
          <w:sz w:val="28"/>
          <w:lang w:val="en-GB" w:eastAsia="zh-TW"/>
        </w:rPr>
        <w:t xml:space="preserve">: </w:t>
      </w:r>
      <w:r w:rsidRPr="007048BA">
        <w:rPr>
          <w:rFonts w:eastAsia="PMingLiU" w:cs="Times New Roman"/>
          <w:b/>
          <w:sz w:val="28"/>
          <w:szCs w:val="24"/>
          <w:lang w:val="en-GB" w:eastAsia="zh-TW"/>
        </w:rPr>
        <w:t>Calibrating management performance</w:t>
      </w:r>
    </w:p>
    <w:p w14:paraId="69717E3C" w14:textId="4FEED130" w:rsidR="0060367E" w:rsidRPr="007048BA" w:rsidRDefault="0060367E" w:rsidP="0060367E">
      <w:pPr>
        <w:tabs>
          <w:tab w:val="left" w:pos="1985"/>
        </w:tabs>
        <w:autoSpaceDE w:val="0"/>
        <w:autoSpaceDN w:val="0"/>
        <w:adjustRightInd w:val="0"/>
        <w:spacing w:after="0" w:line="240" w:lineRule="auto"/>
        <w:ind w:firstLine="0"/>
        <w:rPr>
          <w:rFonts w:eastAsia="PMingLiU" w:cs="Times New Roman"/>
          <w:sz w:val="20"/>
          <w:szCs w:val="24"/>
          <w:lang w:val="en-GB" w:eastAsia="zh-TW"/>
        </w:rPr>
      </w:pPr>
      <w:r w:rsidRPr="007048BA">
        <w:rPr>
          <w:rFonts w:eastAsia="PMingLiU" w:cs="Times New Roman"/>
          <w:sz w:val="20"/>
          <w:szCs w:val="24"/>
          <w:lang w:val="en-GB" w:eastAsia="zh-TW"/>
        </w:rPr>
        <w:t>The figure demonstrates the classification of firms into four performance catego</w:t>
      </w:r>
      <w:r w:rsidR="008B7257" w:rsidRPr="007048BA">
        <w:rPr>
          <w:rFonts w:eastAsia="PMingLiU" w:cs="Times New Roman"/>
          <w:sz w:val="20"/>
          <w:szCs w:val="24"/>
          <w:lang w:val="en-GB" w:eastAsia="zh-TW"/>
        </w:rPr>
        <w:t xml:space="preserve">ries based on combinations of </w:t>
      </w:r>
      <w:r w:rsidRPr="007048BA">
        <w:rPr>
          <w:rFonts w:eastAsia="PMingLiU" w:cs="Times New Roman"/>
          <w:sz w:val="20"/>
          <w:szCs w:val="24"/>
          <w:lang w:val="en-GB" w:eastAsia="zh-TW"/>
        </w:rPr>
        <w:t xml:space="preserve">their accounting and stock market performance. Accounting performance is proxied by the return on capital employed (ROCE) although other measures including return on assets (ROA), return on equity (ROE) and net profit margin (NPM) yield a similar result. Stock market performance is proxied by the average </w:t>
      </w:r>
      <w:r w:rsidR="00E10E12" w:rsidRPr="007048BA">
        <w:rPr>
          <w:rFonts w:eastAsia="PMingLiU" w:cs="Times New Roman"/>
          <w:sz w:val="20"/>
          <w:szCs w:val="24"/>
          <w:lang w:val="en-GB" w:eastAsia="zh-TW"/>
        </w:rPr>
        <w:t>daily</w:t>
      </w:r>
      <w:r w:rsidRPr="007048BA">
        <w:rPr>
          <w:rFonts w:eastAsia="PMingLiU" w:cs="Times New Roman"/>
          <w:sz w:val="20"/>
          <w:szCs w:val="24"/>
          <w:lang w:val="en-GB" w:eastAsia="zh-TW"/>
        </w:rPr>
        <w:t xml:space="preserve"> abnormal return computed using the market model. A firm’s performance in a particular</w:t>
      </w:r>
      <w:r w:rsidR="008B7257" w:rsidRPr="007048BA">
        <w:rPr>
          <w:rFonts w:eastAsia="PMingLiU" w:cs="Times New Roman"/>
          <w:sz w:val="20"/>
          <w:szCs w:val="24"/>
          <w:lang w:val="en-GB" w:eastAsia="zh-TW"/>
        </w:rPr>
        <w:t xml:space="preserve"> year is classified as HIGH if it </w:t>
      </w:r>
      <w:r w:rsidRPr="007048BA">
        <w:rPr>
          <w:rFonts w:eastAsia="PMingLiU" w:cs="Times New Roman"/>
          <w:sz w:val="20"/>
          <w:szCs w:val="24"/>
          <w:lang w:val="en-GB" w:eastAsia="zh-TW"/>
        </w:rPr>
        <w:t xml:space="preserve">is greater than the industry </w:t>
      </w:r>
      <w:r w:rsidR="008A6D7F" w:rsidRPr="007048BA">
        <w:rPr>
          <w:rFonts w:eastAsia="PMingLiU" w:cs="Times New Roman"/>
          <w:sz w:val="20"/>
          <w:szCs w:val="24"/>
          <w:lang w:val="en-GB" w:eastAsia="zh-TW"/>
        </w:rPr>
        <w:t>median</w:t>
      </w:r>
      <w:r w:rsidRPr="007048BA">
        <w:rPr>
          <w:rFonts w:eastAsia="PMingLiU" w:cs="Times New Roman"/>
          <w:sz w:val="20"/>
          <w:szCs w:val="24"/>
          <w:lang w:val="en-GB" w:eastAsia="zh-TW"/>
        </w:rPr>
        <w:t xml:space="preserve">, otherwise it is classified as LOW. </w:t>
      </w:r>
      <m:oMath>
        <m:r>
          <m:rPr>
            <m:sty m:val="p"/>
          </m:rPr>
          <w:rPr>
            <w:rFonts w:ascii="Cambria Math" w:eastAsia="PMingLiU" w:hAnsi="Cambria Math" w:cs="Times New Roman"/>
            <w:sz w:val="20"/>
            <w:szCs w:val="24"/>
            <w:lang w:val="en-GB" w:eastAsia="zh-TW"/>
          </w:rPr>
          <w:br/>
        </m:r>
        <m:sSub>
          <m:sSubPr>
            <m:ctrlPr>
              <w:rPr>
                <w:rFonts w:ascii="Cambria Math" w:eastAsia="PMingLiU" w:hAnsi="Cambria Math" w:cs="Times New Roman"/>
                <w:i/>
                <w:sz w:val="20"/>
                <w:szCs w:val="24"/>
                <w:lang w:val="en-GB" w:eastAsia="zh-TW"/>
              </w:rPr>
            </m:ctrlPr>
          </m:sSubPr>
          <m:e>
            <m:r>
              <w:rPr>
                <w:rFonts w:ascii="Cambria Math" w:eastAsia="PMingLiU" w:hAnsi="Cambria Math" w:cs="Times New Roman"/>
                <w:sz w:val="20"/>
                <w:szCs w:val="24"/>
                <w:lang w:val="en-GB" w:eastAsia="zh-TW"/>
              </w:rPr>
              <m:t>H</m:t>
            </m:r>
          </m:e>
          <m:sub>
            <m:r>
              <w:rPr>
                <w:rFonts w:ascii="Cambria Math" w:eastAsia="PMingLiU" w:hAnsi="Cambria Math" w:cs="Times New Roman"/>
                <w:sz w:val="20"/>
                <w:szCs w:val="24"/>
                <w:lang w:val="en-GB" w:eastAsia="zh-TW"/>
              </w:rPr>
              <m:t>A</m:t>
            </m:r>
          </m:sub>
        </m:sSub>
      </m:oMath>
      <w:r w:rsidRPr="007048BA">
        <w:rPr>
          <w:rFonts w:eastAsia="PMingLiU" w:cs="Times New Roman"/>
          <w:sz w:val="20"/>
          <w:szCs w:val="24"/>
          <w:lang w:val="en-GB" w:eastAsia="zh-TW"/>
        </w:rPr>
        <w:t xml:space="preserve"> and </w:t>
      </w:r>
      <m:oMath>
        <m:sSub>
          <m:sSubPr>
            <m:ctrlPr>
              <w:rPr>
                <w:rFonts w:ascii="Cambria Math" w:eastAsia="PMingLiU" w:hAnsi="Cambria Math" w:cs="Times New Roman"/>
                <w:i/>
                <w:sz w:val="20"/>
                <w:szCs w:val="24"/>
                <w:lang w:val="en-GB" w:eastAsia="zh-TW"/>
              </w:rPr>
            </m:ctrlPr>
          </m:sSubPr>
          <m:e>
            <m:r>
              <w:rPr>
                <w:rFonts w:ascii="Cambria Math" w:eastAsia="PMingLiU" w:hAnsi="Cambria Math" w:cs="Times New Roman"/>
                <w:sz w:val="20"/>
                <w:szCs w:val="24"/>
                <w:lang w:val="en-GB" w:eastAsia="zh-TW"/>
              </w:rPr>
              <m:t>H</m:t>
            </m:r>
          </m:e>
          <m:sub>
            <m:r>
              <w:rPr>
                <w:rFonts w:ascii="Cambria Math" w:eastAsia="PMingLiU" w:hAnsi="Cambria Math" w:cs="Times New Roman"/>
                <w:sz w:val="20"/>
                <w:szCs w:val="24"/>
                <w:lang w:val="en-GB" w:eastAsia="zh-TW"/>
              </w:rPr>
              <m:t>M</m:t>
            </m:r>
          </m:sub>
        </m:sSub>
      </m:oMath>
      <w:r w:rsidRPr="007048BA">
        <w:rPr>
          <w:rFonts w:eastAsia="PMingLiU" w:cs="Times New Roman"/>
          <w:sz w:val="20"/>
          <w:szCs w:val="24"/>
          <w:lang w:val="en-GB" w:eastAsia="zh-TW"/>
        </w:rPr>
        <w:t xml:space="preserve"> denote HIGH accounting and HIGH market performance, respectively, while </w:t>
      </w:r>
      <m:oMath>
        <m:sSub>
          <m:sSubPr>
            <m:ctrlPr>
              <w:rPr>
                <w:rFonts w:ascii="Cambria Math" w:eastAsia="PMingLiU" w:hAnsi="Cambria Math" w:cs="Times New Roman"/>
                <w:i/>
                <w:sz w:val="20"/>
                <w:szCs w:val="24"/>
                <w:lang w:val="en-GB" w:eastAsia="zh-TW"/>
              </w:rPr>
            </m:ctrlPr>
          </m:sSubPr>
          <m:e>
            <m:r>
              <w:rPr>
                <w:rFonts w:ascii="Cambria Math" w:eastAsia="PMingLiU" w:hAnsi="Cambria Math" w:cs="Times New Roman"/>
                <w:sz w:val="20"/>
                <w:szCs w:val="24"/>
                <w:lang w:val="en-GB" w:eastAsia="zh-TW"/>
              </w:rPr>
              <m:t>L</m:t>
            </m:r>
          </m:e>
          <m:sub>
            <m:r>
              <w:rPr>
                <w:rFonts w:ascii="Cambria Math" w:eastAsia="PMingLiU" w:hAnsi="Cambria Math" w:cs="Times New Roman"/>
                <w:sz w:val="20"/>
                <w:szCs w:val="24"/>
                <w:lang w:val="en-GB" w:eastAsia="zh-TW"/>
              </w:rPr>
              <m:t>A</m:t>
            </m:r>
          </m:sub>
        </m:sSub>
      </m:oMath>
      <w:r w:rsidRPr="007048BA">
        <w:rPr>
          <w:rFonts w:eastAsia="PMingLiU" w:cs="Times New Roman"/>
          <w:sz w:val="20"/>
          <w:szCs w:val="24"/>
          <w:lang w:val="en-GB" w:eastAsia="zh-TW"/>
        </w:rPr>
        <w:t xml:space="preserve"> and </w:t>
      </w:r>
      <m:oMath>
        <m:sSub>
          <m:sSubPr>
            <m:ctrlPr>
              <w:rPr>
                <w:rFonts w:ascii="Cambria Math" w:eastAsia="PMingLiU" w:hAnsi="Cambria Math" w:cs="Times New Roman"/>
                <w:i/>
                <w:sz w:val="20"/>
                <w:szCs w:val="24"/>
                <w:lang w:val="en-GB" w:eastAsia="zh-TW"/>
              </w:rPr>
            </m:ctrlPr>
          </m:sSubPr>
          <m:e>
            <m:r>
              <w:rPr>
                <w:rFonts w:ascii="Cambria Math" w:eastAsia="PMingLiU" w:hAnsi="Cambria Math" w:cs="Times New Roman"/>
                <w:sz w:val="20"/>
                <w:szCs w:val="24"/>
                <w:lang w:val="en-GB" w:eastAsia="zh-TW"/>
              </w:rPr>
              <m:t>L</m:t>
            </m:r>
          </m:e>
          <m:sub>
            <m:r>
              <w:rPr>
                <w:rFonts w:ascii="Cambria Math" w:eastAsia="PMingLiU" w:hAnsi="Cambria Math" w:cs="Times New Roman"/>
                <w:sz w:val="20"/>
                <w:szCs w:val="24"/>
                <w:lang w:val="en-GB" w:eastAsia="zh-TW"/>
              </w:rPr>
              <m:t>M</m:t>
            </m:r>
          </m:sub>
        </m:sSub>
      </m:oMath>
      <w:r w:rsidRPr="007048BA">
        <w:rPr>
          <w:rFonts w:eastAsia="PMingLiU" w:cs="Times New Roman"/>
          <w:sz w:val="20"/>
          <w:szCs w:val="24"/>
          <w:lang w:val="en-GB" w:eastAsia="zh-TW"/>
        </w:rPr>
        <w:t xml:space="preserve"> denote LOW accounting and LOW market performance, respectively.</w:t>
      </w:r>
    </w:p>
    <w:p w14:paraId="4204BF6E" w14:textId="77777777" w:rsidR="0060367E" w:rsidRPr="007048BA" w:rsidRDefault="0060367E" w:rsidP="0060367E">
      <w:pPr>
        <w:tabs>
          <w:tab w:val="left" w:pos="1985"/>
        </w:tabs>
        <w:autoSpaceDE w:val="0"/>
        <w:autoSpaceDN w:val="0"/>
        <w:adjustRightInd w:val="0"/>
        <w:spacing w:after="0" w:line="240" w:lineRule="auto"/>
        <w:ind w:firstLine="0"/>
        <w:rPr>
          <w:rFonts w:eastAsia="PMingLiU" w:cs="Times New Roman"/>
          <w:szCs w:val="24"/>
          <w:lang w:val="en-GB" w:eastAsia="zh-TW"/>
        </w:rPr>
      </w:pPr>
    </w:p>
    <w:tbl>
      <w:tblPr>
        <w:tblStyle w:val="TableGrid"/>
        <w:tblW w:w="7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021"/>
        <w:gridCol w:w="1942"/>
        <w:gridCol w:w="1943"/>
      </w:tblGrid>
      <w:tr w:rsidR="0060367E" w:rsidRPr="007048BA" w14:paraId="5CC10130" w14:textId="77777777" w:rsidTr="001F4CB6">
        <w:trPr>
          <w:trHeight w:val="879"/>
          <w:jc w:val="center"/>
        </w:trPr>
        <w:tc>
          <w:tcPr>
            <w:tcW w:w="3710" w:type="dxa"/>
            <w:gridSpan w:val="2"/>
            <w:vMerge w:val="restart"/>
          </w:tcPr>
          <w:p w14:paraId="4B30AD8F" w14:textId="77777777" w:rsidR="0060367E" w:rsidRPr="007048BA" w:rsidRDefault="0060367E" w:rsidP="0060367E">
            <w:pPr>
              <w:autoSpaceDE w:val="0"/>
              <w:autoSpaceDN w:val="0"/>
              <w:adjustRightInd w:val="0"/>
              <w:spacing w:after="0" w:line="240" w:lineRule="auto"/>
              <w:ind w:firstLine="0"/>
              <w:jc w:val="center"/>
              <w:rPr>
                <w:rFonts w:eastAsia="PMingLiU" w:cs="Times New Roman"/>
                <w:szCs w:val="24"/>
                <w:lang w:val="en-GB"/>
              </w:rPr>
            </w:pPr>
          </w:p>
        </w:tc>
        <w:tc>
          <w:tcPr>
            <w:tcW w:w="3885" w:type="dxa"/>
            <w:gridSpan w:val="2"/>
          </w:tcPr>
          <w:p w14:paraId="257F358C" w14:textId="77777777" w:rsidR="0060367E" w:rsidRPr="007048BA" w:rsidRDefault="0060367E" w:rsidP="0060367E">
            <w:pPr>
              <w:autoSpaceDE w:val="0"/>
              <w:autoSpaceDN w:val="0"/>
              <w:adjustRightInd w:val="0"/>
              <w:spacing w:after="0" w:line="240" w:lineRule="auto"/>
              <w:ind w:firstLine="0"/>
              <w:jc w:val="center"/>
              <w:rPr>
                <w:rFonts w:eastAsia="PMingLiU" w:cs="Times New Roman"/>
                <w:b/>
                <w:szCs w:val="24"/>
                <w:lang w:val="en-GB"/>
              </w:rPr>
            </w:pPr>
            <w:r w:rsidRPr="007048BA">
              <w:rPr>
                <w:rFonts w:eastAsia="PMingLiU" w:cs="Times New Roman"/>
                <w:b/>
                <w:szCs w:val="24"/>
                <w:lang w:val="en-GB"/>
              </w:rPr>
              <w:t>Accounting Performance (A)</w:t>
            </w:r>
          </w:p>
          <w:p w14:paraId="1C35F33C" w14:textId="77777777" w:rsidR="0060367E" w:rsidRPr="007048BA" w:rsidRDefault="0060367E" w:rsidP="0060367E">
            <w:pPr>
              <w:autoSpaceDE w:val="0"/>
              <w:autoSpaceDN w:val="0"/>
              <w:adjustRightInd w:val="0"/>
              <w:spacing w:after="0" w:line="240" w:lineRule="auto"/>
              <w:ind w:firstLine="0"/>
              <w:jc w:val="center"/>
              <w:rPr>
                <w:rFonts w:eastAsia="PMingLiU" w:cs="Times New Roman"/>
                <w:szCs w:val="24"/>
                <w:lang w:val="en-GB"/>
              </w:rPr>
            </w:pPr>
            <w:r w:rsidRPr="007048BA">
              <w:rPr>
                <w:rFonts w:eastAsia="PMingLiU" w:cs="Times New Roman"/>
                <w:b/>
                <w:szCs w:val="24"/>
                <w:lang w:val="en-GB"/>
              </w:rPr>
              <w:t>[ROA, ROCE, ROE, NPM]</w:t>
            </w:r>
          </w:p>
        </w:tc>
      </w:tr>
      <w:tr w:rsidR="0060367E" w:rsidRPr="007048BA" w14:paraId="6DADE35A" w14:textId="77777777" w:rsidTr="001F4CB6">
        <w:trPr>
          <w:trHeight w:val="761"/>
          <w:jc w:val="center"/>
        </w:trPr>
        <w:tc>
          <w:tcPr>
            <w:tcW w:w="3710" w:type="dxa"/>
            <w:gridSpan w:val="2"/>
            <w:vMerge/>
          </w:tcPr>
          <w:p w14:paraId="735777B5" w14:textId="77777777" w:rsidR="0060367E" w:rsidRPr="007048BA" w:rsidRDefault="0060367E" w:rsidP="0060367E">
            <w:pPr>
              <w:autoSpaceDE w:val="0"/>
              <w:autoSpaceDN w:val="0"/>
              <w:adjustRightInd w:val="0"/>
              <w:spacing w:after="0" w:line="240" w:lineRule="auto"/>
              <w:ind w:firstLine="0"/>
              <w:jc w:val="center"/>
              <w:rPr>
                <w:rFonts w:eastAsia="PMingLiU" w:cs="Times New Roman"/>
                <w:szCs w:val="24"/>
                <w:lang w:val="en-GB"/>
              </w:rPr>
            </w:pPr>
          </w:p>
        </w:tc>
        <w:tc>
          <w:tcPr>
            <w:tcW w:w="1942" w:type="dxa"/>
          </w:tcPr>
          <w:p w14:paraId="7D9862D2" w14:textId="77777777" w:rsidR="0060367E" w:rsidRPr="007048BA" w:rsidRDefault="0060367E" w:rsidP="0060367E">
            <w:pPr>
              <w:autoSpaceDE w:val="0"/>
              <w:autoSpaceDN w:val="0"/>
              <w:adjustRightInd w:val="0"/>
              <w:spacing w:after="0" w:line="240" w:lineRule="auto"/>
              <w:ind w:firstLine="0"/>
              <w:jc w:val="center"/>
              <w:rPr>
                <w:rFonts w:eastAsia="PMingLiU" w:cs="Times New Roman"/>
                <w:szCs w:val="24"/>
                <w:lang w:val="en-GB"/>
              </w:rPr>
            </w:pPr>
            <w:r w:rsidRPr="007048BA">
              <w:rPr>
                <w:rFonts w:eastAsia="PMingLiU" w:cs="Times New Roman"/>
                <w:szCs w:val="24"/>
                <w:lang w:val="en-GB"/>
              </w:rPr>
              <w:t>HIGH</w:t>
            </w:r>
          </w:p>
          <w:p w14:paraId="5A140D18" w14:textId="77777777" w:rsidR="0060367E" w:rsidRPr="007048BA" w:rsidRDefault="007048BA" w:rsidP="0060367E">
            <w:pPr>
              <w:autoSpaceDE w:val="0"/>
              <w:autoSpaceDN w:val="0"/>
              <w:adjustRightInd w:val="0"/>
              <w:spacing w:after="0" w:line="240" w:lineRule="auto"/>
              <w:ind w:firstLine="0"/>
              <w:jc w:val="center"/>
              <w:rPr>
                <w:rFonts w:eastAsia="PMingLiU" w:cs="Times New Roman"/>
                <w:szCs w:val="24"/>
                <w:lang w:val="en-GB"/>
              </w:rPr>
            </w:pPr>
            <m:oMathPara>
              <m:oMath>
                <m:sSub>
                  <m:sSubPr>
                    <m:ctrlPr>
                      <w:rPr>
                        <w:rFonts w:ascii="Cambria Math" w:eastAsia="PMingLiU" w:hAnsi="Cambria Math" w:cs="Times New Roman"/>
                        <w:i/>
                        <w:szCs w:val="24"/>
                        <w:lang w:val="en-GB"/>
                      </w:rPr>
                    </m:ctrlPr>
                  </m:sSubPr>
                  <m:e>
                    <m:r>
                      <w:rPr>
                        <w:rFonts w:ascii="Cambria Math" w:eastAsia="PMingLiU" w:hAnsi="Cambria Math" w:cs="Times New Roman"/>
                        <w:szCs w:val="24"/>
                        <w:lang w:val="en-GB"/>
                      </w:rPr>
                      <m:t>H</m:t>
                    </m:r>
                  </m:e>
                  <m:sub>
                    <m:r>
                      <w:rPr>
                        <w:rFonts w:ascii="Cambria Math" w:eastAsia="PMingLiU" w:hAnsi="Cambria Math" w:cs="Times New Roman"/>
                        <w:szCs w:val="24"/>
                        <w:lang w:val="en-GB"/>
                      </w:rPr>
                      <m:t>A</m:t>
                    </m:r>
                  </m:sub>
                </m:sSub>
              </m:oMath>
            </m:oMathPara>
          </w:p>
        </w:tc>
        <w:tc>
          <w:tcPr>
            <w:tcW w:w="1943" w:type="dxa"/>
          </w:tcPr>
          <w:p w14:paraId="4E4746D5" w14:textId="77777777" w:rsidR="0060367E" w:rsidRPr="007048BA" w:rsidRDefault="0060367E" w:rsidP="0060367E">
            <w:pPr>
              <w:autoSpaceDE w:val="0"/>
              <w:autoSpaceDN w:val="0"/>
              <w:adjustRightInd w:val="0"/>
              <w:spacing w:after="0" w:line="240" w:lineRule="auto"/>
              <w:ind w:firstLine="0"/>
              <w:jc w:val="center"/>
              <w:rPr>
                <w:rFonts w:eastAsia="PMingLiU" w:cs="Times New Roman"/>
                <w:szCs w:val="24"/>
                <w:lang w:val="en-GB"/>
              </w:rPr>
            </w:pPr>
            <w:r w:rsidRPr="007048BA">
              <w:rPr>
                <w:rFonts w:eastAsia="PMingLiU" w:cs="Times New Roman"/>
                <w:szCs w:val="24"/>
                <w:lang w:val="en-GB"/>
              </w:rPr>
              <w:t>LOW</w:t>
            </w:r>
          </w:p>
          <w:p w14:paraId="1F752F8C" w14:textId="77777777" w:rsidR="0060367E" w:rsidRPr="007048BA" w:rsidRDefault="007048BA" w:rsidP="0060367E">
            <w:pPr>
              <w:autoSpaceDE w:val="0"/>
              <w:autoSpaceDN w:val="0"/>
              <w:adjustRightInd w:val="0"/>
              <w:spacing w:after="0" w:line="240" w:lineRule="auto"/>
              <w:ind w:firstLine="0"/>
              <w:jc w:val="center"/>
              <w:rPr>
                <w:rFonts w:eastAsia="PMingLiU" w:cs="Times New Roman"/>
                <w:szCs w:val="24"/>
                <w:lang w:val="en-GB"/>
              </w:rPr>
            </w:pPr>
            <m:oMathPara>
              <m:oMath>
                <m:sSub>
                  <m:sSubPr>
                    <m:ctrlPr>
                      <w:rPr>
                        <w:rFonts w:ascii="Cambria Math" w:eastAsia="PMingLiU" w:hAnsi="Cambria Math" w:cs="Times New Roman"/>
                        <w:i/>
                        <w:szCs w:val="24"/>
                        <w:lang w:val="en-GB"/>
                      </w:rPr>
                    </m:ctrlPr>
                  </m:sSubPr>
                  <m:e>
                    <m:r>
                      <w:rPr>
                        <w:rFonts w:ascii="Cambria Math" w:eastAsia="PMingLiU" w:hAnsi="Cambria Math" w:cs="Times New Roman"/>
                        <w:szCs w:val="24"/>
                        <w:lang w:val="en-GB"/>
                      </w:rPr>
                      <m:t>L</m:t>
                    </m:r>
                  </m:e>
                  <m:sub>
                    <m:r>
                      <w:rPr>
                        <w:rFonts w:ascii="Cambria Math" w:eastAsia="PMingLiU" w:hAnsi="Cambria Math" w:cs="Times New Roman"/>
                        <w:szCs w:val="24"/>
                        <w:lang w:val="en-GB"/>
                      </w:rPr>
                      <m:t>A</m:t>
                    </m:r>
                  </m:sub>
                </m:sSub>
              </m:oMath>
            </m:oMathPara>
          </w:p>
        </w:tc>
      </w:tr>
      <w:tr w:rsidR="0060367E" w:rsidRPr="007048BA" w14:paraId="7A604305" w14:textId="77777777" w:rsidTr="001F4CB6">
        <w:trPr>
          <w:trHeight w:val="841"/>
          <w:jc w:val="center"/>
        </w:trPr>
        <w:tc>
          <w:tcPr>
            <w:tcW w:w="2689" w:type="dxa"/>
            <w:vMerge w:val="restart"/>
          </w:tcPr>
          <w:p w14:paraId="42F7D733" w14:textId="77777777" w:rsidR="0060367E" w:rsidRPr="007048BA" w:rsidRDefault="0060367E" w:rsidP="0060367E">
            <w:pPr>
              <w:autoSpaceDE w:val="0"/>
              <w:autoSpaceDN w:val="0"/>
              <w:adjustRightInd w:val="0"/>
              <w:spacing w:after="0" w:line="240" w:lineRule="auto"/>
              <w:ind w:firstLine="0"/>
              <w:jc w:val="center"/>
              <w:rPr>
                <w:rFonts w:eastAsia="PMingLiU" w:cs="Times New Roman"/>
                <w:b/>
                <w:szCs w:val="24"/>
                <w:lang w:val="en-GB"/>
              </w:rPr>
            </w:pPr>
            <w:r w:rsidRPr="007048BA">
              <w:rPr>
                <w:rFonts w:eastAsia="PMingLiU" w:cs="Times New Roman"/>
                <w:b/>
                <w:szCs w:val="24"/>
                <w:lang w:val="en-GB"/>
              </w:rPr>
              <w:t>Stock Market Performance (M)</w:t>
            </w:r>
          </w:p>
          <w:p w14:paraId="3907A1C2" w14:textId="77777777" w:rsidR="0060367E" w:rsidRPr="007048BA" w:rsidRDefault="0060367E" w:rsidP="0060367E">
            <w:pPr>
              <w:autoSpaceDE w:val="0"/>
              <w:autoSpaceDN w:val="0"/>
              <w:adjustRightInd w:val="0"/>
              <w:spacing w:after="0" w:line="240" w:lineRule="auto"/>
              <w:ind w:firstLine="0"/>
              <w:jc w:val="center"/>
              <w:rPr>
                <w:rFonts w:eastAsia="PMingLiU" w:cs="Times New Roman"/>
                <w:szCs w:val="24"/>
                <w:lang w:val="en-GB"/>
              </w:rPr>
            </w:pPr>
            <w:r w:rsidRPr="007048BA">
              <w:rPr>
                <w:rFonts w:eastAsia="PMingLiU" w:cs="Times New Roman"/>
                <w:b/>
                <w:szCs w:val="24"/>
                <w:lang w:val="en-GB"/>
              </w:rPr>
              <w:t>[Abnormal Returns]</w:t>
            </w:r>
          </w:p>
        </w:tc>
        <w:tc>
          <w:tcPr>
            <w:tcW w:w="1021" w:type="dxa"/>
          </w:tcPr>
          <w:p w14:paraId="74D56E55" w14:textId="77777777" w:rsidR="0060367E" w:rsidRPr="007048BA" w:rsidRDefault="0060367E" w:rsidP="0060367E">
            <w:pPr>
              <w:autoSpaceDE w:val="0"/>
              <w:autoSpaceDN w:val="0"/>
              <w:adjustRightInd w:val="0"/>
              <w:spacing w:after="0" w:line="240" w:lineRule="auto"/>
              <w:ind w:firstLine="0"/>
              <w:jc w:val="center"/>
              <w:rPr>
                <w:rFonts w:eastAsia="PMingLiU" w:cs="Times New Roman"/>
                <w:szCs w:val="24"/>
                <w:lang w:val="en-GB"/>
              </w:rPr>
            </w:pPr>
            <w:r w:rsidRPr="007048BA">
              <w:rPr>
                <w:rFonts w:eastAsia="PMingLiU" w:cs="Times New Roman"/>
                <w:szCs w:val="24"/>
                <w:lang w:val="en-GB"/>
              </w:rPr>
              <w:t>HIGH</w:t>
            </w:r>
          </w:p>
          <w:p w14:paraId="3AF6B16F" w14:textId="77777777" w:rsidR="0060367E" w:rsidRPr="007048BA" w:rsidRDefault="007048BA" w:rsidP="0060367E">
            <w:pPr>
              <w:autoSpaceDE w:val="0"/>
              <w:autoSpaceDN w:val="0"/>
              <w:adjustRightInd w:val="0"/>
              <w:spacing w:after="0" w:line="240" w:lineRule="auto"/>
              <w:ind w:firstLine="0"/>
              <w:jc w:val="center"/>
              <w:rPr>
                <w:rFonts w:eastAsia="PMingLiU" w:cs="Times New Roman"/>
                <w:szCs w:val="24"/>
                <w:lang w:val="en-GB"/>
              </w:rPr>
            </w:pPr>
            <m:oMathPara>
              <m:oMath>
                <m:sSub>
                  <m:sSubPr>
                    <m:ctrlPr>
                      <w:rPr>
                        <w:rFonts w:ascii="Cambria Math" w:eastAsia="PMingLiU" w:hAnsi="Cambria Math" w:cs="Times New Roman"/>
                        <w:i/>
                        <w:szCs w:val="24"/>
                        <w:lang w:val="en-GB"/>
                      </w:rPr>
                    </m:ctrlPr>
                  </m:sSubPr>
                  <m:e>
                    <m:r>
                      <w:rPr>
                        <w:rFonts w:ascii="Cambria Math" w:eastAsia="PMingLiU" w:hAnsi="Cambria Math" w:cs="Times New Roman"/>
                        <w:szCs w:val="24"/>
                        <w:lang w:val="en-GB"/>
                      </w:rPr>
                      <m:t>H</m:t>
                    </m:r>
                  </m:e>
                  <m:sub>
                    <m:r>
                      <w:rPr>
                        <w:rFonts w:ascii="Cambria Math" w:eastAsia="PMingLiU" w:hAnsi="Cambria Math" w:cs="Times New Roman"/>
                        <w:szCs w:val="24"/>
                        <w:lang w:val="en-GB"/>
                      </w:rPr>
                      <m:t>M</m:t>
                    </m:r>
                  </m:sub>
                </m:sSub>
              </m:oMath>
            </m:oMathPara>
          </w:p>
        </w:tc>
        <w:tc>
          <w:tcPr>
            <w:tcW w:w="1942" w:type="dxa"/>
          </w:tcPr>
          <w:p w14:paraId="2501C139" w14:textId="7D7CD837" w:rsidR="0060367E" w:rsidRPr="007048BA" w:rsidRDefault="00ED262D" w:rsidP="0060367E">
            <w:pPr>
              <w:autoSpaceDE w:val="0"/>
              <w:autoSpaceDN w:val="0"/>
              <w:adjustRightInd w:val="0"/>
              <w:spacing w:after="0" w:line="240" w:lineRule="auto"/>
              <w:ind w:firstLine="0"/>
              <w:jc w:val="center"/>
              <w:rPr>
                <w:rFonts w:eastAsia="PMingLiU" w:cs="Times New Roman"/>
                <w:szCs w:val="24"/>
                <w:lang w:val="en-GB"/>
              </w:rPr>
            </w:pPr>
            <w:r w:rsidRPr="007048BA">
              <w:rPr>
                <w:rFonts w:eastAsia="PMingLiU" w:cs="Times New Roman"/>
                <w:szCs w:val="24"/>
                <w:lang w:val="en-GB"/>
              </w:rPr>
              <w:t>efficient</w:t>
            </w:r>
          </w:p>
          <w:p w14:paraId="4F5E6FA3" w14:textId="77777777" w:rsidR="0060367E" w:rsidRPr="007048BA" w:rsidRDefault="007048BA" w:rsidP="0060367E">
            <w:pPr>
              <w:autoSpaceDE w:val="0"/>
              <w:autoSpaceDN w:val="0"/>
              <w:adjustRightInd w:val="0"/>
              <w:spacing w:after="0" w:line="240" w:lineRule="auto"/>
              <w:ind w:firstLine="0"/>
              <w:jc w:val="center"/>
              <w:rPr>
                <w:rFonts w:eastAsia="PMingLiU" w:cs="Times New Roman"/>
                <w:szCs w:val="24"/>
                <w:lang w:val="en-GB"/>
              </w:rPr>
            </w:pPr>
            <m:oMathPara>
              <m:oMath>
                <m:sSub>
                  <m:sSubPr>
                    <m:ctrlPr>
                      <w:rPr>
                        <w:rFonts w:ascii="Cambria Math" w:eastAsia="PMingLiU" w:hAnsi="Cambria Math" w:cs="Times New Roman"/>
                        <w:i/>
                        <w:szCs w:val="24"/>
                        <w:lang w:val="en-GB"/>
                      </w:rPr>
                    </m:ctrlPr>
                  </m:sSubPr>
                  <m:e>
                    <m:r>
                      <w:rPr>
                        <w:rFonts w:ascii="Cambria Math" w:eastAsia="PMingLiU" w:hAnsi="Cambria Math" w:cs="Times New Roman"/>
                        <w:szCs w:val="24"/>
                        <w:lang w:val="en-GB"/>
                      </w:rPr>
                      <m:t>H</m:t>
                    </m:r>
                  </m:e>
                  <m:sub>
                    <m:r>
                      <w:rPr>
                        <w:rFonts w:ascii="Cambria Math" w:eastAsia="PMingLiU" w:hAnsi="Cambria Math" w:cs="Times New Roman"/>
                        <w:szCs w:val="24"/>
                        <w:lang w:val="en-GB"/>
                      </w:rPr>
                      <m:t>A</m:t>
                    </m:r>
                  </m:sub>
                </m:sSub>
                <m:r>
                  <w:rPr>
                    <w:rFonts w:ascii="Cambria Math" w:eastAsia="PMingLiU" w:hAnsi="Cambria Math" w:cs="Times New Roman"/>
                    <w:szCs w:val="24"/>
                    <w:lang w:val="en-GB"/>
                  </w:rPr>
                  <m:t xml:space="preserve">+ </m:t>
                </m:r>
                <m:sSub>
                  <m:sSubPr>
                    <m:ctrlPr>
                      <w:rPr>
                        <w:rFonts w:ascii="Cambria Math" w:eastAsia="PMingLiU" w:hAnsi="Cambria Math" w:cs="Times New Roman"/>
                        <w:i/>
                        <w:szCs w:val="24"/>
                        <w:lang w:val="en-GB"/>
                      </w:rPr>
                    </m:ctrlPr>
                  </m:sSubPr>
                  <m:e>
                    <m:r>
                      <w:rPr>
                        <w:rFonts w:ascii="Cambria Math" w:eastAsia="PMingLiU" w:hAnsi="Cambria Math" w:cs="Times New Roman"/>
                        <w:szCs w:val="24"/>
                        <w:lang w:val="en-GB"/>
                      </w:rPr>
                      <m:t>H</m:t>
                    </m:r>
                  </m:e>
                  <m:sub>
                    <m:r>
                      <w:rPr>
                        <w:rFonts w:ascii="Cambria Math" w:eastAsia="PMingLiU" w:hAnsi="Cambria Math" w:cs="Times New Roman"/>
                        <w:szCs w:val="24"/>
                        <w:lang w:val="en-GB"/>
                      </w:rPr>
                      <m:t>M</m:t>
                    </m:r>
                  </m:sub>
                </m:sSub>
              </m:oMath>
            </m:oMathPara>
          </w:p>
        </w:tc>
        <w:tc>
          <w:tcPr>
            <w:tcW w:w="1943" w:type="dxa"/>
          </w:tcPr>
          <w:p w14:paraId="74EDA870" w14:textId="01F33D25" w:rsidR="0060367E" w:rsidRPr="007048BA" w:rsidRDefault="00ED262D" w:rsidP="0060367E">
            <w:pPr>
              <w:autoSpaceDE w:val="0"/>
              <w:autoSpaceDN w:val="0"/>
              <w:adjustRightInd w:val="0"/>
              <w:spacing w:after="0" w:line="240" w:lineRule="auto"/>
              <w:ind w:firstLine="0"/>
              <w:jc w:val="center"/>
              <w:rPr>
                <w:rFonts w:eastAsia="PMingLiU" w:cs="Times New Roman"/>
                <w:szCs w:val="24"/>
                <w:lang w:val="en-GB"/>
              </w:rPr>
            </w:pPr>
            <w:r w:rsidRPr="007048BA">
              <w:rPr>
                <w:rFonts w:eastAsia="PMingLiU" w:cs="Times New Roman"/>
                <w:szCs w:val="24"/>
                <w:lang w:val="en-GB"/>
              </w:rPr>
              <w:t>hyperopia</w:t>
            </w:r>
          </w:p>
          <w:p w14:paraId="5C63C3ED" w14:textId="77777777" w:rsidR="0060367E" w:rsidRPr="007048BA" w:rsidRDefault="007048BA" w:rsidP="0060367E">
            <w:pPr>
              <w:autoSpaceDE w:val="0"/>
              <w:autoSpaceDN w:val="0"/>
              <w:adjustRightInd w:val="0"/>
              <w:spacing w:after="0" w:line="240" w:lineRule="auto"/>
              <w:ind w:firstLine="0"/>
              <w:jc w:val="center"/>
              <w:rPr>
                <w:rFonts w:eastAsia="PMingLiU" w:cs="Times New Roman"/>
                <w:szCs w:val="24"/>
                <w:lang w:val="en-GB"/>
              </w:rPr>
            </w:pPr>
            <m:oMathPara>
              <m:oMath>
                <m:sSub>
                  <m:sSubPr>
                    <m:ctrlPr>
                      <w:rPr>
                        <w:rFonts w:ascii="Cambria Math" w:eastAsia="PMingLiU" w:hAnsi="Cambria Math" w:cs="Times New Roman"/>
                        <w:i/>
                        <w:szCs w:val="24"/>
                        <w:lang w:val="en-GB"/>
                      </w:rPr>
                    </m:ctrlPr>
                  </m:sSubPr>
                  <m:e>
                    <m:r>
                      <w:rPr>
                        <w:rFonts w:ascii="Cambria Math" w:eastAsia="PMingLiU" w:hAnsi="Cambria Math" w:cs="Times New Roman"/>
                        <w:szCs w:val="24"/>
                        <w:lang w:val="en-GB"/>
                      </w:rPr>
                      <m:t>L</m:t>
                    </m:r>
                  </m:e>
                  <m:sub>
                    <m:r>
                      <w:rPr>
                        <w:rFonts w:ascii="Cambria Math" w:eastAsia="PMingLiU" w:hAnsi="Cambria Math" w:cs="Times New Roman"/>
                        <w:szCs w:val="24"/>
                        <w:lang w:val="en-GB"/>
                      </w:rPr>
                      <m:t>A</m:t>
                    </m:r>
                  </m:sub>
                </m:sSub>
                <m:r>
                  <w:rPr>
                    <w:rFonts w:ascii="Cambria Math" w:eastAsia="PMingLiU" w:hAnsi="Cambria Math" w:cs="Times New Roman"/>
                    <w:szCs w:val="24"/>
                    <w:lang w:val="en-GB"/>
                  </w:rPr>
                  <m:t xml:space="preserve">+ </m:t>
                </m:r>
                <m:sSub>
                  <m:sSubPr>
                    <m:ctrlPr>
                      <w:rPr>
                        <w:rFonts w:ascii="Cambria Math" w:eastAsia="PMingLiU" w:hAnsi="Cambria Math" w:cs="Times New Roman"/>
                        <w:i/>
                        <w:szCs w:val="24"/>
                        <w:lang w:val="en-GB"/>
                      </w:rPr>
                    </m:ctrlPr>
                  </m:sSubPr>
                  <m:e>
                    <m:r>
                      <w:rPr>
                        <w:rFonts w:ascii="Cambria Math" w:eastAsia="PMingLiU" w:hAnsi="Cambria Math" w:cs="Times New Roman"/>
                        <w:szCs w:val="24"/>
                        <w:lang w:val="en-GB"/>
                      </w:rPr>
                      <m:t>H</m:t>
                    </m:r>
                  </m:e>
                  <m:sub>
                    <m:r>
                      <w:rPr>
                        <w:rFonts w:ascii="Cambria Math" w:eastAsia="PMingLiU" w:hAnsi="Cambria Math" w:cs="Times New Roman"/>
                        <w:szCs w:val="24"/>
                        <w:lang w:val="en-GB"/>
                      </w:rPr>
                      <m:t>M</m:t>
                    </m:r>
                  </m:sub>
                </m:sSub>
              </m:oMath>
            </m:oMathPara>
          </w:p>
        </w:tc>
      </w:tr>
      <w:tr w:rsidR="0060367E" w:rsidRPr="00B92219" w14:paraId="630BB19B" w14:textId="77777777" w:rsidTr="001F4CB6">
        <w:trPr>
          <w:trHeight w:val="838"/>
          <w:jc w:val="center"/>
        </w:trPr>
        <w:tc>
          <w:tcPr>
            <w:tcW w:w="2689" w:type="dxa"/>
            <w:vMerge/>
          </w:tcPr>
          <w:p w14:paraId="59F8148B" w14:textId="77777777" w:rsidR="0060367E" w:rsidRPr="007048BA" w:rsidRDefault="0060367E" w:rsidP="0060367E">
            <w:pPr>
              <w:autoSpaceDE w:val="0"/>
              <w:autoSpaceDN w:val="0"/>
              <w:adjustRightInd w:val="0"/>
              <w:spacing w:after="0" w:line="240" w:lineRule="auto"/>
              <w:ind w:firstLine="0"/>
              <w:jc w:val="center"/>
              <w:rPr>
                <w:rFonts w:eastAsia="PMingLiU" w:cs="Times New Roman"/>
                <w:szCs w:val="24"/>
                <w:lang w:val="en-GB"/>
              </w:rPr>
            </w:pPr>
          </w:p>
        </w:tc>
        <w:tc>
          <w:tcPr>
            <w:tcW w:w="1021" w:type="dxa"/>
          </w:tcPr>
          <w:p w14:paraId="1D3910E9" w14:textId="77777777" w:rsidR="0060367E" w:rsidRPr="007048BA" w:rsidRDefault="0060367E" w:rsidP="0060367E">
            <w:pPr>
              <w:autoSpaceDE w:val="0"/>
              <w:autoSpaceDN w:val="0"/>
              <w:adjustRightInd w:val="0"/>
              <w:spacing w:after="0" w:line="240" w:lineRule="auto"/>
              <w:ind w:firstLine="0"/>
              <w:jc w:val="center"/>
              <w:rPr>
                <w:rFonts w:eastAsia="PMingLiU" w:cs="Times New Roman"/>
                <w:szCs w:val="24"/>
                <w:lang w:val="en-GB"/>
              </w:rPr>
            </w:pPr>
            <w:r w:rsidRPr="007048BA">
              <w:rPr>
                <w:rFonts w:eastAsia="PMingLiU" w:cs="Times New Roman"/>
                <w:szCs w:val="24"/>
                <w:lang w:val="en-GB"/>
              </w:rPr>
              <w:t>LOW</w:t>
            </w:r>
          </w:p>
          <w:p w14:paraId="314A6A26" w14:textId="77777777" w:rsidR="0060367E" w:rsidRPr="007048BA" w:rsidRDefault="007048BA" w:rsidP="0060367E">
            <w:pPr>
              <w:autoSpaceDE w:val="0"/>
              <w:autoSpaceDN w:val="0"/>
              <w:adjustRightInd w:val="0"/>
              <w:spacing w:after="0" w:line="240" w:lineRule="auto"/>
              <w:ind w:firstLine="0"/>
              <w:jc w:val="center"/>
              <w:rPr>
                <w:rFonts w:eastAsia="PMingLiU" w:cs="Times New Roman"/>
                <w:szCs w:val="24"/>
                <w:lang w:val="en-GB"/>
              </w:rPr>
            </w:pPr>
            <m:oMathPara>
              <m:oMath>
                <m:sSub>
                  <m:sSubPr>
                    <m:ctrlPr>
                      <w:rPr>
                        <w:rFonts w:ascii="Cambria Math" w:eastAsia="PMingLiU" w:hAnsi="Cambria Math" w:cs="Times New Roman"/>
                        <w:i/>
                        <w:szCs w:val="24"/>
                        <w:lang w:val="en-GB"/>
                      </w:rPr>
                    </m:ctrlPr>
                  </m:sSubPr>
                  <m:e>
                    <m:r>
                      <w:rPr>
                        <w:rFonts w:ascii="Cambria Math" w:eastAsia="PMingLiU" w:hAnsi="Cambria Math" w:cs="Times New Roman"/>
                        <w:szCs w:val="24"/>
                        <w:lang w:val="en-GB"/>
                      </w:rPr>
                      <m:t>L</m:t>
                    </m:r>
                  </m:e>
                  <m:sub>
                    <m:r>
                      <w:rPr>
                        <w:rFonts w:ascii="Cambria Math" w:eastAsia="PMingLiU" w:hAnsi="Cambria Math" w:cs="Times New Roman"/>
                        <w:szCs w:val="24"/>
                        <w:lang w:val="en-GB"/>
                      </w:rPr>
                      <m:t>M</m:t>
                    </m:r>
                  </m:sub>
                </m:sSub>
              </m:oMath>
            </m:oMathPara>
          </w:p>
        </w:tc>
        <w:tc>
          <w:tcPr>
            <w:tcW w:w="1942" w:type="dxa"/>
          </w:tcPr>
          <w:p w14:paraId="0ED713CB" w14:textId="4C5C20E8" w:rsidR="0060367E" w:rsidRPr="007048BA" w:rsidRDefault="00ED262D" w:rsidP="0060367E">
            <w:pPr>
              <w:autoSpaceDE w:val="0"/>
              <w:autoSpaceDN w:val="0"/>
              <w:adjustRightInd w:val="0"/>
              <w:spacing w:after="0" w:line="240" w:lineRule="auto"/>
              <w:ind w:firstLine="0"/>
              <w:jc w:val="center"/>
              <w:rPr>
                <w:rFonts w:eastAsia="PMingLiU" w:cs="Times New Roman"/>
                <w:szCs w:val="24"/>
                <w:lang w:val="en-GB"/>
              </w:rPr>
            </w:pPr>
            <w:r w:rsidRPr="007048BA">
              <w:rPr>
                <w:rFonts w:eastAsia="PMingLiU" w:cs="Times New Roman"/>
                <w:szCs w:val="24"/>
                <w:lang w:val="en-GB"/>
              </w:rPr>
              <w:t>myopia</w:t>
            </w:r>
          </w:p>
          <w:p w14:paraId="6C1EFA02" w14:textId="77777777" w:rsidR="0060367E" w:rsidRPr="007048BA" w:rsidRDefault="007048BA" w:rsidP="0060367E">
            <w:pPr>
              <w:autoSpaceDE w:val="0"/>
              <w:autoSpaceDN w:val="0"/>
              <w:adjustRightInd w:val="0"/>
              <w:spacing w:after="0" w:line="240" w:lineRule="auto"/>
              <w:ind w:firstLine="0"/>
              <w:jc w:val="center"/>
              <w:rPr>
                <w:rFonts w:eastAsia="PMingLiU" w:cs="Times New Roman"/>
                <w:szCs w:val="24"/>
                <w:lang w:val="en-GB"/>
              </w:rPr>
            </w:pPr>
            <m:oMathPara>
              <m:oMath>
                <m:sSub>
                  <m:sSubPr>
                    <m:ctrlPr>
                      <w:rPr>
                        <w:rFonts w:ascii="Cambria Math" w:eastAsia="PMingLiU" w:hAnsi="Cambria Math" w:cs="Times New Roman"/>
                        <w:i/>
                        <w:szCs w:val="24"/>
                        <w:lang w:val="en-GB"/>
                      </w:rPr>
                    </m:ctrlPr>
                  </m:sSubPr>
                  <m:e>
                    <m:r>
                      <w:rPr>
                        <w:rFonts w:ascii="Cambria Math" w:eastAsia="PMingLiU" w:hAnsi="Cambria Math" w:cs="Times New Roman"/>
                        <w:szCs w:val="24"/>
                        <w:lang w:val="en-GB"/>
                      </w:rPr>
                      <m:t>H</m:t>
                    </m:r>
                  </m:e>
                  <m:sub>
                    <m:r>
                      <w:rPr>
                        <w:rFonts w:ascii="Cambria Math" w:eastAsia="PMingLiU" w:hAnsi="Cambria Math" w:cs="Times New Roman"/>
                        <w:szCs w:val="24"/>
                        <w:lang w:val="en-GB"/>
                      </w:rPr>
                      <m:t>A</m:t>
                    </m:r>
                  </m:sub>
                </m:sSub>
                <m:r>
                  <w:rPr>
                    <w:rFonts w:ascii="Cambria Math" w:eastAsia="PMingLiU" w:hAnsi="Cambria Math" w:cs="Times New Roman"/>
                    <w:szCs w:val="24"/>
                    <w:lang w:val="en-GB"/>
                  </w:rPr>
                  <m:t xml:space="preserve">+ </m:t>
                </m:r>
                <m:sSub>
                  <m:sSubPr>
                    <m:ctrlPr>
                      <w:rPr>
                        <w:rFonts w:ascii="Cambria Math" w:eastAsia="PMingLiU" w:hAnsi="Cambria Math" w:cs="Times New Roman"/>
                        <w:i/>
                        <w:szCs w:val="24"/>
                        <w:lang w:val="en-GB"/>
                      </w:rPr>
                    </m:ctrlPr>
                  </m:sSubPr>
                  <m:e>
                    <m:r>
                      <w:rPr>
                        <w:rFonts w:ascii="Cambria Math" w:eastAsia="PMingLiU" w:hAnsi="Cambria Math" w:cs="Times New Roman"/>
                        <w:szCs w:val="24"/>
                        <w:lang w:val="en-GB"/>
                      </w:rPr>
                      <m:t>L</m:t>
                    </m:r>
                  </m:e>
                  <m:sub>
                    <m:r>
                      <w:rPr>
                        <w:rFonts w:ascii="Cambria Math" w:eastAsia="PMingLiU" w:hAnsi="Cambria Math" w:cs="Times New Roman"/>
                        <w:szCs w:val="24"/>
                        <w:lang w:val="en-GB"/>
                      </w:rPr>
                      <m:t>M</m:t>
                    </m:r>
                  </m:sub>
                </m:sSub>
              </m:oMath>
            </m:oMathPara>
          </w:p>
        </w:tc>
        <w:tc>
          <w:tcPr>
            <w:tcW w:w="1943" w:type="dxa"/>
          </w:tcPr>
          <w:p w14:paraId="7B69FF75" w14:textId="7FF4AE90" w:rsidR="0060367E" w:rsidRPr="007048BA" w:rsidRDefault="00ED262D" w:rsidP="0060367E">
            <w:pPr>
              <w:autoSpaceDE w:val="0"/>
              <w:autoSpaceDN w:val="0"/>
              <w:adjustRightInd w:val="0"/>
              <w:spacing w:after="0" w:line="240" w:lineRule="auto"/>
              <w:ind w:firstLine="0"/>
              <w:jc w:val="center"/>
              <w:rPr>
                <w:rFonts w:eastAsia="PMingLiU" w:cs="Times New Roman"/>
                <w:szCs w:val="24"/>
                <w:lang w:val="en-GB"/>
              </w:rPr>
            </w:pPr>
            <w:r w:rsidRPr="007048BA">
              <w:rPr>
                <w:rFonts w:eastAsia="PMingLiU" w:cs="Times New Roman"/>
                <w:szCs w:val="24"/>
                <w:lang w:val="en-GB"/>
              </w:rPr>
              <w:t>poor</w:t>
            </w:r>
            <w:r w:rsidR="0060367E" w:rsidRPr="007048BA">
              <w:rPr>
                <w:rFonts w:eastAsia="PMingLiU" w:cs="Times New Roman"/>
                <w:szCs w:val="24"/>
                <w:lang w:val="en-GB"/>
              </w:rPr>
              <w:t xml:space="preserve"> </w:t>
            </w:r>
          </w:p>
          <w:p w14:paraId="2C7A1887" w14:textId="77777777" w:rsidR="0060367E" w:rsidRPr="00B92219" w:rsidRDefault="007048BA" w:rsidP="0060367E">
            <w:pPr>
              <w:autoSpaceDE w:val="0"/>
              <w:autoSpaceDN w:val="0"/>
              <w:adjustRightInd w:val="0"/>
              <w:spacing w:after="0" w:line="240" w:lineRule="auto"/>
              <w:ind w:firstLine="0"/>
              <w:jc w:val="center"/>
              <w:rPr>
                <w:rFonts w:eastAsia="PMingLiU" w:cs="Times New Roman"/>
                <w:szCs w:val="24"/>
                <w:lang w:val="en-GB"/>
              </w:rPr>
            </w:pPr>
            <m:oMathPara>
              <m:oMath>
                <m:sSub>
                  <m:sSubPr>
                    <m:ctrlPr>
                      <w:rPr>
                        <w:rFonts w:ascii="Cambria Math" w:eastAsia="PMingLiU" w:hAnsi="Cambria Math" w:cs="Times New Roman"/>
                        <w:i/>
                        <w:szCs w:val="24"/>
                        <w:lang w:val="en-GB"/>
                      </w:rPr>
                    </m:ctrlPr>
                  </m:sSubPr>
                  <m:e>
                    <m:r>
                      <w:rPr>
                        <w:rFonts w:ascii="Cambria Math" w:eastAsia="PMingLiU" w:hAnsi="Cambria Math" w:cs="Times New Roman"/>
                        <w:szCs w:val="24"/>
                        <w:lang w:val="en-GB"/>
                      </w:rPr>
                      <m:t>L</m:t>
                    </m:r>
                  </m:e>
                  <m:sub>
                    <m:r>
                      <w:rPr>
                        <w:rFonts w:ascii="Cambria Math" w:eastAsia="PMingLiU" w:hAnsi="Cambria Math" w:cs="Times New Roman"/>
                        <w:szCs w:val="24"/>
                        <w:lang w:val="en-GB"/>
                      </w:rPr>
                      <m:t>A</m:t>
                    </m:r>
                  </m:sub>
                </m:sSub>
                <m:r>
                  <w:rPr>
                    <w:rFonts w:ascii="Cambria Math" w:eastAsia="PMingLiU" w:hAnsi="Cambria Math" w:cs="Times New Roman"/>
                    <w:szCs w:val="24"/>
                    <w:lang w:val="en-GB"/>
                  </w:rPr>
                  <m:t xml:space="preserve">+ </m:t>
                </m:r>
                <m:sSub>
                  <m:sSubPr>
                    <m:ctrlPr>
                      <w:rPr>
                        <w:rFonts w:ascii="Cambria Math" w:eastAsia="PMingLiU" w:hAnsi="Cambria Math" w:cs="Times New Roman"/>
                        <w:i/>
                        <w:szCs w:val="24"/>
                        <w:lang w:val="en-GB"/>
                      </w:rPr>
                    </m:ctrlPr>
                  </m:sSubPr>
                  <m:e>
                    <m:r>
                      <w:rPr>
                        <w:rFonts w:ascii="Cambria Math" w:eastAsia="PMingLiU" w:hAnsi="Cambria Math" w:cs="Times New Roman"/>
                        <w:szCs w:val="24"/>
                        <w:lang w:val="en-GB"/>
                      </w:rPr>
                      <m:t>L</m:t>
                    </m:r>
                  </m:e>
                  <m:sub>
                    <m:r>
                      <w:rPr>
                        <w:rFonts w:ascii="Cambria Math" w:eastAsia="PMingLiU" w:hAnsi="Cambria Math" w:cs="Times New Roman"/>
                        <w:szCs w:val="24"/>
                        <w:lang w:val="en-GB"/>
                      </w:rPr>
                      <m:t>M</m:t>
                    </m:r>
                  </m:sub>
                </m:sSub>
              </m:oMath>
            </m:oMathPara>
          </w:p>
        </w:tc>
      </w:tr>
    </w:tbl>
    <w:p w14:paraId="112448AF" w14:textId="1397981A" w:rsidR="0060367E" w:rsidRPr="00B92219" w:rsidRDefault="0060367E" w:rsidP="0060367E">
      <w:pPr>
        <w:rPr>
          <w:rFonts w:eastAsia="PMingLiU" w:cs="Times New Roman"/>
          <w:sz w:val="28"/>
          <w:szCs w:val="24"/>
          <w:lang w:val="en-GB" w:eastAsia="zh-TW"/>
        </w:rPr>
      </w:pPr>
    </w:p>
    <w:p w14:paraId="28BF1E1B" w14:textId="26CA34DF" w:rsidR="0060367E" w:rsidRPr="00B92219" w:rsidRDefault="0060367E" w:rsidP="00A01389">
      <w:pPr>
        <w:tabs>
          <w:tab w:val="left" w:pos="2400"/>
        </w:tabs>
        <w:ind w:firstLine="0"/>
        <w:rPr>
          <w:lang w:val="en-GB"/>
        </w:rPr>
      </w:pPr>
    </w:p>
    <w:sectPr w:rsidR="0060367E" w:rsidRPr="00B92219" w:rsidSect="000C1141">
      <w:pgSz w:w="12240" w:h="15840"/>
      <w:pgMar w:top="1304" w:right="964" w:bottom="1304" w:left="1077"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EFF548" w16cid:durableId="1EB06410"/>
  <w16cid:commentId w16cid:paraId="4B9A6E2E" w16cid:durableId="1EB06AF7"/>
  <w16cid:commentId w16cid:paraId="6B00B0C2" w16cid:durableId="1EB06D22"/>
  <w16cid:commentId w16cid:paraId="3681727C" w16cid:durableId="1EB07E81"/>
  <w16cid:commentId w16cid:paraId="1B64DA5A" w16cid:durableId="1EB082A3"/>
  <w16cid:commentId w16cid:paraId="406F7486" w16cid:durableId="1EB084E9"/>
  <w16cid:commentId w16cid:paraId="019CD46C" w16cid:durableId="1EB08796"/>
  <w16cid:commentId w16cid:paraId="59A42ABB" w16cid:durableId="1EB08851"/>
  <w16cid:commentId w16cid:paraId="4F55D136" w16cid:durableId="1EB088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A7373" w14:textId="77777777" w:rsidR="00B70AA3" w:rsidRDefault="00B70AA3" w:rsidP="008D2379">
      <w:pPr>
        <w:spacing w:after="0" w:line="240" w:lineRule="auto"/>
      </w:pPr>
      <w:r>
        <w:separator/>
      </w:r>
    </w:p>
  </w:endnote>
  <w:endnote w:type="continuationSeparator" w:id="0">
    <w:p w14:paraId="37EB5ED8" w14:textId="77777777" w:rsidR="00B70AA3" w:rsidRDefault="00B70AA3" w:rsidP="008D2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LM Roman 12">
    <w:altName w:val="Arial"/>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mr12">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atin Modern Math">
    <w:altName w:val="Cambria Math"/>
    <w:panose1 w:val="00000000000000000000"/>
    <w:charset w:val="00"/>
    <w:family w:val="modern"/>
    <w:notTrueType/>
    <w:pitch w:val="variable"/>
    <w:sig w:usb0="A00000EF" w:usb1="4201F9EE" w:usb2="02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547483"/>
      <w:docPartObj>
        <w:docPartGallery w:val="Page Numbers (Bottom of Page)"/>
        <w:docPartUnique/>
      </w:docPartObj>
    </w:sdtPr>
    <w:sdtEndPr>
      <w:rPr>
        <w:noProof/>
      </w:rPr>
    </w:sdtEndPr>
    <w:sdtContent>
      <w:p w14:paraId="3581140B" w14:textId="0354B851" w:rsidR="00F80C3D" w:rsidRDefault="00F80C3D">
        <w:pPr>
          <w:pStyle w:val="Footer"/>
          <w:jc w:val="center"/>
        </w:pPr>
        <w:r>
          <w:fldChar w:fldCharType="begin"/>
        </w:r>
        <w:r>
          <w:instrText xml:space="preserve"> PAGE   \* MERGEFORMAT </w:instrText>
        </w:r>
        <w:r>
          <w:fldChar w:fldCharType="separate"/>
        </w:r>
        <w:r w:rsidR="007048BA">
          <w:rPr>
            <w:noProof/>
          </w:rPr>
          <w:t>1</w:t>
        </w:r>
        <w:r>
          <w:rPr>
            <w:noProof/>
          </w:rPr>
          <w:fldChar w:fldCharType="end"/>
        </w:r>
      </w:p>
    </w:sdtContent>
  </w:sdt>
  <w:p w14:paraId="33EAA7F6" w14:textId="77777777" w:rsidR="00F80C3D" w:rsidRDefault="00F80C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011043"/>
      <w:docPartObj>
        <w:docPartGallery w:val="Page Numbers (Bottom of Page)"/>
        <w:docPartUnique/>
      </w:docPartObj>
    </w:sdtPr>
    <w:sdtEndPr>
      <w:rPr>
        <w:noProof/>
      </w:rPr>
    </w:sdtEndPr>
    <w:sdtContent>
      <w:p w14:paraId="608F9D71" w14:textId="75E2F344" w:rsidR="00F80C3D" w:rsidRDefault="00F80C3D">
        <w:pPr>
          <w:pStyle w:val="Footer"/>
          <w:jc w:val="center"/>
        </w:pPr>
        <w:r>
          <w:fldChar w:fldCharType="begin"/>
        </w:r>
        <w:r>
          <w:instrText xml:space="preserve"> PAGE   \* MERGEFORMAT </w:instrText>
        </w:r>
        <w:r>
          <w:fldChar w:fldCharType="separate"/>
        </w:r>
        <w:r w:rsidR="007048BA">
          <w:rPr>
            <w:noProof/>
          </w:rPr>
          <w:t>20</w:t>
        </w:r>
        <w:r>
          <w:rPr>
            <w:noProof/>
          </w:rPr>
          <w:fldChar w:fldCharType="end"/>
        </w:r>
      </w:p>
    </w:sdtContent>
  </w:sdt>
  <w:p w14:paraId="0097E59A" w14:textId="77777777" w:rsidR="00F80C3D" w:rsidRDefault="00F80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64E26" w14:textId="77777777" w:rsidR="00B70AA3" w:rsidRDefault="00B70AA3" w:rsidP="008D2379">
      <w:pPr>
        <w:spacing w:after="0" w:line="240" w:lineRule="auto"/>
      </w:pPr>
      <w:r>
        <w:separator/>
      </w:r>
    </w:p>
  </w:footnote>
  <w:footnote w:type="continuationSeparator" w:id="0">
    <w:p w14:paraId="36AE2C91" w14:textId="77777777" w:rsidR="00B70AA3" w:rsidRDefault="00B70AA3" w:rsidP="008D2379">
      <w:pPr>
        <w:spacing w:after="0" w:line="240" w:lineRule="auto"/>
      </w:pPr>
      <w:r>
        <w:continuationSeparator/>
      </w:r>
    </w:p>
  </w:footnote>
  <w:footnote w:id="1">
    <w:p w14:paraId="122104E5" w14:textId="77777777" w:rsidR="00F80C3D" w:rsidRPr="0076391B" w:rsidRDefault="00F80C3D" w:rsidP="00CA299A">
      <w:pPr>
        <w:pStyle w:val="FootEndnotes"/>
        <w:rPr>
          <w:szCs w:val="18"/>
        </w:rPr>
      </w:pPr>
      <w:r w:rsidRPr="0076391B">
        <w:rPr>
          <w:rStyle w:val="FootnoteReference"/>
          <w:szCs w:val="18"/>
        </w:rPr>
        <w:footnoteRef/>
      </w:r>
      <w:r w:rsidRPr="0076391B">
        <w:rPr>
          <w:szCs w:val="18"/>
        </w:rPr>
        <w:t>Additionally, these studies find that targets earn negative, but insignificant abnormal returns, zero returns and positive abnormal returns in the period prior to acquisitions (Jensen and Ruback, 1983). Berger and Ofek (1996) also find that a firm’s return on equity ratio does not affect its probability of being acquired. From an extensive literature review and an empirical study looking at both target accounting and stock market performance, Agrawal and Jaffe (2003) conclude that there is little evidence to support the assertion that underperforming firms are more likely to become takeover targets.</w:t>
      </w:r>
    </w:p>
  </w:footnote>
  <w:footnote w:id="2">
    <w:p w14:paraId="2E172129" w14:textId="201CCF21" w:rsidR="00C64B60" w:rsidRPr="0076391B" w:rsidRDefault="00C64B60" w:rsidP="00EF2862">
      <w:pPr>
        <w:pStyle w:val="FootnoteText"/>
        <w:ind w:firstLine="227"/>
        <w:rPr>
          <w:sz w:val="18"/>
          <w:szCs w:val="18"/>
        </w:rPr>
      </w:pPr>
      <w:r w:rsidRPr="0076391B">
        <w:rPr>
          <w:rStyle w:val="FootnoteReference"/>
          <w:sz w:val="18"/>
          <w:szCs w:val="18"/>
        </w:rPr>
        <w:footnoteRef/>
      </w:r>
      <w:r w:rsidRPr="0076391B">
        <w:rPr>
          <w:sz w:val="18"/>
          <w:szCs w:val="18"/>
        </w:rPr>
        <w:t xml:space="preserve"> In Table 1 (p.74), Danbolt et al. (2016) show that UK targets have significantly higher mean ROCE (11.8 percent) compared to non-targets (6.8 percent). The difference is significant at the 1 percent level. Table 2 (p.75) in Danbolt et al. (2016) shows that takeover likelihood is negatively related to average excess return (AER) (coefficient of -3.552, p-value of 0.000) but positively related to ROCE (coefficient of 0.087, p-value of 0.171). While the AER results are consistent, the ROCE results are inconsistent with the management inefficiency hypothesis. Table 3 (p.436) of Brar et al. (2009) presents descriptive statistics for their European sample. They find</w:t>
      </w:r>
      <w:r w:rsidR="0076391B" w:rsidRPr="0076391B">
        <w:rPr>
          <w:sz w:val="18"/>
          <w:szCs w:val="18"/>
        </w:rPr>
        <w:t xml:space="preserve"> that</w:t>
      </w:r>
      <w:r w:rsidRPr="0076391B">
        <w:rPr>
          <w:sz w:val="18"/>
          <w:szCs w:val="18"/>
        </w:rPr>
        <w:t xml:space="preserve"> targets have higher profitability (ROE and operating margin) when compared to non-targets. Their targets have an operating margin of 8.1 percent compared to -12.7 percent for non-targets (the difference is significant at the 5 percent level). Again, the results on the relation between accounting profitability (ROE and operating profit margin) are inconsistent with the hypothesis.</w:t>
      </w:r>
    </w:p>
  </w:footnote>
  <w:footnote w:id="3">
    <w:p w14:paraId="450B1BF2" w14:textId="3D93EC78" w:rsidR="00F80C3D" w:rsidRPr="0076391B" w:rsidRDefault="00F80C3D">
      <w:pPr>
        <w:pStyle w:val="FootnoteText"/>
        <w:rPr>
          <w:sz w:val="18"/>
          <w:szCs w:val="18"/>
          <w:lang w:val="en-GB"/>
        </w:rPr>
      </w:pPr>
      <w:r w:rsidRPr="0076391B">
        <w:rPr>
          <w:rStyle w:val="FootnoteReference"/>
          <w:sz w:val="18"/>
          <w:szCs w:val="18"/>
          <w:highlight w:val="yellow"/>
        </w:rPr>
        <w:footnoteRef/>
      </w:r>
      <w:r w:rsidRPr="0076391B">
        <w:rPr>
          <w:sz w:val="18"/>
          <w:szCs w:val="18"/>
          <w:highlight w:val="yellow"/>
        </w:rPr>
        <w:t xml:space="preserve"> Our use of 2-digit SIC codes is consistent with Botsari and Meeks (2008) and Cohen and Zarowin (2010). We use median values as our financial variables, particularly ROCE, are skewed. In robustness checks, we have used mean values and results remain qualitatively similar.</w:t>
      </w:r>
    </w:p>
  </w:footnote>
  <w:footnote w:id="4">
    <w:p w14:paraId="5181C333" w14:textId="5AB11C8B" w:rsidR="00F80C3D" w:rsidRPr="0076391B" w:rsidRDefault="00F80C3D" w:rsidP="00CA299A">
      <w:pPr>
        <w:pStyle w:val="FootEndnotes"/>
        <w:rPr>
          <w:szCs w:val="18"/>
          <w:lang w:val="en-GB"/>
        </w:rPr>
      </w:pPr>
      <w:r w:rsidRPr="0076391B">
        <w:rPr>
          <w:rStyle w:val="FootnoteReference"/>
          <w:szCs w:val="18"/>
        </w:rPr>
        <w:footnoteRef/>
      </w:r>
      <w:r w:rsidRPr="0076391B">
        <w:rPr>
          <w:szCs w:val="18"/>
        </w:rPr>
        <w:t>In robustness checks, we explore other measures of accounting performance, including operating profit margin (OPM), return on assets (ROA) and return on equity (ROE). We also compute market performance (abnormal returns) as the simple excess firm monthly stock returns over the market returns. Further, we use the industry median instead of the industry mean as the benchmark in arriving at our four attributes of management performance. In untabulated results, our key findings remain qualitatively the same. We do not report these due to space limitations.</w:t>
      </w:r>
    </w:p>
  </w:footnote>
  <w:footnote w:id="5">
    <w:p w14:paraId="39D29104" w14:textId="71E50F9E" w:rsidR="00F80C3D" w:rsidRPr="0076391B" w:rsidRDefault="00F80C3D" w:rsidP="00E06CF9">
      <w:pPr>
        <w:pStyle w:val="FootnoteText"/>
        <w:ind w:firstLine="0"/>
        <w:rPr>
          <w:sz w:val="18"/>
          <w:szCs w:val="18"/>
          <w:lang w:val="en-GB"/>
        </w:rPr>
      </w:pPr>
      <w:r w:rsidRPr="0076391B">
        <w:rPr>
          <w:rStyle w:val="FootnoteReference"/>
          <w:sz w:val="18"/>
          <w:szCs w:val="18"/>
        </w:rPr>
        <w:footnoteRef/>
      </w:r>
      <w:r w:rsidRPr="0076391B">
        <w:rPr>
          <w:sz w:val="18"/>
          <w:szCs w:val="18"/>
        </w:rPr>
        <w:t xml:space="preserve"> </w:t>
      </w:r>
      <w:r w:rsidRPr="0076391B">
        <w:rPr>
          <w:sz w:val="18"/>
          <w:szCs w:val="18"/>
          <w:lang w:val="en-GB"/>
        </w:rPr>
        <w:t>Indeed, in our analysis, we find that the Inverse Mills ratio is significant, hence justifying this analysis.</w:t>
      </w:r>
    </w:p>
  </w:footnote>
  <w:footnote w:id="6">
    <w:p w14:paraId="7A2A4A0D" w14:textId="5C9529B9" w:rsidR="00F80C3D" w:rsidRPr="0076391B" w:rsidRDefault="00F80C3D" w:rsidP="00D40B77">
      <w:pPr>
        <w:pStyle w:val="FootEndnotes"/>
        <w:ind w:firstLine="0"/>
        <w:rPr>
          <w:szCs w:val="18"/>
          <w:lang w:val="en-GB"/>
        </w:rPr>
      </w:pPr>
      <w:r w:rsidRPr="0076391B">
        <w:rPr>
          <w:rStyle w:val="FootnoteReference"/>
          <w:szCs w:val="18"/>
        </w:rPr>
        <w:footnoteRef/>
      </w:r>
      <w:r w:rsidRPr="0076391B">
        <w:rPr>
          <w:szCs w:val="18"/>
        </w:rPr>
        <w:t>Our results do not materially change and remain robust when we use the unmodifed version of the model.</w:t>
      </w:r>
    </w:p>
  </w:footnote>
  <w:footnote w:id="7">
    <w:p w14:paraId="6BF6AFC0" w14:textId="73945732" w:rsidR="00F80C3D" w:rsidRPr="0076391B" w:rsidRDefault="00F80C3D">
      <w:pPr>
        <w:pStyle w:val="FootnoteText"/>
        <w:rPr>
          <w:sz w:val="18"/>
          <w:szCs w:val="18"/>
          <w:lang w:val="en-GB"/>
        </w:rPr>
      </w:pPr>
      <w:r w:rsidRPr="0076391B">
        <w:rPr>
          <w:rStyle w:val="FootnoteReference"/>
          <w:sz w:val="18"/>
          <w:szCs w:val="18"/>
        </w:rPr>
        <w:footnoteRef/>
      </w:r>
      <w:r w:rsidRPr="0076391B">
        <w:rPr>
          <w:sz w:val="18"/>
          <w:szCs w:val="18"/>
        </w:rPr>
        <w:t xml:space="preserve"> </w:t>
      </w:r>
      <w:r w:rsidRPr="0076391B">
        <w:rPr>
          <w:sz w:val="18"/>
          <w:szCs w:val="18"/>
          <w:lang w:val="en-GB"/>
        </w:rPr>
        <w:t>We explore this in untabulated results.</w:t>
      </w:r>
    </w:p>
  </w:footnote>
  <w:footnote w:id="8">
    <w:p w14:paraId="376647B0" w14:textId="2B023FDB" w:rsidR="00F80C3D" w:rsidRPr="0076391B" w:rsidRDefault="00F80C3D" w:rsidP="00482274">
      <w:pPr>
        <w:pStyle w:val="FootnoteText"/>
        <w:ind w:firstLine="0"/>
        <w:rPr>
          <w:sz w:val="18"/>
          <w:szCs w:val="18"/>
          <w:lang w:val="en-GB"/>
        </w:rPr>
      </w:pPr>
      <w:r w:rsidRPr="0076391B">
        <w:rPr>
          <w:rStyle w:val="FootnoteReference"/>
          <w:sz w:val="18"/>
          <w:szCs w:val="18"/>
        </w:rPr>
        <w:footnoteRef/>
      </w:r>
      <w:r w:rsidRPr="0076391B">
        <w:rPr>
          <w:sz w:val="18"/>
          <w:szCs w:val="18"/>
          <w:highlight w:val="yellow"/>
        </w:rPr>
        <w:t>All continuous and unbounded variables are winsorised at the 1</w:t>
      </w:r>
      <w:r w:rsidRPr="0076391B">
        <w:rPr>
          <w:sz w:val="18"/>
          <w:szCs w:val="18"/>
          <w:highlight w:val="yellow"/>
          <w:vertAlign w:val="superscript"/>
        </w:rPr>
        <w:t>st</w:t>
      </w:r>
      <w:r w:rsidRPr="0076391B">
        <w:rPr>
          <w:sz w:val="18"/>
          <w:szCs w:val="18"/>
          <w:highlight w:val="yellow"/>
        </w:rPr>
        <w:t xml:space="preserve"> and 99</w:t>
      </w:r>
      <w:r w:rsidRPr="0076391B">
        <w:rPr>
          <w:sz w:val="18"/>
          <w:szCs w:val="18"/>
          <w:highlight w:val="yellow"/>
          <w:vertAlign w:val="superscript"/>
        </w:rPr>
        <w:t>th</w:t>
      </w:r>
      <w:r w:rsidRPr="0076391B">
        <w:rPr>
          <w:sz w:val="18"/>
          <w:szCs w:val="18"/>
          <w:highlight w:val="yellow"/>
        </w:rPr>
        <w:t xml:space="preserve"> percentile.</w:t>
      </w:r>
    </w:p>
  </w:footnote>
  <w:footnote w:id="9">
    <w:p w14:paraId="4367BC59" w14:textId="72863735" w:rsidR="00F80C3D" w:rsidRPr="0076391B" w:rsidRDefault="00F80C3D" w:rsidP="00CA299A">
      <w:pPr>
        <w:pStyle w:val="FootEndnotes"/>
        <w:rPr>
          <w:szCs w:val="18"/>
          <w:lang w:val="en-GB"/>
        </w:rPr>
      </w:pPr>
      <w:r w:rsidRPr="0076391B">
        <w:rPr>
          <w:rStyle w:val="FootnoteReference"/>
          <w:szCs w:val="18"/>
        </w:rPr>
        <w:footnoteRef/>
      </w:r>
      <w:r w:rsidRPr="0076391B">
        <w:rPr>
          <w:szCs w:val="18"/>
          <w:lang w:val="en-GB"/>
        </w:rPr>
        <w:t>The coefficient of the Inverse Mill’s Ratio (non-selection hazard) is significant in all models, suggesting selection bias in the sample.</w:t>
      </w:r>
    </w:p>
  </w:footnote>
  <w:footnote w:id="10">
    <w:p w14:paraId="1E2BE7B1" w14:textId="75DA046D" w:rsidR="00F80C3D" w:rsidRPr="0076391B" w:rsidRDefault="00F80C3D" w:rsidP="00CA299A">
      <w:pPr>
        <w:pStyle w:val="FootEndnotes"/>
        <w:rPr>
          <w:szCs w:val="18"/>
        </w:rPr>
      </w:pPr>
      <w:r w:rsidRPr="0076391B">
        <w:rPr>
          <w:rStyle w:val="FootnoteReference"/>
          <w:szCs w:val="18"/>
        </w:rPr>
        <w:footnoteRef/>
      </w:r>
      <w:r w:rsidRPr="0076391B">
        <w:rPr>
          <w:szCs w:val="18"/>
        </w:rPr>
        <w:t>In untabulated results, we find that these results are generally robust to deal characteristics. Even when one focuses on a subsample of M&amp;As, which are most likely to be disciplinary in nature (i.e., hostile bids and bids for control), the results do not change—on average, targets achieve higher accounting performance than non-targets.</w:t>
      </w:r>
    </w:p>
  </w:footnote>
  <w:footnote w:id="11">
    <w:p w14:paraId="156433C4" w14:textId="002699CD" w:rsidR="00F80C3D" w:rsidRPr="0076391B" w:rsidRDefault="00F80C3D" w:rsidP="00CA299A">
      <w:pPr>
        <w:pStyle w:val="FootEndnotes"/>
        <w:rPr>
          <w:szCs w:val="18"/>
          <w:lang w:val="en-GB"/>
        </w:rPr>
      </w:pPr>
      <w:r w:rsidRPr="0076391B">
        <w:rPr>
          <w:rStyle w:val="FootnoteReference"/>
          <w:szCs w:val="18"/>
          <w:highlight w:val="yellow"/>
        </w:rPr>
        <w:footnoteRef/>
      </w:r>
      <w:r w:rsidRPr="0076391B">
        <w:rPr>
          <w:rFonts w:cs="Times New Roman"/>
          <w:szCs w:val="18"/>
          <w:highlight w:val="yellow"/>
        </w:rPr>
        <w:t xml:space="preserve">Pearson and Spearman correlation coefficients, as well as variance inflation factors (VIF) for the independent variables in the regression model are first computed to ensure that there are no issues of multicollinearity. </w:t>
      </w:r>
      <w:r w:rsidR="00017D42" w:rsidRPr="0076391B">
        <w:rPr>
          <w:rFonts w:cs="Times New Roman"/>
          <w:szCs w:val="18"/>
        </w:rPr>
        <w:t>We find that price momentum (MOM) and average abnormal return (AAR) are correlated with a rho of 0.4. We therefore do not include MOM in our regressions.</w:t>
      </w:r>
    </w:p>
  </w:footnote>
  <w:footnote w:id="12">
    <w:p w14:paraId="21876205" w14:textId="1ACAF427" w:rsidR="00F80C3D" w:rsidRPr="0076391B" w:rsidRDefault="00F80C3D" w:rsidP="00983D57">
      <w:pPr>
        <w:pStyle w:val="FootnoteText"/>
        <w:ind w:firstLine="0"/>
        <w:rPr>
          <w:sz w:val="18"/>
          <w:szCs w:val="18"/>
          <w:lang w:val="en-GB"/>
        </w:rPr>
      </w:pPr>
      <w:r w:rsidRPr="0076391B">
        <w:rPr>
          <w:rStyle w:val="FootnoteReference"/>
          <w:sz w:val="18"/>
          <w:szCs w:val="18"/>
        </w:rPr>
        <w:footnoteRef/>
      </w:r>
      <w:r w:rsidRPr="0076391B">
        <w:rPr>
          <w:rFonts w:cs="Times New Roman"/>
          <w:sz w:val="18"/>
          <w:szCs w:val="18"/>
          <w:highlight w:val="yellow"/>
          <w:lang w:val="en-GB"/>
        </w:rPr>
        <w:t xml:space="preserve"> </w:t>
      </w:r>
      <w:r w:rsidRPr="0076391B">
        <w:rPr>
          <w:rStyle w:val="FootEndnotesChar"/>
          <w:szCs w:val="18"/>
          <w:highlight w:val="yellow"/>
        </w:rPr>
        <w:t>Our choice of a fixed effects model specification in Table 7 is validated by our results from the Hausman specification tests (Chi square and p-values) shown in the table.</w:t>
      </w:r>
      <w:r w:rsidRPr="0076391B">
        <w:rPr>
          <w:rStyle w:val="FootEndnotesChar"/>
          <w:szCs w:val="18"/>
        </w:rPr>
        <w:t xml:space="preserve"> All Hausman Chi squares are significant at the 1 per cent level.</w:t>
      </w:r>
    </w:p>
  </w:footnote>
  <w:footnote w:id="13">
    <w:p w14:paraId="5FC6BEC3" w14:textId="639D4A8B" w:rsidR="00F80C3D" w:rsidRPr="0076391B" w:rsidRDefault="00F80C3D">
      <w:pPr>
        <w:pStyle w:val="FootnoteText"/>
        <w:rPr>
          <w:sz w:val="18"/>
          <w:szCs w:val="18"/>
          <w:lang w:val="en-GB"/>
        </w:rPr>
      </w:pPr>
      <w:r w:rsidRPr="0076391B">
        <w:rPr>
          <w:rStyle w:val="FootnoteReference"/>
          <w:sz w:val="18"/>
          <w:szCs w:val="18"/>
        </w:rPr>
        <w:footnoteRef/>
      </w:r>
      <w:r w:rsidRPr="0076391B">
        <w:rPr>
          <w:sz w:val="18"/>
          <w:szCs w:val="18"/>
        </w:rPr>
        <w:t xml:space="preserve"> </w:t>
      </w:r>
      <w:r w:rsidRPr="0076391B">
        <w:rPr>
          <w:sz w:val="18"/>
          <w:szCs w:val="18"/>
          <w:lang w:val="en-GB"/>
        </w:rPr>
        <w:t xml:space="preserve">The results show that firms in the </w:t>
      </w:r>
      <w:r w:rsidRPr="0076391B">
        <w:rPr>
          <w:i/>
          <w:sz w:val="18"/>
          <w:szCs w:val="18"/>
          <w:lang w:val="en-GB"/>
        </w:rPr>
        <w:t>poor</w:t>
      </w:r>
      <w:r w:rsidRPr="0076391B">
        <w:rPr>
          <w:sz w:val="18"/>
          <w:szCs w:val="18"/>
          <w:lang w:val="en-GB"/>
        </w:rPr>
        <w:t xml:space="preserve"> and </w:t>
      </w:r>
      <w:r w:rsidRPr="0076391B">
        <w:rPr>
          <w:i/>
          <w:sz w:val="18"/>
          <w:szCs w:val="18"/>
          <w:lang w:val="en-GB"/>
        </w:rPr>
        <w:t>hyperopia</w:t>
      </w:r>
      <w:r w:rsidRPr="0076391B">
        <w:rPr>
          <w:sz w:val="18"/>
          <w:szCs w:val="18"/>
          <w:lang w:val="en-GB"/>
        </w:rPr>
        <w:t xml:space="preserve"> attributes, as well as, those in </w:t>
      </w:r>
      <w:r w:rsidRPr="0076391B">
        <w:rPr>
          <w:i/>
          <w:sz w:val="18"/>
          <w:szCs w:val="18"/>
          <w:lang w:val="en-GB"/>
        </w:rPr>
        <w:t>myopia</w:t>
      </w:r>
      <w:r w:rsidRPr="0076391B">
        <w:rPr>
          <w:sz w:val="18"/>
          <w:szCs w:val="18"/>
          <w:lang w:val="en-GB"/>
        </w:rPr>
        <w:t xml:space="preserve"> and </w:t>
      </w:r>
      <w:r w:rsidRPr="0076391B">
        <w:rPr>
          <w:i/>
          <w:sz w:val="18"/>
          <w:szCs w:val="18"/>
          <w:lang w:val="en-GB"/>
        </w:rPr>
        <w:t>efficient</w:t>
      </w:r>
      <w:r w:rsidRPr="0076391B">
        <w:rPr>
          <w:sz w:val="18"/>
          <w:szCs w:val="18"/>
          <w:lang w:val="en-GB"/>
        </w:rPr>
        <w:t xml:space="preserve"> attributes bare similarities in terms of R&amp;D investments and levels of estimated discretionary accruals.</w:t>
      </w:r>
    </w:p>
  </w:footnote>
  <w:footnote w:id="14">
    <w:p w14:paraId="40229E1A" w14:textId="03C0B41B" w:rsidR="00F80C3D" w:rsidRPr="0076391B" w:rsidRDefault="00F80C3D" w:rsidP="00CA299A">
      <w:pPr>
        <w:pStyle w:val="FootnoteText"/>
        <w:rPr>
          <w:sz w:val="18"/>
          <w:szCs w:val="18"/>
          <w:lang w:val="en-GB"/>
        </w:rPr>
      </w:pPr>
      <w:r w:rsidRPr="0076391B">
        <w:rPr>
          <w:rStyle w:val="FootnoteReference"/>
          <w:sz w:val="18"/>
          <w:szCs w:val="18"/>
        </w:rPr>
        <w:footnoteRef/>
      </w:r>
      <w:r w:rsidRPr="0076391B">
        <w:rPr>
          <w:sz w:val="18"/>
          <w:szCs w:val="18"/>
          <w:lang w:val="en-GB"/>
        </w:rPr>
        <w:t xml:space="preserve">That is, a positive relation between takeover likelihood and </w:t>
      </w:r>
      <w:r w:rsidRPr="0076391B">
        <w:rPr>
          <w:i/>
          <w:sz w:val="18"/>
          <w:szCs w:val="18"/>
          <w:lang w:val="en-GB"/>
        </w:rPr>
        <w:t>poor</w:t>
      </w:r>
      <w:r w:rsidRPr="0076391B">
        <w:rPr>
          <w:sz w:val="18"/>
          <w:szCs w:val="18"/>
          <w:lang w:val="en-GB"/>
        </w:rPr>
        <w:t xml:space="preserve"> (as well as, </w:t>
      </w:r>
      <w:r w:rsidRPr="0076391B">
        <w:rPr>
          <w:i/>
          <w:sz w:val="18"/>
          <w:szCs w:val="18"/>
          <w:lang w:val="en-GB"/>
        </w:rPr>
        <w:t>myopia</w:t>
      </w:r>
      <w:r w:rsidRPr="0076391B">
        <w:rPr>
          <w:sz w:val="18"/>
          <w:szCs w:val="18"/>
          <w:lang w:val="en-GB"/>
        </w:rPr>
        <w:t xml:space="preserve">) and a negative relation between takeover likelihood and </w:t>
      </w:r>
      <w:r w:rsidRPr="0076391B">
        <w:rPr>
          <w:i/>
          <w:sz w:val="18"/>
          <w:szCs w:val="18"/>
          <w:lang w:val="en-GB"/>
        </w:rPr>
        <w:t>efficient</w:t>
      </w:r>
      <w:r w:rsidRPr="0076391B">
        <w:rPr>
          <w:sz w:val="18"/>
          <w:szCs w:val="18"/>
          <w:lang w:val="en-GB"/>
        </w:rPr>
        <w:t xml:space="preserve"> (as well as, </w:t>
      </w:r>
      <w:r w:rsidRPr="0076391B">
        <w:rPr>
          <w:i/>
          <w:sz w:val="18"/>
          <w:szCs w:val="18"/>
          <w:lang w:val="en-GB"/>
        </w:rPr>
        <w:t>hyperopia</w:t>
      </w:r>
      <w:r w:rsidRPr="0076391B">
        <w:rPr>
          <w:sz w:val="18"/>
          <w:szCs w:val="18"/>
          <w:lang w:val="en-GB"/>
        </w:rPr>
        <w:t>).</w:t>
      </w:r>
    </w:p>
  </w:footnote>
  <w:footnote w:id="15">
    <w:p w14:paraId="0B181242" w14:textId="6FDAF7A3" w:rsidR="00F80C3D" w:rsidRPr="0076391B" w:rsidRDefault="00F80C3D" w:rsidP="00CA299A">
      <w:pPr>
        <w:pStyle w:val="FootnoteText"/>
        <w:rPr>
          <w:sz w:val="18"/>
          <w:szCs w:val="18"/>
          <w:lang w:val="en-GB"/>
        </w:rPr>
      </w:pPr>
      <w:r w:rsidRPr="0076391B">
        <w:rPr>
          <w:rStyle w:val="FootnoteReference"/>
          <w:sz w:val="18"/>
          <w:szCs w:val="18"/>
        </w:rPr>
        <w:footnoteRef/>
      </w:r>
      <w:r w:rsidRPr="0076391B">
        <w:rPr>
          <w:sz w:val="18"/>
          <w:szCs w:val="18"/>
        </w:rPr>
        <w:t xml:space="preserve"> </w:t>
      </w:r>
      <w:r w:rsidRPr="0076391B">
        <w:rPr>
          <w:sz w:val="18"/>
          <w:szCs w:val="18"/>
          <w:lang w:val="en-GB"/>
        </w:rPr>
        <w:t xml:space="preserve">Notice that the results for </w:t>
      </w:r>
      <w:r w:rsidRPr="0076391B">
        <w:rPr>
          <w:i/>
          <w:sz w:val="18"/>
          <w:szCs w:val="18"/>
          <w:lang w:val="en-GB"/>
        </w:rPr>
        <w:t>poor</w:t>
      </w:r>
      <w:r w:rsidRPr="0076391B">
        <w:rPr>
          <w:sz w:val="18"/>
          <w:szCs w:val="18"/>
          <w:lang w:val="en-GB"/>
        </w:rPr>
        <w:t xml:space="preserve"> and </w:t>
      </w:r>
      <w:r w:rsidRPr="0076391B">
        <w:rPr>
          <w:i/>
          <w:sz w:val="18"/>
          <w:szCs w:val="18"/>
          <w:lang w:val="en-GB"/>
        </w:rPr>
        <w:t xml:space="preserve">efficient </w:t>
      </w:r>
      <w:r w:rsidRPr="0076391B">
        <w:rPr>
          <w:sz w:val="18"/>
          <w:szCs w:val="18"/>
          <w:lang w:val="en-GB"/>
        </w:rPr>
        <w:t xml:space="preserve">(untabulated) are also robust to </w:t>
      </w:r>
      <w:r w:rsidRPr="0076391B">
        <w:rPr>
          <w:rFonts w:cs="Times New Roman"/>
          <w:sz w:val="18"/>
          <w:szCs w:val="18"/>
        </w:rPr>
        <w:t>reverse causality or simultaneity bias. We do not present them for conciseness.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83D9A"/>
    <w:multiLevelType w:val="hybridMultilevel"/>
    <w:tmpl w:val="1042FB6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 w15:restartNumberingAfterBreak="0">
    <w:nsid w:val="109F631B"/>
    <w:multiLevelType w:val="hybridMultilevel"/>
    <w:tmpl w:val="B2AE6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97546"/>
    <w:multiLevelType w:val="hybridMultilevel"/>
    <w:tmpl w:val="9748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A2118"/>
    <w:multiLevelType w:val="hybridMultilevel"/>
    <w:tmpl w:val="A8822830"/>
    <w:lvl w:ilvl="0" w:tplc="320097F2">
      <w:start w:val="2"/>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CF73741"/>
    <w:multiLevelType w:val="hybridMultilevel"/>
    <w:tmpl w:val="AE28A6D0"/>
    <w:lvl w:ilvl="0" w:tplc="15825A3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756522"/>
    <w:multiLevelType w:val="hybridMultilevel"/>
    <w:tmpl w:val="E6F4B61A"/>
    <w:lvl w:ilvl="0" w:tplc="4EB0044A">
      <w:start w:val="4"/>
      <w:numFmt w:val="bullet"/>
      <w:lvlText w:val=""/>
      <w:lvlJc w:val="left"/>
      <w:pPr>
        <w:ind w:left="927" w:hanging="360"/>
      </w:pPr>
      <w:rPr>
        <w:rFonts w:ascii="Symbol" w:eastAsiaTheme="minorHAnsi" w:hAnsi="Symbol"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417B5F2E"/>
    <w:multiLevelType w:val="multilevel"/>
    <w:tmpl w:val="2D20A73E"/>
    <w:lvl w:ilvl="0">
      <w:start w:val="1"/>
      <w:numFmt w:val="decimal"/>
      <w:lvlText w:val="%1"/>
      <w:lvlJc w:val="left"/>
      <w:pPr>
        <w:ind w:left="360" w:hanging="360"/>
      </w:pPr>
      <w:rPr>
        <w:rFonts w:hint="eastAsia"/>
        <w:lang w:val="en-US"/>
      </w:rPr>
    </w:lvl>
    <w:lvl w:ilvl="1">
      <w:start w:val="1"/>
      <w:numFmt w:val="decimal"/>
      <w:lvlText w:val="%1.%2"/>
      <w:lvlJc w:val="left"/>
      <w:pPr>
        <w:ind w:left="792" w:hanging="432"/>
      </w:pPr>
      <w:rPr>
        <w:rFonts w:hint="eastAsia"/>
        <w:lang w:val="en-US"/>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7" w15:restartNumberingAfterBreak="0">
    <w:nsid w:val="44F40AA7"/>
    <w:multiLevelType w:val="hybridMultilevel"/>
    <w:tmpl w:val="644AFF0A"/>
    <w:lvl w:ilvl="0" w:tplc="CADCEF1A">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45A92"/>
    <w:multiLevelType w:val="hybridMultilevel"/>
    <w:tmpl w:val="D5B86C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F05BB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8"/>
  </w:num>
  <w:num w:numId="3">
    <w:abstractNumId w:val="4"/>
  </w:num>
  <w:num w:numId="4">
    <w:abstractNumId w:val="1"/>
  </w:num>
  <w:num w:numId="5">
    <w:abstractNumId w:val="3"/>
  </w:num>
  <w:num w:numId="6">
    <w:abstractNumId w:val="5"/>
  </w:num>
  <w:num w:numId="7">
    <w:abstractNumId w:val="6"/>
  </w:num>
  <w:num w:numId="8">
    <w:abstractNumId w:val="6"/>
    <w:lvlOverride w:ilvl="0">
      <w:startOverride w:val="3"/>
    </w:lvlOverride>
    <w:lvlOverride w:ilvl="1">
      <w:startOverride w:val="2"/>
    </w:lvlOverride>
  </w:num>
  <w:num w:numId="9">
    <w:abstractNumId w:val="0"/>
  </w:num>
  <w:num w:numId="10">
    <w:abstractNumId w:val="6"/>
    <w:lvlOverride w:ilvl="0">
      <w:startOverride w:val="3"/>
    </w:lvlOverride>
    <w:lvlOverride w:ilvl="1">
      <w:startOverride w:val="5"/>
    </w:lvlOverride>
  </w:num>
  <w:num w:numId="11">
    <w:abstractNumId w:val="6"/>
    <w:lvlOverride w:ilvl="0">
      <w:startOverride w:val="3"/>
    </w:lvlOverride>
    <w:lvlOverride w:ilvl="1">
      <w:startOverride w:val="5"/>
    </w:lvlOverride>
  </w:num>
  <w:num w:numId="12">
    <w:abstractNumId w:val="6"/>
    <w:lvlOverride w:ilvl="0">
      <w:startOverride w:val="3"/>
    </w:lvlOverride>
    <w:lvlOverride w:ilvl="1">
      <w:startOverride w:val="5"/>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da-DK"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7B"/>
    <w:rsid w:val="000000CD"/>
    <w:rsid w:val="000002F9"/>
    <w:rsid w:val="000011A9"/>
    <w:rsid w:val="00001E22"/>
    <w:rsid w:val="00001EF9"/>
    <w:rsid w:val="000034C9"/>
    <w:rsid w:val="000036E5"/>
    <w:rsid w:val="0000403B"/>
    <w:rsid w:val="00004059"/>
    <w:rsid w:val="00004547"/>
    <w:rsid w:val="00004749"/>
    <w:rsid w:val="00004861"/>
    <w:rsid w:val="0000557B"/>
    <w:rsid w:val="00005B9F"/>
    <w:rsid w:val="00010B6B"/>
    <w:rsid w:val="00010D54"/>
    <w:rsid w:val="0001101F"/>
    <w:rsid w:val="00011344"/>
    <w:rsid w:val="000114BF"/>
    <w:rsid w:val="000114ED"/>
    <w:rsid w:val="00012462"/>
    <w:rsid w:val="00012A1D"/>
    <w:rsid w:val="00012F25"/>
    <w:rsid w:val="000141C1"/>
    <w:rsid w:val="000141FF"/>
    <w:rsid w:val="00014AD5"/>
    <w:rsid w:val="00014B22"/>
    <w:rsid w:val="00014B2E"/>
    <w:rsid w:val="00014D12"/>
    <w:rsid w:val="00015FBE"/>
    <w:rsid w:val="000168DF"/>
    <w:rsid w:val="00017503"/>
    <w:rsid w:val="00017B5B"/>
    <w:rsid w:val="00017D42"/>
    <w:rsid w:val="00021C63"/>
    <w:rsid w:val="00022753"/>
    <w:rsid w:val="000227BB"/>
    <w:rsid w:val="000234EA"/>
    <w:rsid w:val="00023B30"/>
    <w:rsid w:val="000243DA"/>
    <w:rsid w:val="00024970"/>
    <w:rsid w:val="00024AC1"/>
    <w:rsid w:val="00025317"/>
    <w:rsid w:val="00025BE8"/>
    <w:rsid w:val="00025C82"/>
    <w:rsid w:val="000260E7"/>
    <w:rsid w:val="000264B2"/>
    <w:rsid w:val="00026A05"/>
    <w:rsid w:val="00026E57"/>
    <w:rsid w:val="000277A9"/>
    <w:rsid w:val="000278D2"/>
    <w:rsid w:val="00027EF7"/>
    <w:rsid w:val="00030E2E"/>
    <w:rsid w:val="000310B3"/>
    <w:rsid w:val="00031184"/>
    <w:rsid w:val="00031D30"/>
    <w:rsid w:val="0003268D"/>
    <w:rsid w:val="000331D2"/>
    <w:rsid w:val="0003348A"/>
    <w:rsid w:val="0003661B"/>
    <w:rsid w:val="00036E17"/>
    <w:rsid w:val="00037771"/>
    <w:rsid w:val="000402F2"/>
    <w:rsid w:val="00040C57"/>
    <w:rsid w:val="000411CE"/>
    <w:rsid w:val="0004173F"/>
    <w:rsid w:val="00042653"/>
    <w:rsid w:val="00042C35"/>
    <w:rsid w:val="00042DA6"/>
    <w:rsid w:val="000448F0"/>
    <w:rsid w:val="00045A76"/>
    <w:rsid w:val="0004646A"/>
    <w:rsid w:val="00046840"/>
    <w:rsid w:val="00046AB4"/>
    <w:rsid w:val="0005004C"/>
    <w:rsid w:val="000505AE"/>
    <w:rsid w:val="000506E3"/>
    <w:rsid w:val="0005254A"/>
    <w:rsid w:val="00052FF5"/>
    <w:rsid w:val="000537CC"/>
    <w:rsid w:val="00054A9A"/>
    <w:rsid w:val="00054BDB"/>
    <w:rsid w:val="000550BA"/>
    <w:rsid w:val="00055DD5"/>
    <w:rsid w:val="00056298"/>
    <w:rsid w:val="00056D0C"/>
    <w:rsid w:val="00057242"/>
    <w:rsid w:val="000578F8"/>
    <w:rsid w:val="0005793D"/>
    <w:rsid w:val="00057A26"/>
    <w:rsid w:val="00061921"/>
    <w:rsid w:val="000619ED"/>
    <w:rsid w:val="0006248A"/>
    <w:rsid w:val="00062735"/>
    <w:rsid w:val="00063083"/>
    <w:rsid w:val="0006368D"/>
    <w:rsid w:val="00063801"/>
    <w:rsid w:val="00063D65"/>
    <w:rsid w:val="00063F75"/>
    <w:rsid w:val="000644BB"/>
    <w:rsid w:val="00064F6E"/>
    <w:rsid w:val="00065DBE"/>
    <w:rsid w:val="00066199"/>
    <w:rsid w:val="00066908"/>
    <w:rsid w:val="00067380"/>
    <w:rsid w:val="00070A98"/>
    <w:rsid w:val="00070AC9"/>
    <w:rsid w:val="0007104C"/>
    <w:rsid w:val="00071052"/>
    <w:rsid w:val="00072242"/>
    <w:rsid w:val="000730BA"/>
    <w:rsid w:val="00073260"/>
    <w:rsid w:val="000733D8"/>
    <w:rsid w:val="00073558"/>
    <w:rsid w:val="00073AF9"/>
    <w:rsid w:val="00073E57"/>
    <w:rsid w:val="00075A7A"/>
    <w:rsid w:val="00077036"/>
    <w:rsid w:val="00080278"/>
    <w:rsid w:val="000817EA"/>
    <w:rsid w:val="00081C67"/>
    <w:rsid w:val="000827FC"/>
    <w:rsid w:val="00082840"/>
    <w:rsid w:val="00082F4F"/>
    <w:rsid w:val="00082FC0"/>
    <w:rsid w:val="00083F4D"/>
    <w:rsid w:val="0008419D"/>
    <w:rsid w:val="00084255"/>
    <w:rsid w:val="000846AC"/>
    <w:rsid w:val="0008489B"/>
    <w:rsid w:val="00084C84"/>
    <w:rsid w:val="0008619E"/>
    <w:rsid w:val="0008639C"/>
    <w:rsid w:val="000863A9"/>
    <w:rsid w:val="00086F43"/>
    <w:rsid w:val="00087082"/>
    <w:rsid w:val="00087385"/>
    <w:rsid w:val="0008743A"/>
    <w:rsid w:val="0008766E"/>
    <w:rsid w:val="00087C60"/>
    <w:rsid w:val="00090DA0"/>
    <w:rsid w:val="00091229"/>
    <w:rsid w:val="00091768"/>
    <w:rsid w:val="000919B4"/>
    <w:rsid w:val="0009259E"/>
    <w:rsid w:val="00092E92"/>
    <w:rsid w:val="00093485"/>
    <w:rsid w:val="00093573"/>
    <w:rsid w:val="000939BE"/>
    <w:rsid w:val="00093C12"/>
    <w:rsid w:val="0009572C"/>
    <w:rsid w:val="00096354"/>
    <w:rsid w:val="000964BC"/>
    <w:rsid w:val="000967F5"/>
    <w:rsid w:val="0009698F"/>
    <w:rsid w:val="00096A33"/>
    <w:rsid w:val="00097C5B"/>
    <w:rsid w:val="000A01EF"/>
    <w:rsid w:val="000A166A"/>
    <w:rsid w:val="000A2F04"/>
    <w:rsid w:val="000A300B"/>
    <w:rsid w:val="000A3B06"/>
    <w:rsid w:val="000A4A4F"/>
    <w:rsid w:val="000A64E3"/>
    <w:rsid w:val="000A6612"/>
    <w:rsid w:val="000A6E08"/>
    <w:rsid w:val="000A75F9"/>
    <w:rsid w:val="000B06BE"/>
    <w:rsid w:val="000B0B0B"/>
    <w:rsid w:val="000B0EEC"/>
    <w:rsid w:val="000B10D3"/>
    <w:rsid w:val="000B16B4"/>
    <w:rsid w:val="000B1981"/>
    <w:rsid w:val="000B1DC1"/>
    <w:rsid w:val="000B20E4"/>
    <w:rsid w:val="000B2331"/>
    <w:rsid w:val="000B2A45"/>
    <w:rsid w:val="000B2B1C"/>
    <w:rsid w:val="000B3992"/>
    <w:rsid w:val="000B3B23"/>
    <w:rsid w:val="000B4454"/>
    <w:rsid w:val="000B520C"/>
    <w:rsid w:val="000B528F"/>
    <w:rsid w:val="000B5536"/>
    <w:rsid w:val="000B56A1"/>
    <w:rsid w:val="000B5794"/>
    <w:rsid w:val="000B5D35"/>
    <w:rsid w:val="000C01C2"/>
    <w:rsid w:val="000C02BC"/>
    <w:rsid w:val="000C089C"/>
    <w:rsid w:val="000C0A9C"/>
    <w:rsid w:val="000C0F71"/>
    <w:rsid w:val="000C112C"/>
    <w:rsid w:val="000C1141"/>
    <w:rsid w:val="000C1320"/>
    <w:rsid w:val="000C1555"/>
    <w:rsid w:val="000C1927"/>
    <w:rsid w:val="000C2185"/>
    <w:rsid w:val="000C31A2"/>
    <w:rsid w:val="000C3D59"/>
    <w:rsid w:val="000C48B2"/>
    <w:rsid w:val="000C5372"/>
    <w:rsid w:val="000C5511"/>
    <w:rsid w:val="000C57E9"/>
    <w:rsid w:val="000C5A12"/>
    <w:rsid w:val="000C5E3D"/>
    <w:rsid w:val="000C60B5"/>
    <w:rsid w:val="000C705A"/>
    <w:rsid w:val="000C73D9"/>
    <w:rsid w:val="000D17DF"/>
    <w:rsid w:val="000D2251"/>
    <w:rsid w:val="000D2C2E"/>
    <w:rsid w:val="000D2E29"/>
    <w:rsid w:val="000D33E0"/>
    <w:rsid w:val="000D5308"/>
    <w:rsid w:val="000D5C21"/>
    <w:rsid w:val="000D6BCB"/>
    <w:rsid w:val="000D7013"/>
    <w:rsid w:val="000D723B"/>
    <w:rsid w:val="000E00B4"/>
    <w:rsid w:val="000E05AC"/>
    <w:rsid w:val="000E16D3"/>
    <w:rsid w:val="000E320D"/>
    <w:rsid w:val="000E337F"/>
    <w:rsid w:val="000E352E"/>
    <w:rsid w:val="000E3A64"/>
    <w:rsid w:val="000E3D8E"/>
    <w:rsid w:val="000E44B0"/>
    <w:rsid w:val="000E4A70"/>
    <w:rsid w:val="000E4B4D"/>
    <w:rsid w:val="000E533E"/>
    <w:rsid w:val="000E58B0"/>
    <w:rsid w:val="000E6312"/>
    <w:rsid w:val="000E67BB"/>
    <w:rsid w:val="000E6D25"/>
    <w:rsid w:val="000E6E6A"/>
    <w:rsid w:val="000E717D"/>
    <w:rsid w:val="000E76B1"/>
    <w:rsid w:val="000E7C21"/>
    <w:rsid w:val="000F0E16"/>
    <w:rsid w:val="000F0FAB"/>
    <w:rsid w:val="000F18E2"/>
    <w:rsid w:val="000F303A"/>
    <w:rsid w:val="000F3A90"/>
    <w:rsid w:val="000F3C76"/>
    <w:rsid w:val="000F4DA9"/>
    <w:rsid w:val="000F56CB"/>
    <w:rsid w:val="000F5D1E"/>
    <w:rsid w:val="000F5D93"/>
    <w:rsid w:val="000F76E6"/>
    <w:rsid w:val="000F787F"/>
    <w:rsid w:val="00100798"/>
    <w:rsid w:val="00100906"/>
    <w:rsid w:val="00100D30"/>
    <w:rsid w:val="001022B2"/>
    <w:rsid w:val="001031E4"/>
    <w:rsid w:val="001033D9"/>
    <w:rsid w:val="001036E7"/>
    <w:rsid w:val="001038E8"/>
    <w:rsid w:val="00103D18"/>
    <w:rsid w:val="00103F94"/>
    <w:rsid w:val="001042E3"/>
    <w:rsid w:val="00104457"/>
    <w:rsid w:val="001048ED"/>
    <w:rsid w:val="00104E3B"/>
    <w:rsid w:val="001054E8"/>
    <w:rsid w:val="00105A82"/>
    <w:rsid w:val="0010622C"/>
    <w:rsid w:val="00106F2E"/>
    <w:rsid w:val="0010794B"/>
    <w:rsid w:val="0011008B"/>
    <w:rsid w:val="00111102"/>
    <w:rsid w:val="00111338"/>
    <w:rsid w:val="00111E7D"/>
    <w:rsid w:val="00111FD8"/>
    <w:rsid w:val="001124B2"/>
    <w:rsid w:val="0011292A"/>
    <w:rsid w:val="00112C77"/>
    <w:rsid w:val="00113636"/>
    <w:rsid w:val="00113DBB"/>
    <w:rsid w:val="00114352"/>
    <w:rsid w:val="001148DB"/>
    <w:rsid w:val="00115C7F"/>
    <w:rsid w:val="00116621"/>
    <w:rsid w:val="00120815"/>
    <w:rsid w:val="00121120"/>
    <w:rsid w:val="00121311"/>
    <w:rsid w:val="001227D0"/>
    <w:rsid w:val="00122A0F"/>
    <w:rsid w:val="00123682"/>
    <w:rsid w:val="001239B5"/>
    <w:rsid w:val="00123B01"/>
    <w:rsid w:val="00124CB3"/>
    <w:rsid w:val="00124E7A"/>
    <w:rsid w:val="00124FAA"/>
    <w:rsid w:val="001250BC"/>
    <w:rsid w:val="00125827"/>
    <w:rsid w:val="001261CF"/>
    <w:rsid w:val="00126275"/>
    <w:rsid w:val="00126415"/>
    <w:rsid w:val="0012651E"/>
    <w:rsid w:val="001269BC"/>
    <w:rsid w:val="00127C10"/>
    <w:rsid w:val="00130B43"/>
    <w:rsid w:val="00131317"/>
    <w:rsid w:val="001313D7"/>
    <w:rsid w:val="00131EE8"/>
    <w:rsid w:val="001324C6"/>
    <w:rsid w:val="0013250F"/>
    <w:rsid w:val="00133929"/>
    <w:rsid w:val="00133E2C"/>
    <w:rsid w:val="001362C6"/>
    <w:rsid w:val="00137857"/>
    <w:rsid w:val="00142EA6"/>
    <w:rsid w:val="00143B33"/>
    <w:rsid w:val="001446DE"/>
    <w:rsid w:val="00145764"/>
    <w:rsid w:val="00145C73"/>
    <w:rsid w:val="00146167"/>
    <w:rsid w:val="001473A6"/>
    <w:rsid w:val="00147651"/>
    <w:rsid w:val="00147B5D"/>
    <w:rsid w:val="00150495"/>
    <w:rsid w:val="001509DA"/>
    <w:rsid w:val="00151049"/>
    <w:rsid w:val="00151209"/>
    <w:rsid w:val="00151912"/>
    <w:rsid w:val="00151A1C"/>
    <w:rsid w:val="00151D23"/>
    <w:rsid w:val="00151D8F"/>
    <w:rsid w:val="00152F91"/>
    <w:rsid w:val="00153329"/>
    <w:rsid w:val="0015344F"/>
    <w:rsid w:val="0015412A"/>
    <w:rsid w:val="00154B9D"/>
    <w:rsid w:val="00155C27"/>
    <w:rsid w:val="001560E7"/>
    <w:rsid w:val="0015681C"/>
    <w:rsid w:val="0015709F"/>
    <w:rsid w:val="00157EC3"/>
    <w:rsid w:val="00157F2C"/>
    <w:rsid w:val="001601FF"/>
    <w:rsid w:val="00160B3E"/>
    <w:rsid w:val="00161A1C"/>
    <w:rsid w:val="00162E0C"/>
    <w:rsid w:val="00162FE6"/>
    <w:rsid w:val="0016482C"/>
    <w:rsid w:val="00165415"/>
    <w:rsid w:val="00165C76"/>
    <w:rsid w:val="001666EC"/>
    <w:rsid w:val="00167017"/>
    <w:rsid w:val="00170105"/>
    <w:rsid w:val="0017057B"/>
    <w:rsid w:val="00171278"/>
    <w:rsid w:val="00171D67"/>
    <w:rsid w:val="0017202A"/>
    <w:rsid w:val="001727C8"/>
    <w:rsid w:val="00172E35"/>
    <w:rsid w:val="00173067"/>
    <w:rsid w:val="00173BD0"/>
    <w:rsid w:val="00174E9D"/>
    <w:rsid w:val="00174F24"/>
    <w:rsid w:val="001755A8"/>
    <w:rsid w:val="00175C8C"/>
    <w:rsid w:val="001760A7"/>
    <w:rsid w:val="00176CB4"/>
    <w:rsid w:val="00176F11"/>
    <w:rsid w:val="0017703A"/>
    <w:rsid w:val="00177E7F"/>
    <w:rsid w:val="00180C2A"/>
    <w:rsid w:val="0018106F"/>
    <w:rsid w:val="00181440"/>
    <w:rsid w:val="00181B27"/>
    <w:rsid w:val="001835FF"/>
    <w:rsid w:val="00184549"/>
    <w:rsid w:val="00184684"/>
    <w:rsid w:val="001847D4"/>
    <w:rsid w:val="00184A8D"/>
    <w:rsid w:val="0018518A"/>
    <w:rsid w:val="00185AD4"/>
    <w:rsid w:val="00185D05"/>
    <w:rsid w:val="00185E02"/>
    <w:rsid w:val="0018754E"/>
    <w:rsid w:val="001904C6"/>
    <w:rsid w:val="00190535"/>
    <w:rsid w:val="00190666"/>
    <w:rsid w:val="001907C1"/>
    <w:rsid w:val="00190D4B"/>
    <w:rsid w:val="00191128"/>
    <w:rsid w:val="001917AE"/>
    <w:rsid w:val="001928BC"/>
    <w:rsid w:val="001930E9"/>
    <w:rsid w:val="00193229"/>
    <w:rsid w:val="00193F06"/>
    <w:rsid w:val="00194DA7"/>
    <w:rsid w:val="00195259"/>
    <w:rsid w:val="00195858"/>
    <w:rsid w:val="00195A57"/>
    <w:rsid w:val="00196104"/>
    <w:rsid w:val="0019645E"/>
    <w:rsid w:val="00196624"/>
    <w:rsid w:val="0019693D"/>
    <w:rsid w:val="00196BAA"/>
    <w:rsid w:val="0019729E"/>
    <w:rsid w:val="001976EC"/>
    <w:rsid w:val="00197A6F"/>
    <w:rsid w:val="001A0597"/>
    <w:rsid w:val="001A1148"/>
    <w:rsid w:val="001A142E"/>
    <w:rsid w:val="001A199D"/>
    <w:rsid w:val="001A1D33"/>
    <w:rsid w:val="001A1F23"/>
    <w:rsid w:val="001A1F6F"/>
    <w:rsid w:val="001A2BAE"/>
    <w:rsid w:val="001A3ADA"/>
    <w:rsid w:val="001A431E"/>
    <w:rsid w:val="001A4364"/>
    <w:rsid w:val="001A4C5F"/>
    <w:rsid w:val="001A4D44"/>
    <w:rsid w:val="001A4FC8"/>
    <w:rsid w:val="001A53E5"/>
    <w:rsid w:val="001A661B"/>
    <w:rsid w:val="001B01CD"/>
    <w:rsid w:val="001B1008"/>
    <w:rsid w:val="001B1497"/>
    <w:rsid w:val="001B1B35"/>
    <w:rsid w:val="001B1EEE"/>
    <w:rsid w:val="001B2075"/>
    <w:rsid w:val="001B27A7"/>
    <w:rsid w:val="001B2CD6"/>
    <w:rsid w:val="001B360F"/>
    <w:rsid w:val="001B3F17"/>
    <w:rsid w:val="001B4AAA"/>
    <w:rsid w:val="001B5046"/>
    <w:rsid w:val="001B78C2"/>
    <w:rsid w:val="001B7B25"/>
    <w:rsid w:val="001B7D3D"/>
    <w:rsid w:val="001C024A"/>
    <w:rsid w:val="001C09E7"/>
    <w:rsid w:val="001C0A2E"/>
    <w:rsid w:val="001C1808"/>
    <w:rsid w:val="001C1F17"/>
    <w:rsid w:val="001C24F1"/>
    <w:rsid w:val="001C25F8"/>
    <w:rsid w:val="001C29A9"/>
    <w:rsid w:val="001C395D"/>
    <w:rsid w:val="001C3A57"/>
    <w:rsid w:val="001C409D"/>
    <w:rsid w:val="001C549F"/>
    <w:rsid w:val="001C5809"/>
    <w:rsid w:val="001C5BA5"/>
    <w:rsid w:val="001C5C3F"/>
    <w:rsid w:val="001C679F"/>
    <w:rsid w:val="001C68FC"/>
    <w:rsid w:val="001C7489"/>
    <w:rsid w:val="001C74BF"/>
    <w:rsid w:val="001C7C42"/>
    <w:rsid w:val="001D04F0"/>
    <w:rsid w:val="001D1709"/>
    <w:rsid w:val="001D2412"/>
    <w:rsid w:val="001D2D28"/>
    <w:rsid w:val="001D2F82"/>
    <w:rsid w:val="001D30FB"/>
    <w:rsid w:val="001D322E"/>
    <w:rsid w:val="001D328F"/>
    <w:rsid w:val="001D3755"/>
    <w:rsid w:val="001D3E47"/>
    <w:rsid w:val="001D48AE"/>
    <w:rsid w:val="001D4969"/>
    <w:rsid w:val="001D496D"/>
    <w:rsid w:val="001D4EBA"/>
    <w:rsid w:val="001D4F83"/>
    <w:rsid w:val="001D52D7"/>
    <w:rsid w:val="001D52E1"/>
    <w:rsid w:val="001D52F0"/>
    <w:rsid w:val="001D681C"/>
    <w:rsid w:val="001D6E92"/>
    <w:rsid w:val="001D7512"/>
    <w:rsid w:val="001E0348"/>
    <w:rsid w:val="001E0811"/>
    <w:rsid w:val="001E1313"/>
    <w:rsid w:val="001E18C8"/>
    <w:rsid w:val="001E1C66"/>
    <w:rsid w:val="001E1D36"/>
    <w:rsid w:val="001E21D7"/>
    <w:rsid w:val="001E2CA1"/>
    <w:rsid w:val="001E326E"/>
    <w:rsid w:val="001E3ADA"/>
    <w:rsid w:val="001E4105"/>
    <w:rsid w:val="001E58E5"/>
    <w:rsid w:val="001E6121"/>
    <w:rsid w:val="001E6278"/>
    <w:rsid w:val="001E6A2E"/>
    <w:rsid w:val="001E6D24"/>
    <w:rsid w:val="001E6D64"/>
    <w:rsid w:val="001E6F61"/>
    <w:rsid w:val="001F05C8"/>
    <w:rsid w:val="001F0A98"/>
    <w:rsid w:val="001F1040"/>
    <w:rsid w:val="001F1990"/>
    <w:rsid w:val="001F2696"/>
    <w:rsid w:val="001F313B"/>
    <w:rsid w:val="001F3487"/>
    <w:rsid w:val="001F3593"/>
    <w:rsid w:val="001F36BE"/>
    <w:rsid w:val="001F42F9"/>
    <w:rsid w:val="001F454F"/>
    <w:rsid w:val="001F47A5"/>
    <w:rsid w:val="001F4CB6"/>
    <w:rsid w:val="001F560D"/>
    <w:rsid w:val="001F6878"/>
    <w:rsid w:val="001F6FAB"/>
    <w:rsid w:val="001F6FB2"/>
    <w:rsid w:val="001F73FA"/>
    <w:rsid w:val="00201627"/>
    <w:rsid w:val="002017D4"/>
    <w:rsid w:val="00201CFB"/>
    <w:rsid w:val="00203F67"/>
    <w:rsid w:val="002050B5"/>
    <w:rsid w:val="0020694A"/>
    <w:rsid w:val="00206CA8"/>
    <w:rsid w:val="002103DD"/>
    <w:rsid w:val="00211161"/>
    <w:rsid w:val="00211C5C"/>
    <w:rsid w:val="00211D22"/>
    <w:rsid w:val="00212A85"/>
    <w:rsid w:val="0021315A"/>
    <w:rsid w:val="0021352C"/>
    <w:rsid w:val="00213796"/>
    <w:rsid w:val="00213EE4"/>
    <w:rsid w:val="00214094"/>
    <w:rsid w:val="00214A61"/>
    <w:rsid w:val="00215DE7"/>
    <w:rsid w:val="002166FD"/>
    <w:rsid w:val="00216C6D"/>
    <w:rsid w:val="00216DC3"/>
    <w:rsid w:val="002177A0"/>
    <w:rsid w:val="00217E4C"/>
    <w:rsid w:val="00217FCA"/>
    <w:rsid w:val="00221127"/>
    <w:rsid w:val="0022128F"/>
    <w:rsid w:val="0022142B"/>
    <w:rsid w:val="002214FF"/>
    <w:rsid w:val="00221C71"/>
    <w:rsid w:val="00222881"/>
    <w:rsid w:val="00222A62"/>
    <w:rsid w:val="002241F5"/>
    <w:rsid w:val="002246A0"/>
    <w:rsid w:val="00224851"/>
    <w:rsid w:val="00224A82"/>
    <w:rsid w:val="0022522A"/>
    <w:rsid w:val="00225380"/>
    <w:rsid w:val="0022579D"/>
    <w:rsid w:val="00225B9A"/>
    <w:rsid w:val="00226520"/>
    <w:rsid w:val="00226D09"/>
    <w:rsid w:val="00226E68"/>
    <w:rsid w:val="0022749A"/>
    <w:rsid w:val="00227B79"/>
    <w:rsid w:val="002311FD"/>
    <w:rsid w:val="00231479"/>
    <w:rsid w:val="002315EA"/>
    <w:rsid w:val="002320B6"/>
    <w:rsid w:val="00232224"/>
    <w:rsid w:val="00232EFF"/>
    <w:rsid w:val="0023322C"/>
    <w:rsid w:val="00233291"/>
    <w:rsid w:val="002345B3"/>
    <w:rsid w:val="00235084"/>
    <w:rsid w:val="002355E5"/>
    <w:rsid w:val="002369F0"/>
    <w:rsid w:val="002372D6"/>
    <w:rsid w:val="00237551"/>
    <w:rsid w:val="00237575"/>
    <w:rsid w:val="002377D0"/>
    <w:rsid w:val="00237917"/>
    <w:rsid w:val="00237F9F"/>
    <w:rsid w:val="00240A1D"/>
    <w:rsid w:val="0024120E"/>
    <w:rsid w:val="002413DC"/>
    <w:rsid w:val="0024181C"/>
    <w:rsid w:val="00241D3D"/>
    <w:rsid w:val="00242D0F"/>
    <w:rsid w:val="002435DE"/>
    <w:rsid w:val="00244482"/>
    <w:rsid w:val="002449DF"/>
    <w:rsid w:val="00244EC4"/>
    <w:rsid w:val="00245304"/>
    <w:rsid w:val="00246BA9"/>
    <w:rsid w:val="00247866"/>
    <w:rsid w:val="00247A8A"/>
    <w:rsid w:val="00247CE6"/>
    <w:rsid w:val="00247DA2"/>
    <w:rsid w:val="00247DEA"/>
    <w:rsid w:val="0025276E"/>
    <w:rsid w:val="00253269"/>
    <w:rsid w:val="00253478"/>
    <w:rsid w:val="00253D69"/>
    <w:rsid w:val="00254B96"/>
    <w:rsid w:val="0025523C"/>
    <w:rsid w:val="0025639A"/>
    <w:rsid w:val="00256554"/>
    <w:rsid w:val="00257BAD"/>
    <w:rsid w:val="00257E59"/>
    <w:rsid w:val="00261509"/>
    <w:rsid w:val="0026165C"/>
    <w:rsid w:val="00264061"/>
    <w:rsid w:val="00264213"/>
    <w:rsid w:val="00264367"/>
    <w:rsid w:val="002648FC"/>
    <w:rsid w:val="00264963"/>
    <w:rsid w:val="002649E7"/>
    <w:rsid w:val="00265556"/>
    <w:rsid w:val="0026578E"/>
    <w:rsid w:val="00265BF9"/>
    <w:rsid w:val="0026702B"/>
    <w:rsid w:val="0027251F"/>
    <w:rsid w:val="002725B3"/>
    <w:rsid w:val="00272792"/>
    <w:rsid w:val="00272B7F"/>
    <w:rsid w:val="00273317"/>
    <w:rsid w:val="00273CCC"/>
    <w:rsid w:val="002745E8"/>
    <w:rsid w:val="0027492A"/>
    <w:rsid w:val="002752FF"/>
    <w:rsid w:val="00277203"/>
    <w:rsid w:val="00277DE4"/>
    <w:rsid w:val="00277E81"/>
    <w:rsid w:val="00280257"/>
    <w:rsid w:val="00280ED9"/>
    <w:rsid w:val="002816B7"/>
    <w:rsid w:val="00281B96"/>
    <w:rsid w:val="002822D6"/>
    <w:rsid w:val="00282925"/>
    <w:rsid w:val="00282C22"/>
    <w:rsid w:val="002845C1"/>
    <w:rsid w:val="00284D3C"/>
    <w:rsid w:val="00284E70"/>
    <w:rsid w:val="00285A2F"/>
    <w:rsid w:val="00286831"/>
    <w:rsid w:val="00287363"/>
    <w:rsid w:val="00287670"/>
    <w:rsid w:val="002876A8"/>
    <w:rsid w:val="002877D6"/>
    <w:rsid w:val="00287838"/>
    <w:rsid w:val="00290346"/>
    <w:rsid w:val="00291057"/>
    <w:rsid w:val="00291EF0"/>
    <w:rsid w:val="002920E1"/>
    <w:rsid w:val="00292111"/>
    <w:rsid w:val="002938B9"/>
    <w:rsid w:val="00293D3E"/>
    <w:rsid w:val="00294070"/>
    <w:rsid w:val="00294568"/>
    <w:rsid w:val="00294E22"/>
    <w:rsid w:val="00295245"/>
    <w:rsid w:val="0029605C"/>
    <w:rsid w:val="00297702"/>
    <w:rsid w:val="002A0253"/>
    <w:rsid w:val="002A05D0"/>
    <w:rsid w:val="002A13F4"/>
    <w:rsid w:val="002A2D75"/>
    <w:rsid w:val="002A2DC5"/>
    <w:rsid w:val="002A324B"/>
    <w:rsid w:val="002A32B2"/>
    <w:rsid w:val="002A4710"/>
    <w:rsid w:val="002A5CCF"/>
    <w:rsid w:val="002A77A3"/>
    <w:rsid w:val="002A79F1"/>
    <w:rsid w:val="002A7A36"/>
    <w:rsid w:val="002B10DB"/>
    <w:rsid w:val="002B113F"/>
    <w:rsid w:val="002B169B"/>
    <w:rsid w:val="002B1C49"/>
    <w:rsid w:val="002B237D"/>
    <w:rsid w:val="002B2418"/>
    <w:rsid w:val="002B3382"/>
    <w:rsid w:val="002B3692"/>
    <w:rsid w:val="002B3880"/>
    <w:rsid w:val="002B3AD4"/>
    <w:rsid w:val="002B43B8"/>
    <w:rsid w:val="002B4EFC"/>
    <w:rsid w:val="002B5A43"/>
    <w:rsid w:val="002B5E55"/>
    <w:rsid w:val="002B6314"/>
    <w:rsid w:val="002B76AD"/>
    <w:rsid w:val="002B7837"/>
    <w:rsid w:val="002B7FD1"/>
    <w:rsid w:val="002C00F9"/>
    <w:rsid w:val="002C01C2"/>
    <w:rsid w:val="002C04C4"/>
    <w:rsid w:val="002C0824"/>
    <w:rsid w:val="002C0B1F"/>
    <w:rsid w:val="002C0DCB"/>
    <w:rsid w:val="002C0FF4"/>
    <w:rsid w:val="002C244C"/>
    <w:rsid w:val="002C2643"/>
    <w:rsid w:val="002C2804"/>
    <w:rsid w:val="002C4401"/>
    <w:rsid w:val="002C4DF2"/>
    <w:rsid w:val="002C592B"/>
    <w:rsid w:val="002C675D"/>
    <w:rsid w:val="002C6A79"/>
    <w:rsid w:val="002C6AF4"/>
    <w:rsid w:val="002C772B"/>
    <w:rsid w:val="002C7A91"/>
    <w:rsid w:val="002C7B70"/>
    <w:rsid w:val="002C7DAD"/>
    <w:rsid w:val="002C7DFD"/>
    <w:rsid w:val="002C7E2E"/>
    <w:rsid w:val="002D07DF"/>
    <w:rsid w:val="002D1ABB"/>
    <w:rsid w:val="002D2472"/>
    <w:rsid w:val="002D251A"/>
    <w:rsid w:val="002D2809"/>
    <w:rsid w:val="002D29D1"/>
    <w:rsid w:val="002D33F8"/>
    <w:rsid w:val="002D36DF"/>
    <w:rsid w:val="002D3834"/>
    <w:rsid w:val="002D3A26"/>
    <w:rsid w:val="002D3EEF"/>
    <w:rsid w:val="002D46A2"/>
    <w:rsid w:val="002D4772"/>
    <w:rsid w:val="002D4E6A"/>
    <w:rsid w:val="002D4ECF"/>
    <w:rsid w:val="002D656B"/>
    <w:rsid w:val="002D7BDB"/>
    <w:rsid w:val="002E0007"/>
    <w:rsid w:val="002E0077"/>
    <w:rsid w:val="002E07ED"/>
    <w:rsid w:val="002E0C8C"/>
    <w:rsid w:val="002E128D"/>
    <w:rsid w:val="002E1E27"/>
    <w:rsid w:val="002E2D20"/>
    <w:rsid w:val="002E3089"/>
    <w:rsid w:val="002E3265"/>
    <w:rsid w:val="002E346E"/>
    <w:rsid w:val="002E3A2C"/>
    <w:rsid w:val="002E3C61"/>
    <w:rsid w:val="002E459E"/>
    <w:rsid w:val="002E469F"/>
    <w:rsid w:val="002E4F91"/>
    <w:rsid w:val="002E50FB"/>
    <w:rsid w:val="002E52A0"/>
    <w:rsid w:val="002E57D7"/>
    <w:rsid w:val="002E5907"/>
    <w:rsid w:val="002E6782"/>
    <w:rsid w:val="002E6CF8"/>
    <w:rsid w:val="002E77DD"/>
    <w:rsid w:val="002E7857"/>
    <w:rsid w:val="002E7ADF"/>
    <w:rsid w:val="002E7B24"/>
    <w:rsid w:val="002F03A1"/>
    <w:rsid w:val="002F0A3C"/>
    <w:rsid w:val="002F107A"/>
    <w:rsid w:val="002F156C"/>
    <w:rsid w:val="002F1C0F"/>
    <w:rsid w:val="002F1DA5"/>
    <w:rsid w:val="002F4659"/>
    <w:rsid w:val="002F4F8D"/>
    <w:rsid w:val="002F6A61"/>
    <w:rsid w:val="002F7F04"/>
    <w:rsid w:val="00300377"/>
    <w:rsid w:val="0030049D"/>
    <w:rsid w:val="003010F2"/>
    <w:rsid w:val="00302894"/>
    <w:rsid w:val="00302C72"/>
    <w:rsid w:val="003036BE"/>
    <w:rsid w:val="003040C4"/>
    <w:rsid w:val="00305681"/>
    <w:rsid w:val="00305C95"/>
    <w:rsid w:val="0030664B"/>
    <w:rsid w:val="00307002"/>
    <w:rsid w:val="00307534"/>
    <w:rsid w:val="0030799B"/>
    <w:rsid w:val="00310122"/>
    <w:rsid w:val="0031039B"/>
    <w:rsid w:val="0031169F"/>
    <w:rsid w:val="0031197E"/>
    <w:rsid w:val="00311B64"/>
    <w:rsid w:val="00311BFB"/>
    <w:rsid w:val="00311E00"/>
    <w:rsid w:val="00311F18"/>
    <w:rsid w:val="00312E16"/>
    <w:rsid w:val="00312F4C"/>
    <w:rsid w:val="003140BE"/>
    <w:rsid w:val="00315375"/>
    <w:rsid w:val="0031609F"/>
    <w:rsid w:val="00316571"/>
    <w:rsid w:val="00316A08"/>
    <w:rsid w:val="00316D7D"/>
    <w:rsid w:val="003178A8"/>
    <w:rsid w:val="003201CF"/>
    <w:rsid w:val="00320568"/>
    <w:rsid w:val="003207D4"/>
    <w:rsid w:val="00321098"/>
    <w:rsid w:val="0032150E"/>
    <w:rsid w:val="003217CF"/>
    <w:rsid w:val="00321C54"/>
    <w:rsid w:val="00321EC4"/>
    <w:rsid w:val="00322DD1"/>
    <w:rsid w:val="00322EDC"/>
    <w:rsid w:val="0032328E"/>
    <w:rsid w:val="003238AE"/>
    <w:rsid w:val="0032454A"/>
    <w:rsid w:val="0032494B"/>
    <w:rsid w:val="00324A16"/>
    <w:rsid w:val="0032525B"/>
    <w:rsid w:val="00325515"/>
    <w:rsid w:val="003257B2"/>
    <w:rsid w:val="00326D9F"/>
    <w:rsid w:val="00327538"/>
    <w:rsid w:val="00332645"/>
    <w:rsid w:val="00332777"/>
    <w:rsid w:val="003329FB"/>
    <w:rsid w:val="00332A97"/>
    <w:rsid w:val="00333A4D"/>
    <w:rsid w:val="00334183"/>
    <w:rsid w:val="00334DDC"/>
    <w:rsid w:val="0033539F"/>
    <w:rsid w:val="003354F9"/>
    <w:rsid w:val="00335EB6"/>
    <w:rsid w:val="0033611E"/>
    <w:rsid w:val="00336913"/>
    <w:rsid w:val="00340F02"/>
    <w:rsid w:val="00341183"/>
    <w:rsid w:val="003414B0"/>
    <w:rsid w:val="003425A5"/>
    <w:rsid w:val="003427C4"/>
    <w:rsid w:val="00342F13"/>
    <w:rsid w:val="00343054"/>
    <w:rsid w:val="00343F64"/>
    <w:rsid w:val="00344994"/>
    <w:rsid w:val="00344BAC"/>
    <w:rsid w:val="00344FCC"/>
    <w:rsid w:val="003451D5"/>
    <w:rsid w:val="003458C3"/>
    <w:rsid w:val="0034772C"/>
    <w:rsid w:val="00347966"/>
    <w:rsid w:val="00350BCD"/>
    <w:rsid w:val="00351786"/>
    <w:rsid w:val="00351933"/>
    <w:rsid w:val="00352400"/>
    <w:rsid w:val="00352A2D"/>
    <w:rsid w:val="00352F4D"/>
    <w:rsid w:val="0035325C"/>
    <w:rsid w:val="00353AC4"/>
    <w:rsid w:val="0035400B"/>
    <w:rsid w:val="003550B8"/>
    <w:rsid w:val="0035511B"/>
    <w:rsid w:val="00355934"/>
    <w:rsid w:val="00355A4B"/>
    <w:rsid w:val="003560CC"/>
    <w:rsid w:val="00356B13"/>
    <w:rsid w:val="003574EC"/>
    <w:rsid w:val="00360A89"/>
    <w:rsid w:val="00360DFF"/>
    <w:rsid w:val="003611A0"/>
    <w:rsid w:val="003615E6"/>
    <w:rsid w:val="00362840"/>
    <w:rsid w:val="0036323F"/>
    <w:rsid w:val="00363B4F"/>
    <w:rsid w:val="00364082"/>
    <w:rsid w:val="00364109"/>
    <w:rsid w:val="0036446A"/>
    <w:rsid w:val="003647BE"/>
    <w:rsid w:val="00365F07"/>
    <w:rsid w:val="00366D8E"/>
    <w:rsid w:val="00367326"/>
    <w:rsid w:val="003677EE"/>
    <w:rsid w:val="003679B8"/>
    <w:rsid w:val="00371C22"/>
    <w:rsid w:val="0037346B"/>
    <w:rsid w:val="00374061"/>
    <w:rsid w:val="003741F5"/>
    <w:rsid w:val="0037431A"/>
    <w:rsid w:val="00375163"/>
    <w:rsid w:val="003752AD"/>
    <w:rsid w:val="00376391"/>
    <w:rsid w:val="00376758"/>
    <w:rsid w:val="00376AB7"/>
    <w:rsid w:val="00376B77"/>
    <w:rsid w:val="00376BA6"/>
    <w:rsid w:val="00376F09"/>
    <w:rsid w:val="003776C8"/>
    <w:rsid w:val="0037797B"/>
    <w:rsid w:val="00377D65"/>
    <w:rsid w:val="003802A7"/>
    <w:rsid w:val="003813F6"/>
    <w:rsid w:val="00383834"/>
    <w:rsid w:val="00383A70"/>
    <w:rsid w:val="00384C40"/>
    <w:rsid w:val="00385694"/>
    <w:rsid w:val="00385C73"/>
    <w:rsid w:val="0038667F"/>
    <w:rsid w:val="00386C0B"/>
    <w:rsid w:val="0038708B"/>
    <w:rsid w:val="00391D36"/>
    <w:rsid w:val="003920DB"/>
    <w:rsid w:val="00392EB6"/>
    <w:rsid w:val="003937A6"/>
    <w:rsid w:val="003942A8"/>
    <w:rsid w:val="00394D3D"/>
    <w:rsid w:val="003954A9"/>
    <w:rsid w:val="00395869"/>
    <w:rsid w:val="00395B04"/>
    <w:rsid w:val="00395CD8"/>
    <w:rsid w:val="00395D85"/>
    <w:rsid w:val="00395DA6"/>
    <w:rsid w:val="003963F6"/>
    <w:rsid w:val="00396951"/>
    <w:rsid w:val="003A06CA"/>
    <w:rsid w:val="003A18F9"/>
    <w:rsid w:val="003A243B"/>
    <w:rsid w:val="003A2808"/>
    <w:rsid w:val="003A2B17"/>
    <w:rsid w:val="003A308D"/>
    <w:rsid w:val="003A30F3"/>
    <w:rsid w:val="003A47D0"/>
    <w:rsid w:val="003A4A5D"/>
    <w:rsid w:val="003A4CBE"/>
    <w:rsid w:val="003A5A58"/>
    <w:rsid w:val="003A5BCD"/>
    <w:rsid w:val="003A5D5E"/>
    <w:rsid w:val="003A7085"/>
    <w:rsid w:val="003A76D0"/>
    <w:rsid w:val="003A7F9C"/>
    <w:rsid w:val="003B017E"/>
    <w:rsid w:val="003B080B"/>
    <w:rsid w:val="003B0DB1"/>
    <w:rsid w:val="003B11AF"/>
    <w:rsid w:val="003B13EF"/>
    <w:rsid w:val="003B1457"/>
    <w:rsid w:val="003B1E0F"/>
    <w:rsid w:val="003B3B60"/>
    <w:rsid w:val="003B4412"/>
    <w:rsid w:val="003B52A8"/>
    <w:rsid w:val="003B5659"/>
    <w:rsid w:val="003B5FF1"/>
    <w:rsid w:val="003B68AB"/>
    <w:rsid w:val="003B7869"/>
    <w:rsid w:val="003B7A8D"/>
    <w:rsid w:val="003C197E"/>
    <w:rsid w:val="003C19C7"/>
    <w:rsid w:val="003C1A1D"/>
    <w:rsid w:val="003C1A76"/>
    <w:rsid w:val="003C231A"/>
    <w:rsid w:val="003C273B"/>
    <w:rsid w:val="003C3671"/>
    <w:rsid w:val="003C4CEC"/>
    <w:rsid w:val="003C5007"/>
    <w:rsid w:val="003C5186"/>
    <w:rsid w:val="003C5589"/>
    <w:rsid w:val="003C60CD"/>
    <w:rsid w:val="003C62AC"/>
    <w:rsid w:val="003D0366"/>
    <w:rsid w:val="003D04F9"/>
    <w:rsid w:val="003D0DBD"/>
    <w:rsid w:val="003D1EBD"/>
    <w:rsid w:val="003D22C6"/>
    <w:rsid w:val="003D2812"/>
    <w:rsid w:val="003D2B2E"/>
    <w:rsid w:val="003D2C90"/>
    <w:rsid w:val="003D3528"/>
    <w:rsid w:val="003D3ACD"/>
    <w:rsid w:val="003D3CAD"/>
    <w:rsid w:val="003D3FB1"/>
    <w:rsid w:val="003D43CD"/>
    <w:rsid w:val="003D4506"/>
    <w:rsid w:val="003D4723"/>
    <w:rsid w:val="003D6497"/>
    <w:rsid w:val="003D7C63"/>
    <w:rsid w:val="003E0993"/>
    <w:rsid w:val="003E0A50"/>
    <w:rsid w:val="003E0FE6"/>
    <w:rsid w:val="003E2E9C"/>
    <w:rsid w:val="003E3CAF"/>
    <w:rsid w:val="003E4250"/>
    <w:rsid w:val="003E480E"/>
    <w:rsid w:val="003E5960"/>
    <w:rsid w:val="003E5B44"/>
    <w:rsid w:val="003E6903"/>
    <w:rsid w:val="003E6F95"/>
    <w:rsid w:val="003E7384"/>
    <w:rsid w:val="003E7527"/>
    <w:rsid w:val="003E796D"/>
    <w:rsid w:val="003E7E0E"/>
    <w:rsid w:val="003F067E"/>
    <w:rsid w:val="003F0D8D"/>
    <w:rsid w:val="003F2EB4"/>
    <w:rsid w:val="003F34C6"/>
    <w:rsid w:val="003F3A67"/>
    <w:rsid w:val="003F480E"/>
    <w:rsid w:val="003F55DD"/>
    <w:rsid w:val="003F7025"/>
    <w:rsid w:val="003F736B"/>
    <w:rsid w:val="003F773A"/>
    <w:rsid w:val="003F7B6B"/>
    <w:rsid w:val="003F7D9B"/>
    <w:rsid w:val="003F7E06"/>
    <w:rsid w:val="004003D4"/>
    <w:rsid w:val="00400543"/>
    <w:rsid w:val="004006E8"/>
    <w:rsid w:val="0040092A"/>
    <w:rsid w:val="00401919"/>
    <w:rsid w:val="00402138"/>
    <w:rsid w:val="00402AF2"/>
    <w:rsid w:val="00403300"/>
    <w:rsid w:val="0040332C"/>
    <w:rsid w:val="004053C2"/>
    <w:rsid w:val="00405676"/>
    <w:rsid w:val="004062D5"/>
    <w:rsid w:val="0040672D"/>
    <w:rsid w:val="00406F03"/>
    <w:rsid w:val="00407006"/>
    <w:rsid w:val="00407872"/>
    <w:rsid w:val="00410034"/>
    <w:rsid w:val="00410A13"/>
    <w:rsid w:val="00410B42"/>
    <w:rsid w:val="00410EE8"/>
    <w:rsid w:val="004115EA"/>
    <w:rsid w:val="00411D23"/>
    <w:rsid w:val="004151C4"/>
    <w:rsid w:val="004155A4"/>
    <w:rsid w:val="0041696C"/>
    <w:rsid w:val="004169D3"/>
    <w:rsid w:val="00416DFE"/>
    <w:rsid w:val="004176F4"/>
    <w:rsid w:val="00417BD2"/>
    <w:rsid w:val="00417EB4"/>
    <w:rsid w:val="004202AD"/>
    <w:rsid w:val="00420774"/>
    <w:rsid w:val="00420A06"/>
    <w:rsid w:val="00420B34"/>
    <w:rsid w:val="00420F4D"/>
    <w:rsid w:val="00420F73"/>
    <w:rsid w:val="00421037"/>
    <w:rsid w:val="004217CC"/>
    <w:rsid w:val="00421EA9"/>
    <w:rsid w:val="00422080"/>
    <w:rsid w:val="00422146"/>
    <w:rsid w:val="004221F0"/>
    <w:rsid w:val="00422442"/>
    <w:rsid w:val="00422798"/>
    <w:rsid w:val="0042370F"/>
    <w:rsid w:val="00424273"/>
    <w:rsid w:val="00424C21"/>
    <w:rsid w:val="00424F21"/>
    <w:rsid w:val="0042510A"/>
    <w:rsid w:val="004269D2"/>
    <w:rsid w:val="004270DF"/>
    <w:rsid w:val="0042752B"/>
    <w:rsid w:val="00427ABE"/>
    <w:rsid w:val="00427D71"/>
    <w:rsid w:val="004301C6"/>
    <w:rsid w:val="00430C36"/>
    <w:rsid w:val="00431DD0"/>
    <w:rsid w:val="0043240A"/>
    <w:rsid w:val="00432DE7"/>
    <w:rsid w:val="00433A40"/>
    <w:rsid w:val="00435A55"/>
    <w:rsid w:val="0043630B"/>
    <w:rsid w:val="00436613"/>
    <w:rsid w:val="0043684B"/>
    <w:rsid w:val="0043692C"/>
    <w:rsid w:val="00437DEF"/>
    <w:rsid w:val="004406B7"/>
    <w:rsid w:val="00442063"/>
    <w:rsid w:val="0044276C"/>
    <w:rsid w:val="004429FB"/>
    <w:rsid w:val="0044301A"/>
    <w:rsid w:val="00444A24"/>
    <w:rsid w:val="00444CEE"/>
    <w:rsid w:val="004457AE"/>
    <w:rsid w:val="00445EAA"/>
    <w:rsid w:val="00445EEC"/>
    <w:rsid w:val="00445F90"/>
    <w:rsid w:val="00446994"/>
    <w:rsid w:val="00446E6C"/>
    <w:rsid w:val="004476E1"/>
    <w:rsid w:val="00447C55"/>
    <w:rsid w:val="00450561"/>
    <w:rsid w:val="004509E8"/>
    <w:rsid w:val="00450C54"/>
    <w:rsid w:val="00450F4C"/>
    <w:rsid w:val="004515B6"/>
    <w:rsid w:val="004517A8"/>
    <w:rsid w:val="00451929"/>
    <w:rsid w:val="00452C30"/>
    <w:rsid w:val="0045371F"/>
    <w:rsid w:val="00453BEC"/>
    <w:rsid w:val="004548D4"/>
    <w:rsid w:val="004549B7"/>
    <w:rsid w:val="00454C84"/>
    <w:rsid w:val="00455FF2"/>
    <w:rsid w:val="004562CF"/>
    <w:rsid w:val="0045632B"/>
    <w:rsid w:val="004564B6"/>
    <w:rsid w:val="004566CB"/>
    <w:rsid w:val="004569FE"/>
    <w:rsid w:val="004576C1"/>
    <w:rsid w:val="004577BD"/>
    <w:rsid w:val="00457A39"/>
    <w:rsid w:val="00460835"/>
    <w:rsid w:val="00460F3A"/>
    <w:rsid w:val="00461EAF"/>
    <w:rsid w:val="00461F6E"/>
    <w:rsid w:val="004621E9"/>
    <w:rsid w:val="00462256"/>
    <w:rsid w:val="00462488"/>
    <w:rsid w:val="00462C5A"/>
    <w:rsid w:val="00463103"/>
    <w:rsid w:val="00464291"/>
    <w:rsid w:val="00464E2C"/>
    <w:rsid w:val="004660A6"/>
    <w:rsid w:val="0046680E"/>
    <w:rsid w:val="00467274"/>
    <w:rsid w:val="00467742"/>
    <w:rsid w:val="0046786D"/>
    <w:rsid w:val="00467F59"/>
    <w:rsid w:val="00470628"/>
    <w:rsid w:val="00470887"/>
    <w:rsid w:val="004725A5"/>
    <w:rsid w:val="00473B25"/>
    <w:rsid w:val="00473C74"/>
    <w:rsid w:val="0047474C"/>
    <w:rsid w:val="0047488D"/>
    <w:rsid w:val="00476CC0"/>
    <w:rsid w:val="0047737A"/>
    <w:rsid w:val="00477611"/>
    <w:rsid w:val="0047766D"/>
    <w:rsid w:val="00477C98"/>
    <w:rsid w:val="00477DBF"/>
    <w:rsid w:val="00477F37"/>
    <w:rsid w:val="00480500"/>
    <w:rsid w:val="00482274"/>
    <w:rsid w:val="00482597"/>
    <w:rsid w:val="00482C78"/>
    <w:rsid w:val="00483162"/>
    <w:rsid w:val="00483F5D"/>
    <w:rsid w:val="00484EF6"/>
    <w:rsid w:val="00484F4E"/>
    <w:rsid w:val="00485432"/>
    <w:rsid w:val="0048591D"/>
    <w:rsid w:val="00485E5C"/>
    <w:rsid w:val="0048605D"/>
    <w:rsid w:val="0048679A"/>
    <w:rsid w:val="004867D1"/>
    <w:rsid w:val="00486F06"/>
    <w:rsid w:val="00487035"/>
    <w:rsid w:val="00487E9F"/>
    <w:rsid w:val="004902EC"/>
    <w:rsid w:val="004904F7"/>
    <w:rsid w:val="00490A29"/>
    <w:rsid w:val="00490A8D"/>
    <w:rsid w:val="00491682"/>
    <w:rsid w:val="004916F9"/>
    <w:rsid w:val="00491D6D"/>
    <w:rsid w:val="00491FFC"/>
    <w:rsid w:val="00492AC6"/>
    <w:rsid w:val="0049304D"/>
    <w:rsid w:val="00493549"/>
    <w:rsid w:val="00495A35"/>
    <w:rsid w:val="00495B49"/>
    <w:rsid w:val="004975FB"/>
    <w:rsid w:val="00497EE6"/>
    <w:rsid w:val="004A0364"/>
    <w:rsid w:val="004A0D53"/>
    <w:rsid w:val="004A1BBD"/>
    <w:rsid w:val="004A1DEE"/>
    <w:rsid w:val="004A251A"/>
    <w:rsid w:val="004A3276"/>
    <w:rsid w:val="004A339B"/>
    <w:rsid w:val="004A34BA"/>
    <w:rsid w:val="004A3D88"/>
    <w:rsid w:val="004A43F8"/>
    <w:rsid w:val="004A4C6A"/>
    <w:rsid w:val="004A729D"/>
    <w:rsid w:val="004A76FC"/>
    <w:rsid w:val="004A7A51"/>
    <w:rsid w:val="004B021B"/>
    <w:rsid w:val="004B0413"/>
    <w:rsid w:val="004B060C"/>
    <w:rsid w:val="004B1D3B"/>
    <w:rsid w:val="004B208D"/>
    <w:rsid w:val="004B243E"/>
    <w:rsid w:val="004B275D"/>
    <w:rsid w:val="004B3D37"/>
    <w:rsid w:val="004B4C97"/>
    <w:rsid w:val="004B6288"/>
    <w:rsid w:val="004B6EA7"/>
    <w:rsid w:val="004B6F03"/>
    <w:rsid w:val="004B7A60"/>
    <w:rsid w:val="004C0B0E"/>
    <w:rsid w:val="004C148F"/>
    <w:rsid w:val="004C177B"/>
    <w:rsid w:val="004C1828"/>
    <w:rsid w:val="004C215C"/>
    <w:rsid w:val="004C2C4F"/>
    <w:rsid w:val="004C41CB"/>
    <w:rsid w:val="004C429B"/>
    <w:rsid w:val="004C52CB"/>
    <w:rsid w:val="004C5786"/>
    <w:rsid w:val="004C661C"/>
    <w:rsid w:val="004C6A68"/>
    <w:rsid w:val="004C7ADD"/>
    <w:rsid w:val="004D1A97"/>
    <w:rsid w:val="004D3123"/>
    <w:rsid w:val="004D4442"/>
    <w:rsid w:val="004D4467"/>
    <w:rsid w:val="004D46AA"/>
    <w:rsid w:val="004D57FA"/>
    <w:rsid w:val="004D5C20"/>
    <w:rsid w:val="004D6606"/>
    <w:rsid w:val="004D6932"/>
    <w:rsid w:val="004D714F"/>
    <w:rsid w:val="004D7862"/>
    <w:rsid w:val="004E0016"/>
    <w:rsid w:val="004E0C9D"/>
    <w:rsid w:val="004E0D54"/>
    <w:rsid w:val="004E1371"/>
    <w:rsid w:val="004E19CE"/>
    <w:rsid w:val="004E218A"/>
    <w:rsid w:val="004E2484"/>
    <w:rsid w:val="004E2A17"/>
    <w:rsid w:val="004E342B"/>
    <w:rsid w:val="004E3DBB"/>
    <w:rsid w:val="004E505B"/>
    <w:rsid w:val="004E697E"/>
    <w:rsid w:val="004E6EE0"/>
    <w:rsid w:val="004E7CC1"/>
    <w:rsid w:val="004E7E32"/>
    <w:rsid w:val="004F1CFF"/>
    <w:rsid w:val="004F1E08"/>
    <w:rsid w:val="004F23D8"/>
    <w:rsid w:val="004F4E61"/>
    <w:rsid w:val="004F5035"/>
    <w:rsid w:val="004F5226"/>
    <w:rsid w:val="004F5251"/>
    <w:rsid w:val="004F525F"/>
    <w:rsid w:val="004F63D9"/>
    <w:rsid w:val="004F7D5D"/>
    <w:rsid w:val="004F7D60"/>
    <w:rsid w:val="004F7FBE"/>
    <w:rsid w:val="00500362"/>
    <w:rsid w:val="00500EC6"/>
    <w:rsid w:val="00502371"/>
    <w:rsid w:val="00502B58"/>
    <w:rsid w:val="00502E1E"/>
    <w:rsid w:val="005035CD"/>
    <w:rsid w:val="00503896"/>
    <w:rsid w:val="00503F3E"/>
    <w:rsid w:val="00503F5D"/>
    <w:rsid w:val="0050400F"/>
    <w:rsid w:val="00504651"/>
    <w:rsid w:val="0050509D"/>
    <w:rsid w:val="00505103"/>
    <w:rsid w:val="0050624D"/>
    <w:rsid w:val="0050664F"/>
    <w:rsid w:val="00506A05"/>
    <w:rsid w:val="00507B9C"/>
    <w:rsid w:val="00507C8E"/>
    <w:rsid w:val="005101D0"/>
    <w:rsid w:val="005112D8"/>
    <w:rsid w:val="0051180C"/>
    <w:rsid w:val="0051188B"/>
    <w:rsid w:val="005118F9"/>
    <w:rsid w:val="00514C41"/>
    <w:rsid w:val="005154B3"/>
    <w:rsid w:val="005155B5"/>
    <w:rsid w:val="00515AFA"/>
    <w:rsid w:val="005164B7"/>
    <w:rsid w:val="00516C72"/>
    <w:rsid w:val="0052077C"/>
    <w:rsid w:val="00521A7F"/>
    <w:rsid w:val="00521C50"/>
    <w:rsid w:val="0052314A"/>
    <w:rsid w:val="00523877"/>
    <w:rsid w:val="005239A3"/>
    <w:rsid w:val="00523A4C"/>
    <w:rsid w:val="00523FBB"/>
    <w:rsid w:val="00524E99"/>
    <w:rsid w:val="005254B8"/>
    <w:rsid w:val="00527074"/>
    <w:rsid w:val="005274B9"/>
    <w:rsid w:val="00527B17"/>
    <w:rsid w:val="00527BF7"/>
    <w:rsid w:val="00527D3B"/>
    <w:rsid w:val="0053005D"/>
    <w:rsid w:val="0053084E"/>
    <w:rsid w:val="005308C5"/>
    <w:rsid w:val="005320CB"/>
    <w:rsid w:val="0053296F"/>
    <w:rsid w:val="00532F60"/>
    <w:rsid w:val="00533BF7"/>
    <w:rsid w:val="00535028"/>
    <w:rsid w:val="005356CC"/>
    <w:rsid w:val="00541BD4"/>
    <w:rsid w:val="00541D22"/>
    <w:rsid w:val="00541EE0"/>
    <w:rsid w:val="00542987"/>
    <w:rsid w:val="00542B4D"/>
    <w:rsid w:val="005432DA"/>
    <w:rsid w:val="005461F6"/>
    <w:rsid w:val="00546920"/>
    <w:rsid w:val="00546BEF"/>
    <w:rsid w:val="00546E65"/>
    <w:rsid w:val="005472A9"/>
    <w:rsid w:val="00547CE3"/>
    <w:rsid w:val="0055067B"/>
    <w:rsid w:val="00550EDC"/>
    <w:rsid w:val="00552061"/>
    <w:rsid w:val="005521EB"/>
    <w:rsid w:val="00552B89"/>
    <w:rsid w:val="00553622"/>
    <w:rsid w:val="00553E2F"/>
    <w:rsid w:val="005543DF"/>
    <w:rsid w:val="00554898"/>
    <w:rsid w:val="00554B2E"/>
    <w:rsid w:val="0055545B"/>
    <w:rsid w:val="00555E6E"/>
    <w:rsid w:val="005568E0"/>
    <w:rsid w:val="00556F26"/>
    <w:rsid w:val="00557104"/>
    <w:rsid w:val="005575A3"/>
    <w:rsid w:val="005579BB"/>
    <w:rsid w:val="00560540"/>
    <w:rsid w:val="005614A9"/>
    <w:rsid w:val="005619E0"/>
    <w:rsid w:val="00562513"/>
    <w:rsid w:val="00563734"/>
    <w:rsid w:val="00564C11"/>
    <w:rsid w:val="00564F08"/>
    <w:rsid w:val="005655F0"/>
    <w:rsid w:val="00566949"/>
    <w:rsid w:val="00566AC6"/>
    <w:rsid w:val="00567ACD"/>
    <w:rsid w:val="00567B85"/>
    <w:rsid w:val="00567E26"/>
    <w:rsid w:val="00567F4A"/>
    <w:rsid w:val="00570046"/>
    <w:rsid w:val="0057008E"/>
    <w:rsid w:val="00570DD5"/>
    <w:rsid w:val="00570FE2"/>
    <w:rsid w:val="00573C4C"/>
    <w:rsid w:val="0057431F"/>
    <w:rsid w:val="00574D5C"/>
    <w:rsid w:val="005757E6"/>
    <w:rsid w:val="00575F84"/>
    <w:rsid w:val="00576383"/>
    <w:rsid w:val="00577CDB"/>
    <w:rsid w:val="00577F4F"/>
    <w:rsid w:val="0058073A"/>
    <w:rsid w:val="00580C14"/>
    <w:rsid w:val="00581BBD"/>
    <w:rsid w:val="00582000"/>
    <w:rsid w:val="00582823"/>
    <w:rsid w:val="005828C4"/>
    <w:rsid w:val="00582B69"/>
    <w:rsid w:val="00583E50"/>
    <w:rsid w:val="00583ECC"/>
    <w:rsid w:val="005847E8"/>
    <w:rsid w:val="00584E28"/>
    <w:rsid w:val="00584EBD"/>
    <w:rsid w:val="00585F69"/>
    <w:rsid w:val="005866D6"/>
    <w:rsid w:val="00590023"/>
    <w:rsid w:val="00590134"/>
    <w:rsid w:val="00591827"/>
    <w:rsid w:val="005919EE"/>
    <w:rsid w:val="005930D9"/>
    <w:rsid w:val="00593755"/>
    <w:rsid w:val="005945A9"/>
    <w:rsid w:val="005949B4"/>
    <w:rsid w:val="005955C6"/>
    <w:rsid w:val="00595730"/>
    <w:rsid w:val="0059578D"/>
    <w:rsid w:val="00595EB5"/>
    <w:rsid w:val="0059694D"/>
    <w:rsid w:val="0059733E"/>
    <w:rsid w:val="005975F8"/>
    <w:rsid w:val="00597A33"/>
    <w:rsid w:val="005A033C"/>
    <w:rsid w:val="005A093B"/>
    <w:rsid w:val="005A109A"/>
    <w:rsid w:val="005A1486"/>
    <w:rsid w:val="005A2F0B"/>
    <w:rsid w:val="005A3627"/>
    <w:rsid w:val="005A367F"/>
    <w:rsid w:val="005A4165"/>
    <w:rsid w:val="005A4D67"/>
    <w:rsid w:val="005A5799"/>
    <w:rsid w:val="005A58DA"/>
    <w:rsid w:val="005A59DC"/>
    <w:rsid w:val="005A5FDA"/>
    <w:rsid w:val="005A61C3"/>
    <w:rsid w:val="005A7290"/>
    <w:rsid w:val="005B049D"/>
    <w:rsid w:val="005B0907"/>
    <w:rsid w:val="005B0B22"/>
    <w:rsid w:val="005B0E6B"/>
    <w:rsid w:val="005B1FA0"/>
    <w:rsid w:val="005B2698"/>
    <w:rsid w:val="005B283E"/>
    <w:rsid w:val="005B3495"/>
    <w:rsid w:val="005B36EA"/>
    <w:rsid w:val="005B36F4"/>
    <w:rsid w:val="005B3AB1"/>
    <w:rsid w:val="005B4043"/>
    <w:rsid w:val="005B418B"/>
    <w:rsid w:val="005B4FDD"/>
    <w:rsid w:val="005B5046"/>
    <w:rsid w:val="005B5731"/>
    <w:rsid w:val="005B5881"/>
    <w:rsid w:val="005B5A12"/>
    <w:rsid w:val="005B5DCB"/>
    <w:rsid w:val="005B65BC"/>
    <w:rsid w:val="005B6D0D"/>
    <w:rsid w:val="005B712E"/>
    <w:rsid w:val="005C00B7"/>
    <w:rsid w:val="005C078A"/>
    <w:rsid w:val="005C094D"/>
    <w:rsid w:val="005C280D"/>
    <w:rsid w:val="005C3383"/>
    <w:rsid w:val="005C4D0E"/>
    <w:rsid w:val="005C4D9D"/>
    <w:rsid w:val="005C554B"/>
    <w:rsid w:val="005C68D2"/>
    <w:rsid w:val="005C73C3"/>
    <w:rsid w:val="005C76A7"/>
    <w:rsid w:val="005C7D05"/>
    <w:rsid w:val="005C7F94"/>
    <w:rsid w:val="005D02FB"/>
    <w:rsid w:val="005D0DB6"/>
    <w:rsid w:val="005D120E"/>
    <w:rsid w:val="005D2520"/>
    <w:rsid w:val="005D291D"/>
    <w:rsid w:val="005D3CEC"/>
    <w:rsid w:val="005D3F63"/>
    <w:rsid w:val="005D3FB9"/>
    <w:rsid w:val="005D4155"/>
    <w:rsid w:val="005D4313"/>
    <w:rsid w:val="005D47E3"/>
    <w:rsid w:val="005D556A"/>
    <w:rsid w:val="005D556F"/>
    <w:rsid w:val="005D58BC"/>
    <w:rsid w:val="005D5DC0"/>
    <w:rsid w:val="005D5FFD"/>
    <w:rsid w:val="005D60B6"/>
    <w:rsid w:val="005D71F1"/>
    <w:rsid w:val="005E0906"/>
    <w:rsid w:val="005E124A"/>
    <w:rsid w:val="005E16AC"/>
    <w:rsid w:val="005E197A"/>
    <w:rsid w:val="005E3C16"/>
    <w:rsid w:val="005E406A"/>
    <w:rsid w:val="005E4B65"/>
    <w:rsid w:val="005E57A5"/>
    <w:rsid w:val="005E6F17"/>
    <w:rsid w:val="005E7DF8"/>
    <w:rsid w:val="005F00C3"/>
    <w:rsid w:val="005F0B0D"/>
    <w:rsid w:val="005F0C57"/>
    <w:rsid w:val="005F12CE"/>
    <w:rsid w:val="005F1DA1"/>
    <w:rsid w:val="005F2710"/>
    <w:rsid w:val="005F2CC3"/>
    <w:rsid w:val="005F2D90"/>
    <w:rsid w:val="005F3475"/>
    <w:rsid w:val="005F40C2"/>
    <w:rsid w:val="005F443D"/>
    <w:rsid w:val="005F45F3"/>
    <w:rsid w:val="005F474F"/>
    <w:rsid w:val="005F4EE1"/>
    <w:rsid w:val="005F507E"/>
    <w:rsid w:val="005F5175"/>
    <w:rsid w:val="005F5330"/>
    <w:rsid w:val="005F577A"/>
    <w:rsid w:val="005F5C47"/>
    <w:rsid w:val="005F6F10"/>
    <w:rsid w:val="005F77BA"/>
    <w:rsid w:val="00600BD5"/>
    <w:rsid w:val="00600D04"/>
    <w:rsid w:val="006025BB"/>
    <w:rsid w:val="006025D8"/>
    <w:rsid w:val="0060270A"/>
    <w:rsid w:val="0060367E"/>
    <w:rsid w:val="006038AD"/>
    <w:rsid w:val="00603DFC"/>
    <w:rsid w:val="0060446C"/>
    <w:rsid w:val="00604BCF"/>
    <w:rsid w:val="00605C29"/>
    <w:rsid w:val="0060644A"/>
    <w:rsid w:val="00607A27"/>
    <w:rsid w:val="00607F8B"/>
    <w:rsid w:val="00610C6D"/>
    <w:rsid w:val="00610C98"/>
    <w:rsid w:val="00610E72"/>
    <w:rsid w:val="00610EDD"/>
    <w:rsid w:val="00611FAC"/>
    <w:rsid w:val="00612168"/>
    <w:rsid w:val="006126A9"/>
    <w:rsid w:val="00613820"/>
    <w:rsid w:val="00613934"/>
    <w:rsid w:val="00614356"/>
    <w:rsid w:val="0061491F"/>
    <w:rsid w:val="00614C7A"/>
    <w:rsid w:val="00614DAF"/>
    <w:rsid w:val="00615222"/>
    <w:rsid w:val="0061595D"/>
    <w:rsid w:val="00615F16"/>
    <w:rsid w:val="006168EA"/>
    <w:rsid w:val="00616AC4"/>
    <w:rsid w:val="00616B89"/>
    <w:rsid w:val="00616C1A"/>
    <w:rsid w:val="00617124"/>
    <w:rsid w:val="00617652"/>
    <w:rsid w:val="0061771E"/>
    <w:rsid w:val="0061790A"/>
    <w:rsid w:val="00617E7B"/>
    <w:rsid w:val="006200BB"/>
    <w:rsid w:val="00620D4D"/>
    <w:rsid w:val="00621025"/>
    <w:rsid w:val="00621102"/>
    <w:rsid w:val="0062146C"/>
    <w:rsid w:val="00621FC2"/>
    <w:rsid w:val="00623B99"/>
    <w:rsid w:val="00623D4A"/>
    <w:rsid w:val="006273FF"/>
    <w:rsid w:val="006275D3"/>
    <w:rsid w:val="006275E6"/>
    <w:rsid w:val="00627D10"/>
    <w:rsid w:val="00630567"/>
    <w:rsid w:val="00630C26"/>
    <w:rsid w:val="00630F54"/>
    <w:rsid w:val="00631DAE"/>
    <w:rsid w:val="00632723"/>
    <w:rsid w:val="00632D7C"/>
    <w:rsid w:val="006333B7"/>
    <w:rsid w:val="006338CC"/>
    <w:rsid w:val="0063472E"/>
    <w:rsid w:val="00634B25"/>
    <w:rsid w:val="00634C06"/>
    <w:rsid w:val="0063517C"/>
    <w:rsid w:val="00635EC2"/>
    <w:rsid w:val="00637433"/>
    <w:rsid w:val="00637459"/>
    <w:rsid w:val="00637F50"/>
    <w:rsid w:val="00640F45"/>
    <w:rsid w:val="006414A4"/>
    <w:rsid w:val="00641D3A"/>
    <w:rsid w:val="00641FF0"/>
    <w:rsid w:val="0064211B"/>
    <w:rsid w:val="006424F1"/>
    <w:rsid w:val="00642A1F"/>
    <w:rsid w:val="00645958"/>
    <w:rsid w:val="00645ED6"/>
    <w:rsid w:val="00646C54"/>
    <w:rsid w:val="006473F5"/>
    <w:rsid w:val="00647ADB"/>
    <w:rsid w:val="00650028"/>
    <w:rsid w:val="0065020E"/>
    <w:rsid w:val="006502DB"/>
    <w:rsid w:val="00650959"/>
    <w:rsid w:val="00650CBC"/>
    <w:rsid w:val="00651E13"/>
    <w:rsid w:val="006533B1"/>
    <w:rsid w:val="00653D03"/>
    <w:rsid w:val="00654E5A"/>
    <w:rsid w:val="00654E67"/>
    <w:rsid w:val="006552CB"/>
    <w:rsid w:val="0065573D"/>
    <w:rsid w:val="00655809"/>
    <w:rsid w:val="006559B6"/>
    <w:rsid w:val="006563E2"/>
    <w:rsid w:val="006564F2"/>
    <w:rsid w:val="00656998"/>
    <w:rsid w:val="00656C28"/>
    <w:rsid w:val="00657DBE"/>
    <w:rsid w:val="00657E44"/>
    <w:rsid w:val="006601BC"/>
    <w:rsid w:val="006608E1"/>
    <w:rsid w:val="00660CB5"/>
    <w:rsid w:val="00660F04"/>
    <w:rsid w:val="00660FD3"/>
    <w:rsid w:val="00662B3E"/>
    <w:rsid w:val="00663B0A"/>
    <w:rsid w:val="00664816"/>
    <w:rsid w:val="00664B77"/>
    <w:rsid w:val="00664EA5"/>
    <w:rsid w:val="00665C2B"/>
    <w:rsid w:val="00665E2F"/>
    <w:rsid w:val="0066606E"/>
    <w:rsid w:val="006661F2"/>
    <w:rsid w:val="0066636E"/>
    <w:rsid w:val="0066697B"/>
    <w:rsid w:val="00666B04"/>
    <w:rsid w:val="00666B99"/>
    <w:rsid w:val="00666ED7"/>
    <w:rsid w:val="00667819"/>
    <w:rsid w:val="00667E77"/>
    <w:rsid w:val="00667EA2"/>
    <w:rsid w:val="006702F4"/>
    <w:rsid w:val="0067045D"/>
    <w:rsid w:val="00670A0A"/>
    <w:rsid w:val="00670E7D"/>
    <w:rsid w:val="00670FBE"/>
    <w:rsid w:val="0067107B"/>
    <w:rsid w:val="006711F8"/>
    <w:rsid w:val="006715FF"/>
    <w:rsid w:val="00671623"/>
    <w:rsid w:val="00672353"/>
    <w:rsid w:val="00673552"/>
    <w:rsid w:val="006737BB"/>
    <w:rsid w:val="00674136"/>
    <w:rsid w:val="006744B7"/>
    <w:rsid w:val="00676BD3"/>
    <w:rsid w:val="0067715F"/>
    <w:rsid w:val="0067723E"/>
    <w:rsid w:val="00677660"/>
    <w:rsid w:val="006776BD"/>
    <w:rsid w:val="00680038"/>
    <w:rsid w:val="00680879"/>
    <w:rsid w:val="00681130"/>
    <w:rsid w:val="00681F08"/>
    <w:rsid w:val="00686B87"/>
    <w:rsid w:val="00686E18"/>
    <w:rsid w:val="00687CDC"/>
    <w:rsid w:val="006909D9"/>
    <w:rsid w:val="00691E31"/>
    <w:rsid w:val="00691FCB"/>
    <w:rsid w:val="00692590"/>
    <w:rsid w:val="006937A3"/>
    <w:rsid w:val="00693919"/>
    <w:rsid w:val="0069443B"/>
    <w:rsid w:val="006950E0"/>
    <w:rsid w:val="0069724E"/>
    <w:rsid w:val="006A22DC"/>
    <w:rsid w:val="006A2DE9"/>
    <w:rsid w:val="006A5365"/>
    <w:rsid w:val="006A558B"/>
    <w:rsid w:val="006A5D68"/>
    <w:rsid w:val="006A618E"/>
    <w:rsid w:val="006A7939"/>
    <w:rsid w:val="006A7966"/>
    <w:rsid w:val="006B07CE"/>
    <w:rsid w:val="006B0A52"/>
    <w:rsid w:val="006B14D0"/>
    <w:rsid w:val="006B17EC"/>
    <w:rsid w:val="006B1BA2"/>
    <w:rsid w:val="006B2962"/>
    <w:rsid w:val="006B2D63"/>
    <w:rsid w:val="006B2DEF"/>
    <w:rsid w:val="006B3320"/>
    <w:rsid w:val="006B3DB9"/>
    <w:rsid w:val="006B4D2F"/>
    <w:rsid w:val="006B4EFA"/>
    <w:rsid w:val="006B4F10"/>
    <w:rsid w:val="006B4F70"/>
    <w:rsid w:val="006B52C1"/>
    <w:rsid w:val="006B5384"/>
    <w:rsid w:val="006B57D2"/>
    <w:rsid w:val="006B6405"/>
    <w:rsid w:val="006B6CC4"/>
    <w:rsid w:val="006B7A6E"/>
    <w:rsid w:val="006C09B9"/>
    <w:rsid w:val="006C0CD4"/>
    <w:rsid w:val="006C2344"/>
    <w:rsid w:val="006C2709"/>
    <w:rsid w:val="006C2AD8"/>
    <w:rsid w:val="006C38D3"/>
    <w:rsid w:val="006C3F2A"/>
    <w:rsid w:val="006C4359"/>
    <w:rsid w:val="006C4BB7"/>
    <w:rsid w:val="006C5548"/>
    <w:rsid w:val="006C59B5"/>
    <w:rsid w:val="006C5B45"/>
    <w:rsid w:val="006C5DBA"/>
    <w:rsid w:val="006C7C81"/>
    <w:rsid w:val="006D0459"/>
    <w:rsid w:val="006D0A0F"/>
    <w:rsid w:val="006D24FF"/>
    <w:rsid w:val="006D2D7D"/>
    <w:rsid w:val="006D3B7C"/>
    <w:rsid w:val="006D3BC7"/>
    <w:rsid w:val="006D4576"/>
    <w:rsid w:val="006D46D1"/>
    <w:rsid w:val="006D6223"/>
    <w:rsid w:val="006E063B"/>
    <w:rsid w:val="006E08F8"/>
    <w:rsid w:val="006E2AE1"/>
    <w:rsid w:val="006E34FE"/>
    <w:rsid w:val="006E40E2"/>
    <w:rsid w:val="006E492E"/>
    <w:rsid w:val="006E49B0"/>
    <w:rsid w:val="006E4A94"/>
    <w:rsid w:val="006E500D"/>
    <w:rsid w:val="006E50B9"/>
    <w:rsid w:val="006E5FFC"/>
    <w:rsid w:val="006F004E"/>
    <w:rsid w:val="006F08C0"/>
    <w:rsid w:val="006F1D3D"/>
    <w:rsid w:val="006F2007"/>
    <w:rsid w:val="006F416F"/>
    <w:rsid w:val="006F4CE7"/>
    <w:rsid w:val="006F526D"/>
    <w:rsid w:val="006F531A"/>
    <w:rsid w:val="006F7112"/>
    <w:rsid w:val="006F733D"/>
    <w:rsid w:val="006F75CC"/>
    <w:rsid w:val="006F796E"/>
    <w:rsid w:val="007010B6"/>
    <w:rsid w:val="0070195A"/>
    <w:rsid w:val="00701B04"/>
    <w:rsid w:val="00701F65"/>
    <w:rsid w:val="00701F74"/>
    <w:rsid w:val="00701F88"/>
    <w:rsid w:val="00702986"/>
    <w:rsid w:val="007029E9"/>
    <w:rsid w:val="00703165"/>
    <w:rsid w:val="00703317"/>
    <w:rsid w:val="00703CE7"/>
    <w:rsid w:val="007048BA"/>
    <w:rsid w:val="00704A79"/>
    <w:rsid w:val="00704D99"/>
    <w:rsid w:val="007054C9"/>
    <w:rsid w:val="0070576B"/>
    <w:rsid w:val="00705A92"/>
    <w:rsid w:val="00706918"/>
    <w:rsid w:val="00706D1C"/>
    <w:rsid w:val="007071C3"/>
    <w:rsid w:val="007073A9"/>
    <w:rsid w:val="0070780D"/>
    <w:rsid w:val="00707903"/>
    <w:rsid w:val="00710AAB"/>
    <w:rsid w:val="0071167A"/>
    <w:rsid w:val="007119D6"/>
    <w:rsid w:val="00712865"/>
    <w:rsid w:val="00712D43"/>
    <w:rsid w:val="00712E54"/>
    <w:rsid w:val="007131A0"/>
    <w:rsid w:val="00713920"/>
    <w:rsid w:val="00714160"/>
    <w:rsid w:val="00714181"/>
    <w:rsid w:val="00714524"/>
    <w:rsid w:val="00714792"/>
    <w:rsid w:val="00714815"/>
    <w:rsid w:val="00714E48"/>
    <w:rsid w:val="00715330"/>
    <w:rsid w:val="00715A9A"/>
    <w:rsid w:val="00715D29"/>
    <w:rsid w:val="007160F7"/>
    <w:rsid w:val="0071629B"/>
    <w:rsid w:val="00716E3D"/>
    <w:rsid w:val="007170C1"/>
    <w:rsid w:val="00717A74"/>
    <w:rsid w:val="00717BBE"/>
    <w:rsid w:val="00720A06"/>
    <w:rsid w:val="00721126"/>
    <w:rsid w:val="0072117C"/>
    <w:rsid w:val="00721765"/>
    <w:rsid w:val="00721FCA"/>
    <w:rsid w:val="007220C2"/>
    <w:rsid w:val="00723520"/>
    <w:rsid w:val="00723B5B"/>
    <w:rsid w:val="00724784"/>
    <w:rsid w:val="00724B57"/>
    <w:rsid w:val="007253F4"/>
    <w:rsid w:val="0072542D"/>
    <w:rsid w:val="00725E0E"/>
    <w:rsid w:val="00727334"/>
    <w:rsid w:val="007275EB"/>
    <w:rsid w:val="00727D2D"/>
    <w:rsid w:val="00727EF2"/>
    <w:rsid w:val="007321BC"/>
    <w:rsid w:val="007324D5"/>
    <w:rsid w:val="00733515"/>
    <w:rsid w:val="00734096"/>
    <w:rsid w:val="007342C2"/>
    <w:rsid w:val="00734BA6"/>
    <w:rsid w:val="0073532F"/>
    <w:rsid w:val="007358AB"/>
    <w:rsid w:val="00735F97"/>
    <w:rsid w:val="007373A4"/>
    <w:rsid w:val="00737A36"/>
    <w:rsid w:val="00740FD5"/>
    <w:rsid w:val="007424D2"/>
    <w:rsid w:val="0074258A"/>
    <w:rsid w:val="00742977"/>
    <w:rsid w:val="00743553"/>
    <w:rsid w:val="00744724"/>
    <w:rsid w:val="00745BB1"/>
    <w:rsid w:val="00746709"/>
    <w:rsid w:val="0074794E"/>
    <w:rsid w:val="00747EEC"/>
    <w:rsid w:val="00747F7B"/>
    <w:rsid w:val="00747FFE"/>
    <w:rsid w:val="0075011E"/>
    <w:rsid w:val="00750F3E"/>
    <w:rsid w:val="00751A66"/>
    <w:rsid w:val="007529B4"/>
    <w:rsid w:val="00752CDE"/>
    <w:rsid w:val="007547E9"/>
    <w:rsid w:val="00754AA5"/>
    <w:rsid w:val="0075518D"/>
    <w:rsid w:val="0075524E"/>
    <w:rsid w:val="00755B02"/>
    <w:rsid w:val="00756224"/>
    <w:rsid w:val="0075630C"/>
    <w:rsid w:val="00756637"/>
    <w:rsid w:val="0075740D"/>
    <w:rsid w:val="00757426"/>
    <w:rsid w:val="007603F9"/>
    <w:rsid w:val="007604BD"/>
    <w:rsid w:val="0076158F"/>
    <w:rsid w:val="00761D01"/>
    <w:rsid w:val="00762706"/>
    <w:rsid w:val="00763023"/>
    <w:rsid w:val="007634B2"/>
    <w:rsid w:val="0076391B"/>
    <w:rsid w:val="007652EA"/>
    <w:rsid w:val="00765BEB"/>
    <w:rsid w:val="00770B09"/>
    <w:rsid w:val="00770B4C"/>
    <w:rsid w:val="00772E8C"/>
    <w:rsid w:val="007733C7"/>
    <w:rsid w:val="007735B2"/>
    <w:rsid w:val="00773672"/>
    <w:rsid w:val="00773B0C"/>
    <w:rsid w:val="00773F0A"/>
    <w:rsid w:val="0077497E"/>
    <w:rsid w:val="00774C6B"/>
    <w:rsid w:val="00775763"/>
    <w:rsid w:val="00775779"/>
    <w:rsid w:val="00777493"/>
    <w:rsid w:val="007801AF"/>
    <w:rsid w:val="00780DC0"/>
    <w:rsid w:val="0078186D"/>
    <w:rsid w:val="00781C6F"/>
    <w:rsid w:val="0078352D"/>
    <w:rsid w:val="00783B26"/>
    <w:rsid w:val="00784498"/>
    <w:rsid w:val="00784ABD"/>
    <w:rsid w:val="00785057"/>
    <w:rsid w:val="007859CC"/>
    <w:rsid w:val="00785B4D"/>
    <w:rsid w:val="0078648D"/>
    <w:rsid w:val="007877B8"/>
    <w:rsid w:val="00787809"/>
    <w:rsid w:val="00787E50"/>
    <w:rsid w:val="007903E1"/>
    <w:rsid w:val="00790749"/>
    <w:rsid w:val="00790B2E"/>
    <w:rsid w:val="00791514"/>
    <w:rsid w:val="00791935"/>
    <w:rsid w:val="00793A2D"/>
    <w:rsid w:val="00793D2B"/>
    <w:rsid w:val="007953A3"/>
    <w:rsid w:val="00795A4D"/>
    <w:rsid w:val="007965C9"/>
    <w:rsid w:val="00796992"/>
    <w:rsid w:val="00797148"/>
    <w:rsid w:val="0079766C"/>
    <w:rsid w:val="007A0594"/>
    <w:rsid w:val="007A2C76"/>
    <w:rsid w:val="007A2DC9"/>
    <w:rsid w:val="007A32A1"/>
    <w:rsid w:val="007A41BE"/>
    <w:rsid w:val="007A4365"/>
    <w:rsid w:val="007A473C"/>
    <w:rsid w:val="007A5D79"/>
    <w:rsid w:val="007A5D7F"/>
    <w:rsid w:val="007A6857"/>
    <w:rsid w:val="007A7AB0"/>
    <w:rsid w:val="007B00FF"/>
    <w:rsid w:val="007B06C5"/>
    <w:rsid w:val="007B1452"/>
    <w:rsid w:val="007B18B1"/>
    <w:rsid w:val="007B24AB"/>
    <w:rsid w:val="007B2A2C"/>
    <w:rsid w:val="007B2DC8"/>
    <w:rsid w:val="007B2E6E"/>
    <w:rsid w:val="007B2EB8"/>
    <w:rsid w:val="007B33C7"/>
    <w:rsid w:val="007B3448"/>
    <w:rsid w:val="007B3AD3"/>
    <w:rsid w:val="007B3F63"/>
    <w:rsid w:val="007B406F"/>
    <w:rsid w:val="007B436D"/>
    <w:rsid w:val="007B4A57"/>
    <w:rsid w:val="007B5ED9"/>
    <w:rsid w:val="007B68EA"/>
    <w:rsid w:val="007B6E4B"/>
    <w:rsid w:val="007B75C3"/>
    <w:rsid w:val="007C0712"/>
    <w:rsid w:val="007C127F"/>
    <w:rsid w:val="007C1323"/>
    <w:rsid w:val="007C210C"/>
    <w:rsid w:val="007C2448"/>
    <w:rsid w:val="007C278E"/>
    <w:rsid w:val="007C2E62"/>
    <w:rsid w:val="007C37C3"/>
    <w:rsid w:val="007C3E4F"/>
    <w:rsid w:val="007C448A"/>
    <w:rsid w:val="007C480A"/>
    <w:rsid w:val="007C7534"/>
    <w:rsid w:val="007D043C"/>
    <w:rsid w:val="007D05D1"/>
    <w:rsid w:val="007D09EA"/>
    <w:rsid w:val="007D0F62"/>
    <w:rsid w:val="007D181A"/>
    <w:rsid w:val="007D19B4"/>
    <w:rsid w:val="007D1AB6"/>
    <w:rsid w:val="007D1D1B"/>
    <w:rsid w:val="007D2400"/>
    <w:rsid w:val="007D25BF"/>
    <w:rsid w:val="007D280E"/>
    <w:rsid w:val="007D2A5E"/>
    <w:rsid w:val="007D2D8F"/>
    <w:rsid w:val="007D2F38"/>
    <w:rsid w:val="007D3224"/>
    <w:rsid w:val="007D4487"/>
    <w:rsid w:val="007D4FFC"/>
    <w:rsid w:val="007D573E"/>
    <w:rsid w:val="007D676C"/>
    <w:rsid w:val="007E0097"/>
    <w:rsid w:val="007E0820"/>
    <w:rsid w:val="007E0F3E"/>
    <w:rsid w:val="007E1D02"/>
    <w:rsid w:val="007E2142"/>
    <w:rsid w:val="007E2170"/>
    <w:rsid w:val="007E2410"/>
    <w:rsid w:val="007E30B8"/>
    <w:rsid w:val="007E3F9A"/>
    <w:rsid w:val="007E4DDE"/>
    <w:rsid w:val="007E4E5E"/>
    <w:rsid w:val="007E5B31"/>
    <w:rsid w:val="007E6D92"/>
    <w:rsid w:val="007F0258"/>
    <w:rsid w:val="007F11F8"/>
    <w:rsid w:val="007F15B3"/>
    <w:rsid w:val="007F1656"/>
    <w:rsid w:val="007F16DF"/>
    <w:rsid w:val="007F251F"/>
    <w:rsid w:val="007F260D"/>
    <w:rsid w:val="007F3554"/>
    <w:rsid w:val="007F4206"/>
    <w:rsid w:val="007F4291"/>
    <w:rsid w:val="007F47CF"/>
    <w:rsid w:val="007F4A90"/>
    <w:rsid w:val="007F5309"/>
    <w:rsid w:val="007F6976"/>
    <w:rsid w:val="007F6BDC"/>
    <w:rsid w:val="007F702A"/>
    <w:rsid w:val="007F744E"/>
    <w:rsid w:val="007F779D"/>
    <w:rsid w:val="007F7A19"/>
    <w:rsid w:val="007F7B10"/>
    <w:rsid w:val="007F7DE0"/>
    <w:rsid w:val="008007A5"/>
    <w:rsid w:val="008008A7"/>
    <w:rsid w:val="00800B99"/>
    <w:rsid w:val="00801021"/>
    <w:rsid w:val="00801742"/>
    <w:rsid w:val="008018D1"/>
    <w:rsid w:val="008047FB"/>
    <w:rsid w:val="00804FC2"/>
    <w:rsid w:val="0080606B"/>
    <w:rsid w:val="00806C93"/>
    <w:rsid w:val="00807114"/>
    <w:rsid w:val="008071A9"/>
    <w:rsid w:val="0080726C"/>
    <w:rsid w:val="00807704"/>
    <w:rsid w:val="008078D2"/>
    <w:rsid w:val="00807963"/>
    <w:rsid w:val="00811168"/>
    <w:rsid w:val="00811CDF"/>
    <w:rsid w:val="00811E32"/>
    <w:rsid w:val="00811EA2"/>
    <w:rsid w:val="00812A6F"/>
    <w:rsid w:val="00812AD9"/>
    <w:rsid w:val="008132BD"/>
    <w:rsid w:val="0081424E"/>
    <w:rsid w:val="00814370"/>
    <w:rsid w:val="00814AE7"/>
    <w:rsid w:val="008152FB"/>
    <w:rsid w:val="00815A7F"/>
    <w:rsid w:val="00816737"/>
    <w:rsid w:val="00816956"/>
    <w:rsid w:val="008169FA"/>
    <w:rsid w:val="00817699"/>
    <w:rsid w:val="00817FCD"/>
    <w:rsid w:val="0082199A"/>
    <w:rsid w:val="00821ECC"/>
    <w:rsid w:val="00821FD2"/>
    <w:rsid w:val="0082349B"/>
    <w:rsid w:val="00823AA1"/>
    <w:rsid w:val="00823F60"/>
    <w:rsid w:val="00824958"/>
    <w:rsid w:val="00824D0D"/>
    <w:rsid w:val="00825415"/>
    <w:rsid w:val="0082552F"/>
    <w:rsid w:val="00825BDE"/>
    <w:rsid w:val="00825DCE"/>
    <w:rsid w:val="00825F1C"/>
    <w:rsid w:val="00825F75"/>
    <w:rsid w:val="00826113"/>
    <w:rsid w:val="00826294"/>
    <w:rsid w:val="0082631D"/>
    <w:rsid w:val="008269D4"/>
    <w:rsid w:val="00827423"/>
    <w:rsid w:val="008278C3"/>
    <w:rsid w:val="00827F47"/>
    <w:rsid w:val="00830896"/>
    <w:rsid w:val="008315E3"/>
    <w:rsid w:val="008316DE"/>
    <w:rsid w:val="0083373E"/>
    <w:rsid w:val="00833D2F"/>
    <w:rsid w:val="008351FA"/>
    <w:rsid w:val="00835C1D"/>
    <w:rsid w:val="0083659F"/>
    <w:rsid w:val="00836763"/>
    <w:rsid w:val="00836C57"/>
    <w:rsid w:val="00836C7B"/>
    <w:rsid w:val="00836F84"/>
    <w:rsid w:val="008375E7"/>
    <w:rsid w:val="00840CFA"/>
    <w:rsid w:val="00841D2A"/>
    <w:rsid w:val="00842232"/>
    <w:rsid w:val="00843069"/>
    <w:rsid w:val="00844EF8"/>
    <w:rsid w:val="008456E7"/>
    <w:rsid w:val="00846A63"/>
    <w:rsid w:val="0084705B"/>
    <w:rsid w:val="00847BE5"/>
    <w:rsid w:val="00850566"/>
    <w:rsid w:val="0085062E"/>
    <w:rsid w:val="008512CC"/>
    <w:rsid w:val="00851A25"/>
    <w:rsid w:val="00851DB5"/>
    <w:rsid w:val="0085393E"/>
    <w:rsid w:val="0085404C"/>
    <w:rsid w:val="00854853"/>
    <w:rsid w:val="00855550"/>
    <w:rsid w:val="008555D3"/>
    <w:rsid w:val="0085638E"/>
    <w:rsid w:val="0085710B"/>
    <w:rsid w:val="008579DF"/>
    <w:rsid w:val="00857EDE"/>
    <w:rsid w:val="00860D4D"/>
    <w:rsid w:val="008611FD"/>
    <w:rsid w:val="0086192B"/>
    <w:rsid w:val="00861C9F"/>
    <w:rsid w:val="0086282A"/>
    <w:rsid w:val="00862A54"/>
    <w:rsid w:val="0086347F"/>
    <w:rsid w:val="0086360A"/>
    <w:rsid w:val="00864464"/>
    <w:rsid w:val="00865F25"/>
    <w:rsid w:val="00865F9C"/>
    <w:rsid w:val="008669C4"/>
    <w:rsid w:val="00867344"/>
    <w:rsid w:val="008675FE"/>
    <w:rsid w:val="0086765B"/>
    <w:rsid w:val="00867B71"/>
    <w:rsid w:val="00867C1F"/>
    <w:rsid w:val="00867D29"/>
    <w:rsid w:val="00870314"/>
    <w:rsid w:val="0087158E"/>
    <w:rsid w:val="008719EA"/>
    <w:rsid w:val="008722FC"/>
    <w:rsid w:val="00872466"/>
    <w:rsid w:val="00872C4E"/>
    <w:rsid w:val="008735D7"/>
    <w:rsid w:val="008737C2"/>
    <w:rsid w:val="00873A07"/>
    <w:rsid w:val="00873C05"/>
    <w:rsid w:val="00873F37"/>
    <w:rsid w:val="008740DE"/>
    <w:rsid w:val="00874199"/>
    <w:rsid w:val="00874FB9"/>
    <w:rsid w:val="00875B95"/>
    <w:rsid w:val="00875CC1"/>
    <w:rsid w:val="008763FD"/>
    <w:rsid w:val="0087668D"/>
    <w:rsid w:val="008770D1"/>
    <w:rsid w:val="00877D9E"/>
    <w:rsid w:val="008804F6"/>
    <w:rsid w:val="00881CE5"/>
    <w:rsid w:val="008825CD"/>
    <w:rsid w:val="00882928"/>
    <w:rsid w:val="008838C5"/>
    <w:rsid w:val="0088458D"/>
    <w:rsid w:val="0088503E"/>
    <w:rsid w:val="00885295"/>
    <w:rsid w:val="008855B7"/>
    <w:rsid w:val="0088587E"/>
    <w:rsid w:val="00885A61"/>
    <w:rsid w:val="00885ADC"/>
    <w:rsid w:val="00887EFC"/>
    <w:rsid w:val="00887F4D"/>
    <w:rsid w:val="0089097D"/>
    <w:rsid w:val="00890DAB"/>
    <w:rsid w:val="00891898"/>
    <w:rsid w:val="00891EA5"/>
    <w:rsid w:val="00891F45"/>
    <w:rsid w:val="00892F55"/>
    <w:rsid w:val="00893127"/>
    <w:rsid w:val="008938E2"/>
    <w:rsid w:val="0089403C"/>
    <w:rsid w:val="00894367"/>
    <w:rsid w:val="00894503"/>
    <w:rsid w:val="0089456B"/>
    <w:rsid w:val="00896682"/>
    <w:rsid w:val="00897339"/>
    <w:rsid w:val="008A0F48"/>
    <w:rsid w:val="008A20DF"/>
    <w:rsid w:val="008A26FF"/>
    <w:rsid w:val="008A301C"/>
    <w:rsid w:val="008A343B"/>
    <w:rsid w:val="008A4A04"/>
    <w:rsid w:val="008A4A3E"/>
    <w:rsid w:val="008A4BA9"/>
    <w:rsid w:val="008A5B68"/>
    <w:rsid w:val="008A654A"/>
    <w:rsid w:val="008A6D7F"/>
    <w:rsid w:val="008A6F1E"/>
    <w:rsid w:val="008A720E"/>
    <w:rsid w:val="008A76C9"/>
    <w:rsid w:val="008A7E1B"/>
    <w:rsid w:val="008B0253"/>
    <w:rsid w:val="008B032B"/>
    <w:rsid w:val="008B0892"/>
    <w:rsid w:val="008B0FF5"/>
    <w:rsid w:val="008B1487"/>
    <w:rsid w:val="008B335F"/>
    <w:rsid w:val="008B362A"/>
    <w:rsid w:val="008B5B45"/>
    <w:rsid w:val="008B6334"/>
    <w:rsid w:val="008B7257"/>
    <w:rsid w:val="008B7EF8"/>
    <w:rsid w:val="008C122E"/>
    <w:rsid w:val="008C1315"/>
    <w:rsid w:val="008C1BDF"/>
    <w:rsid w:val="008C1C91"/>
    <w:rsid w:val="008C1E64"/>
    <w:rsid w:val="008C27B8"/>
    <w:rsid w:val="008C2DC9"/>
    <w:rsid w:val="008C3079"/>
    <w:rsid w:val="008C3BD9"/>
    <w:rsid w:val="008C3F2B"/>
    <w:rsid w:val="008C43B2"/>
    <w:rsid w:val="008C4F8C"/>
    <w:rsid w:val="008C52E4"/>
    <w:rsid w:val="008C52E7"/>
    <w:rsid w:val="008C5628"/>
    <w:rsid w:val="008C5D14"/>
    <w:rsid w:val="008C5DC0"/>
    <w:rsid w:val="008C67A7"/>
    <w:rsid w:val="008C68CF"/>
    <w:rsid w:val="008C7346"/>
    <w:rsid w:val="008C7648"/>
    <w:rsid w:val="008D06E3"/>
    <w:rsid w:val="008D2379"/>
    <w:rsid w:val="008D2428"/>
    <w:rsid w:val="008D25C4"/>
    <w:rsid w:val="008D2DEA"/>
    <w:rsid w:val="008D3517"/>
    <w:rsid w:val="008D3592"/>
    <w:rsid w:val="008D3B7A"/>
    <w:rsid w:val="008D43B8"/>
    <w:rsid w:val="008D4624"/>
    <w:rsid w:val="008D4F63"/>
    <w:rsid w:val="008D537C"/>
    <w:rsid w:val="008D61B7"/>
    <w:rsid w:val="008D6318"/>
    <w:rsid w:val="008D67A4"/>
    <w:rsid w:val="008D67F4"/>
    <w:rsid w:val="008D79B4"/>
    <w:rsid w:val="008E03BA"/>
    <w:rsid w:val="008E150F"/>
    <w:rsid w:val="008E2A3F"/>
    <w:rsid w:val="008E2FBE"/>
    <w:rsid w:val="008E352D"/>
    <w:rsid w:val="008E36C9"/>
    <w:rsid w:val="008E43F6"/>
    <w:rsid w:val="008E45DC"/>
    <w:rsid w:val="008E4A37"/>
    <w:rsid w:val="008E572D"/>
    <w:rsid w:val="008E5AAF"/>
    <w:rsid w:val="008E5C53"/>
    <w:rsid w:val="008E5F8D"/>
    <w:rsid w:val="008E7650"/>
    <w:rsid w:val="008E7A7D"/>
    <w:rsid w:val="008F0FCE"/>
    <w:rsid w:val="008F1066"/>
    <w:rsid w:val="008F166C"/>
    <w:rsid w:val="008F21B0"/>
    <w:rsid w:val="008F27DA"/>
    <w:rsid w:val="008F285D"/>
    <w:rsid w:val="008F35FA"/>
    <w:rsid w:val="008F362C"/>
    <w:rsid w:val="008F3A04"/>
    <w:rsid w:val="008F3A7D"/>
    <w:rsid w:val="008F473F"/>
    <w:rsid w:val="008F475E"/>
    <w:rsid w:val="008F49C0"/>
    <w:rsid w:val="008F4D70"/>
    <w:rsid w:val="008F5683"/>
    <w:rsid w:val="008F760A"/>
    <w:rsid w:val="008F7FE3"/>
    <w:rsid w:val="009007AE"/>
    <w:rsid w:val="00900A2A"/>
    <w:rsid w:val="00900ABA"/>
    <w:rsid w:val="00901151"/>
    <w:rsid w:val="009013C8"/>
    <w:rsid w:val="0090158C"/>
    <w:rsid w:val="00901DEE"/>
    <w:rsid w:val="009021D8"/>
    <w:rsid w:val="00902901"/>
    <w:rsid w:val="00902A91"/>
    <w:rsid w:val="00902AA1"/>
    <w:rsid w:val="009032BE"/>
    <w:rsid w:val="00903971"/>
    <w:rsid w:val="009042AA"/>
    <w:rsid w:val="009048AA"/>
    <w:rsid w:val="009054AA"/>
    <w:rsid w:val="0090615F"/>
    <w:rsid w:val="00906B7A"/>
    <w:rsid w:val="0090717B"/>
    <w:rsid w:val="00907934"/>
    <w:rsid w:val="00911088"/>
    <w:rsid w:val="009120D9"/>
    <w:rsid w:val="00913005"/>
    <w:rsid w:val="0091354D"/>
    <w:rsid w:val="00914292"/>
    <w:rsid w:val="0091476A"/>
    <w:rsid w:val="0091476F"/>
    <w:rsid w:val="00915D91"/>
    <w:rsid w:val="00915E93"/>
    <w:rsid w:val="009161E0"/>
    <w:rsid w:val="00916645"/>
    <w:rsid w:val="00916C97"/>
    <w:rsid w:val="00916D7C"/>
    <w:rsid w:val="00916DBB"/>
    <w:rsid w:val="0092056A"/>
    <w:rsid w:val="00920CD4"/>
    <w:rsid w:val="009229D8"/>
    <w:rsid w:val="009237AC"/>
    <w:rsid w:val="00923969"/>
    <w:rsid w:val="00923CC0"/>
    <w:rsid w:val="009248B8"/>
    <w:rsid w:val="009248FE"/>
    <w:rsid w:val="009254C5"/>
    <w:rsid w:val="00927506"/>
    <w:rsid w:val="0092762F"/>
    <w:rsid w:val="00927C02"/>
    <w:rsid w:val="00930FB3"/>
    <w:rsid w:val="009317EA"/>
    <w:rsid w:val="0093180C"/>
    <w:rsid w:val="00932AE5"/>
    <w:rsid w:val="00933543"/>
    <w:rsid w:val="00933962"/>
    <w:rsid w:val="009339E2"/>
    <w:rsid w:val="00933A15"/>
    <w:rsid w:val="00933F49"/>
    <w:rsid w:val="00934E4F"/>
    <w:rsid w:val="0093515E"/>
    <w:rsid w:val="00936BA7"/>
    <w:rsid w:val="009378FE"/>
    <w:rsid w:val="00937D82"/>
    <w:rsid w:val="009410C2"/>
    <w:rsid w:val="00941B8C"/>
    <w:rsid w:val="00941F02"/>
    <w:rsid w:val="009422C3"/>
    <w:rsid w:val="009424F4"/>
    <w:rsid w:val="0094295C"/>
    <w:rsid w:val="00942EA0"/>
    <w:rsid w:val="0094315D"/>
    <w:rsid w:val="009440F9"/>
    <w:rsid w:val="009443CD"/>
    <w:rsid w:val="009443FE"/>
    <w:rsid w:val="00944A64"/>
    <w:rsid w:val="0094518E"/>
    <w:rsid w:val="0094562A"/>
    <w:rsid w:val="00945798"/>
    <w:rsid w:val="00945809"/>
    <w:rsid w:val="00945B27"/>
    <w:rsid w:val="009463F1"/>
    <w:rsid w:val="009464FC"/>
    <w:rsid w:val="009469E8"/>
    <w:rsid w:val="00947092"/>
    <w:rsid w:val="00947DF1"/>
    <w:rsid w:val="00950212"/>
    <w:rsid w:val="009504B5"/>
    <w:rsid w:val="009507B8"/>
    <w:rsid w:val="009509B4"/>
    <w:rsid w:val="009510BA"/>
    <w:rsid w:val="00951429"/>
    <w:rsid w:val="009514AC"/>
    <w:rsid w:val="009523A3"/>
    <w:rsid w:val="00952B40"/>
    <w:rsid w:val="00952E93"/>
    <w:rsid w:val="00953868"/>
    <w:rsid w:val="009540EE"/>
    <w:rsid w:val="00954A2B"/>
    <w:rsid w:val="0095640F"/>
    <w:rsid w:val="00957172"/>
    <w:rsid w:val="00960FBA"/>
    <w:rsid w:val="00961AD4"/>
    <w:rsid w:val="00962E4D"/>
    <w:rsid w:val="00963CF9"/>
    <w:rsid w:val="0096571A"/>
    <w:rsid w:val="00965C9E"/>
    <w:rsid w:val="0096614C"/>
    <w:rsid w:val="00966C07"/>
    <w:rsid w:val="00966DA4"/>
    <w:rsid w:val="00967247"/>
    <w:rsid w:val="009678F6"/>
    <w:rsid w:val="00967A53"/>
    <w:rsid w:val="00967CF2"/>
    <w:rsid w:val="0097012D"/>
    <w:rsid w:val="009703C1"/>
    <w:rsid w:val="0097168D"/>
    <w:rsid w:val="00971A11"/>
    <w:rsid w:val="00971B65"/>
    <w:rsid w:val="00972371"/>
    <w:rsid w:val="00972DFA"/>
    <w:rsid w:val="009743BD"/>
    <w:rsid w:val="00974C57"/>
    <w:rsid w:val="00975C6B"/>
    <w:rsid w:val="00975CD3"/>
    <w:rsid w:val="00975D96"/>
    <w:rsid w:val="009768EF"/>
    <w:rsid w:val="00977ED5"/>
    <w:rsid w:val="00977F77"/>
    <w:rsid w:val="00980CB1"/>
    <w:rsid w:val="00981162"/>
    <w:rsid w:val="009815B2"/>
    <w:rsid w:val="00981DA9"/>
    <w:rsid w:val="00982134"/>
    <w:rsid w:val="00982762"/>
    <w:rsid w:val="00983D57"/>
    <w:rsid w:val="00984D02"/>
    <w:rsid w:val="00984D37"/>
    <w:rsid w:val="00985244"/>
    <w:rsid w:val="00985447"/>
    <w:rsid w:val="00986F7A"/>
    <w:rsid w:val="00987EC1"/>
    <w:rsid w:val="00990569"/>
    <w:rsid w:val="0099095B"/>
    <w:rsid w:val="00990E6F"/>
    <w:rsid w:val="00991584"/>
    <w:rsid w:val="009926C8"/>
    <w:rsid w:val="00993BE0"/>
    <w:rsid w:val="00994128"/>
    <w:rsid w:val="00994470"/>
    <w:rsid w:val="009963C8"/>
    <w:rsid w:val="00996AE0"/>
    <w:rsid w:val="00997519"/>
    <w:rsid w:val="00997629"/>
    <w:rsid w:val="00997922"/>
    <w:rsid w:val="009A0DA0"/>
    <w:rsid w:val="009A266E"/>
    <w:rsid w:val="009A2CAB"/>
    <w:rsid w:val="009A3997"/>
    <w:rsid w:val="009A3E1A"/>
    <w:rsid w:val="009A4E08"/>
    <w:rsid w:val="009A4E11"/>
    <w:rsid w:val="009A5CC0"/>
    <w:rsid w:val="009A5F12"/>
    <w:rsid w:val="009A6265"/>
    <w:rsid w:val="009A6345"/>
    <w:rsid w:val="009A6D7F"/>
    <w:rsid w:val="009A72B2"/>
    <w:rsid w:val="009A7900"/>
    <w:rsid w:val="009B0211"/>
    <w:rsid w:val="009B06F5"/>
    <w:rsid w:val="009B06F7"/>
    <w:rsid w:val="009B06F9"/>
    <w:rsid w:val="009B0B82"/>
    <w:rsid w:val="009B0E06"/>
    <w:rsid w:val="009B17FE"/>
    <w:rsid w:val="009B1EAD"/>
    <w:rsid w:val="009B2ECA"/>
    <w:rsid w:val="009B3571"/>
    <w:rsid w:val="009B40FA"/>
    <w:rsid w:val="009B4144"/>
    <w:rsid w:val="009B58BC"/>
    <w:rsid w:val="009B5AE1"/>
    <w:rsid w:val="009B6EA4"/>
    <w:rsid w:val="009B72CD"/>
    <w:rsid w:val="009B7888"/>
    <w:rsid w:val="009C0218"/>
    <w:rsid w:val="009C023F"/>
    <w:rsid w:val="009C0E0D"/>
    <w:rsid w:val="009C0E22"/>
    <w:rsid w:val="009C10A8"/>
    <w:rsid w:val="009C1D2E"/>
    <w:rsid w:val="009C31D7"/>
    <w:rsid w:val="009C3761"/>
    <w:rsid w:val="009C44B7"/>
    <w:rsid w:val="009C4A7E"/>
    <w:rsid w:val="009C558B"/>
    <w:rsid w:val="009C55A0"/>
    <w:rsid w:val="009C59CC"/>
    <w:rsid w:val="009C5CA6"/>
    <w:rsid w:val="009C6A01"/>
    <w:rsid w:val="009C7B06"/>
    <w:rsid w:val="009D018D"/>
    <w:rsid w:val="009D0401"/>
    <w:rsid w:val="009D0DE2"/>
    <w:rsid w:val="009D13FC"/>
    <w:rsid w:val="009D1A6C"/>
    <w:rsid w:val="009D3737"/>
    <w:rsid w:val="009D3A68"/>
    <w:rsid w:val="009D4104"/>
    <w:rsid w:val="009D44DE"/>
    <w:rsid w:val="009D5E28"/>
    <w:rsid w:val="009D6405"/>
    <w:rsid w:val="009D6D75"/>
    <w:rsid w:val="009D7513"/>
    <w:rsid w:val="009D7C82"/>
    <w:rsid w:val="009E0218"/>
    <w:rsid w:val="009E0C14"/>
    <w:rsid w:val="009E0EFC"/>
    <w:rsid w:val="009E1AF4"/>
    <w:rsid w:val="009E1C65"/>
    <w:rsid w:val="009E1E7A"/>
    <w:rsid w:val="009E2183"/>
    <w:rsid w:val="009E2413"/>
    <w:rsid w:val="009E3944"/>
    <w:rsid w:val="009E433B"/>
    <w:rsid w:val="009E498D"/>
    <w:rsid w:val="009E5064"/>
    <w:rsid w:val="009E53E9"/>
    <w:rsid w:val="009E5747"/>
    <w:rsid w:val="009E6278"/>
    <w:rsid w:val="009E665E"/>
    <w:rsid w:val="009E7038"/>
    <w:rsid w:val="009E7862"/>
    <w:rsid w:val="009E7A3A"/>
    <w:rsid w:val="009E7F9A"/>
    <w:rsid w:val="009F06D3"/>
    <w:rsid w:val="009F11CB"/>
    <w:rsid w:val="009F182A"/>
    <w:rsid w:val="009F18DC"/>
    <w:rsid w:val="009F1DB7"/>
    <w:rsid w:val="009F268B"/>
    <w:rsid w:val="009F2F23"/>
    <w:rsid w:val="009F4813"/>
    <w:rsid w:val="009F4904"/>
    <w:rsid w:val="009F491C"/>
    <w:rsid w:val="009F5F8B"/>
    <w:rsid w:val="009F680A"/>
    <w:rsid w:val="009F6886"/>
    <w:rsid w:val="009F7EA1"/>
    <w:rsid w:val="009F7F3D"/>
    <w:rsid w:val="00A00584"/>
    <w:rsid w:val="00A00815"/>
    <w:rsid w:val="00A01389"/>
    <w:rsid w:val="00A026BC"/>
    <w:rsid w:val="00A027AA"/>
    <w:rsid w:val="00A0466E"/>
    <w:rsid w:val="00A05512"/>
    <w:rsid w:val="00A05AC0"/>
    <w:rsid w:val="00A05F47"/>
    <w:rsid w:val="00A077D4"/>
    <w:rsid w:val="00A07F3F"/>
    <w:rsid w:val="00A1008E"/>
    <w:rsid w:val="00A10735"/>
    <w:rsid w:val="00A11F1A"/>
    <w:rsid w:val="00A123F9"/>
    <w:rsid w:val="00A124DF"/>
    <w:rsid w:val="00A12A7A"/>
    <w:rsid w:val="00A1364D"/>
    <w:rsid w:val="00A13678"/>
    <w:rsid w:val="00A1390A"/>
    <w:rsid w:val="00A143F1"/>
    <w:rsid w:val="00A14495"/>
    <w:rsid w:val="00A144BC"/>
    <w:rsid w:val="00A144C1"/>
    <w:rsid w:val="00A148FD"/>
    <w:rsid w:val="00A14B63"/>
    <w:rsid w:val="00A157D2"/>
    <w:rsid w:val="00A162B4"/>
    <w:rsid w:val="00A16EC9"/>
    <w:rsid w:val="00A20490"/>
    <w:rsid w:val="00A206B3"/>
    <w:rsid w:val="00A20E30"/>
    <w:rsid w:val="00A20EF4"/>
    <w:rsid w:val="00A20EFD"/>
    <w:rsid w:val="00A21017"/>
    <w:rsid w:val="00A21446"/>
    <w:rsid w:val="00A21842"/>
    <w:rsid w:val="00A21A51"/>
    <w:rsid w:val="00A2200D"/>
    <w:rsid w:val="00A225E1"/>
    <w:rsid w:val="00A240FE"/>
    <w:rsid w:val="00A247EC"/>
    <w:rsid w:val="00A24C1F"/>
    <w:rsid w:val="00A25372"/>
    <w:rsid w:val="00A25AE5"/>
    <w:rsid w:val="00A25E67"/>
    <w:rsid w:val="00A25F25"/>
    <w:rsid w:val="00A26397"/>
    <w:rsid w:val="00A26D1B"/>
    <w:rsid w:val="00A26F5E"/>
    <w:rsid w:val="00A273CA"/>
    <w:rsid w:val="00A27914"/>
    <w:rsid w:val="00A3032B"/>
    <w:rsid w:val="00A30552"/>
    <w:rsid w:val="00A30CC6"/>
    <w:rsid w:val="00A3110D"/>
    <w:rsid w:val="00A31646"/>
    <w:rsid w:val="00A318D1"/>
    <w:rsid w:val="00A328AC"/>
    <w:rsid w:val="00A33141"/>
    <w:rsid w:val="00A33440"/>
    <w:rsid w:val="00A33B1A"/>
    <w:rsid w:val="00A3415E"/>
    <w:rsid w:val="00A34D6B"/>
    <w:rsid w:val="00A35850"/>
    <w:rsid w:val="00A364A6"/>
    <w:rsid w:val="00A377ED"/>
    <w:rsid w:val="00A41B5F"/>
    <w:rsid w:val="00A43A41"/>
    <w:rsid w:val="00A440F4"/>
    <w:rsid w:val="00A453FB"/>
    <w:rsid w:val="00A45921"/>
    <w:rsid w:val="00A47B78"/>
    <w:rsid w:val="00A47C63"/>
    <w:rsid w:val="00A50141"/>
    <w:rsid w:val="00A50575"/>
    <w:rsid w:val="00A51863"/>
    <w:rsid w:val="00A5229B"/>
    <w:rsid w:val="00A5230D"/>
    <w:rsid w:val="00A53BEC"/>
    <w:rsid w:val="00A541ED"/>
    <w:rsid w:val="00A54397"/>
    <w:rsid w:val="00A55169"/>
    <w:rsid w:val="00A55275"/>
    <w:rsid w:val="00A55441"/>
    <w:rsid w:val="00A5556A"/>
    <w:rsid w:val="00A55E64"/>
    <w:rsid w:val="00A56C41"/>
    <w:rsid w:val="00A56CE0"/>
    <w:rsid w:val="00A5742C"/>
    <w:rsid w:val="00A57BE1"/>
    <w:rsid w:val="00A62092"/>
    <w:rsid w:val="00A62E9E"/>
    <w:rsid w:val="00A63065"/>
    <w:rsid w:val="00A634A7"/>
    <w:rsid w:val="00A63DB5"/>
    <w:rsid w:val="00A63F13"/>
    <w:rsid w:val="00A6429C"/>
    <w:rsid w:val="00A64A02"/>
    <w:rsid w:val="00A64CDF"/>
    <w:rsid w:val="00A653DB"/>
    <w:rsid w:val="00A6551F"/>
    <w:rsid w:val="00A65785"/>
    <w:rsid w:val="00A66343"/>
    <w:rsid w:val="00A667EF"/>
    <w:rsid w:val="00A66951"/>
    <w:rsid w:val="00A66E57"/>
    <w:rsid w:val="00A67431"/>
    <w:rsid w:val="00A703AE"/>
    <w:rsid w:val="00A70527"/>
    <w:rsid w:val="00A70D5A"/>
    <w:rsid w:val="00A71FB9"/>
    <w:rsid w:val="00A72160"/>
    <w:rsid w:val="00A727D6"/>
    <w:rsid w:val="00A74735"/>
    <w:rsid w:val="00A74A7D"/>
    <w:rsid w:val="00A74B30"/>
    <w:rsid w:val="00A751D4"/>
    <w:rsid w:val="00A75439"/>
    <w:rsid w:val="00A75B7C"/>
    <w:rsid w:val="00A77026"/>
    <w:rsid w:val="00A7789E"/>
    <w:rsid w:val="00A80330"/>
    <w:rsid w:val="00A818C5"/>
    <w:rsid w:val="00A82F36"/>
    <w:rsid w:val="00A835F9"/>
    <w:rsid w:val="00A83961"/>
    <w:rsid w:val="00A8453F"/>
    <w:rsid w:val="00A852CE"/>
    <w:rsid w:val="00A859E6"/>
    <w:rsid w:val="00A85BCC"/>
    <w:rsid w:val="00A87A1A"/>
    <w:rsid w:val="00A87D1D"/>
    <w:rsid w:val="00A900A2"/>
    <w:rsid w:val="00A907EA"/>
    <w:rsid w:val="00A90B2C"/>
    <w:rsid w:val="00A90CE0"/>
    <w:rsid w:val="00A90ECC"/>
    <w:rsid w:val="00A91674"/>
    <w:rsid w:val="00A91912"/>
    <w:rsid w:val="00A91C97"/>
    <w:rsid w:val="00A95533"/>
    <w:rsid w:val="00A9591A"/>
    <w:rsid w:val="00A95E4C"/>
    <w:rsid w:val="00A97682"/>
    <w:rsid w:val="00A97FE6"/>
    <w:rsid w:val="00AA2DBC"/>
    <w:rsid w:val="00AA3497"/>
    <w:rsid w:val="00AA3E0B"/>
    <w:rsid w:val="00AA44E7"/>
    <w:rsid w:val="00AA4A95"/>
    <w:rsid w:val="00AA57F3"/>
    <w:rsid w:val="00AA5F0D"/>
    <w:rsid w:val="00AA74DD"/>
    <w:rsid w:val="00AB0350"/>
    <w:rsid w:val="00AB041F"/>
    <w:rsid w:val="00AB1224"/>
    <w:rsid w:val="00AB16EB"/>
    <w:rsid w:val="00AB184F"/>
    <w:rsid w:val="00AB1889"/>
    <w:rsid w:val="00AB1BCF"/>
    <w:rsid w:val="00AB1CE7"/>
    <w:rsid w:val="00AB29AB"/>
    <w:rsid w:val="00AB2F3D"/>
    <w:rsid w:val="00AB36F7"/>
    <w:rsid w:val="00AB4231"/>
    <w:rsid w:val="00AB4776"/>
    <w:rsid w:val="00AB4F85"/>
    <w:rsid w:val="00AB501E"/>
    <w:rsid w:val="00AB787F"/>
    <w:rsid w:val="00AB7E42"/>
    <w:rsid w:val="00AC0B3E"/>
    <w:rsid w:val="00AC0E75"/>
    <w:rsid w:val="00AC3005"/>
    <w:rsid w:val="00AC34F5"/>
    <w:rsid w:val="00AC36C5"/>
    <w:rsid w:val="00AC3867"/>
    <w:rsid w:val="00AC3951"/>
    <w:rsid w:val="00AC3B80"/>
    <w:rsid w:val="00AC3BBB"/>
    <w:rsid w:val="00AC3E31"/>
    <w:rsid w:val="00AC4573"/>
    <w:rsid w:val="00AC49D9"/>
    <w:rsid w:val="00AC52C5"/>
    <w:rsid w:val="00AC5C53"/>
    <w:rsid w:val="00AC635E"/>
    <w:rsid w:val="00AC67A2"/>
    <w:rsid w:val="00AC7082"/>
    <w:rsid w:val="00AC7282"/>
    <w:rsid w:val="00AD1077"/>
    <w:rsid w:val="00AD115B"/>
    <w:rsid w:val="00AD1204"/>
    <w:rsid w:val="00AD1B1A"/>
    <w:rsid w:val="00AD31C4"/>
    <w:rsid w:val="00AD559B"/>
    <w:rsid w:val="00AD5F44"/>
    <w:rsid w:val="00AD7815"/>
    <w:rsid w:val="00AE1A77"/>
    <w:rsid w:val="00AE1AB4"/>
    <w:rsid w:val="00AE1D1F"/>
    <w:rsid w:val="00AE2018"/>
    <w:rsid w:val="00AE3505"/>
    <w:rsid w:val="00AE35F0"/>
    <w:rsid w:val="00AE39A4"/>
    <w:rsid w:val="00AE3BFC"/>
    <w:rsid w:val="00AE50C4"/>
    <w:rsid w:val="00AE6265"/>
    <w:rsid w:val="00AE68DA"/>
    <w:rsid w:val="00AE6947"/>
    <w:rsid w:val="00AE6A4F"/>
    <w:rsid w:val="00AE6CA4"/>
    <w:rsid w:val="00AE7C0D"/>
    <w:rsid w:val="00AF00AA"/>
    <w:rsid w:val="00AF011E"/>
    <w:rsid w:val="00AF0563"/>
    <w:rsid w:val="00AF06F5"/>
    <w:rsid w:val="00AF0E11"/>
    <w:rsid w:val="00AF1480"/>
    <w:rsid w:val="00AF14E1"/>
    <w:rsid w:val="00AF1584"/>
    <w:rsid w:val="00AF3A73"/>
    <w:rsid w:val="00AF3ABE"/>
    <w:rsid w:val="00AF3D5E"/>
    <w:rsid w:val="00AF3E21"/>
    <w:rsid w:val="00AF5A74"/>
    <w:rsid w:val="00AF62D7"/>
    <w:rsid w:val="00AF6689"/>
    <w:rsid w:val="00AF763C"/>
    <w:rsid w:val="00AF790D"/>
    <w:rsid w:val="00AF7F12"/>
    <w:rsid w:val="00B00C84"/>
    <w:rsid w:val="00B012F6"/>
    <w:rsid w:val="00B01E80"/>
    <w:rsid w:val="00B01F2C"/>
    <w:rsid w:val="00B02720"/>
    <w:rsid w:val="00B02761"/>
    <w:rsid w:val="00B03846"/>
    <w:rsid w:val="00B04C68"/>
    <w:rsid w:val="00B057E8"/>
    <w:rsid w:val="00B06780"/>
    <w:rsid w:val="00B07465"/>
    <w:rsid w:val="00B0746A"/>
    <w:rsid w:val="00B076D0"/>
    <w:rsid w:val="00B077CB"/>
    <w:rsid w:val="00B07B0D"/>
    <w:rsid w:val="00B11353"/>
    <w:rsid w:val="00B11EFF"/>
    <w:rsid w:val="00B129E8"/>
    <w:rsid w:val="00B12A4A"/>
    <w:rsid w:val="00B14232"/>
    <w:rsid w:val="00B15EC2"/>
    <w:rsid w:val="00B16B61"/>
    <w:rsid w:val="00B1770C"/>
    <w:rsid w:val="00B17877"/>
    <w:rsid w:val="00B17C7C"/>
    <w:rsid w:val="00B200E5"/>
    <w:rsid w:val="00B20470"/>
    <w:rsid w:val="00B21C95"/>
    <w:rsid w:val="00B229DB"/>
    <w:rsid w:val="00B22C49"/>
    <w:rsid w:val="00B22E87"/>
    <w:rsid w:val="00B22F17"/>
    <w:rsid w:val="00B23C81"/>
    <w:rsid w:val="00B25589"/>
    <w:rsid w:val="00B25C0A"/>
    <w:rsid w:val="00B26989"/>
    <w:rsid w:val="00B27AEE"/>
    <w:rsid w:val="00B27B83"/>
    <w:rsid w:val="00B30120"/>
    <w:rsid w:val="00B3058B"/>
    <w:rsid w:val="00B30DFB"/>
    <w:rsid w:val="00B31393"/>
    <w:rsid w:val="00B313F2"/>
    <w:rsid w:val="00B32B43"/>
    <w:rsid w:val="00B34217"/>
    <w:rsid w:val="00B34CFE"/>
    <w:rsid w:val="00B36499"/>
    <w:rsid w:val="00B36DF9"/>
    <w:rsid w:val="00B401F9"/>
    <w:rsid w:val="00B409A3"/>
    <w:rsid w:val="00B41BC8"/>
    <w:rsid w:val="00B41BD4"/>
    <w:rsid w:val="00B42EC5"/>
    <w:rsid w:val="00B43BCD"/>
    <w:rsid w:val="00B4403D"/>
    <w:rsid w:val="00B443A2"/>
    <w:rsid w:val="00B445AC"/>
    <w:rsid w:val="00B4507F"/>
    <w:rsid w:val="00B46383"/>
    <w:rsid w:val="00B46AD2"/>
    <w:rsid w:val="00B47379"/>
    <w:rsid w:val="00B50202"/>
    <w:rsid w:val="00B50CC3"/>
    <w:rsid w:val="00B52109"/>
    <w:rsid w:val="00B52310"/>
    <w:rsid w:val="00B53053"/>
    <w:rsid w:val="00B53AE9"/>
    <w:rsid w:val="00B5466B"/>
    <w:rsid w:val="00B54D24"/>
    <w:rsid w:val="00B54FCF"/>
    <w:rsid w:val="00B558F0"/>
    <w:rsid w:val="00B55A27"/>
    <w:rsid w:val="00B56C0E"/>
    <w:rsid w:val="00B56CB6"/>
    <w:rsid w:val="00B6158B"/>
    <w:rsid w:val="00B61748"/>
    <w:rsid w:val="00B62799"/>
    <w:rsid w:val="00B64B33"/>
    <w:rsid w:val="00B64EC8"/>
    <w:rsid w:val="00B663A1"/>
    <w:rsid w:val="00B66822"/>
    <w:rsid w:val="00B6690F"/>
    <w:rsid w:val="00B66DA3"/>
    <w:rsid w:val="00B672E6"/>
    <w:rsid w:val="00B6731F"/>
    <w:rsid w:val="00B701B6"/>
    <w:rsid w:val="00B705E5"/>
    <w:rsid w:val="00B707FA"/>
    <w:rsid w:val="00B70AA3"/>
    <w:rsid w:val="00B70E21"/>
    <w:rsid w:val="00B730B8"/>
    <w:rsid w:val="00B73BA6"/>
    <w:rsid w:val="00B73E2C"/>
    <w:rsid w:val="00B741B5"/>
    <w:rsid w:val="00B742F2"/>
    <w:rsid w:val="00B74790"/>
    <w:rsid w:val="00B74D97"/>
    <w:rsid w:val="00B74F68"/>
    <w:rsid w:val="00B7556D"/>
    <w:rsid w:val="00B75971"/>
    <w:rsid w:val="00B75A4D"/>
    <w:rsid w:val="00B75D02"/>
    <w:rsid w:val="00B76192"/>
    <w:rsid w:val="00B76B11"/>
    <w:rsid w:val="00B76CAB"/>
    <w:rsid w:val="00B77461"/>
    <w:rsid w:val="00B7793C"/>
    <w:rsid w:val="00B77FB3"/>
    <w:rsid w:val="00B80C91"/>
    <w:rsid w:val="00B80F52"/>
    <w:rsid w:val="00B81265"/>
    <w:rsid w:val="00B8136C"/>
    <w:rsid w:val="00B813A7"/>
    <w:rsid w:val="00B8141C"/>
    <w:rsid w:val="00B818CD"/>
    <w:rsid w:val="00B822CB"/>
    <w:rsid w:val="00B82DBA"/>
    <w:rsid w:val="00B83647"/>
    <w:rsid w:val="00B836A4"/>
    <w:rsid w:val="00B83BBC"/>
    <w:rsid w:val="00B841DA"/>
    <w:rsid w:val="00B855E4"/>
    <w:rsid w:val="00B85F4D"/>
    <w:rsid w:val="00B86F7A"/>
    <w:rsid w:val="00B90159"/>
    <w:rsid w:val="00B90212"/>
    <w:rsid w:val="00B903BF"/>
    <w:rsid w:val="00B90882"/>
    <w:rsid w:val="00B9141A"/>
    <w:rsid w:val="00B91C81"/>
    <w:rsid w:val="00B91D3E"/>
    <w:rsid w:val="00B92219"/>
    <w:rsid w:val="00B931BB"/>
    <w:rsid w:val="00B93296"/>
    <w:rsid w:val="00B93A8F"/>
    <w:rsid w:val="00B9452E"/>
    <w:rsid w:val="00B94AB0"/>
    <w:rsid w:val="00B95A65"/>
    <w:rsid w:val="00B96F63"/>
    <w:rsid w:val="00B97206"/>
    <w:rsid w:val="00B97A48"/>
    <w:rsid w:val="00B97B61"/>
    <w:rsid w:val="00BA2A8F"/>
    <w:rsid w:val="00BA2E3A"/>
    <w:rsid w:val="00BA33BB"/>
    <w:rsid w:val="00BA5143"/>
    <w:rsid w:val="00BA5A74"/>
    <w:rsid w:val="00BA68A1"/>
    <w:rsid w:val="00BA6959"/>
    <w:rsid w:val="00BA7194"/>
    <w:rsid w:val="00BA721C"/>
    <w:rsid w:val="00BA72EC"/>
    <w:rsid w:val="00BA7432"/>
    <w:rsid w:val="00BA7762"/>
    <w:rsid w:val="00BA7B26"/>
    <w:rsid w:val="00BA7D9E"/>
    <w:rsid w:val="00BA7E5F"/>
    <w:rsid w:val="00BA7F58"/>
    <w:rsid w:val="00BB0409"/>
    <w:rsid w:val="00BB07CC"/>
    <w:rsid w:val="00BB230E"/>
    <w:rsid w:val="00BB2386"/>
    <w:rsid w:val="00BB3863"/>
    <w:rsid w:val="00BB3CF0"/>
    <w:rsid w:val="00BB3D0E"/>
    <w:rsid w:val="00BB4268"/>
    <w:rsid w:val="00BB4357"/>
    <w:rsid w:val="00BB4474"/>
    <w:rsid w:val="00BB4D4F"/>
    <w:rsid w:val="00BB4EF6"/>
    <w:rsid w:val="00BB6C79"/>
    <w:rsid w:val="00BB7E73"/>
    <w:rsid w:val="00BC15CF"/>
    <w:rsid w:val="00BC171A"/>
    <w:rsid w:val="00BC175E"/>
    <w:rsid w:val="00BC1C1D"/>
    <w:rsid w:val="00BC28E3"/>
    <w:rsid w:val="00BC308D"/>
    <w:rsid w:val="00BC30EF"/>
    <w:rsid w:val="00BC41A2"/>
    <w:rsid w:val="00BC654B"/>
    <w:rsid w:val="00BC6740"/>
    <w:rsid w:val="00BC6C48"/>
    <w:rsid w:val="00BC6C64"/>
    <w:rsid w:val="00BC6D56"/>
    <w:rsid w:val="00BC6FE1"/>
    <w:rsid w:val="00BC701D"/>
    <w:rsid w:val="00BC7FEB"/>
    <w:rsid w:val="00BD0169"/>
    <w:rsid w:val="00BD05D9"/>
    <w:rsid w:val="00BD14CB"/>
    <w:rsid w:val="00BD18AD"/>
    <w:rsid w:val="00BD22A7"/>
    <w:rsid w:val="00BD2AEF"/>
    <w:rsid w:val="00BD2F1C"/>
    <w:rsid w:val="00BD3884"/>
    <w:rsid w:val="00BD389E"/>
    <w:rsid w:val="00BD441B"/>
    <w:rsid w:val="00BD615C"/>
    <w:rsid w:val="00BD6923"/>
    <w:rsid w:val="00BD74C6"/>
    <w:rsid w:val="00BD751B"/>
    <w:rsid w:val="00BD7DC0"/>
    <w:rsid w:val="00BE0036"/>
    <w:rsid w:val="00BE1B4B"/>
    <w:rsid w:val="00BE290E"/>
    <w:rsid w:val="00BE3885"/>
    <w:rsid w:val="00BE3E90"/>
    <w:rsid w:val="00BE444C"/>
    <w:rsid w:val="00BE485B"/>
    <w:rsid w:val="00BE4AB9"/>
    <w:rsid w:val="00BE4B26"/>
    <w:rsid w:val="00BE4F47"/>
    <w:rsid w:val="00BE5EFF"/>
    <w:rsid w:val="00BE5F48"/>
    <w:rsid w:val="00BE6B2F"/>
    <w:rsid w:val="00BE7268"/>
    <w:rsid w:val="00BE7328"/>
    <w:rsid w:val="00BF022F"/>
    <w:rsid w:val="00BF0497"/>
    <w:rsid w:val="00BF04FB"/>
    <w:rsid w:val="00BF0738"/>
    <w:rsid w:val="00BF0AE2"/>
    <w:rsid w:val="00BF1768"/>
    <w:rsid w:val="00BF1A7A"/>
    <w:rsid w:val="00BF244F"/>
    <w:rsid w:val="00BF314A"/>
    <w:rsid w:val="00BF380D"/>
    <w:rsid w:val="00BF3F10"/>
    <w:rsid w:val="00BF4A85"/>
    <w:rsid w:val="00BF4F66"/>
    <w:rsid w:val="00BF5367"/>
    <w:rsid w:val="00BF5535"/>
    <w:rsid w:val="00BF5984"/>
    <w:rsid w:val="00BF5ED5"/>
    <w:rsid w:val="00BF65B8"/>
    <w:rsid w:val="00BF65DB"/>
    <w:rsid w:val="00BF66CA"/>
    <w:rsid w:val="00BF6725"/>
    <w:rsid w:val="00BF687F"/>
    <w:rsid w:val="00C0216D"/>
    <w:rsid w:val="00C03A17"/>
    <w:rsid w:val="00C04451"/>
    <w:rsid w:val="00C04A89"/>
    <w:rsid w:val="00C05F54"/>
    <w:rsid w:val="00C070B7"/>
    <w:rsid w:val="00C07675"/>
    <w:rsid w:val="00C079BF"/>
    <w:rsid w:val="00C07C47"/>
    <w:rsid w:val="00C07D91"/>
    <w:rsid w:val="00C1034B"/>
    <w:rsid w:val="00C104AA"/>
    <w:rsid w:val="00C121E9"/>
    <w:rsid w:val="00C12236"/>
    <w:rsid w:val="00C1227F"/>
    <w:rsid w:val="00C12988"/>
    <w:rsid w:val="00C12ACE"/>
    <w:rsid w:val="00C13068"/>
    <w:rsid w:val="00C13378"/>
    <w:rsid w:val="00C133AD"/>
    <w:rsid w:val="00C13912"/>
    <w:rsid w:val="00C14D61"/>
    <w:rsid w:val="00C15445"/>
    <w:rsid w:val="00C15AF8"/>
    <w:rsid w:val="00C160CC"/>
    <w:rsid w:val="00C172A2"/>
    <w:rsid w:val="00C20555"/>
    <w:rsid w:val="00C213D9"/>
    <w:rsid w:val="00C2236B"/>
    <w:rsid w:val="00C23752"/>
    <w:rsid w:val="00C24456"/>
    <w:rsid w:val="00C24A2D"/>
    <w:rsid w:val="00C24FA9"/>
    <w:rsid w:val="00C26BF7"/>
    <w:rsid w:val="00C26C34"/>
    <w:rsid w:val="00C27407"/>
    <w:rsid w:val="00C30B8E"/>
    <w:rsid w:val="00C30F3F"/>
    <w:rsid w:val="00C31C34"/>
    <w:rsid w:val="00C33B43"/>
    <w:rsid w:val="00C33D70"/>
    <w:rsid w:val="00C34D1C"/>
    <w:rsid w:val="00C35900"/>
    <w:rsid w:val="00C364E0"/>
    <w:rsid w:val="00C36F88"/>
    <w:rsid w:val="00C41311"/>
    <w:rsid w:val="00C417B9"/>
    <w:rsid w:val="00C41C61"/>
    <w:rsid w:val="00C41DB3"/>
    <w:rsid w:val="00C41F32"/>
    <w:rsid w:val="00C4252F"/>
    <w:rsid w:val="00C435CF"/>
    <w:rsid w:val="00C439D9"/>
    <w:rsid w:val="00C43BBC"/>
    <w:rsid w:val="00C43F7F"/>
    <w:rsid w:val="00C44524"/>
    <w:rsid w:val="00C453DA"/>
    <w:rsid w:val="00C4569C"/>
    <w:rsid w:val="00C45BA2"/>
    <w:rsid w:val="00C46130"/>
    <w:rsid w:val="00C4670D"/>
    <w:rsid w:val="00C471DF"/>
    <w:rsid w:val="00C5025D"/>
    <w:rsid w:val="00C507B4"/>
    <w:rsid w:val="00C50A6A"/>
    <w:rsid w:val="00C515A4"/>
    <w:rsid w:val="00C51CBB"/>
    <w:rsid w:val="00C53582"/>
    <w:rsid w:val="00C54D98"/>
    <w:rsid w:val="00C5525C"/>
    <w:rsid w:val="00C553AA"/>
    <w:rsid w:val="00C55F07"/>
    <w:rsid w:val="00C5614E"/>
    <w:rsid w:val="00C564B8"/>
    <w:rsid w:val="00C572F0"/>
    <w:rsid w:val="00C576AD"/>
    <w:rsid w:val="00C57FBB"/>
    <w:rsid w:val="00C60F94"/>
    <w:rsid w:val="00C61246"/>
    <w:rsid w:val="00C619E3"/>
    <w:rsid w:val="00C624A4"/>
    <w:rsid w:val="00C63A7F"/>
    <w:rsid w:val="00C63CD8"/>
    <w:rsid w:val="00C63EE0"/>
    <w:rsid w:val="00C64B60"/>
    <w:rsid w:val="00C652C9"/>
    <w:rsid w:val="00C65AE2"/>
    <w:rsid w:val="00C668B8"/>
    <w:rsid w:val="00C669ED"/>
    <w:rsid w:val="00C66CF4"/>
    <w:rsid w:val="00C67A1D"/>
    <w:rsid w:val="00C7053D"/>
    <w:rsid w:val="00C7179E"/>
    <w:rsid w:val="00C71DC9"/>
    <w:rsid w:val="00C722BC"/>
    <w:rsid w:val="00C72C14"/>
    <w:rsid w:val="00C73407"/>
    <w:rsid w:val="00C73EE9"/>
    <w:rsid w:val="00C75162"/>
    <w:rsid w:val="00C751C6"/>
    <w:rsid w:val="00C75A0E"/>
    <w:rsid w:val="00C75D15"/>
    <w:rsid w:val="00C762F9"/>
    <w:rsid w:val="00C77DB5"/>
    <w:rsid w:val="00C8006D"/>
    <w:rsid w:val="00C82275"/>
    <w:rsid w:val="00C8262B"/>
    <w:rsid w:val="00C828E4"/>
    <w:rsid w:val="00C82E80"/>
    <w:rsid w:val="00C8385E"/>
    <w:rsid w:val="00C83881"/>
    <w:rsid w:val="00C85336"/>
    <w:rsid w:val="00C85D22"/>
    <w:rsid w:val="00C86905"/>
    <w:rsid w:val="00C86F51"/>
    <w:rsid w:val="00C870E6"/>
    <w:rsid w:val="00C87BE6"/>
    <w:rsid w:val="00C9057E"/>
    <w:rsid w:val="00C908FB"/>
    <w:rsid w:val="00C9159E"/>
    <w:rsid w:val="00C91838"/>
    <w:rsid w:val="00C93A0D"/>
    <w:rsid w:val="00C941AD"/>
    <w:rsid w:val="00C9421E"/>
    <w:rsid w:val="00C946C7"/>
    <w:rsid w:val="00C94D7F"/>
    <w:rsid w:val="00C94DD0"/>
    <w:rsid w:val="00C95310"/>
    <w:rsid w:val="00C95B66"/>
    <w:rsid w:val="00C96D24"/>
    <w:rsid w:val="00C96D57"/>
    <w:rsid w:val="00C97491"/>
    <w:rsid w:val="00C97DC3"/>
    <w:rsid w:val="00CA22D3"/>
    <w:rsid w:val="00CA299A"/>
    <w:rsid w:val="00CA33F6"/>
    <w:rsid w:val="00CA42F7"/>
    <w:rsid w:val="00CA479C"/>
    <w:rsid w:val="00CA51CE"/>
    <w:rsid w:val="00CA5423"/>
    <w:rsid w:val="00CA59BE"/>
    <w:rsid w:val="00CA6495"/>
    <w:rsid w:val="00CA65CC"/>
    <w:rsid w:val="00CA6ECC"/>
    <w:rsid w:val="00CA70D0"/>
    <w:rsid w:val="00CB0239"/>
    <w:rsid w:val="00CB16C9"/>
    <w:rsid w:val="00CB1D7C"/>
    <w:rsid w:val="00CB24C0"/>
    <w:rsid w:val="00CB2ECA"/>
    <w:rsid w:val="00CB305E"/>
    <w:rsid w:val="00CB31CF"/>
    <w:rsid w:val="00CB3486"/>
    <w:rsid w:val="00CB3ADD"/>
    <w:rsid w:val="00CB3E5A"/>
    <w:rsid w:val="00CB42EE"/>
    <w:rsid w:val="00CB4813"/>
    <w:rsid w:val="00CB4DF3"/>
    <w:rsid w:val="00CB50D2"/>
    <w:rsid w:val="00CB60D9"/>
    <w:rsid w:val="00CB67A9"/>
    <w:rsid w:val="00CB793F"/>
    <w:rsid w:val="00CB7C7C"/>
    <w:rsid w:val="00CC1766"/>
    <w:rsid w:val="00CC1CE9"/>
    <w:rsid w:val="00CC217B"/>
    <w:rsid w:val="00CC26FD"/>
    <w:rsid w:val="00CC2760"/>
    <w:rsid w:val="00CC353C"/>
    <w:rsid w:val="00CC376F"/>
    <w:rsid w:val="00CC4928"/>
    <w:rsid w:val="00CC4F83"/>
    <w:rsid w:val="00CC5B26"/>
    <w:rsid w:val="00CC5C46"/>
    <w:rsid w:val="00CC61F1"/>
    <w:rsid w:val="00CC6278"/>
    <w:rsid w:val="00CC62C5"/>
    <w:rsid w:val="00CC743B"/>
    <w:rsid w:val="00CC75E1"/>
    <w:rsid w:val="00CD045C"/>
    <w:rsid w:val="00CD07A8"/>
    <w:rsid w:val="00CD13A5"/>
    <w:rsid w:val="00CD17FE"/>
    <w:rsid w:val="00CD180A"/>
    <w:rsid w:val="00CD1BE8"/>
    <w:rsid w:val="00CD1D7C"/>
    <w:rsid w:val="00CD2B77"/>
    <w:rsid w:val="00CD2D70"/>
    <w:rsid w:val="00CD4B17"/>
    <w:rsid w:val="00CD5394"/>
    <w:rsid w:val="00CD5558"/>
    <w:rsid w:val="00CD5B26"/>
    <w:rsid w:val="00CD5E2A"/>
    <w:rsid w:val="00CD5EC8"/>
    <w:rsid w:val="00CD692D"/>
    <w:rsid w:val="00CD6D44"/>
    <w:rsid w:val="00CD7B4F"/>
    <w:rsid w:val="00CE0D5D"/>
    <w:rsid w:val="00CE1547"/>
    <w:rsid w:val="00CE19B9"/>
    <w:rsid w:val="00CE2C38"/>
    <w:rsid w:val="00CE3750"/>
    <w:rsid w:val="00CE5311"/>
    <w:rsid w:val="00CE59ED"/>
    <w:rsid w:val="00CE7509"/>
    <w:rsid w:val="00CE7512"/>
    <w:rsid w:val="00CE781C"/>
    <w:rsid w:val="00CE7878"/>
    <w:rsid w:val="00CE7D7E"/>
    <w:rsid w:val="00CE7DA6"/>
    <w:rsid w:val="00CF0045"/>
    <w:rsid w:val="00CF0F21"/>
    <w:rsid w:val="00CF1E4C"/>
    <w:rsid w:val="00CF2494"/>
    <w:rsid w:val="00CF356D"/>
    <w:rsid w:val="00CF35D9"/>
    <w:rsid w:val="00CF3AF2"/>
    <w:rsid w:val="00CF57A3"/>
    <w:rsid w:val="00CF773C"/>
    <w:rsid w:val="00D00457"/>
    <w:rsid w:val="00D0078E"/>
    <w:rsid w:val="00D00FF5"/>
    <w:rsid w:val="00D01D50"/>
    <w:rsid w:val="00D020E6"/>
    <w:rsid w:val="00D02716"/>
    <w:rsid w:val="00D0275D"/>
    <w:rsid w:val="00D0408E"/>
    <w:rsid w:val="00D0416B"/>
    <w:rsid w:val="00D04483"/>
    <w:rsid w:val="00D04770"/>
    <w:rsid w:val="00D04B48"/>
    <w:rsid w:val="00D04CC2"/>
    <w:rsid w:val="00D05012"/>
    <w:rsid w:val="00D05ED0"/>
    <w:rsid w:val="00D05FB0"/>
    <w:rsid w:val="00D06709"/>
    <w:rsid w:val="00D06B91"/>
    <w:rsid w:val="00D06DAA"/>
    <w:rsid w:val="00D06EC4"/>
    <w:rsid w:val="00D105E8"/>
    <w:rsid w:val="00D10CC0"/>
    <w:rsid w:val="00D11090"/>
    <w:rsid w:val="00D119C6"/>
    <w:rsid w:val="00D12ACC"/>
    <w:rsid w:val="00D13C96"/>
    <w:rsid w:val="00D13DC7"/>
    <w:rsid w:val="00D15315"/>
    <w:rsid w:val="00D16725"/>
    <w:rsid w:val="00D17917"/>
    <w:rsid w:val="00D179CD"/>
    <w:rsid w:val="00D17EBC"/>
    <w:rsid w:val="00D17F57"/>
    <w:rsid w:val="00D2016E"/>
    <w:rsid w:val="00D2040D"/>
    <w:rsid w:val="00D2087A"/>
    <w:rsid w:val="00D208F4"/>
    <w:rsid w:val="00D20C78"/>
    <w:rsid w:val="00D21EA1"/>
    <w:rsid w:val="00D22D54"/>
    <w:rsid w:val="00D236A7"/>
    <w:rsid w:val="00D23928"/>
    <w:rsid w:val="00D23A47"/>
    <w:rsid w:val="00D23F5D"/>
    <w:rsid w:val="00D24266"/>
    <w:rsid w:val="00D249D7"/>
    <w:rsid w:val="00D24D34"/>
    <w:rsid w:val="00D25806"/>
    <w:rsid w:val="00D25D11"/>
    <w:rsid w:val="00D2685A"/>
    <w:rsid w:val="00D303AB"/>
    <w:rsid w:val="00D304F3"/>
    <w:rsid w:val="00D3069B"/>
    <w:rsid w:val="00D313BC"/>
    <w:rsid w:val="00D31577"/>
    <w:rsid w:val="00D330FD"/>
    <w:rsid w:val="00D331B0"/>
    <w:rsid w:val="00D336B1"/>
    <w:rsid w:val="00D33952"/>
    <w:rsid w:val="00D33BF9"/>
    <w:rsid w:val="00D3405F"/>
    <w:rsid w:val="00D34316"/>
    <w:rsid w:val="00D34363"/>
    <w:rsid w:val="00D35512"/>
    <w:rsid w:val="00D356B8"/>
    <w:rsid w:val="00D37AE4"/>
    <w:rsid w:val="00D37B10"/>
    <w:rsid w:val="00D37F07"/>
    <w:rsid w:val="00D402F9"/>
    <w:rsid w:val="00D40B77"/>
    <w:rsid w:val="00D412A0"/>
    <w:rsid w:val="00D41577"/>
    <w:rsid w:val="00D41B29"/>
    <w:rsid w:val="00D42CB4"/>
    <w:rsid w:val="00D42E24"/>
    <w:rsid w:val="00D42E84"/>
    <w:rsid w:val="00D4496A"/>
    <w:rsid w:val="00D44A7E"/>
    <w:rsid w:val="00D44B07"/>
    <w:rsid w:val="00D45682"/>
    <w:rsid w:val="00D45718"/>
    <w:rsid w:val="00D4716D"/>
    <w:rsid w:val="00D478F0"/>
    <w:rsid w:val="00D47D5D"/>
    <w:rsid w:val="00D51673"/>
    <w:rsid w:val="00D516B9"/>
    <w:rsid w:val="00D52B51"/>
    <w:rsid w:val="00D52B91"/>
    <w:rsid w:val="00D52ECA"/>
    <w:rsid w:val="00D534A7"/>
    <w:rsid w:val="00D53921"/>
    <w:rsid w:val="00D53F14"/>
    <w:rsid w:val="00D53F73"/>
    <w:rsid w:val="00D540BF"/>
    <w:rsid w:val="00D54A84"/>
    <w:rsid w:val="00D55205"/>
    <w:rsid w:val="00D55246"/>
    <w:rsid w:val="00D553D2"/>
    <w:rsid w:val="00D55FAD"/>
    <w:rsid w:val="00D56064"/>
    <w:rsid w:val="00D57578"/>
    <w:rsid w:val="00D60C57"/>
    <w:rsid w:val="00D616C9"/>
    <w:rsid w:val="00D631C3"/>
    <w:rsid w:val="00D6362A"/>
    <w:rsid w:val="00D644C4"/>
    <w:rsid w:val="00D64762"/>
    <w:rsid w:val="00D6584E"/>
    <w:rsid w:val="00D65A53"/>
    <w:rsid w:val="00D65B46"/>
    <w:rsid w:val="00D65C7A"/>
    <w:rsid w:val="00D66668"/>
    <w:rsid w:val="00D66D17"/>
    <w:rsid w:val="00D66FD0"/>
    <w:rsid w:val="00D672E2"/>
    <w:rsid w:val="00D6751F"/>
    <w:rsid w:val="00D67C03"/>
    <w:rsid w:val="00D70437"/>
    <w:rsid w:val="00D705AD"/>
    <w:rsid w:val="00D70BE2"/>
    <w:rsid w:val="00D71449"/>
    <w:rsid w:val="00D72690"/>
    <w:rsid w:val="00D728FC"/>
    <w:rsid w:val="00D7310A"/>
    <w:rsid w:val="00D7347B"/>
    <w:rsid w:val="00D736EE"/>
    <w:rsid w:val="00D73C56"/>
    <w:rsid w:val="00D74037"/>
    <w:rsid w:val="00D74D2D"/>
    <w:rsid w:val="00D7518A"/>
    <w:rsid w:val="00D75294"/>
    <w:rsid w:val="00D7594D"/>
    <w:rsid w:val="00D759B7"/>
    <w:rsid w:val="00D75B0E"/>
    <w:rsid w:val="00D762EA"/>
    <w:rsid w:val="00D766C8"/>
    <w:rsid w:val="00D77505"/>
    <w:rsid w:val="00D77926"/>
    <w:rsid w:val="00D81CA4"/>
    <w:rsid w:val="00D82505"/>
    <w:rsid w:val="00D8263F"/>
    <w:rsid w:val="00D82758"/>
    <w:rsid w:val="00D8280C"/>
    <w:rsid w:val="00D82D6B"/>
    <w:rsid w:val="00D855F3"/>
    <w:rsid w:val="00D85868"/>
    <w:rsid w:val="00D85BF0"/>
    <w:rsid w:val="00D86457"/>
    <w:rsid w:val="00D873CF"/>
    <w:rsid w:val="00D87D10"/>
    <w:rsid w:val="00D90881"/>
    <w:rsid w:val="00D90AE8"/>
    <w:rsid w:val="00D91199"/>
    <w:rsid w:val="00D91315"/>
    <w:rsid w:val="00D919F0"/>
    <w:rsid w:val="00D923C2"/>
    <w:rsid w:val="00D92669"/>
    <w:rsid w:val="00D9393A"/>
    <w:rsid w:val="00D93EDB"/>
    <w:rsid w:val="00D95118"/>
    <w:rsid w:val="00D9659A"/>
    <w:rsid w:val="00D9670E"/>
    <w:rsid w:val="00D96BBD"/>
    <w:rsid w:val="00D97E31"/>
    <w:rsid w:val="00DA03A2"/>
    <w:rsid w:val="00DA0AA6"/>
    <w:rsid w:val="00DA0D66"/>
    <w:rsid w:val="00DA102D"/>
    <w:rsid w:val="00DA340A"/>
    <w:rsid w:val="00DA58AF"/>
    <w:rsid w:val="00DA5C24"/>
    <w:rsid w:val="00DA6473"/>
    <w:rsid w:val="00DA6AC1"/>
    <w:rsid w:val="00DA702E"/>
    <w:rsid w:val="00DA76CF"/>
    <w:rsid w:val="00DA7D8B"/>
    <w:rsid w:val="00DA7E3A"/>
    <w:rsid w:val="00DB1992"/>
    <w:rsid w:val="00DB1E39"/>
    <w:rsid w:val="00DB3208"/>
    <w:rsid w:val="00DB33C3"/>
    <w:rsid w:val="00DB38FA"/>
    <w:rsid w:val="00DB3A2D"/>
    <w:rsid w:val="00DB45A4"/>
    <w:rsid w:val="00DB4911"/>
    <w:rsid w:val="00DB4D76"/>
    <w:rsid w:val="00DB563A"/>
    <w:rsid w:val="00DB635D"/>
    <w:rsid w:val="00DB6F38"/>
    <w:rsid w:val="00DC04CC"/>
    <w:rsid w:val="00DC1FB2"/>
    <w:rsid w:val="00DC2279"/>
    <w:rsid w:val="00DC47A5"/>
    <w:rsid w:val="00DC5273"/>
    <w:rsid w:val="00DC5561"/>
    <w:rsid w:val="00DC7147"/>
    <w:rsid w:val="00DC7296"/>
    <w:rsid w:val="00DC73E4"/>
    <w:rsid w:val="00DC7A1A"/>
    <w:rsid w:val="00DC7EE9"/>
    <w:rsid w:val="00DD0CD8"/>
    <w:rsid w:val="00DD1899"/>
    <w:rsid w:val="00DD200E"/>
    <w:rsid w:val="00DD2070"/>
    <w:rsid w:val="00DD22FD"/>
    <w:rsid w:val="00DD2C1A"/>
    <w:rsid w:val="00DD303D"/>
    <w:rsid w:val="00DD311A"/>
    <w:rsid w:val="00DD3CA8"/>
    <w:rsid w:val="00DD407C"/>
    <w:rsid w:val="00DD412A"/>
    <w:rsid w:val="00DD465D"/>
    <w:rsid w:val="00DD609E"/>
    <w:rsid w:val="00DD6726"/>
    <w:rsid w:val="00DD7183"/>
    <w:rsid w:val="00DD7515"/>
    <w:rsid w:val="00DD7B1E"/>
    <w:rsid w:val="00DE0167"/>
    <w:rsid w:val="00DE03C0"/>
    <w:rsid w:val="00DE0909"/>
    <w:rsid w:val="00DE16F2"/>
    <w:rsid w:val="00DE254A"/>
    <w:rsid w:val="00DE2763"/>
    <w:rsid w:val="00DE32E4"/>
    <w:rsid w:val="00DE3CC6"/>
    <w:rsid w:val="00DE4132"/>
    <w:rsid w:val="00DE439E"/>
    <w:rsid w:val="00DE4BEB"/>
    <w:rsid w:val="00DE4D3D"/>
    <w:rsid w:val="00DE61B6"/>
    <w:rsid w:val="00DE62A1"/>
    <w:rsid w:val="00DE6BE8"/>
    <w:rsid w:val="00DF04A7"/>
    <w:rsid w:val="00DF06F4"/>
    <w:rsid w:val="00DF21CF"/>
    <w:rsid w:val="00DF2783"/>
    <w:rsid w:val="00DF2CFE"/>
    <w:rsid w:val="00DF35FE"/>
    <w:rsid w:val="00DF4959"/>
    <w:rsid w:val="00DF4FF0"/>
    <w:rsid w:val="00DF69FB"/>
    <w:rsid w:val="00DF6F8F"/>
    <w:rsid w:val="00DF765D"/>
    <w:rsid w:val="00DF7CD0"/>
    <w:rsid w:val="00DF7CE8"/>
    <w:rsid w:val="00E009DA"/>
    <w:rsid w:val="00E00A6B"/>
    <w:rsid w:val="00E00BB5"/>
    <w:rsid w:val="00E01865"/>
    <w:rsid w:val="00E0390D"/>
    <w:rsid w:val="00E03BB5"/>
    <w:rsid w:val="00E03C8A"/>
    <w:rsid w:val="00E04079"/>
    <w:rsid w:val="00E04101"/>
    <w:rsid w:val="00E0450E"/>
    <w:rsid w:val="00E04EBB"/>
    <w:rsid w:val="00E068E7"/>
    <w:rsid w:val="00E06A99"/>
    <w:rsid w:val="00E06CD0"/>
    <w:rsid w:val="00E06CF9"/>
    <w:rsid w:val="00E06D14"/>
    <w:rsid w:val="00E07737"/>
    <w:rsid w:val="00E105EE"/>
    <w:rsid w:val="00E10630"/>
    <w:rsid w:val="00E10E12"/>
    <w:rsid w:val="00E12863"/>
    <w:rsid w:val="00E12CF7"/>
    <w:rsid w:val="00E13F6D"/>
    <w:rsid w:val="00E1412B"/>
    <w:rsid w:val="00E14A38"/>
    <w:rsid w:val="00E16C9F"/>
    <w:rsid w:val="00E17EC8"/>
    <w:rsid w:val="00E206B1"/>
    <w:rsid w:val="00E21508"/>
    <w:rsid w:val="00E220BF"/>
    <w:rsid w:val="00E23527"/>
    <w:rsid w:val="00E235DF"/>
    <w:rsid w:val="00E236AB"/>
    <w:rsid w:val="00E23BFC"/>
    <w:rsid w:val="00E249A7"/>
    <w:rsid w:val="00E24CF8"/>
    <w:rsid w:val="00E25287"/>
    <w:rsid w:val="00E2617E"/>
    <w:rsid w:val="00E26702"/>
    <w:rsid w:val="00E26A0A"/>
    <w:rsid w:val="00E271AA"/>
    <w:rsid w:val="00E27347"/>
    <w:rsid w:val="00E274D4"/>
    <w:rsid w:val="00E27879"/>
    <w:rsid w:val="00E27C8E"/>
    <w:rsid w:val="00E30722"/>
    <w:rsid w:val="00E312C7"/>
    <w:rsid w:val="00E31CCF"/>
    <w:rsid w:val="00E32CCF"/>
    <w:rsid w:val="00E33B05"/>
    <w:rsid w:val="00E33BF9"/>
    <w:rsid w:val="00E33D21"/>
    <w:rsid w:val="00E33F52"/>
    <w:rsid w:val="00E341AE"/>
    <w:rsid w:val="00E34890"/>
    <w:rsid w:val="00E35AB1"/>
    <w:rsid w:val="00E36202"/>
    <w:rsid w:val="00E363F9"/>
    <w:rsid w:val="00E36A60"/>
    <w:rsid w:val="00E36AF7"/>
    <w:rsid w:val="00E37126"/>
    <w:rsid w:val="00E4119E"/>
    <w:rsid w:val="00E418CC"/>
    <w:rsid w:val="00E41F6B"/>
    <w:rsid w:val="00E42A77"/>
    <w:rsid w:val="00E440EA"/>
    <w:rsid w:val="00E441F4"/>
    <w:rsid w:val="00E442A4"/>
    <w:rsid w:val="00E45A5C"/>
    <w:rsid w:val="00E463CC"/>
    <w:rsid w:val="00E47233"/>
    <w:rsid w:val="00E47610"/>
    <w:rsid w:val="00E47D12"/>
    <w:rsid w:val="00E5016F"/>
    <w:rsid w:val="00E50284"/>
    <w:rsid w:val="00E50DFF"/>
    <w:rsid w:val="00E516D6"/>
    <w:rsid w:val="00E51842"/>
    <w:rsid w:val="00E52A0D"/>
    <w:rsid w:val="00E5326F"/>
    <w:rsid w:val="00E55583"/>
    <w:rsid w:val="00E55875"/>
    <w:rsid w:val="00E55A70"/>
    <w:rsid w:val="00E560F1"/>
    <w:rsid w:val="00E56CA5"/>
    <w:rsid w:val="00E56DB4"/>
    <w:rsid w:val="00E579BE"/>
    <w:rsid w:val="00E57EDE"/>
    <w:rsid w:val="00E57F04"/>
    <w:rsid w:val="00E605BA"/>
    <w:rsid w:val="00E60997"/>
    <w:rsid w:val="00E60AC1"/>
    <w:rsid w:val="00E61C23"/>
    <w:rsid w:val="00E61D86"/>
    <w:rsid w:val="00E625B0"/>
    <w:rsid w:val="00E63383"/>
    <w:rsid w:val="00E6344C"/>
    <w:rsid w:val="00E63BD8"/>
    <w:rsid w:val="00E645D5"/>
    <w:rsid w:val="00E65650"/>
    <w:rsid w:val="00E704CE"/>
    <w:rsid w:val="00E707C3"/>
    <w:rsid w:val="00E71708"/>
    <w:rsid w:val="00E71836"/>
    <w:rsid w:val="00E71BF2"/>
    <w:rsid w:val="00E73933"/>
    <w:rsid w:val="00E74F4F"/>
    <w:rsid w:val="00E75479"/>
    <w:rsid w:val="00E757B6"/>
    <w:rsid w:val="00E76331"/>
    <w:rsid w:val="00E77E15"/>
    <w:rsid w:val="00E801FC"/>
    <w:rsid w:val="00E80EB7"/>
    <w:rsid w:val="00E81789"/>
    <w:rsid w:val="00E81F7F"/>
    <w:rsid w:val="00E82E6A"/>
    <w:rsid w:val="00E831C0"/>
    <w:rsid w:val="00E8373E"/>
    <w:rsid w:val="00E83B8E"/>
    <w:rsid w:val="00E83CA9"/>
    <w:rsid w:val="00E841B4"/>
    <w:rsid w:val="00E84E2A"/>
    <w:rsid w:val="00E8603D"/>
    <w:rsid w:val="00E86E32"/>
    <w:rsid w:val="00E873F7"/>
    <w:rsid w:val="00E87B1D"/>
    <w:rsid w:val="00E9056E"/>
    <w:rsid w:val="00E90BB6"/>
    <w:rsid w:val="00E90EA6"/>
    <w:rsid w:val="00E90FE3"/>
    <w:rsid w:val="00E9195E"/>
    <w:rsid w:val="00E92252"/>
    <w:rsid w:val="00E93198"/>
    <w:rsid w:val="00E931C9"/>
    <w:rsid w:val="00E9331C"/>
    <w:rsid w:val="00E933AE"/>
    <w:rsid w:val="00E9343F"/>
    <w:rsid w:val="00E93EA7"/>
    <w:rsid w:val="00E94376"/>
    <w:rsid w:val="00E94424"/>
    <w:rsid w:val="00E945C3"/>
    <w:rsid w:val="00E94FC4"/>
    <w:rsid w:val="00E95021"/>
    <w:rsid w:val="00E9535D"/>
    <w:rsid w:val="00E967B8"/>
    <w:rsid w:val="00E96D58"/>
    <w:rsid w:val="00E971DA"/>
    <w:rsid w:val="00E977C9"/>
    <w:rsid w:val="00E97A2F"/>
    <w:rsid w:val="00E97A4C"/>
    <w:rsid w:val="00E97AF6"/>
    <w:rsid w:val="00E97E2D"/>
    <w:rsid w:val="00EA09E7"/>
    <w:rsid w:val="00EA0AEC"/>
    <w:rsid w:val="00EA0B0B"/>
    <w:rsid w:val="00EA0B13"/>
    <w:rsid w:val="00EA11E9"/>
    <w:rsid w:val="00EA2044"/>
    <w:rsid w:val="00EA20B8"/>
    <w:rsid w:val="00EA20D7"/>
    <w:rsid w:val="00EA2EE0"/>
    <w:rsid w:val="00EA31DE"/>
    <w:rsid w:val="00EA3246"/>
    <w:rsid w:val="00EA3A12"/>
    <w:rsid w:val="00EA3D62"/>
    <w:rsid w:val="00EA425F"/>
    <w:rsid w:val="00EA45D2"/>
    <w:rsid w:val="00EA4A5A"/>
    <w:rsid w:val="00EA5A94"/>
    <w:rsid w:val="00EA6B13"/>
    <w:rsid w:val="00EB0330"/>
    <w:rsid w:val="00EB0360"/>
    <w:rsid w:val="00EB10DA"/>
    <w:rsid w:val="00EB19F8"/>
    <w:rsid w:val="00EB1C20"/>
    <w:rsid w:val="00EB2047"/>
    <w:rsid w:val="00EB22CE"/>
    <w:rsid w:val="00EB2537"/>
    <w:rsid w:val="00EB2BD3"/>
    <w:rsid w:val="00EB5304"/>
    <w:rsid w:val="00EB54D3"/>
    <w:rsid w:val="00EB5563"/>
    <w:rsid w:val="00EB5604"/>
    <w:rsid w:val="00EB5FEB"/>
    <w:rsid w:val="00EB7063"/>
    <w:rsid w:val="00EB70B7"/>
    <w:rsid w:val="00EB7A6C"/>
    <w:rsid w:val="00EC083E"/>
    <w:rsid w:val="00EC0D24"/>
    <w:rsid w:val="00EC1561"/>
    <w:rsid w:val="00EC1A74"/>
    <w:rsid w:val="00EC1C5E"/>
    <w:rsid w:val="00EC1DC6"/>
    <w:rsid w:val="00EC2116"/>
    <w:rsid w:val="00EC221B"/>
    <w:rsid w:val="00EC2CF3"/>
    <w:rsid w:val="00EC303B"/>
    <w:rsid w:val="00EC30B1"/>
    <w:rsid w:val="00EC5BB6"/>
    <w:rsid w:val="00EC5DFC"/>
    <w:rsid w:val="00EC5E88"/>
    <w:rsid w:val="00EC6451"/>
    <w:rsid w:val="00EC6BF3"/>
    <w:rsid w:val="00EC7168"/>
    <w:rsid w:val="00EC7F64"/>
    <w:rsid w:val="00ED075E"/>
    <w:rsid w:val="00ED1730"/>
    <w:rsid w:val="00ED262D"/>
    <w:rsid w:val="00ED39A3"/>
    <w:rsid w:val="00ED45AF"/>
    <w:rsid w:val="00ED4944"/>
    <w:rsid w:val="00ED4FEA"/>
    <w:rsid w:val="00ED6126"/>
    <w:rsid w:val="00ED6815"/>
    <w:rsid w:val="00ED6902"/>
    <w:rsid w:val="00ED7311"/>
    <w:rsid w:val="00ED77A0"/>
    <w:rsid w:val="00ED7CAF"/>
    <w:rsid w:val="00EE0172"/>
    <w:rsid w:val="00EE04F1"/>
    <w:rsid w:val="00EE0982"/>
    <w:rsid w:val="00EE1384"/>
    <w:rsid w:val="00EE2056"/>
    <w:rsid w:val="00EE2DA1"/>
    <w:rsid w:val="00EE375B"/>
    <w:rsid w:val="00EE395C"/>
    <w:rsid w:val="00EE3CBB"/>
    <w:rsid w:val="00EE4FCD"/>
    <w:rsid w:val="00EE5ACE"/>
    <w:rsid w:val="00EE61D4"/>
    <w:rsid w:val="00EE6240"/>
    <w:rsid w:val="00EE6C05"/>
    <w:rsid w:val="00EE71DB"/>
    <w:rsid w:val="00EE736A"/>
    <w:rsid w:val="00EE74AB"/>
    <w:rsid w:val="00EE7504"/>
    <w:rsid w:val="00EE75DF"/>
    <w:rsid w:val="00EE76C8"/>
    <w:rsid w:val="00EF0667"/>
    <w:rsid w:val="00EF0E10"/>
    <w:rsid w:val="00EF1100"/>
    <w:rsid w:val="00EF2862"/>
    <w:rsid w:val="00EF3F2D"/>
    <w:rsid w:val="00EF3FD2"/>
    <w:rsid w:val="00EF414B"/>
    <w:rsid w:val="00EF463C"/>
    <w:rsid w:val="00EF468F"/>
    <w:rsid w:val="00EF4B5A"/>
    <w:rsid w:val="00EF5373"/>
    <w:rsid w:val="00EF63A8"/>
    <w:rsid w:val="00EF651C"/>
    <w:rsid w:val="00EF6ABB"/>
    <w:rsid w:val="00EF6DD4"/>
    <w:rsid w:val="00EF7211"/>
    <w:rsid w:val="00EF7391"/>
    <w:rsid w:val="00EF73CB"/>
    <w:rsid w:val="00EF7522"/>
    <w:rsid w:val="00EF7B6C"/>
    <w:rsid w:val="00F00798"/>
    <w:rsid w:val="00F00B06"/>
    <w:rsid w:val="00F00D14"/>
    <w:rsid w:val="00F0118C"/>
    <w:rsid w:val="00F01ADC"/>
    <w:rsid w:val="00F01B0D"/>
    <w:rsid w:val="00F01E1E"/>
    <w:rsid w:val="00F01F6E"/>
    <w:rsid w:val="00F025B6"/>
    <w:rsid w:val="00F02E1A"/>
    <w:rsid w:val="00F05055"/>
    <w:rsid w:val="00F063F1"/>
    <w:rsid w:val="00F065C5"/>
    <w:rsid w:val="00F06603"/>
    <w:rsid w:val="00F0743D"/>
    <w:rsid w:val="00F10E5F"/>
    <w:rsid w:val="00F11050"/>
    <w:rsid w:val="00F120BF"/>
    <w:rsid w:val="00F12127"/>
    <w:rsid w:val="00F12D8F"/>
    <w:rsid w:val="00F13369"/>
    <w:rsid w:val="00F13A21"/>
    <w:rsid w:val="00F13F35"/>
    <w:rsid w:val="00F142D3"/>
    <w:rsid w:val="00F14435"/>
    <w:rsid w:val="00F14E7C"/>
    <w:rsid w:val="00F15907"/>
    <w:rsid w:val="00F16321"/>
    <w:rsid w:val="00F16A3F"/>
    <w:rsid w:val="00F16AF2"/>
    <w:rsid w:val="00F1745F"/>
    <w:rsid w:val="00F17508"/>
    <w:rsid w:val="00F20E3E"/>
    <w:rsid w:val="00F219D7"/>
    <w:rsid w:val="00F22213"/>
    <w:rsid w:val="00F23121"/>
    <w:rsid w:val="00F235F3"/>
    <w:rsid w:val="00F240C6"/>
    <w:rsid w:val="00F24C88"/>
    <w:rsid w:val="00F25ECB"/>
    <w:rsid w:val="00F27062"/>
    <w:rsid w:val="00F27DC9"/>
    <w:rsid w:val="00F31C46"/>
    <w:rsid w:val="00F31C4A"/>
    <w:rsid w:val="00F33CAD"/>
    <w:rsid w:val="00F349CC"/>
    <w:rsid w:val="00F34E47"/>
    <w:rsid w:val="00F357F8"/>
    <w:rsid w:val="00F36B3A"/>
    <w:rsid w:val="00F3706E"/>
    <w:rsid w:val="00F37B77"/>
    <w:rsid w:val="00F404A7"/>
    <w:rsid w:val="00F4061F"/>
    <w:rsid w:val="00F410E1"/>
    <w:rsid w:val="00F422F3"/>
    <w:rsid w:val="00F42384"/>
    <w:rsid w:val="00F42B8A"/>
    <w:rsid w:val="00F439CE"/>
    <w:rsid w:val="00F439FE"/>
    <w:rsid w:val="00F44634"/>
    <w:rsid w:val="00F45744"/>
    <w:rsid w:val="00F461DB"/>
    <w:rsid w:val="00F46B5D"/>
    <w:rsid w:val="00F46D90"/>
    <w:rsid w:val="00F47C1C"/>
    <w:rsid w:val="00F50414"/>
    <w:rsid w:val="00F50F8A"/>
    <w:rsid w:val="00F51CEE"/>
    <w:rsid w:val="00F51DA2"/>
    <w:rsid w:val="00F51F3A"/>
    <w:rsid w:val="00F52112"/>
    <w:rsid w:val="00F52136"/>
    <w:rsid w:val="00F52609"/>
    <w:rsid w:val="00F528BA"/>
    <w:rsid w:val="00F539C5"/>
    <w:rsid w:val="00F5445C"/>
    <w:rsid w:val="00F544EA"/>
    <w:rsid w:val="00F549BE"/>
    <w:rsid w:val="00F54B1A"/>
    <w:rsid w:val="00F54D5B"/>
    <w:rsid w:val="00F5586E"/>
    <w:rsid w:val="00F55F29"/>
    <w:rsid w:val="00F561EE"/>
    <w:rsid w:val="00F569F7"/>
    <w:rsid w:val="00F57061"/>
    <w:rsid w:val="00F570FA"/>
    <w:rsid w:val="00F600CD"/>
    <w:rsid w:val="00F603E3"/>
    <w:rsid w:val="00F60EAA"/>
    <w:rsid w:val="00F61859"/>
    <w:rsid w:val="00F61C82"/>
    <w:rsid w:val="00F61D2F"/>
    <w:rsid w:val="00F623B5"/>
    <w:rsid w:val="00F62959"/>
    <w:rsid w:val="00F632CC"/>
    <w:rsid w:val="00F63862"/>
    <w:rsid w:val="00F642D0"/>
    <w:rsid w:val="00F643F0"/>
    <w:rsid w:val="00F659D2"/>
    <w:rsid w:val="00F66398"/>
    <w:rsid w:val="00F663FD"/>
    <w:rsid w:val="00F66AB6"/>
    <w:rsid w:val="00F66E2D"/>
    <w:rsid w:val="00F67DE7"/>
    <w:rsid w:val="00F67F6B"/>
    <w:rsid w:val="00F7218C"/>
    <w:rsid w:val="00F73751"/>
    <w:rsid w:val="00F73BB6"/>
    <w:rsid w:val="00F73D75"/>
    <w:rsid w:val="00F7569B"/>
    <w:rsid w:val="00F760C6"/>
    <w:rsid w:val="00F76EAE"/>
    <w:rsid w:val="00F7746D"/>
    <w:rsid w:val="00F777B6"/>
    <w:rsid w:val="00F80216"/>
    <w:rsid w:val="00F8050B"/>
    <w:rsid w:val="00F80B2F"/>
    <w:rsid w:val="00F80C3D"/>
    <w:rsid w:val="00F8155A"/>
    <w:rsid w:val="00F818D3"/>
    <w:rsid w:val="00F81D0E"/>
    <w:rsid w:val="00F81D9B"/>
    <w:rsid w:val="00F81E41"/>
    <w:rsid w:val="00F8209D"/>
    <w:rsid w:val="00F8215B"/>
    <w:rsid w:val="00F82A54"/>
    <w:rsid w:val="00F82E96"/>
    <w:rsid w:val="00F8310F"/>
    <w:rsid w:val="00F83508"/>
    <w:rsid w:val="00F839FD"/>
    <w:rsid w:val="00F83D1C"/>
    <w:rsid w:val="00F840AE"/>
    <w:rsid w:val="00F8415C"/>
    <w:rsid w:val="00F84EC4"/>
    <w:rsid w:val="00F85A3A"/>
    <w:rsid w:val="00F86876"/>
    <w:rsid w:val="00F86AC6"/>
    <w:rsid w:val="00F90AF8"/>
    <w:rsid w:val="00F9136C"/>
    <w:rsid w:val="00F93505"/>
    <w:rsid w:val="00F93E5C"/>
    <w:rsid w:val="00F9461D"/>
    <w:rsid w:val="00F94BAF"/>
    <w:rsid w:val="00F96488"/>
    <w:rsid w:val="00FA07EC"/>
    <w:rsid w:val="00FA0934"/>
    <w:rsid w:val="00FA1940"/>
    <w:rsid w:val="00FA1BFF"/>
    <w:rsid w:val="00FA34C6"/>
    <w:rsid w:val="00FA4129"/>
    <w:rsid w:val="00FA449D"/>
    <w:rsid w:val="00FA5007"/>
    <w:rsid w:val="00FA5315"/>
    <w:rsid w:val="00FA5384"/>
    <w:rsid w:val="00FA55DE"/>
    <w:rsid w:val="00FA5862"/>
    <w:rsid w:val="00FA5D8F"/>
    <w:rsid w:val="00FA5EE2"/>
    <w:rsid w:val="00FA7E60"/>
    <w:rsid w:val="00FB00C0"/>
    <w:rsid w:val="00FB08C9"/>
    <w:rsid w:val="00FB10D8"/>
    <w:rsid w:val="00FB1E67"/>
    <w:rsid w:val="00FB200A"/>
    <w:rsid w:val="00FB223A"/>
    <w:rsid w:val="00FB4DCA"/>
    <w:rsid w:val="00FB529D"/>
    <w:rsid w:val="00FB602E"/>
    <w:rsid w:val="00FB6327"/>
    <w:rsid w:val="00FB65D8"/>
    <w:rsid w:val="00FB6C73"/>
    <w:rsid w:val="00FC0ED6"/>
    <w:rsid w:val="00FC14DB"/>
    <w:rsid w:val="00FC160F"/>
    <w:rsid w:val="00FC2FC0"/>
    <w:rsid w:val="00FC443C"/>
    <w:rsid w:val="00FC482D"/>
    <w:rsid w:val="00FC4ACE"/>
    <w:rsid w:val="00FC5715"/>
    <w:rsid w:val="00FC6399"/>
    <w:rsid w:val="00FC6665"/>
    <w:rsid w:val="00FC6D94"/>
    <w:rsid w:val="00FC6F22"/>
    <w:rsid w:val="00FC7017"/>
    <w:rsid w:val="00FC756F"/>
    <w:rsid w:val="00FC7D25"/>
    <w:rsid w:val="00FD0E0C"/>
    <w:rsid w:val="00FD1028"/>
    <w:rsid w:val="00FD1973"/>
    <w:rsid w:val="00FD19EB"/>
    <w:rsid w:val="00FD2D2F"/>
    <w:rsid w:val="00FD2E4D"/>
    <w:rsid w:val="00FD2EC0"/>
    <w:rsid w:val="00FD301F"/>
    <w:rsid w:val="00FD310F"/>
    <w:rsid w:val="00FD32EE"/>
    <w:rsid w:val="00FD3D24"/>
    <w:rsid w:val="00FD446A"/>
    <w:rsid w:val="00FD58F3"/>
    <w:rsid w:val="00FD5A00"/>
    <w:rsid w:val="00FD6792"/>
    <w:rsid w:val="00FD78F9"/>
    <w:rsid w:val="00FE0F33"/>
    <w:rsid w:val="00FE1F0F"/>
    <w:rsid w:val="00FE2200"/>
    <w:rsid w:val="00FE3496"/>
    <w:rsid w:val="00FE42E3"/>
    <w:rsid w:val="00FE4A83"/>
    <w:rsid w:val="00FE559D"/>
    <w:rsid w:val="00FE6635"/>
    <w:rsid w:val="00FF01C2"/>
    <w:rsid w:val="00FF0F5D"/>
    <w:rsid w:val="00FF1172"/>
    <w:rsid w:val="00FF68A0"/>
    <w:rsid w:val="00FF76D1"/>
    <w:rsid w:val="00FF7D12"/>
    <w:rsid w:val="00FF7FB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20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568"/>
    <w:pPr>
      <w:spacing w:after="120" w:line="360" w:lineRule="auto"/>
      <w:ind w:firstLine="567"/>
      <w:jc w:val="both"/>
    </w:pPr>
    <w:rPr>
      <w:rFonts w:ascii="Times New Roman" w:hAnsi="Times New Roman"/>
      <w:sz w:val="24"/>
    </w:rPr>
  </w:style>
  <w:style w:type="paragraph" w:styleId="Heading1">
    <w:name w:val="heading 1"/>
    <w:basedOn w:val="Normal"/>
    <w:next w:val="Normal"/>
    <w:link w:val="Heading1Char"/>
    <w:qFormat/>
    <w:rsid w:val="004B060C"/>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26A0A"/>
    <w:pPr>
      <w:keepNext/>
      <w:keepLines/>
      <w:spacing w:before="40" w:after="0"/>
      <w:outlineLvl w:val="1"/>
    </w:pPr>
    <w:rPr>
      <w:rFonts w:eastAsiaTheme="majorEastAsia" w:cstheme="majorBidi"/>
      <w:b/>
      <w:i/>
      <w:sz w:val="26"/>
      <w:szCs w:val="26"/>
    </w:rPr>
  </w:style>
  <w:style w:type="paragraph" w:styleId="Heading3">
    <w:name w:val="heading 3"/>
    <w:basedOn w:val="Normal"/>
    <w:next w:val="Normal"/>
    <w:link w:val="Heading3Char"/>
    <w:uiPriority w:val="9"/>
    <w:unhideWhenUsed/>
    <w:qFormat/>
    <w:rsid w:val="00DC7147"/>
    <w:pPr>
      <w:keepNext/>
      <w:keepLines/>
      <w:spacing w:before="40" w:after="0"/>
      <w:outlineLvl w:val="2"/>
    </w:pPr>
    <w:rPr>
      <w:rFonts w:eastAsiaTheme="majorEastAsia" w:cstheme="majorBidi"/>
      <w:b/>
      <w:i/>
      <w:sz w:val="26"/>
      <w:szCs w:val="24"/>
    </w:rPr>
  </w:style>
  <w:style w:type="paragraph" w:styleId="Heading4">
    <w:name w:val="heading 4"/>
    <w:basedOn w:val="Normal"/>
    <w:next w:val="Normal"/>
    <w:link w:val="Heading4Char"/>
    <w:uiPriority w:val="9"/>
    <w:unhideWhenUsed/>
    <w:qFormat/>
    <w:rsid w:val="000B579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A299A"/>
    <w:pPr>
      <w:keepNext/>
      <w:keepLines/>
      <w:autoSpaceDE w:val="0"/>
      <w:autoSpaceDN w:val="0"/>
      <w:adjustRightInd w:val="0"/>
      <w:spacing w:before="40" w:after="0"/>
      <w:ind w:firstLine="227"/>
      <w:outlineLvl w:val="4"/>
    </w:pPr>
    <w:rPr>
      <w:rFonts w:asciiTheme="majorHAnsi" w:eastAsiaTheme="majorEastAsia" w:hAnsiTheme="majorHAnsi" w:cstheme="majorBidi"/>
      <w:color w:val="2E74B5" w:themeColor="accent1" w:themeShade="BF"/>
      <w:szCs w:val="24"/>
      <w:lang w:val="da-DK" w:eastAsia="zh-TW"/>
    </w:rPr>
  </w:style>
  <w:style w:type="paragraph" w:styleId="Heading6">
    <w:name w:val="heading 6"/>
    <w:basedOn w:val="Normal"/>
    <w:next w:val="Normal"/>
    <w:link w:val="Heading6Char"/>
    <w:uiPriority w:val="9"/>
    <w:unhideWhenUsed/>
    <w:qFormat/>
    <w:rsid w:val="00CA299A"/>
    <w:pPr>
      <w:keepNext/>
      <w:keepLines/>
      <w:autoSpaceDE w:val="0"/>
      <w:autoSpaceDN w:val="0"/>
      <w:adjustRightInd w:val="0"/>
      <w:spacing w:before="40" w:after="0"/>
      <w:ind w:firstLine="227"/>
      <w:outlineLvl w:val="5"/>
    </w:pPr>
    <w:rPr>
      <w:rFonts w:asciiTheme="majorHAnsi" w:eastAsiaTheme="majorEastAsia" w:hAnsiTheme="majorHAnsi" w:cstheme="majorBidi"/>
      <w:color w:val="1F4D78" w:themeColor="accent1" w:themeShade="7F"/>
      <w:szCs w:val="24"/>
      <w:lang w:val="da-DK" w:eastAsia="zh-TW"/>
    </w:rPr>
  </w:style>
  <w:style w:type="paragraph" w:styleId="Heading7">
    <w:name w:val="heading 7"/>
    <w:aliases w:val="Table"/>
    <w:basedOn w:val="Normal"/>
    <w:next w:val="Normal"/>
    <w:link w:val="Heading7Char"/>
    <w:uiPriority w:val="9"/>
    <w:unhideWhenUsed/>
    <w:qFormat/>
    <w:rsid w:val="000A300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060C"/>
    <w:rPr>
      <w:rFonts w:ascii="LM Roman 12" w:eastAsiaTheme="majorEastAsia" w:hAnsi="LM Roman 12" w:cstheme="majorBidi"/>
      <w:b/>
      <w:color w:val="000000" w:themeColor="text1"/>
      <w:sz w:val="32"/>
      <w:szCs w:val="32"/>
    </w:rPr>
  </w:style>
  <w:style w:type="character" w:customStyle="1" w:styleId="Heading2Char">
    <w:name w:val="Heading 2 Char"/>
    <w:basedOn w:val="DefaultParagraphFont"/>
    <w:link w:val="Heading2"/>
    <w:uiPriority w:val="9"/>
    <w:rsid w:val="00E26A0A"/>
    <w:rPr>
      <w:rFonts w:ascii="Times New Roman" w:eastAsiaTheme="majorEastAsia" w:hAnsi="Times New Roman" w:cstheme="majorBidi"/>
      <w:b/>
      <w:i/>
      <w:sz w:val="26"/>
      <w:szCs w:val="26"/>
    </w:rPr>
  </w:style>
  <w:style w:type="character" w:customStyle="1" w:styleId="Heading3Char">
    <w:name w:val="Heading 3 Char"/>
    <w:basedOn w:val="DefaultParagraphFont"/>
    <w:link w:val="Heading3"/>
    <w:uiPriority w:val="9"/>
    <w:rsid w:val="00DC7147"/>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B5794"/>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CA299A"/>
    <w:rPr>
      <w:rFonts w:asciiTheme="majorHAnsi" w:eastAsiaTheme="majorEastAsia" w:hAnsiTheme="majorHAnsi" w:cstheme="majorBidi"/>
      <w:color w:val="2E74B5" w:themeColor="accent1" w:themeShade="BF"/>
      <w:sz w:val="24"/>
      <w:szCs w:val="24"/>
      <w:lang w:val="da-DK" w:eastAsia="zh-TW"/>
    </w:rPr>
  </w:style>
  <w:style w:type="character" w:customStyle="1" w:styleId="Heading6Char">
    <w:name w:val="Heading 6 Char"/>
    <w:basedOn w:val="DefaultParagraphFont"/>
    <w:link w:val="Heading6"/>
    <w:uiPriority w:val="9"/>
    <w:rsid w:val="00CA299A"/>
    <w:rPr>
      <w:rFonts w:asciiTheme="majorHAnsi" w:eastAsiaTheme="majorEastAsia" w:hAnsiTheme="majorHAnsi" w:cstheme="majorBidi"/>
      <w:color w:val="1F4D78" w:themeColor="accent1" w:themeShade="7F"/>
      <w:sz w:val="24"/>
      <w:szCs w:val="24"/>
      <w:lang w:val="da-DK" w:eastAsia="zh-TW"/>
    </w:rPr>
  </w:style>
  <w:style w:type="character" w:customStyle="1" w:styleId="Heading7Char">
    <w:name w:val="Heading 7 Char"/>
    <w:aliases w:val="Table Char"/>
    <w:basedOn w:val="DefaultParagraphFont"/>
    <w:link w:val="Heading7"/>
    <w:uiPriority w:val="9"/>
    <w:rsid w:val="000A300B"/>
    <w:rPr>
      <w:rFonts w:asciiTheme="majorHAnsi" w:eastAsiaTheme="majorEastAsia" w:hAnsiTheme="majorHAnsi" w:cstheme="majorBidi"/>
      <w:i/>
      <w:iCs/>
      <w:color w:val="1F4D78" w:themeColor="accent1" w:themeShade="7F"/>
      <w:sz w:val="24"/>
    </w:rPr>
  </w:style>
  <w:style w:type="paragraph" w:styleId="ListParagraph">
    <w:name w:val="List Paragraph"/>
    <w:aliases w:val="Heading three"/>
    <w:basedOn w:val="Normal"/>
    <w:uiPriority w:val="34"/>
    <w:qFormat/>
    <w:rsid w:val="008770D1"/>
    <w:pPr>
      <w:ind w:left="720"/>
      <w:contextualSpacing/>
    </w:pPr>
  </w:style>
  <w:style w:type="table" w:styleId="TableGrid">
    <w:name w:val="Table Grid"/>
    <w:basedOn w:val="TableNormal"/>
    <w:uiPriority w:val="59"/>
    <w:rsid w:val="00174E9D"/>
    <w:pPr>
      <w:spacing w:after="0" w:line="240" w:lineRule="auto"/>
    </w:pPr>
    <w:rPr>
      <w:rFonts w:eastAsiaTheme="minorEastAsia"/>
      <w:lang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D2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379"/>
  </w:style>
  <w:style w:type="paragraph" w:styleId="Footer">
    <w:name w:val="footer"/>
    <w:basedOn w:val="Normal"/>
    <w:link w:val="FooterChar"/>
    <w:uiPriority w:val="99"/>
    <w:unhideWhenUsed/>
    <w:rsid w:val="008D2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379"/>
  </w:style>
  <w:style w:type="paragraph" w:styleId="FootnoteText">
    <w:name w:val="footnote text"/>
    <w:basedOn w:val="Normal"/>
    <w:link w:val="FootnoteTextChar"/>
    <w:unhideWhenUsed/>
    <w:rsid w:val="00CC217B"/>
    <w:pPr>
      <w:spacing w:after="0" w:line="240" w:lineRule="auto"/>
    </w:pPr>
    <w:rPr>
      <w:sz w:val="20"/>
      <w:szCs w:val="20"/>
    </w:rPr>
  </w:style>
  <w:style w:type="character" w:customStyle="1" w:styleId="FootnoteTextChar">
    <w:name w:val="Footnote Text Char"/>
    <w:basedOn w:val="DefaultParagraphFont"/>
    <w:link w:val="FootnoteText"/>
    <w:rsid w:val="00CC217B"/>
    <w:rPr>
      <w:rFonts w:ascii="LM Roman 12" w:hAnsi="LM Roman 12"/>
      <w:sz w:val="20"/>
      <w:szCs w:val="20"/>
    </w:rPr>
  </w:style>
  <w:style w:type="character" w:styleId="FootnoteReference">
    <w:name w:val="footnote reference"/>
    <w:basedOn w:val="DefaultParagraphFont"/>
    <w:unhideWhenUsed/>
    <w:rsid w:val="00CC217B"/>
    <w:rPr>
      <w:vertAlign w:val="superscript"/>
    </w:rPr>
  </w:style>
  <w:style w:type="paragraph" w:styleId="Title">
    <w:name w:val="Title"/>
    <w:aliases w:val="CHAPTER"/>
    <w:basedOn w:val="Normal"/>
    <w:next w:val="Normal"/>
    <w:link w:val="TitleChar"/>
    <w:uiPriority w:val="10"/>
    <w:qFormat/>
    <w:rsid w:val="005274B9"/>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aliases w:val="CHAPTER Char"/>
    <w:basedOn w:val="DefaultParagraphFont"/>
    <w:link w:val="Title"/>
    <w:uiPriority w:val="10"/>
    <w:rsid w:val="005274B9"/>
    <w:rPr>
      <w:rFonts w:ascii="LM Roman 12" w:eastAsiaTheme="majorEastAsia" w:hAnsi="LM Roman 12" w:cstheme="majorBidi"/>
      <w:spacing w:val="-10"/>
      <w:kern w:val="28"/>
      <w:sz w:val="40"/>
      <w:szCs w:val="56"/>
    </w:rPr>
  </w:style>
  <w:style w:type="character" w:styleId="Hyperlink">
    <w:name w:val="Hyperlink"/>
    <w:basedOn w:val="DefaultParagraphFont"/>
    <w:uiPriority w:val="99"/>
    <w:unhideWhenUsed/>
    <w:rsid w:val="009254C5"/>
    <w:rPr>
      <w:color w:val="0000FF"/>
      <w:u w:val="single"/>
    </w:rPr>
  </w:style>
  <w:style w:type="character" w:styleId="Strong">
    <w:name w:val="Strong"/>
    <w:basedOn w:val="DefaultParagraphFont"/>
    <w:uiPriority w:val="22"/>
    <w:qFormat/>
    <w:rsid w:val="009254C5"/>
    <w:rPr>
      <w:b/>
      <w:bCs/>
    </w:rPr>
  </w:style>
  <w:style w:type="paragraph" w:customStyle="1" w:styleId="Tables">
    <w:name w:val="Tables"/>
    <w:basedOn w:val="Normal"/>
    <w:link w:val="TablesChar"/>
    <w:qFormat/>
    <w:rsid w:val="00B01F2C"/>
    <w:pPr>
      <w:spacing w:after="0" w:line="240" w:lineRule="auto"/>
      <w:ind w:firstLine="0"/>
    </w:pPr>
  </w:style>
  <w:style w:type="character" w:customStyle="1" w:styleId="TablesChar">
    <w:name w:val="Tables Char"/>
    <w:basedOn w:val="DefaultParagraphFont"/>
    <w:link w:val="Tables"/>
    <w:rsid w:val="00B01F2C"/>
    <w:rPr>
      <w:rFonts w:ascii="Times New Roman" w:hAnsi="Times New Roman"/>
      <w:sz w:val="24"/>
    </w:rPr>
  </w:style>
  <w:style w:type="character" w:styleId="CommentReference">
    <w:name w:val="annotation reference"/>
    <w:basedOn w:val="DefaultParagraphFont"/>
    <w:uiPriority w:val="99"/>
    <w:unhideWhenUsed/>
    <w:rsid w:val="00A21446"/>
    <w:rPr>
      <w:sz w:val="16"/>
      <w:szCs w:val="16"/>
    </w:rPr>
  </w:style>
  <w:style w:type="paragraph" w:styleId="CommentText">
    <w:name w:val="annotation text"/>
    <w:basedOn w:val="Normal"/>
    <w:link w:val="CommentTextChar"/>
    <w:uiPriority w:val="99"/>
    <w:unhideWhenUsed/>
    <w:rsid w:val="00A21446"/>
    <w:pPr>
      <w:spacing w:line="240" w:lineRule="auto"/>
    </w:pPr>
    <w:rPr>
      <w:sz w:val="20"/>
      <w:szCs w:val="20"/>
    </w:rPr>
  </w:style>
  <w:style w:type="character" w:customStyle="1" w:styleId="CommentTextChar">
    <w:name w:val="Comment Text Char"/>
    <w:basedOn w:val="DefaultParagraphFont"/>
    <w:link w:val="CommentText"/>
    <w:uiPriority w:val="99"/>
    <w:rsid w:val="00A21446"/>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A21446"/>
    <w:rPr>
      <w:b/>
      <w:bCs/>
    </w:rPr>
  </w:style>
  <w:style w:type="character" w:customStyle="1" w:styleId="CommentSubjectChar">
    <w:name w:val="Comment Subject Char"/>
    <w:basedOn w:val="CommentTextChar"/>
    <w:link w:val="CommentSubject"/>
    <w:semiHidden/>
    <w:rsid w:val="00A21446"/>
    <w:rPr>
      <w:rFonts w:ascii="Times New Roman" w:hAnsi="Times New Roman"/>
      <w:b/>
      <w:bCs/>
      <w:sz w:val="20"/>
      <w:szCs w:val="20"/>
    </w:rPr>
  </w:style>
  <w:style w:type="paragraph" w:styleId="BalloonText">
    <w:name w:val="Balloon Text"/>
    <w:basedOn w:val="Normal"/>
    <w:link w:val="BalloonTextChar"/>
    <w:uiPriority w:val="99"/>
    <w:semiHidden/>
    <w:unhideWhenUsed/>
    <w:rsid w:val="00A21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446"/>
    <w:rPr>
      <w:rFonts w:ascii="Segoe UI" w:hAnsi="Segoe UI" w:cs="Segoe UI"/>
      <w:sz w:val="18"/>
      <w:szCs w:val="18"/>
    </w:rPr>
  </w:style>
  <w:style w:type="paragraph" w:customStyle="1" w:styleId="EndNoteBibliography">
    <w:name w:val="EndNote Bibliography"/>
    <w:basedOn w:val="Normal"/>
    <w:link w:val="EndNoteBibliographyChar"/>
    <w:rsid w:val="002B237D"/>
    <w:pPr>
      <w:spacing w:after="0" w:line="240" w:lineRule="auto"/>
      <w:ind w:firstLine="0"/>
      <w:jc w:val="left"/>
    </w:pPr>
    <w:rPr>
      <w:rFonts w:ascii="Cambria" w:eastAsiaTheme="minorEastAsia" w:hAnsi="Cambria"/>
      <w:noProof/>
      <w:szCs w:val="24"/>
    </w:rPr>
  </w:style>
  <w:style w:type="character" w:customStyle="1" w:styleId="EndNoteBibliographyChar">
    <w:name w:val="EndNote Bibliography Char"/>
    <w:basedOn w:val="DefaultParagraphFont"/>
    <w:link w:val="EndNoteBibliography"/>
    <w:rsid w:val="002B237D"/>
    <w:rPr>
      <w:rFonts w:ascii="Cambria" w:eastAsiaTheme="minorEastAsia" w:hAnsi="Cambria"/>
      <w:noProof/>
      <w:sz w:val="24"/>
      <w:szCs w:val="24"/>
    </w:rPr>
  </w:style>
  <w:style w:type="character" w:customStyle="1" w:styleId="UnresolvedMention1">
    <w:name w:val="Unresolved Mention1"/>
    <w:basedOn w:val="DefaultParagraphFont"/>
    <w:uiPriority w:val="99"/>
    <w:semiHidden/>
    <w:unhideWhenUsed/>
    <w:rsid w:val="008D2DEA"/>
    <w:rPr>
      <w:color w:val="808080"/>
      <w:shd w:val="clear" w:color="auto" w:fill="E6E6E6"/>
    </w:rPr>
  </w:style>
  <w:style w:type="paragraph" w:customStyle="1" w:styleId="Tablenotes">
    <w:name w:val="Tablenotes"/>
    <w:basedOn w:val="Normal"/>
    <w:next w:val="Normal"/>
    <w:link w:val="TablenotesChar"/>
    <w:qFormat/>
    <w:rsid w:val="00916645"/>
    <w:pPr>
      <w:spacing w:line="240" w:lineRule="auto"/>
      <w:ind w:firstLine="0"/>
    </w:pPr>
    <w:rPr>
      <w:sz w:val="20"/>
    </w:rPr>
  </w:style>
  <w:style w:type="character" w:customStyle="1" w:styleId="TablenotesChar">
    <w:name w:val="Tablenotes Char"/>
    <w:basedOn w:val="DefaultParagraphFont"/>
    <w:link w:val="Tablenotes"/>
    <w:rsid w:val="00916645"/>
    <w:rPr>
      <w:rFonts w:ascii="Times New Roman" w:hAnsi="Times New Roman"/>
      <w:sz w:val="20"/>
    </w:rPr>
  </w:style>
  <w:style w:type="character" w:styleId="Emphasis">
    <w:name w:val="Emphasis"/>
    <w:basedOn w:val="DefaultParagraphFont"/>
    <w:uiPriority w:val="20"/>
    <w:qFormat/>
    <w:rsid w:val="00C85D22"/>
    <w:rPr>
      <w:i/>
      <w:iCs/>
    </w:rPr>
  </w:style>
  <w:style w:type="paragraph" w:customStyle="1" w:styleId="references">
    <w:name w:val="references"/>
    <w:basedOn w:val="ListParagraph"/>
    <w:link w:val="referencesChar"/>
    <w:qFormat/>
    <w:rsid w:val="0008619E"/>
    <w:pPr>
      <w:autoSpaceDE w:val="0"/>
      <w:autoSpaceDN w:val="0"/>
      <w:adjustRightInd w:val="0"/>
      <w:spacing w:after="0" w:line="240" w:lineRule="auto"/>
      <w:ind w:left="1287" w:hanging="567"/>
    </w:pPr>
    <w:rPr>
      <w:rFonts w:cs="Times New Roman"/>
      <w:szCs w:val="24"/>
    </w:rPr>
  </w:style>
  <w:style w:type="character" w:customStyle="1" w:styleId="referencesChar">
    <w:name w:val="references Char"/>
    <w:basedOn w:val="DefaultParagraphFont"/>
    <w:link w:val="references"/>
    <w:rsid w:val="0008619E"/>
    <w:rPr>
      <w:rFonts w:ascii="Times New Roman" w:hAnsi="Times New Roman" w:cs="Times New Roman"/>
      <w:sz w:val="24"/>
      <w:szCs w:val="24"/>
    </w:rPr>
  </w:style>
  <w:style w:type="character" w:customStyle="1" w:styleId="title-text">
    <w:name w:val="title-text"/>
    <w:basedOn w:val="DefaultParagraphFont"/>
    <w:rsid w:val="00014B22"/>
  </w:style>
  <w:style w:type="character" w:customStyle="1" w:styleId="nlmstring-name">
    <w:name w:val="nlm_string-name"/>
    <w:basedOn w:val="DefaultParagraphFont"/>
    <w:rsid w:val="00F642D0"/>
  </w:style>
  <w:style w:type="character" w:customStyle="1" w:styleId="nlmyear">
    <w:name w:val="nlm_year"/>
    <w:basedOn w:val="DefaultParagraphFont"/>
    <w:rsid w:val="00F642D0"/>
  </w:style>
  <w:style w:type="character" w:customStyle="1" w:styleId="nlmarticle-title">
    <w:name w:val="nlm_article-title"/>
    <w:basedOn w:val="DefaultParagraphFont"/>
    <w:rsid w:val="00F642D0"/>
  </w:style>
  <w:style w:type="character" w:customStyle="1" w:styleId="nlmfpage">
    <w:name w:val="nlm_fpage"/>
    <w:basedOn w:val="DefaultParagraphFont"/>
    <w:rsid w:val="00F642D0"/>
  </w:style>
  <w:style w:type="character" w:customStyle="1" w:styleId="nlmlpage">
    <w:name w:val="nlm_lpage"/>
    <w:basedOn w:val="DefaultParagraphFont"/>
    <w:rsid w:val="00F642D0"/>
  </w:style>
  <w:style w:type="paragraph" w:styleId="Revision">
    <w:name w:val="Revision"/>
    <w:hidden/>
    <w:uiPriority w:val="99"/>
    <w:semiHidden/>
    <w:rsid w:val="00795A4D"/>
    <w:pPr>
      <w:spacing w:after="0" w:line="240" w:lineRule="auto"/>
    </w:pPr>
    <w:rPr>
      <w:rFonts w:ascii="Times New Roman" w:hAnsi="Times New Roman"/>
      <w:sz w:val="24"/>
    </w:rPr>
  </w:style>
  <w:style w:type="character" w:styleId="PlaceholderText">
    <w:name w:val="Placeholder Text"/>
    <w:basedOn w:val="DefaultParagraphFont"/>
    <w:uiPriority w:val="99"/>
    <w:semiHidden/>
    <w:rsid w:val="002C7DAD"/>
    <w:rPr>
      <w:color w:val="808080"/>
    </w:rPr>
  </w:style>
  <w:style w:type="paragraph" w:styleId="Subtitle">
    <w:name w:val="Subtitle"/>
    <w:basedOn w:val="Normal"/>
    <w:next w:val="Normal"/>
    <w:link w:val="SubtitleChar"/>
    <w:uiPriority w:val="11"/>
    <w:qFormat/>
    <w:rsid w:val="00CA299A"/>
    <w:pPr>
      <w:autoSpaceDE w:val="0"/>
      <w:autoSpaceDN w:val="0"/>
      <w:adjustRightInd w:val="0"/>
      <w:spacing w:after="0"/>
      <w:ind w:firstLine="227"/>
      <w:jc w:val="center"/>
    </w:pPr>
    <w:rPr>
      <w:rFonts w:eastAsiaTheme="minorEastAsia" w:cs="cmr12"/>
      <w:szCs w:val="24"/>
      <w:lang w:val="da-DK" w:eastAsia="zh-TW"/>
    </w:rPr>
  </w:style>
  <w:style w:type="character" w:customStyle="1" w:styleId="SubtitleChar">
    <w:name w:val="Subtitle Char"/>
    <w:basedOn w:val="DefaultParagraphFont"/>
    <w:link w:val="Subtitle"/>
    <w:uiPriority w:val="11"/>
    <w:rsid w:val="00CA299A"/>
    <w:rPr>
      <w:rFonts w:ascii="Times New Roman" w:eastAsiaTheme="minorEastAsia" w:hAnsi="Times New Roman" w:cs="cmr12"/>
      <w:sz w:val="24"/>
      <w:szCs w:val="24"/>
      <w:lang w:val="da-DK" w:eastAsia="zh-TW"/>
    </w:rPr>
  </w:style>
  <w:style w:type="paragraph" w:styleId="TOCHeading">
    <w:name w:val="TOC Heading"/>
    <w:basedOn w:val="Heading1"/>
    <w:next w:val="Normal"/>
    <w:uiPriority w:val="39"/>
    <w:unhideWhenUsed/>
    <w:qFormat/>
    <w:rsid w:val="00CA299A"/>
    <w:pPr>
      <w:spacing w:line="259" w:lineRule="auto"/>
      <w:ind w:firstLine="0"/>
      <w:outlineLvl w:val="9"/>
    </w:pPr>
    <w:rPr>
      <w:rFonts w:asciiTheme="majorHAnsi" w:hAnsiTheme="majorHAnsi"/>
      <w:b w:val="0"/>
      <w:color w:val="2E74B5" w:themeColor="accent1" w:themeShade="BF"/>
      <w:lang w:val="da-DK" w:eastAsia="da-DK"/>
    </w:rPr>
  </w:style>
  <w:style w:type="paragraph" w:styleId="TOC1">
    <w:name w:val="toc 1"/>
    <w:basedOn w:val="Normal"/>
    <w:next w:val="Normal"/>
    <w:autoRedefine/>
    <w:uiPriority w:val="39"/>
    <w:unhideWhenUsed/>
    <w:rsid w:val="00CA299A"/>
    <w:pPr>
      <w:autoSpaceDE w:val="0"/>
      <w:autoSpaceDN w:val="0"/>
      <w:adjustRightInd w:val="0"/>
      <w:spacing w:after="100"/>
      <w:ind w:firstLine="227"/>
    </w:pPr>
    <w:rPr>
      <w:rFonts w:eastAsiaTheme="minorEastAsia" w:cs="cmr12"/>
      <w:szCs w:val="24"/>
      <w:lang w:val="da-DK" w:eastAsia="zh-TW"/>
    </w:rPr>
  </w:style>
  <w:style w:type="paragraph" w:styleId="TOC2">
    <w:name w:val="toc 2"/>
    <w:basedOn w:val="Normal"/>
    <w:next w:val="Normal"/>
    <w:autoRedefine/>
    <w:uiPriority w:val="39"/>
    <w:unhideWhenUsed/>
    <w:rsid w:val="00CA299A"/>
    <w:pPr>
      <w:autoSpaceDE w:val="0"/>
      <w:autoSpaceDN w:val="0"/>
      <w:adjustRightInd w:val="0"/>
      <w:spacing w:after="100"/>
      <w:ind w:left="240" w:firstLine="227"/>
    </w:pPr>
    <w:rPr>
      <w:rFonts w:eastAsiaTheme="minorEastAsia" w:cs="cmr12"/>
      <w:szCs w:val="24"/>
      <w:lang w:val="da-DK" w:eastAsia="zh-TW"/>
    </w:rPr>
  </w:style>
  <w:style w:type="paragraph" w:styleId="Quote">
    <w:name w:val="Quote"/>
    <w:aliases w:val="Foot Notes"/>
    <w:basedOn w:val="Normal"/>
    <w:next w:val="Normal"/>
    <w:link w:val="QuoteChar"/>
    <w:uiPriority w:val="29"/>
    <w:qFormat/>
    <w:rsid w:val="00CA299A"/>
    <w:pPr>
      <w:ind w:firstLine="0"/>
      <w:contextualSpacing/>
    </w:pPr>
    <w:rPr>
      <w:rFonts w:eastAsia="Calibri" w:cs="Times New Roman"/>
      <w:color w:val="000000"/>
      <w:sz w:val="18"/>
      <w:szCs w:val="20"/>
      <w:lang w:val="x-none" w:eastAsia="x-none"/>
    </w:rPr>
  </w:style>
  <w:style w:type="character" w:customStyle="1" w:styleId="QuoteChar">
    <w:name w:val="Quote Char"/>
    <w:aliases w:val="Foot Notes Char"/>
    <w:basedOn w:val="DefaultParagraphFont"/>
    <w:link w:val="Quote"/>
    <w:uiPriority w:val="29"/>
    <w:rsid w:val="00CA299A"/>
    <w:rPr>
      <w:rFonts w:ascii="Times New Roman" w:eastAsia="Calibri" w:hAnsi="Times New Roman" w:cs="Times New Roman"/>
      <w:color w:val="000000"/>
      <w:sz w:val="18"/>
      <w:szCs w:val="20"/>
      <w:lang w:val="x-none" w:eastAsia="x-none"/>
    </w:rPr>
  </w:style>
  <w:style w:type="character" w:styleId="IntenseReference">
    <w:name w:val="Intense Reference"/>
    <w:aliases w:val="Table heading"/>
    <w:uiPriority w:val="32"/>
    <w:qFormat/>
    <w:rsid w:val="00CA299A"/>
    <w:rPr>
      <w:rFonts w:ascii="Calibri" w:eastAsia="SimSun" w:hAnsi="Calibri"/>
      <w:b/>
      <w:color w:val="000000"/>
      <w:spacing w:val="5"/>
      <w:sz w:val="24"/>
      <w:u w:val="none"/>
      <w:lang w:val="en-GB"/>
    </w:rPr>
  </w:style>
  <w:style w:type="character" w:customStyle="1" w:styleId="DocumentMapChar">
    <w:name w:val="Document Map Char"/>
    <w:basedOn w:val="DefaultParagraphFont"/>
    <w:link w:val="DocumentMap"/>
    <w:uiPriority w:val="99"/>
    <w:semiHidden/>
    <w:rsid w:val="00CA299A"/>
    <w:rPr>
      <w:rFonts w:ascii="Tahoma" w:eastAsia="Calibri" w:hAnsi="Tahoma" w:cs="Times New Roman"/>
      <w:color w:val="000000"/>
      <w:sz w:val="16"/>
      <w:szCs w:val="16"/>
      <w:lang w:val="x-none"/>
    </w:rPr>
  </w:style>
  <w:style w:type="paragraph" w:styleId="DocumentMap">
    <w:name w:val="Document Map"/>
    <w:basedOn w:val="Normal"/>
    <w:link w:val="DocumentMapChar"/>
    <w:uiPriority w:val="99"/>
    <w:semiHidden/>
    <w:rsid w:val="00CA299A"/>
    <w:pPr>
      <w:spacing w:after="0"/>
      <w:ind w:firstLine="0"/>
      <w:contextualSpacing/>
    </w:pPr>
    <w:rPr>
      <w:rFonts w:ascii="Tahoma" w:eastAsia="Calibri" w:hAnsi="Tahoma" w:cs="Times New Roman"/>
      <w:color w:val="000000"/>
      <w:sz w:val="16"/>
      <w:szCs w:val="16"/>
      <w:lang w:val="x-none"/>
    </w:rPr>
  </w:style>
  <w:style w:type="paragraph" w:styleId="TOC3">
    <w:name w:val="toc 3"/>
    <w:basedOn w:val="Normal"/>
    <w:next w:val="Normal"/>
    <w:autoRedefine/>
    <w:uiPriority w:val="39"/>
    <w:rsid w:val="00CA299A"/>
    <w:pPr>
      <w:tabs>
        <w:tab w:val="left" w:pos="1320"/>
        <w:tab w:val="right" w:leader="dot" w:pos="9017"/>
      </w:tabs>
      <w:spacing w:after="100" w:line="276" w:lineRule="auto"/>
      <w:ind w:left="480" w:firstLine="0"/>
      <w:contextualSpacing/>
    </w:pPr>
    <w:rPr>
      <w:rFonts w:eastAsia="Calibri" w:cs="Times New Roman"/>
      <w:color w:val="000000"/>
      <w:lang w:val="en-GB"/>
    </w:rPr>
  </w:style>
  <w:style w:type="paragraph" w:styleId="Caption">
    <w:name w:val="caption"/>
    <w:basedOn w:val="Normal"/>
    <w:next w:val="Normal"/>
    <w:qFormat/>
    <w:rsid w:val="00CA299A"/>
    <w:pPr>
      <w:spacing w:before="120" w:after="0"/>
      <w:ind w:left="720" w:firstLine="0"/>
    </w:pPr>
    <w:rPr>
      <w:rFonts w:eastAsia="Times New Roman" w:cs="Times New Roman"/>
      <w:i/>
      <w:iCs/>
      <w:szCs w:val="18"/>
      <w:lang w:val="en-GB"/>
    </w:rPr>
  </w:style>
  <w:style w:type="character" w:customStyle="1" w:styleId="EndnoteTextChar">
    <w:name w:val="Endnote Text Char"/>
    <w:basedOn w:val="DefaultParagraphFont"/>
    <w:link w:val="EndnoteText"/>
    <w:uiPriority w:val="99"/>
    <w:semiHidden/>
    <w:rsid w:val="00CA299A"/>
    <w:rPr>
      <w:rFonts w:ascii="Times New Roman" w:eastAsia="Calibri" w:hAnsi="Times New Roman" w:cs="Times New Roman"/>
      <w:color w:val="000000"/>
      <w:sz w:val="20"/>
      <w:szCs w:val="20"/>
      <w:lang w:val="en-GB"/>
    </w:rPr>
  </w:style>
  <w:style w:type="paragraph" w:styleId="EndnoteText">
    <w:name w:val="endnote text"/>
    <w:basedOn w:val="Normal"/>
    <w:link w:val="EndnoteTextChar"/>
    <w:uiPriority w:val="99"/>
    <w:semiHidden/>
    <w:unhideWhenUsed/>
    <w:rsid w:val="00CA299A"/>
    <w:pPr>
      <w:spacing w:after="0"/>
      <w:ind w:firstLine="0"/>
      <w:contextualSpacing/>
    </w:pPr>
    <w:rPr>
      <w:rFonts w:eastAsia="Calibri" w:cs="Times New Roman"/>
      <w:color w:val="000000"/>
      <w:sz w:val="20"/>
      <w:szCs w:val="20"/>
      <w:lang w:val="en-GB"/>
    </w:rPr>
  </w:style>
  <w:style w:type="character" w:customStyle="1" w:styleId="staffspan">
    <w:name w:val="staffspan"/>
    <w:basedOn w:val="DefaultParagraphFont"/>
    <w:rsid w:val="00CA299A"/>
  </w:style>
  <w:style w:type="character" w:customStyle="1" w:styleId="apple-converted-space">
    <w:name w:val="apple-converted-space"/>
    <w:basedOn w:val="DefaultParagraphFont"/>
    <w:rsid w:val="00CA299A"/>
  </w:style>
  <w:style w:type="paragraph" w:customStyle="1" w:styleId="volissue">
    <w:name w:val="volissue"/>
    <w:basedOn w:val="Normal"/>
    <w:rsid w:val="00CA299A"/>
    <w:pPr>
      <w:spacing w:before="100" w:beforeAutospacing="1" w:after="100" w:afterAutospacing="1"/>
      <w:ind w:firstLine="0"/>
    </w:pPr>
    <w:rPr>
      <w:rFonts w:eastAsia="Times New Roman" w:cs="Times New Roman"/>
      <w:szCs w:val="24"/>
    </w:rPr>
  </w:style>
  <w:style w:type="paragraph" w:styleId="NormalWeb">
    <w:name w:val="Normal (Web)"/>
    <w:basedOn w:val="Normal"/>
    <w:uiPriority w:val="99"/>
    <w:unhideWhenUsed/>
    <w:rsid w:val="00CA299A"/>
    <w:pPr>
      <w:spacing w:before="100" w:beforeAutospacing="1" w:after="100" w:afterAutospacing="1"/>
      <w:ind w:firstLine="0"/>
    </w:pPr>
    <w:rPr>
      <w:rFonts w:eastAsiaTheme="minorEastAsia" w:cs="Times New Roman"/>
      <w:szCs w:val="24"/>
    </w:rPr>
  </w:style>
  <w:style w:type="character" w:customStyle="1" w:styleId="mb">
    <w:name w:val="mb"/>
    <w:basedOn w:val="DefaultParagraphFont"/>
    <w:rsid w:val="00CA299A"/>
  </w:style>
  <w:style w:type="character" w:customStyle="1" w:styleId="journalname">
    <w:name w:val="journalname"/>
    <w:basedOn w:val="DefaultParagraphFont"/>
    <w:rsid w:val="00CA299A"/>
  </w:style>
  <w:style w:type="paragraph" w:customStyle="1" w:styleId="References0">
    <w:name w:val="References"/>
    <w:basedOn w:val="List"/>
    <w:link w:val="ReferencesChar0"/>
    <w:qFormat/>
    <w:rsid w:val="00CA299A"/>
  </w:style>
  <w:style w:type="paragraph" w:styleId="List">
    <w:name w:val="List"/>
    <w:basedOn w:val="Normal"/>
    <w:uiPriority w:val="99"/>
    <w:semiHidden/>
    <w:unhideWhenUsed/>
    <w:rsid w:val="00CA299A"/>
    <w:pPr>
      <w:autoSpaceDE w:val="0"/>
      <w:autoSpaceDN w:val="0"/>
      <w:adjustRightInd w:val="0"/>
      <w:spacing w:after="0"/>
      <w:ind w:left="360" w:hanging="360"/>
      <w:contextualSpacing/>
    </w:pPr>
    <w:rPr>
      <w:rFonts w:eastAsiaTheme="minorEastAsia" w:cs="cmr12"/>
      <w:szCs w:val="24"/>
      <w:lang w:val="da-DK" w:eastAsia="zh-TW"/>
    </w:rPr>
  </w:style>
  <w:style w:type="character" w:customStyle="1" w:styleId="ReferencesChar0">
    <w:name w:val="References Char"/>
    <w:basedOn w:val="DefaultParagraphFont"/>
    <w:link w:val="References0"/>
    <w:rsid w:val="00CA299A"/>
    <w:rPr>
      <w:rFonts w:ascii="Times New Roman" w:eastAsiaTheme="minorEastAsia" w:hAnsi="Times New Roman" w:cs="cmr12"/>
      <w:sz w:val="24"/>
      <w:szCs w:val="24"/>
      <w:lang w:val="da-DK" w:eastAsia="zh-TW"/>
    </w:rPr>
  </w:style>
  <w:style w:type="paragraph" w:styleId="NoSpacing">
    <w:name w:val="No Spacing"/>
    <w:uiPriority w:val="1"/>
    <w:qFormat/>
    <w:rsid w:val="00CA299A"/>
    <w:pPr>
      <w:autoSpaceDE w:val="0"/>
      <w:autoSpaceDN w:val="0"/>
      <w:adjustRightInd w:val="0"/>
      <w:spacing w:after="0" w:line="240" w:lineRule="auto"/>
      <w:ind w:firstLine="227"/>
    </w:pPr>
    <w:rPr>
      <w:rFonts w:ascii="LM Roman 12" w:eastAsiaTheme="minorEastAsia" w:hAnsi="LM Roman 12" w:cs="cmr12"/>
      <w:sz w:val="24"/>
      <w:szCs w:val="24"/>
      <w:lang w:val="da-DK" w:eastAsia="zh-TW"/>
    </w:rPr>
  </w:style>
  <w:style w:type="character" w:styleId="PageNumber">
    <w:name w:val="page number"/>
    <w:basedOn w:val="DefaultParagraphFont"/>
    <w:rsid w:val="00CA299A"/>
    <w:rPr>
      <w:rFonts w:cs="Times New Roman"/>
    </w:rPr>
  </w:style>
  <w:style w:type="paragraph" w:customStyle="1" w:styleId="itemdesc">
    <w:name w:val="itemdesc"/>
    <w:basedOn w:val="Normal"/>
    <w:rsid w:val="00CA299A"/>
    <w:pPr>
      <w:spacing w:before="15" w:after="100"/>
      <w:ind w:left="113" w:right="130" w:firstLine="0"/>
      <w:contextualSpacing/>
    </w:pPr>
    <w:rPr>
      <w:rFonts w:ascii="Arial" w:eastAsia="Times New Roman" w:hAnsi="Arial" w:cs="Arial"/>
      <w:color w:val="000000" w:themeColor="text1"/>
      <w:sz w:val="16"/>
      <w:szCs w:val="16"/>
      <w:lang w:val="en-GB"/>
    </w:rPr>
  </w:style>
  <w:style w:type="paragraph" w:styleId="TOC4">
    <w:name w:val="toc 4"/>
    <w:basedOn w:val="Normal"/>
    <w:next w:val="Normal"/>
    <w:autoRedefine/>
    <w:uiPriority w:val="39"/>
    <w:unhideWhenUsed/>
    <w:rsid w:val="00CA299A"/>
    <w:pPr>
      <w:spacing w:after="100" w:line="276" w:lineRule="auto"/>
      <w:ind w:left="660" w:firstLine="0"/>
    </w:pPr>
    <w:rPr>
      <w:rFonts w:asciiTheme="minorHAnsi" w:eastAsiaTheme="minorEastAsia" w:hAnsiTheme="minorHAnsi" w:cs="Times New Roman"/>
      <w:sz w:val="22"/>
    </w:rPr>
  </w:style>
  <w:style w:type="paragraph" w:styleId="TOC5">
    <w:name w:val="toc 5"/>
    <w:basedOn w:val="Normal"/>
    <w:next w:val="Normal"/>
    <w:autoRedefine/>
    <w:uiPriority w:val="39"/>
    <w:unhideWhenUsed/>
    <w:rsid w:val="00CA299A"/>
    <w:pPr>
      <w:spacing w:after="100" w:line="276" w:lineRule="auto"/>
      <w:ind w:left="880" w:firstLine="0"/>
    </w:pPr>
    <w:rPr>
      <w:rFonts w:asciiTheme="minorHAnsi" w:eastAsiaTheme="minorEastAsia" w:hAnsiTheme="minorHAnsi" w:cs="Times New Roman"/>
      <w:sz w:val="22"/>
    </w:rPr>
  </w:style>
  <w:style w:type="paragraph" w:styleId="TOC6">
    <w:name w:val="toc 6"/>
    <w:basedOn w:val="Normal"/>
    <w:next w:val="Normal"/>
    <w:autoRedefine/>
    <w:uiPriority w:val="39"/>
    <w:unhideWhenUsed/>
    <w:rsid w:val="00CA299A"/>
    <w:pPr>
      <w:spacing w:after="100" w:line="276" w:lineRule="auto"/>
      <w:ind w:left="1100" w:firstLine="0"/>
    </w:pPr>
    <w:rPr>
      <w:rFonts w:asciiTheme="minorHAnsi" w:eastAsiaTheme="minorEastAsia" w:hAnsiTheme="minorHAnsi" w:cs="Times New Roman"/>
      <w:sz w:val="22"/>
    </w:rPr>
  </w:style>
  <w:style w:type="paragraph" w:styleId="TOC7">
    <w:name w:val="toc 7"/>
    <w:basedOn w:val="Normal"/>
    <w:next w:val="Normal"/>
    <w:autoRedefine/>
    <w:uiPriority w:val="39"/>
    <w:unhideWhenUsed/>
    <w:rsid w:val="00CA299A"/>
    <w:pPr>
      <w:spacing w:after="100" w:line="276" w:lineRule="auto"/>
      <w:ind w:left="1320" w:firstLine="0"/>
    </w:pPr>
    <w:rPr>
      <w:rFonts w:asciiTheme="minorHAnsi" w:eastAsiaTheme="minorEastAsia" w:hAnsiTheme="minorHAnsi" w:cs="Times New Roman"/>
      <w:sz w:val="22"/>
    </w:rPr>
  </w:style>
  <w:style w:type="paragraph" w:styleId="TOC8">
    <w:name w:val="toc 8"/>
    <w:basedOn w:val="Normal"/>
    <w:next w:val="Normal"/>
    <w:autoRedefine/>
    <w:uiPriority w:val="39"/>
    <w:unhideWhenUsed/>
    <w:rsid w:val="00CA299A"/>
    <w:pPr>
      <w:spacing w:after="100" w:line="276" w:lineRule="auto"/>
      <w:ind w:left="1540" w:firstLine="0"/>
    </w:pPr>
    <w:rPr>
      <w:rFonts w:asciiTheme="minorHAnsi" w:eastAsiaTheme="minorEastAsia" w:hAnsiTheme="minorHAnsi" w:cs="Times New Roman"/>
      <w:sz w:val="22"/>
    </w:rPr>
  </w:style>
  <w:style w:type="paragraph" w:styleId="TOC9">
    <w:name w:val="toc 9"/>
    <w:basedOn w:val="Normal"/>
    <w:next w:val="Normal"/>
    <w:autoRedefine/>
    <w:uiPriority w:val="39"/>
    <w:unhideWhenUsed/>
    <w:rsid w:val="00CA299A"/>
    <w:pPr>
      <w:spacing w:after="100" w:line="276" w:lineRule="auto"/>
      <w:ind w:left="1760" w:firstLine="0"/>
    </w:pPr>
    <w:rPr>
      <w:rFonts w:asciiTheme="minorHAnsi" w:eastAsiaTheme="minorEastAsia" w:hAnsiTheme="minorHAnsi" w:cs="Times New Roman"/>
      <w:sz w:val="22"/>
    </w:rPr>
  </w:style>
  <w:style w:type="character" w:styleId="BookTitle">
    <w:name w:val="Book Title"/>
    <w:basedOn w:val="DefaultParagraphFont"/>
    <w:uiPriority w:val="33"/>
    <w:qFormat/>
    <w:rsid w:val="00CA299A"/>
    <w:rPr>
      <w:rFonts w:cs="Times New Roman"/>
      <w:b/>
      <w:bCs/>
      <w:smallCaps/>
      <w:spacing w:val="5"/>
    </w:rPr>
  </w:style>
  <w:style w:type="paragraph" w:styleId="TableofFigures">
    <w:name w:val="table of figures"/>
    <w:basedOn w:val="Normal"/>
    <w:next w:val="Normal"/>
    <w:uiPriority w:val="99"/>
    <w:unhideWhenUsed/>
    <w:rsid w:val="00CA299A"/>
    <w:pPr>
      <w:spacing w:after="0"/>
      <w:ind w:firstLine="0"/>
      <w:contextualSpacing/>
    </w:pPr>
    <w:rPr>
      <w:rFonts w:eastAsia="Times New Roman" w:cs="Times New Roman"/>
      <w:color w:val="000000" w:themeColor="text1"/>
      <w:lang w:val="en-GB"/>
    </w:rPr>
  </w:style>
  <w:style w:type="paragraph" w:styleId="IntenseQuote">
    <w:name w:val="Intense Quote"/>
    <w:basedOn w:val="Normal"/>
    <w:next w:val="Normal"/>
    <w:link w:val="IntenseQuoteChar"/>
    <w:uiPriority w:val="30"/>
    <w:qFormat/>
    <w:rsid w:val="00CA299A"/>
    <w:pPr>
      <w:pBdr>
        <w:bottom w:val="single" w:sz="4" w:space="4" w:color="5B9BD5" w:themeColor="accent1"/>
      </w:pBdr>
      <w:spacing w:before="200" w:after="280"/>
      <w:ind w:left="936" w:right="936" w:firstLine="0"/>
      <w:contextualSpacing/>
    </w:pPr>
    <w:rPr>
      <w:rFonts w:eastAsia="Times New Roman" w:cs="Times New Roman"/>
      <w:b/>
      <w:bCs/>
      <w:i/>
      <w:iCs/>
      <w:color w:val="5B9BD5" w:themeColor="accent1"/>
      <w:lang w:val="en-GB"/>
    </w:rPr>
  </w:style>
  <w:style w:type="character" w:customStyle="1" w:styleId="IntenseQuoteChar">
    <w:name w:val="Intense Quote Char"/>
    <w:basedOn w:val="DefaultParagraphFont"/>
    <w:link w:val="IntenseQuote"/>
    <w:uiPriority w:val="30"/>
    <w:rsid w:val="00CA299A"/>
    <w:rPr>
      <w:rFonts w:ascii="Times New Roman" w:eastAsia="Times New Roman" w:hAnsi="Times New Roman" w:cs="Times New Roman"/>
      <w:b/>
      <w:bCs/>
      <w:i/>
      <w:iCs/>
      <w:color w:val="5B9BD5" w:themeColor="accent1"/>
      <w:sz w:val="24"/>
      <w:lang w:val="en-GB"/>
    </w:rPr>
  </w:style>
  <w:style w:type="paragraph" w:customStyle="1" w:styleId="Default">
    <w:name w:val="Default"/>
    <w:rsid w:val="00CA299A"/>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character" w:customStyle="1" w:styleId="text">
    <w:name w:val="text"/>
    <w:basedOn w:val="DefaultParagraphFont"/>
    <w:rsid w:val="00CA299A"/>
  </w:style>
  <w:style w:type="character" w:customStyle="1" w:styleId="author-ref">
    <w:name w:val="author-ref"/>
    <w:basedOn w:val="DefaultParagraphFont"/>
    <w:rsid w:val="00CA299A"/>
  </w:style>
  <w:style w:type="paragraph" w:customStyle="1" w:styleId="FootEndnotes">
    <w:name w:val="FootEndnotes"/>
    <w:basedOn w:val="FootnoteText"/>
    <w:link w:val="FootEndnotesChar"/>
    <w:qFormat/>
    <w:rsid w:val="00CA299A"/>
    <w:pPr>
      <w:autoSpaceDE w:val="0"/>
      <w:autoSpaceDN w:val="0"/>
      <w:adjustRightInd w:val="0"/>
      <w:ind w:firstLine="227"/>
    </w:pPr>
    <w:rPr>
      <w:rFonts w:eastAsiaTheme="minorEastAsia" w:cs="cmr12"/>
      <w:sz w:val="18"/>
      <w:lang w:val="da-DK" w:eastAsia="zh-TW"/>
    </w:rPr>
  </w:style>
  <w:style w:type="character" w:customStyle="1" w:styleId="FootEndnotesChar">
    <w:name w:val="FootEndnotes Char"/>
    <w:basedOn w:val="FootnoteTextChar"/>
    <w:link w:val="FootEndnotes"/>
    <w:rsid w:val="00CA299A"/>
    <w:rPr>
      <w:rFonts w:ascii="Times New Roman" w:eastAsiaTheme="minorEastAsia" w:hAnsi="Times New Roman" w:cs="cmr12"/>
      <w:sz w:val="18"/>
      <w:szCs w:val="20"/>
      <w:lang w:val="da-DK" w:eastAsia="zh-TW"/>
    </w:rPr>
  </w:style>
  <w:style w:type="paragraph" w:styleId="HTMLPreformatted">
    <w:name w:val="HTML Preformatted"/>
    <w:basedOn w:val="Normal"/>
    <w:link w:val="HTMLPreformattedChar"/>
    <w:uiPriority w:val="99"/>
    <w:semiHidden/>
    <w:unhideWhenUsed/>
    <w:rsid w:val="00A30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A3032B"/>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92924">
      <w:bodyDiv w:val="1"/>
      <w:marLeft w:val="0"/>
      <w:marRight w:val="0"/>
      <w:marTop w:val="0"/>
      <w:marBottom w:val="0"/>
      <w:divBdr>
        <w:top w:val="none" w:sz="0" w:space="0" w:color="auto"/>
        <w:left w:val="none" w:sz="0" w:space="0" w:color="auto"/>
        <w:bottom w:val="none" w:sz="0" w:space="0" w:color="auto"/>
        <w:right w:val="none" w:sz="0" w:space="0" w:color="auto"/>
      </w:divBdr>
    </w:div>
    <w:div w:id="71314164">
      <w:bodyDiv w:val="1"/>
      <w:marLeft w:val="0"/>
      <w:marRight w:val="0"/>
      <w:marTop w:val="0"/>
      <w:marBottom w:val="0"/>
      <w:divBdr>
        <w:top w:val="none" w:sz="0" w:space="0" w:color="auto"/>
        <w:left w:val="none" w:sz="0" w:space="0" w:color="auto"/>
        <w:bottom w:val="none" w:sz="0" w:space="0" w:color="auto"/>
        <w:right w:val="none" w:sz="0" w:space="0" w:color="auto"/>
      </w:divBdr>
    </w:div>
    <w:div w:id="71856918">
      <w:bodyDiv w:val="1"/>
      <w:marLeft w:val="0"/>
      <w:marRight w:val="0"/>
      <w:marTop w:val="0"/>
      <w:marBottom w:val="0"/>
      <w:divBdr>
        <w:top w:val="none" w:sz="0" w:space="0" w:color="auto"/>
        <w:left w:val="none" w:sz="0" w:space="0" w:color="auto"/>
        <w:bottom w:val="none" w:sz="0" w:space="0" w:color="auto"/>
        <w:right w:val="none" w:sz="0" w:space="0" w:color="auto"/>
      </w:divBdr>
    </w:div>
    <w:div w:id="75172759">
      <w:bodyDiv w:val="1"/>
      <w:marLeft w:val="0"/>
      <w:marRight w:val="0"/>
      <w:marTop w:val="0"/>
      <w:marBottom w:val="0"/>
      <w:divBdr>
        <w:top w:val="none" w:sz="0" w:space="0" w:color="auto"/>
        <w:left w:val="none" w:sz="0" w:space="0" w:color="auto"/>
        <w:bottom w:val="none" w:sz="0" w:space="0" w:color="auto"/>
        <w:right w:val="none" w:sz="0" w:space="0" w:color="auto"/>
      </w:divBdr>
    </w:div>
    <w:div w:id="79910666">
      <w:bodyDiv w:val="1"/>
      <w:marLeft w:val="0"/>
      <w:marRight w:val="0"/>
      <w:marTop w:val="0"/>
      <w:marBottom w:val="0"/>
      <w:divBdr>
        <w:top w:val="none" w:sz="0" w:space="0" w:color="auto"/>
        <w:left w:val="none" w:sz="0" w:space="0" w:color="auto"/>
        <w:bottom w:val="none" w:sz="0" w:space="0" w:color="auto"/>
        <w:right w:val="none" w:sz="0" w:space="0" w:color="auto"/>
      </w:divBdr>
    </w:div>
    <w:div w:id="125243969">
      <w:bodyDiv w:val="1"/>
      <w:marLeft w:val="0"/>
      <w:marRight w:val="0"/>
      <w:marTop w:val="0"/>
      <w:marBottom w:val="0"/>
      <w:divBdr>
        <w:top w:val="none" w:sz="0" w:space="0" w:color="auto"/>
        <w:left w:val="none" w:sz="0" w:space="0" w:color="auto"/>
        <w:bottom w:val="none" w:sz="0" w:space="0" w:color="auto"/>
        <w:right w:val="none" w:sz="0" w:space="0" w:color="auto"/>
      </w:divBdr>
    </w:div>
    <w:div w:id="170727028">
      <w:bodyDiv w:val="1"/>
      <w:marLeft w:val="0"/>
      <w:marRight w:val="0"/>
      <w:marTop w:val="0"/>
      <w:marBottom w:val="0"/>
      <w:divBdr>
        <w:top w:val="none" w:sz="0" w:space="0" w:color="auto"/>
        <w:left w:val="none" w:sz="0" w:space="0" w:color="auto"/>
        <w:bottom w:val="none" w:sz="0" w:space="0" w:color="auto"/>
        <w:right w:val="none" w:sz="0" w:space="0" w:color="auto"/>
      </w:divBdr>
      <w:divsChild>
        <w:div w:id="1138912466">
          <w:marLeft w:val="0"/>
          <w:marRight w:val="0"/>
          <w:marTop w:val="0"/>
          <w:marBottom w:val="0"/>
          <w:divBdr>
            <w:top w:val="none" w:sz="0" w:space="0" w:color="auto"/>
            <w:left w:val="none" w:sz="0" w:space="0" w:color="auto"/>
            <w:bottom w:val="none" w:sz="0" w:space="0" w:color="auto"/>
            <w:right w:val="none" w:sz="0" w:space="0" w:color="auto"/>
          </w:divBdr>
        </w:div>
        <w:div w:id="1758596030">
          <w:marLeft w:val="0"/>
          <w:marRight w:val="0"/>
          <w:marTop w:val="0"/>
          <w:marBottom w:val="0"/>
          <w:divBdr>
            <w:top w:val="none" w:sz="0" w:space="0" w:color="auto"/>
            <w:left w:val="none" w:sz="0" w:space="0" w:color="auto"/>
            <w:bottom w:val="none" w:sz="0" w:space="0" w:color="auto"/>
            <w:right w:val="none" w:sz="0" w:space="0" w:color="auto"/>
          </w:divBdr>
        </w:div>
      </w:divsChild>
    </w:div>
    <w:div w:id="174422805">
      <w:bodyDiv w:val="1"/>
      <w:marLeft w:val="0"/>
      <w:marRight w:val="0"/>
      <w:marTop w:val="0"/>
      <w:marBottom w:val="0"/>
      <w:divBdr>
        <w:top w:val="none" w:sz="0" w:space="0" w:color="auto"/>
        <w:left w:val="none" w:sz="0" w:space="0" w:color="auto"/>
        <w:bottom w:val="none" w:sz="0" w:space="0" w:color="auto"/>
        <w:right w:val="none" w:sz="0" w:space="0" w:color="auto"/>
      </w:divBdr>
    </w:div>
    <w:div w:id="182212254">
      <w:bodyDiv w:val="1"/>
      <w:marLeft w:val="0"/>
      <w:marRight w:val="0"/>
      <w:marTop w:val="0"/>
      <w:marBottom w:val="0"/>
      <w:divBdr>
        <w:top w:val="none" w:sz="0" w:space="0" w:color="auto"/>
        <w:left w:val="none" w:sz="0" w:space="0" w:color="auto"/>
        <w:bottom w:val="none" w:sz="0" w:space="0" w:color="auto"/>
        <w:right w:val="none" w:sz="0" w:space="0" w:color="auto"/>
      </w:divBdr>
    </w:div>
    <w:div w:id="204216636">
      <w:bodyDiv w:val="1"/>
      <w:marLeft w:val="0"/>
      <w:marRight w:val="0"/>
      <w:marTop w:val="0"/>
      <w:marBottom w:val="0"/>
      <w:divBdr>
        <w:top w:val="none" w:sz="0" w:space="0" w:color="auto"/>
        <w:left w:val="none" w:sz="0" w:space="0" w:color="auto"/>
        <w:bottom w:val="none" w:sz="0" w:space="0" w:color="auto"/>
        <w:right w:val="none" w:sz="0" w:space="0" w:color="auto"/>
      </w:divBdr>
    </w:div>
    <w:div w:id="247887203">
      <w:bodyDiv w:val="1"/>
      <w:marLeft w:val="0"/>
      <w:marRight w:val="0"/>
      <w:marTop w:val="0"/>
      <w:marBottom w:val="0"/>
      <w:divBdr>
        <w:top w:val="none" w:sz="0" w:space="0" w:color="auto"/>
        <w:left w:val="none" w:sz="0" w:space="0" w:color="auto"/>
        <w:bottom w:val="none" w:sz="0" w:space="0" w:color="auto"/>
        <w:right w:val="none" w:sz="0" w:space="0" w:color="auto"/>
      </w:divBdr>
    </w:div>
    <w:div w:id="259412015">
      <w:bodyDiv w:val="1"/>
      <w:marLeft w:val="0"/>
      <w:marRight w:val="0"/>
      <w:marTop w:val="0"/>
      <w:marBottom w:val="0"/>
      <w:divBdr>
        <w:top w:val="none" w:sz="0" w:space="0" w:color="auto"/>
        <w:left w:val="none" w:sz="0" w:space="0" w:color="auto"/>
        <w:bottom w:val="none" w:sz="0" w:space="0" w:color="auto"/>
        <w:right w:val="none" w:sz="0" w:space="0" w:color="auto"/>
      </w:divBdr>
    </w:div>
    <w:div w:id="264583116">
      <w:bodyDiv w:val="1"/>
      <w:marLeft w:val="0"/>
      <w:marRight w:val="0"/>
      <w:marTop w:val="0"/>
      <w:marBottom w:val="0"/>
      <w:divBdr>
        <w:top w:val="none" w:sz="0" w:space="0" w:color="auto"/>
        <w:left w:val="none" w:sz="0" w:space="0" w:color="auto"/>
        <w:bottom w:val="none" w:sz="0" w:space="0" w:color="auto"/>
        <w:right w:val="none" w:sz="0" w:space="0" w:color="auto"/>
      </w:divBdr>
    </w:div>
    <w:div w:id="291518661">
      <w:bodyDiv w:val="1"/>
      <w:marLeft w:val="0"/>
      <w:marRight w:val="0"/>
      <w:marTop w:val="0"/>
      <w:marBottom w:val="0"/>
      <w:divBdr>
        <w:top w:val="none" w:sz="0" w:space="0" w:color="auto"/>
        <w:left w:val="none" w:sz="0" w:space="0" w:color="auto"/>
        <w:bottom w:val="none" w:sz="0" w:space="0" w:color="auto"/>
        <w:right w:val="none" w:sz="0" w:space="0" w:color="auto"/>
      </w:divBdr>
    </w:div>
    <w:div w:id="292950168">
      <w:bodyDiv w:val="1"/>
      <w:marLeft w:val="0"/>
      <w:marRight w:val="0"/>
      <w:marTop w:val="0"/>
      <w:marBottom w:val="0"/>
      <w:divBdr>
        <w:top w:val="none" w:sz="0" w:space="0" w:color="auto"/>
        <w:left w:val="none" w:sz="0" w:space="0" w:color="auto"/>
        <w:bottom w:val="none" w:sz="0" w:space="0" w:color="auto"/>
        <w:right w:val="none" w:sz="0" w:space="0" w:color="auto"/>
      </w:divBdr>
    </w:div>
    <w:div w:id="383674155">
      <w:bodyDiv w:val="1"/>
      <w:marLeft w:val="0"/>
      <w:marRight w:val="0"/>
      <w:marTop w:val="0"/>
      <w:marBottom w:val="0"/>
      <w:divBdr>
        <w:top w:val="none" w:sz="0" w:space="0" w:color="auto"/>
        <w:left w:val="none" w:sz="0" w:space="0" w:color="auto"/>
        <w:bottom w:val="none" w:sz="0" w:space="0" w:color="auto"/>
        <w:right w:val="none" w:sz="0" w:space="0" w:color="auto"/>
      </w:divBdr>
    </w:div>
    <w:div w:id="404034957">
      <w:bodyDiv w:val="1"/>
      <w:marLeft w:val="0"/>
      <w:marRight w:val="0"/>
      <w:marTop w:val="0"/>
      <w:marBottom w:val="0"/>
      <w:divBdr>
        <w:top w:val="none" w:sz="0" w:space="0" w:color="auto"/>
        <w:left w:val="none" w:sz="0" w:space="0" w:color="auto"/>
        <w:bottom w:val="none" w:sz="0" w:space="0" w:color="auto"/>
        <w:right w:val="none" w:sz="0" w:space="0" w:color="auto"/>
      </w:divBdr>
    </w:div>
    <w:div w:id="408158223">
      <w:bodyDiv w:val="1"/>
      <w:marLeft w:val="0"/>
      <w:marRight w:val="0"/>
      <w:marTop w:val="0"/>
      <w:marBottom w:val="0"/>
      <w:divBdr>
        <w:top w:val="none" w:sz="0" w:space="0" w:color="auto"/>
        <w:left w:val="none" w:sz="0" w:space="0" w:color="auto"/>
        <w:bottom w:val="none" w:sz="0" w:space="0" w:color="auto"/>
        <w:right w:val="none" w:sz="0" w:space="0" w:color="auto"/>
      </w:divBdr>
    </w:div>
    <w:div w:id="422647420">
      <w:bodyDiv w:val="1"/>
      <w:marLeft w:val="0"/>
      <w:marRight w:val="0"/>
      <w:marTop w:val="0"/>
      <w:marBottom w:val="0"/>
      <w:divBdr>
        <w:top w:val="none" w:sz="0" w:space="0" w:color="auto"/>
        <w:left w:val="none" w:sz="0" w:space="0" w:color="auto"/>
        <w:bottom w:val="none" w:sz="0" w:space="0" w:color="auto"/>
        <w:right w:val="none" w:sz="0" w:space="0" w:color="auto"/>
      </w:divBdr>
    </w:div>
    <w:div w:id="436565733">
      <w:bodyDiv w:val="1"/>
      <w:marLeft w:val="0"/>
      <w:marRight w:val="0"/>
      <w:marTop w:val="0"/>
      <w:marBottom w:val="0"/>
      <w:divBdr>
        <w:top w:val="none" w:sz="0" w:space="0" w:color="auto"/>
        <w:left w:val="none" w:sz="0" w:space="0" w:color="auto"/>
        <w:bottom w:val="none" w:sz="0" w:space="0" w:color="auto"/>
        <w:right w:val="none" w:sz="0" w:space="0" w:color="auto"/>
      </w:divBdr>
    </w:div>
    <w:div w:id="547110224">
      <w:bodyDiv w:val="1"/>
      <w:marLeft w:val="0"/>
      <w:marRight w:val="0"/>
      <w:marTop w:val="0"/>
      <w:marBottom w:val="0"/>
      <w:divBdr>
        <w:top w:val="none" w:sz="0" w:space="0" w:color="auto"/>
        <w:left w:val="none" w:sz="0" w:space="0" w:color="auto"/>
        <w:bottom w:val="none" w:sz="0" w:space="0" w:color="auto"/>
        <w:right w:val="none" w:sz="0" w:space="0" w:color="auto"/>
      </w:divBdr>
    </w:div>
    <w:div w:id="552473495">
      <w:bodyDiv w:val="1"/>
      <w:marLeft w:val="0"/>
      <w:marRight w:val="0"/>
      <w:marTop w:val="0"/>
      <w:marBottom w:val="0"/>
      <w:divBdr>
        <w:top w:val="none" w:sz="0" w:space="0" w:color="auto"/>
        <w:left w:val="none" w:sz="0" w:space="0" w:color="auto"/>
        <w:bottom w:val="none" w:sz="0" w:space="0" w:color="auto"/>
        <w:right w:val="none" w:sz="0" w:space="0" w:color="auto"/>
      </w:divBdr>
    </w:div>
    <w:div w:id="553809953">
      <w:bodyDiv w:val="1"/>
      <w:marLeft w:val="0"/>
      <w:marRight w:val="0"/>
      <w:marTop w:val="0"/>
      <w:marBottom w:val="0"/>
      <w:divBdr>
        <w:top w:val="none" w:sz="0" w:space="0" w:color="auto"/>
        <w:left w:val="none" w:sz="0" w:space="0" w:color="auto"/>
        <w:bottom w:val="none" w:sz="0" w:space="0" w:color="auto"/>
        <w:right w:val="none" w:sz="0" w:space="0" w:color="auto"/>
      </w:divBdr>
      <w:divsChild>
        <w:div w:id="143011183">
          <w:marLeft w:val="0"/>
          <w:marRight w:val="0"/>
          <w:marTop w:val="0"/>
          <w:marBottom w:val="0"/>
          <w:divBdr>
            <w:top w:val="none" w:sz="0" w:space="0" w:color="auto"/>
            <w:left w:val="none" w:sz="0" w:space="0" w:color="auto"/>
            <w:bottom w:val="none" w:sz="0" w:space="0" w:color="auto"/>
            <w:right w:val="none" w:sz="0" w:space="0" w:color="auto"/>
          </w:divBdr>
        </w:div>
        <w:div w:id="1096904452">
          <w:marLeft w:val="0"/>
          <w:marRight w:val="0"/>
          <w:marTop w:val="0"/>
          <w:marBottom w:val="0"/>
          <w:divBdr>
            <w:top w:val="none" w:sz="0" w:space="0" w:color="auto"/>
            <w:left w:val="none" w:sz="0" w:space="0" w:color="auto"/>
            <w:bottom w:val="none" w:sz="0" w:space="0" w:color="auto"/>
            <w:right w:val="none" w:sz="0" w:space="0" w:color="auto"/>
          </w:divBdr>
        </w:div>
      </w:divsChild>
    </w:div>
    <w:div w:id="578059124">
      <w:bodyDiv w:val="1"/>
      <w:marLeft w:val="0"/>
      <w:marRight w:val="0"/>
      <w:marTop w:val="0"/>
      <w:marBottom w:val="0"/>
      <w:divBdr>
        <w:top w:val="none" w:sz="0" w:space="0" w:color="auto"/>
        <w:left w:val="none" w:sz="0" w:space="0" w:color="auto"/>
        <w:bottom w:val="none" w:sz="0" w:space="0" w:color="auto"/>
        <w:right w:val="none" w:sz="0" w:space="0" w:color="auto"/>
      </w:divBdr>
    </w:div>
    <w:div w:id="586696622">
      <w:bodyDiv w:val="1"/>
      <w:marLeft w:val="0"/>
      <w:marRight w:val="0"/>
      <w:marTop w:val="0"/>
      <w:marBottom w:val="0"/>
      <w:divBdr>
        <w:top w:val="none" w:sz="0" w:space="0" w:color="auto"/>
        <w:left w:val="none" w:sz="0" w:space="0" w:color="auto"/>
        <w:bottom w:val="none" w:sz="0" w:space="0" w:color="auto"/>
        <w:right w:val="none" w:sz="0" w:space="0" w:color="auto"/>
      </w:divBdr>
    </w:div>
    <w:div w:id="590357475">
      <w:bodyDiv w:val="1"/>
      <w:marLeft w:val="0"/>
      <w:marRight w:val="0"/>
      <w:marTop w:val="0"/>
      <w:marBottom w:val="0"/>
      <w:divBdr>
        <w:top w:val="none" w:sz="0" w:space="0" w:color="auto"/>
        <w:left w:val="none" w:sz="0" w:space="0" w:color="auto"/>
        <w:bottom w:val="none" w:sz="0" w:space="0" w:color="auto"/>
        <w:right w:val="none" w:sz="0" w:space="0" w:color="auto"/>
      </w:divBdr>
    </w:div>
    <w:div w:id="611595162">
      <w:bodyDiv w:val="1"/>
      <w:marLeft w:val="0"/>
      <w:marRight w:val="0"/>
      <w:marTop w:val="0"/>
      <w:marBottom w:val="0"/>
      <w:divBdr>
        <w:top w:val="none" w:sz="0" w:space="0" w:color="auto"/>
        <w:left w:val="none" w:sz="0" w:space="0" w:color="auto"/>
        <w:bottom w:val="none" w:sz="0" w:space="0" w:color="auto"/>
        <w:right w:val="none" w:sz="0" w:space="0" w:color="auto"/>
      </w:divBdr>
    </w:div>
    <w:div w:id="611665910">
      <w:bodyDiv w:val="1"/>
      <w:marLeft w:val="0"/>
      <w:marRight w:val="0"/>
      <w:marTop w:val="0"/>
      <w:marBottom w:val="0"/>
      <w:divBdr>
        <w:top w:val="none" w:sz="0" w:space="0" w:color="auto"/>
        <w:left w:val="none" w:sz="0" w:space="0" w:color="auto"/>
        <w:bottom w:val="none" w:sz="0" w:space="0" w:color="auto"/>
        <w:right w:val="none" w:sz="0" w:space="0" w:color="auto"/>
      </w:divBdr>
    </w:div>
    <w:div w:id="641270717">
      <w:bodyDiv w:val="1"/>
      <w:marLeft w:val="0"/>
      <w:marRight w:val="0"/>
      <w:marTop w:val="0"/>
      <w:marBottom w:val="0"/>
      <w:divBdr>
        <w:top w:val="none" w:sz="0" w:space="0" w:color="auto"/>
        <w:left w:val="none" w:sz="0" w:space="0" w:color="auto"/>
        <w:bottom w:val="none" w:sz="0" w:space="0" w:color="auto"/>
        <w:right w:val="none" w:sz="0" w:space="0" w:color="auto"/>
      </w:divBdr>
    </w:div>
    <w:div w:id="662395851">
      <w:bodyDiv w:val="1"/>
      <w:marLeft w:val="0"/>
      <w:marRight w:val="0"/>
      <w:marTop w:val="0"/>
      <w:marBottom w:val="0"/>
      <w:divBdr>
        <w:top w:val="none" w:sz="0" w:space="0" w:color="auto"/>
        <w:left w:val="none" w:sz="0" w:space="0" w:color="auto"/>
        <w:bottom w:val="none" w:sz="0" w:space="0" w:color="auto"/>
        <w:right w:val="none" w:sz="0" w:space="0" w:color="auto"/>
      </w:divBdr>
    </w:div>
    <w:div w:id="700398635">
      <w:bodyDiv w:val="1"/>
      <w:marLeft w:val="0"/>
      <w:marRight w:val="0"/>
      <w:marTop w:val="0"/>
      <w:marBottom w:val="0"/>
      <w:divBdr>
        <w:top w:val="none" w:sz="0" w:space="0" w:color="auto"/>
        <w:left w:val="none" w:sz="0" w:space="0" w:color="auto"/>
        <w:bottom w:val="none" w:sz="0" w:space="0" w:color="auto"/>
        <w:right w:val="none" w:sz="0" w:space="0" w:color="auto"/>
      </w:divBdr>
    </w:div>
    <w:div w:id="716901520">
      <w:bodyDiv w:val="1"/>
      <w:marLeft w:val="0"/>
      <w:marRight w:val="0"/>
      <w:marTop w:val="0"/>
      <w:marBottom w:val="0"/>
      <w:divBdr>
        <w:top w:val="none" w:sz="0" w:space="0" w:color="auto"/>
        <w:left w:val="none" w:sz="0" w:space="0" w:color="auto"/>
        <w:bottom w:val="none" w:sz="0" w:space="0" w:color="auto"/>
        <w:right w:val="none" w:sz="0" w:space="0" w:color="auto"/>
      </w:divBdr>
    </w:div>
    <w:div w:id="735517540">
      <w:bodyDiv w:val="1"/>
      <w:marLeft w:val="0"/>
      <w:marRight w:val="0"/>
      <w:marTop w:val="0"/>
      <w:marBottom w:val="0"/>
      <w:divBdr>
        <w:top w:val="none" w:sz="0" w:space="0" w:color="auto"/>
        <w:left w:val="none" w:sz="0" w:space="0" w:color="auto"/>
        <w:bottom w:val="none" w:sz="0" w:space="0" w:color="auto"/>
        <w:right w:val="none" w:sz="0" w:space="0" w:color="auto"/>
      </w:divBdr>
    </w:div>
    <w:div w:id="741220015">
      <w:bodyDiv w:val="1"/>
      <w:marLeft w:val="0"/>
      <w:marRight w:val="0"/>
      <w:marTop w:val="0"/>
      <w:marBottom w:val="0"/>
      <w:divBdr>
        <w:top w:val="none" w:sz="0" w:space="0" w:color="auto"/>
        <w:left w:val="none" w:sz="0" w:space="0" w:color="auto"/>
        <w:bottom w:val="none" w:sz="0" w:space="0" w:color="auto"/>
        <w:right w:val="none" w:sz="0" w:space="0" w:color="auto"/>
      </w:divBdr>
    </w:div>
    <w:div w:id="765155986">
      <w:bodyDiv w:val="1"/>
      <w:marLeft w:val="0"/>
      <w:marRight w:val="0"/>
      <w:marTop w:val="0"/>
      <w:marBottom w:val="0"/>
      <w:divBdr>
        <w:top w:val="none" w:sz="0" w:space="0" w:color="auto"/>
        <w:left w:val="none" w:sz="0" w:space="0" w:color="auto"/>
        <w:bottom w:val="none" w:sz="0" w:space="0" w:color="auto"/>
        <w:right w:val="none" w:sz="0" w:space="0" w:color="auto"/>
      </w:divBdr>
    </w:div>
    <w:div w:id="770054034">
      <w:bodyDiv w:val="1"/>
      <w:marLeft w:val="0"/>
      <w:marRight w:val="0"/>
      <w:marTop w:val="0"/>
      <w:marBottom w:val="0"/>
      <w:divBdr>
        <w:top w:val="none" w:sz="0" w:space="0" w:color="auto"/>
        <w:left w:val="none" w:sz="0" w:space="0" w:color="auto"/>
        <w:bottom w:val="none" w:sz="0" w:space="0" w:color="auto"/>
        <w:right w:val="none" w:sz="0" w:space="0" w:color="auto"/>
      </w:divBdr>
    </w:div>
    <w:div w:id="772558175">
      <w:bodyDiv w:val="1"/>
      <w:marLeft w:val="0"/>
      <w:marRight w:val="0"/>
      <w:marTop w:val="0"/>
      <w:marBottom w:val="0"/>
      <w:divBdr>
        <w:top w:val="none" w:sz="0" w:space="0" w:color="auto"/>
        <w:left w:val="none" w:sz="0" w:space="0" w:color="auto"/>
        <w:bottom w:val="none" w:sz="0" w:space="0" w:color="auto"/>
        <w:right w:val="none" w:sz="0" w:space="0" w:color="auto"/>
      </w:divBdr>
    </w:div>
    <w:div w:id="792090540">
      <w:bodyDiv w:val="1"/>
      <w:marLeft w:val="0"/>
      <w:marRight w:val="0"/>
      <w:marTop w:val="0"/>
      <w:marBottom w:val="0"/>
      <w:divBdr>
        <w:top w:val="none" w:sz="0" w:space="0" w:color="auto"/>
        <w:left w:val="none" w:sz="0" w:space="0" w:color="auto"/>
        <w:bottom w:val="none" w:sz="0" w:space="0" w:color="auto"/>
        <w:right w:val="none" w:sz="0" w:space="0" w:color="auto"/>
      </w:divBdr>
    </w:div>
    <w:div w:id="841359892">
      <w:bodyDiv w:val="1"/>
      <w:marLeft w:val="0"/>
      <w:marRight w:val="0"/>
      <w:marTop w:val="0"/>
      <w:marBottom w:val="0"/>
      <w:divBdr>
        <w:top w:val="none" w:sz="0" w:space="0" w:color="auto"/>
        <w:left w:val="none" w:sz="0" w:space="0" w:color="auto"/>
        <w:bottom w:val="none" w:sz="0" w:space="0" w:color="auto"/>
        <w:right w:val="none" w:sz="0" w:space="0" w:color="auto"/>
      </w:divBdr>
    </w:div>
    <w:div w:id="864753018">
      <w:bodyDiv w:val="1"/>
      <w:marLeft w:val="0"/>
      <w:marRight w:val="0"/>
      <w:marTop w:val="0"/>
      <w:marBottom w:val="0"/>
      <w:divBdr>
        <w:top w:val="none" w:sz="0" w:space="0" w:color="auto"/>
        <w:left w:val="none" w:sz="0" w:space="0" w:color="auto"/>
        <w:bottom w:val="none" w:sz="0" w:space="0" w:color="auto"/>
        <w:right w:val="none" w:sz="0" w:space="0" w:color="auto"/>
      </w:divBdr>
    </w:div>
    <w:div w:id="896085045">
      <w:bodyDiv w:val="1"/>
      <w:marLeft w:val="0"/>
      <w:marRight w:val="0"/>
      <w:marTop w:val="0"/>
      <w:marBottom w:val="0"/>
      <w:divBdr>
        <w:top w:val="none" w:sz="0" w:space="0" w:color="auto"/>
        <w:left w:val="none" w:sz="0" w:space="0" w:color="auto"/>
        <w:bottom w:val="none" w:sz="0" w:space="0" w:color="auto"/>
        <w:right w:val="none" w:sz="0" w:space="0" w:color="auto"/>
      </w:divBdr>
    </w:div>
    <w:div w:id="933250413">
      <w:bodyDiv w:val="1"/>
      <w:marLeft w:val="0"/>
      <w:marRight w:val="0"/>
      <w:marTop w:val="0"/>
      <w:marBottom w:val="0"/>
      <w:divBdr>
        <w:top w:val="none" w:sz="0" w:space="0" w:color="auto"/>
        <w:left w:val="none" w:sz="0" w:space="0" w:color="auto"/>
        <w:bottom w:val="none" w:sz="0" w:space="0" w:color="auto"/>
        <w:right w:val="none" w:sz="0" w:space="0" w:color="auto"/>
      </w:divBdr>
    </w:div>
    <w:div w:id="945038699">
      <w:bodyDiv w:val="1"/>
      <w:marLeft w:val="0"/>
      <w:marRight w:val="0"/>
      <w:marTop w:val="0"/>
      <w:marBottom w:val="0"/>
      <w:divBdr>
        <w:top w:val="none" w:sz="0" w:space="0" w:color="auto"/>
        <w:left w:val="none" w:sz="0" w:space="0" w:color="auto"/>
        <w:bottom w:val="none" w:sz="0" w:space="0" w:color="auto"/>
        <w:right w:val="none" w:sz="0" w:space="0" w:color="auto"/>
      </w:divBdr>
    </w:div>
    <w:div w:id="956451766">
      <w:bodyDiv w:val="1"/>
      <w:marLeft w:val="0"/>
      <w:marRight w:val="0"/>
      <w:marTop w:val="0"/>
      <w:marBottom w:val="0"/>
      <w:divBdr>
        <w:top w:val="none" w:sz="0" w:space="0" w:color="auto"/>
        <w:left w:val="none" w:sz="0" w:space="0" w:color="auto"/>
        <w:bottom w:val="none" w:sz="0" w:space="0" w:color="auto"/>
        <w:right w:val="none" w:sz="0" w:space="0" w:color="auto"/>
      </w:divBdr>
    </w:div>
    <w:div w:id="961112510">
      <w:bodyDiv w:val="1"/>
      <w:marLeft w:val="0"/>
      <w:marRight w:val="0"/>
      <w:marTop w:val="0"/>
      <w:marBottom w:val="0"/>
      <w:divBdr>
        <w:top w:val="none" w:sz="0" w:space="0" w:color="auto"/>
        <w:left w:val="none" w:sz="0" w:space="0" w:color="auto"/>
        <w:bottom w:val="none" w:sz="0" w:space="0" w:color="auto"/>
        <w:right w:val="none" w:sz="0" w:space="0" w:color="auto"/>
      </w:divBdr>
    </w:div>
    <w:div w:id="962659105">
      <w:bodyDiv w:val="1"/>
      <w:marLeft w:val="0"/>
      <w:marRight w:val="0"/>
      <w:marTop w:val="0"/>
      <w:marBottom w:val="0"/>
      <w:divBdr>
        <w:top w:val="none" w:sz="0" w:space="0" w:color="auto"/>
        <w:left w:val="none" w:sz="0" w:space="0" w:color="auto"/>
        <w:bottom w:val="none" w:sz="0" w:space="0" w:color="auto"/>
        <w:right w:val="none" w:sz="0" w:space="0" w:color="auto"/>
      </w:divBdr>
    </w:div>
    <w:div w:id="963123909">
      <w:bodyDiv w:val="1"/>
      <w:marLeft w:val="0"/>
      <w:marRight w:val="0"/>
      <w:marTop w:val="0"/>
      <w:marBottom w:val="0"/>
      <w:divBdr>
        <w:top w:val="none" w:sz="0" w:space="0" w:color="auto"/>
        <w:left w:val="none" w:sz="0" w:space="0" w:color="auto"/>
        <w:bottom w:val="none" w:sz="0" w:space="0" w:color="auto"/>
        <w:right w:val="none" w:sz="0" w:space="0" w:color="auto"/>
      </w:divBdr>
    </w:div>
    <w:div w:id="967206592">
      <w:bodyDiv w:val="1"/>
      <w:marLeft w:val="0"/>
      <w:marRight w:val="0"/>
      <w:marTop w:val="0"/>
      <w:marBottom w:val="0"/>
      <w:divBdr>
        <w:top w:val="none" w:sz="0" w:space="0" w:color="auto"/>
        <w:left w:val="none" w:sz="0" w:space="0" w:color="auto"/>
        <w:bottom w:val="none" w:sz="0" w:space="0" w:color="auto"/>
        <w:right w:val="none" w:sz="0" w:space="0" w:color="auto"/>
      </w:divBdr>
    </w:div>
    <w:div w:id="974212485">
      <w:bodyDiv w:val="1"/>
      <w:marLeft w:val="0"/>
      <w:marRight w:val="0"/>
      <w:marTop w:val="0"/>
      <w:marBottom w:val="0"/>
      <w:divBdr>
        <w:top w:val="none" w:sz="0" w:space="0" w:color="auto"/>
        <w:left w:val="none" w:sz="0" w:space="0" w:color="auto"/>
        <w:bottom w:val="none" w:sz="0" w:space="0" w:color="auto"/>
        <w:right w:val="none" w:sz="0" w:space="0" w:color="auto"/>
      </w:divBdr>
    </w:div>
    <w:div w:id="974289905">
      <w:bodyDiv w:val="1"/>
      <w:marLeft w:val="0"/>
      <w:marRight w:val="0"/>
      <w:marTop w:val="0"/>
      <w:marBottom w:val="0"/>
      <w:divBdr>
        <w:top w:val="none" w:sz="0" w:space="0" w:color="auto"/>
        <w:left w:val="none" w:sz="0" w:space="0" w:color="auto"/>
        <w:bottom w:val="none" w:sz="0" w:space="0" w:color="auto"/>
        <w:right w:val="none" w:sz="0" w:space="0" w:color="auto"/>
      </w:divBdr>
    </w:div>
    <w:div w:id="997001301">
      <w:bodyDiv w:val="1"/>
      <w:marLeft w:val="0"/>
      <w:marRight w:val="0"/>
      <w:marTop w:val="0"/>
      <w:marBottom w:val="0"/>
      <w:divBdr>
        <w:top w:val="none" w:sz="0" w:space="0" w:color="auto"/>
        <w:left w:val="none" w:sz="0" w:space="0" w:color="auto"/>
        <w:bottom w:val="none" w:sz="0" w:space="0" w:color="auto"/>
        <w:right w:val="none" w:sz="0" w:space="0" w:color="auto"/>
      </w:divBdr>
    </w:div>
    <w:div w:id="997225522">
      <w:bodyDiv w:val="1"/>
      <w:marLeft w:val="0"/>
      <w:marRight w:val="0"/>
      <w:marTop w:val="0"/>
      <w:marBottom w:val="0"/>
      <w:divBdr>
        <w:top w:val="none" w:sz="0" w:space="0" w:color="auto"/>
        <w:left w:val="none" w:sz="0" w:space="0" w:color="auto"/>
        <w:bottom w:val="none" w:sz="0" w:space="0" w:color="auto"/>
        <w:right w:val="none" w:sz="0" w:space="0" w:color="auto"/>
      </w:divBdr>
    </w:div>
    <w:div w:id="1017269770">
      <w:bodyDiv w:val="1"/>
      <w:marLeft w:val="0"/>
      <w:marRight w:val="0"/>
      <w:marTop w:val="0"/>
      <w:marBottom w:val="0"/>
      <w:divBdr>
        <w:top w:val="none" w:sz="0" w:space="0" w:color="auto"/>
        <w:left w:val="none" w:sz="0" w:space="0" w:color="auto"/>
        <w:bottom w:val="none" w:sz="0" w:space="0" w:color="auto"/>
        <w:right w:val="none" w:sz="0" w:space="0" w:color="auto"/>
      </w:divBdr>
    </w:div>
    <w:div w:id="1022977100">
      <w:bodyDiv w:val="1"/>
      <w:marLeft w:val="0"/>
      <w:marRight w:val="0"/>
      <w:marTop w:val="0"/>
      <w:marBottom w:val="0"/>
      <w:divBdr>
        <w:top w:val="none" w:sz="0" w:space="0" w:color="auto"/>
        <w:left w:val="none" w:sz="0" w:space="0" w:color="auto"/>
        <w:bottom w:val="none" w:sz="0" w:space="0" w:color="auto"/>
        <w:right w:val="none" w:sz="0" w:space="0" w:color="auto"/>
      </w:divBdr>
    </w:div>
    <w:div w:id="1023555991">
      <w:bodyDiv w:val="1"/>
      <w:marLeft w:val="0"/>
      <w:marRight w:val="0"/>
      <w:marTop w:val="0"/>
      <w:marBottom w:val="0"/>
      <w:divBdr>
        <w:top w:val="none" w:sz="0" w:space="0" w:color="auto"/>
        <w:left w:val="none" w:sz="0" w:space="0" w:color="auto"/>
        <w:bottom w:val="none" w:sz="0" w:space="0" w:color="auto"/>
        <w:right w:val="none" w:sz="0" w:space="0" w:color="auto"/>
      </w:divBdr>
    </w:div>
    <w:div w:id="1074472642">
      <w:bodyDiv w:val="1"/>
      <w:marLeft w:val="0"/>
      <w:marRight w:val="0"/>
      <w:marTop w:val="0"/>
      <w:marBottom w:val="0"/>
      <w:divBdr>
        <w:top w:val="none" w:sz="0" w:space="0" w:color="auto"/>
        <w:left w:val="none" w:sz="0" w:space="0" w:color="auto"/>
        <w:bottom w:val="none" w:sz="0" w:space="0" w:color="auto"/>
        <w:right w:val="none" w:sz="0" w:space="0" w:color="auto"/>
      </w:divBdr>
    </w:div>
    <w:div w:id="1098910319">
      <w:bodyDiv w:val="1"/>
      <w:marLeft w:val="0"/>
      <w:marRight w:val="0"/>
      <w:marTop w:val="0"/>
      <w:marBottom w:val="0"/>
      <w:divBdr>
        <w:top w:val="none" w:sz="0" w:space="0" w:color="auto"/>
        <w:left w:val="none" w:sz="0" w:space="0" w:color="auto"/>
        <w:bottom w:val="none" w:sz="0" w:space="0" w:color="auto"/>
        <w:right w:val="none" w:sz="0" w:space="0" w:color="auto"/>
      </w:divBdr>
    </w:div>
    <w:div w:id="1117792410">
      <w:bodyDiv w:val="1"/>
      <w:marLeft w:val="0"/>
      <w:marRight w:val="0"/>
      <w:marTop w:val="0"/>
      <w:marBottom w:val="0"/>
      <w:divBdr>
        <w:top w:val="none" w:sz="0" w:space="0" w:color="auto"/>
        <w:left w:val="none" w:sz="0" w:space="0" w:color="auto"/>
        <w:bottom w:val="none" w:sz="0" w:space="0" w:color="auto"/>
        <w:right w:val="none" w:sz="0" w:space="0" w:color="auto"/>
      </w:divBdr>
    </w:div>
    <w:div w:id="1129472786">
      <w:bodyDiv w:val="1"/>
      <w:marLeft w:val="0"/>
      <w:marRight w:val="0"/>
      <w:marTop w:val="0"/>
      <w:marBottom w:val="0"/>
      <w:divBdr>
        <w:top w:val="none" w:sz="0" w:space="0" w:color="auto"/>
        <w:left w:val="none" w:sz="0" w:space="0" w:color="auto"/>
        <w:bottom w:val="none" w:sz="0" w:space="0" w:color="auto"/>
        <w:right w:val="none" w:sz="0" w:space="0" w:color="auto"/>
      </w:divBdr>
    </w:div>
    <w:div w:id="1140654534">
      <w:bodyDiv w:val="1"/>
      <w:marLeft w:val="0"/>
      <w:marRight w:val="0"/>
      <w:marTop w:val="0"/>
      <w:marBottom w:val="0"/>
      <w:divBdr>
        <w:top w:val="none" w:sz="0" w:space="0" w:color="auto"/>
        <w:left w:val="none" w:sz="0" w:space="0" w:color="auto"/>
        <w:bottom w:val="none" w:sz="0" w:space="0" w:color="auto"/>
        <w:right w:val="none" w:sz="0" w:space="0" w:color="auto"/>
      </w:divBdr>
    </w:div>
    <w:div w:id="1159614590">
      <w:bodyDiv w:val="1"/>
      <w:marLeft w:val="0"/>
      <w:marRight w:val="0"/>
      <w:marTop w:val="0"/>
      <w:marBottom w:val="0"/>
      <w:divBdr>
        <w:top w:val="none" w:sz="0" w:space="0" w:color="auto"/>
        <w:left w:val="none" w:sz="0" w:space="0" w:color="auto"/>
        <w:bottom w:val="none" w:sz="0" w:space="0" w:color="auto"/>
        <w:right w:val="none" w:sz="0" w:space="0" w:color="auto"/>
      </w:divBdr>
    </w:div>
    <w:div w:id="1185630942">
      <w:bodyDiv w:val="1"/>
      <w:marLeft w:val="0"/>
      <w:marRight w:val="0"/>
      <w:marTop w:val="0"/>
      <w:marBottom w:val="0"/>
      <w:divBdr>
        <w:top w:val="none" w:sz="0" w:space="0" w:color="auto"/>
        <w:left w:val="none" w:sz="0" w:space="0" w:color="auto"/>
        <w:bottom w:val="none" w:sz="0" w:space="0" w:color="auto"/>
        <w:right w:val="none" w:sz="0" w:space="0" w:color="auto"/>
      </w:divBdr>
    </w:div>
    <w:div w:id="1223642164">
      <w:bodyDiv w:val="1"/>
      <w:marLeft w:val="0"/>
      <w:marRight w:val="0"/>
      <w:marTop w:val="0"/>
      <w:marBottom w:val="0"/>
      <w:divBdr>
        <w:top w:val="none" w:sz="0" w:space="0" w:color="auto"/>
        <w:left w:val="none" w:sz="0" w:space="0" w:color="auto"/>
        <w:bottom w:val="none" w:sz="0" w:space="0" w:color="auto"/>
        <w:right w:val="none" w:sz="0" w:space="0" w:color="auto"/>
      </w:divBdr>
    </w:div>
    <w:div w:id="1238900086">
      <w:bodyDiv w:val="1"/>
      <w:marLeft w:val="0"/>
      <w:marRight w:val="0"/>
      <w:marTop w:val="0"/>
      <w:marBottom w:val="0"/>
      <w:divBdr>
        <w:top w:val="none" w:sz="0" w:space="0" w:color="auto"/>
        <w:left w:val="none" w:sz="0" w:space="0" w:color="auto"/>
        <w:bottom w:val="none" w:sz="0" w:space="0" w:color="auto"/>
        <w:right w:val="none" w:sz="0" w:space="0" w:color="auto"/>
      </w:divBdr>
    </w:div>
    <w:div w:id="1245919413">
      <w:bodyDiv w:val="1"/>
      <w:marLeft w:val="0"/>
      <w:marRight w:val="0"/>
      <w:marTop w:val="0"/>
      <w:marBottom w:val="0"/>
      <w:divBdr>
        <w:top w:val="none" w:sz="0" w:space="0" w:color="auto"/>
        <w:left w:val="none" w:sz="0" w:space="0" w:color="auto"/>
        <w:bottom w:val="none" w:sz="0" w:space="0" w:color="auto"/>
        <w:right w:val="none" w:sz="0" w:space="0" w:color="auto"/>
      </w:divBdr>
    </w:div>
    <w:div w:id="1262184497">
      <w:bodyDiv w:val="1"/>
      <w:marLeft w:val="0"/>
      <w:marRight w:val="0"/>
      <w:marTop w:val="0"/>
      <w:marBottom w:val="0"/>
      <w:divBdr>
        <w:top w:val="none" w:sz="0" w:space="0" w:color="auto"/>
        <w:left w:val="none" w:sz="0" w:space="0" w:color="auto"/>
        <w:bottom w:val="none" w:sz="0" w:space="0" w:color="auto"/>
        <w:right w:val="none" w:sz="0" w:space="0" w:color="auto"/>
      </w:divBdr>
    </w:div>
    <w:div w:id="1286085071">
      <w:bodyDiv w:val="1"/>
      <w:marLeft w:val="0"/>
      <w:marRight w:val="0"/>
      <w:marTop w:val="0"/>
      <w:marBottom w:val="0"/>
      <w:divBdr>
        <w:top w:val="none" w:sz="0" w:space="0" w:color="auto"/>
        <w:left w:val="none" w:sz="0" w:space="0" w:color="auto"/>
        <w:bottom w:val="none" w:sz="0" w:space="0" w:color="auto"/>
        <w:right w:val="none" w:sz="0" w:space="0" w:color="auto"/>
      </w:divBdr>
    </w:div>
    <w:div w:id="1294630565">
      <w:bodyDiv w:val="1"/>
      <w:marLeft w:val="0"/>
      <w:marRight w:val="0"/>
      <w:marTop w:val="0"/>
      <w:marBottom w:val="0"/>
      <w:divBdr>
        <w:top w:val="none" w:sz="0" w:space="0" w:color="auto"/>
        <w:left w:val="none" w:sz="0" w:space="0" w:color="auto"/>
        <w:bottom w:val="none" w:sz="0" w:space="0" w:color="auto"/>
        <w:right w:val="none" w:sz="0" w:space="0" w:color="auto"/>
      </w:divBdr>
    </w:div>
    <w:div w:id="1324315346">
      <w:bodyDiv w:val="1"/>
      <w:marLeft w:val="0"/>
      <w:marRight w:val="0"/>
      <w:marTop w:val="0"/>
      <w:marBottom w:val="0"/>
      <w:divBdr>
        <w:top w:val="none" w:sz="0" w:space="0" w:color="auto"/>
        <w:left w:val="none" w:sz="0" w:space="0" w:color="auto"/>
        <w:bottom w:val="none" w:sz="0" w:space="0" w:color="auto"/>
        <w:right w:val="none" w:sz="0" w:space="0" w:color="auto"/>
      </w:divBdr>
    </w:div>
    <w:div w:id="1330868370">
      <w:bodyDiv w:val="1"/>
      <w:marLeft w:val="0"/>
      <w:marRight w:val="0"/>
      <w:marTop w:val="0"/>
      <w:marBottom w:val="0"/>
      <w:divBdr>
        <w:top w:val="none" w:sz="0" w:space="0" w:color="auto"/>
        <w:left w:val="none" w:sz="0" w:space="0" w:color="auto"/>
        <w:bottom w:val="none" w:sz="0" w:space="0" w:color="auto"/>
        <w:right w:val="none" w:sz="0" w:space="0" w:color="auto"/>
      </w:divBdr>
    </w:div>
    <w:div w:id="1346785331">
      <w:bodyDiv w:val="1"/>
      <w:marLeft w:val="0"/>
      <w:marRight w:val="0"/>
      <w:marTop w:val="0"/>
      <w:marBottom w:val="0"/>
      <w:divBdr>
        <w:top w:val="none" w:sz="0" w:space="0" w:color="auto"/>
        <w:left w:val="none" w:sz="0" w:space="0" w:color="auto"/>
        <w:bottom w:val="none" w:sz="0" w:space="0" w:color="auto"/>
        <w:right w:val="none" w:sz="0" w:space="0" w:color="auto"/>
      </w:divBdr>
    </w:div>
    <w:div w:id="1400863819">
      <w:bodyDiv w:val="1"/>
      <w:marLeft w:val="0"/>
      <w:marRight w:val="0"/>
      <w:marTop w:val="0"/>
      <w:marBottom w:val="0"/>
      <w:divBdr>
        <w:top w:val="none" w:sz="0" w:space="0" w:color="auto"/>
        <w:left w:val="none" w:sz="0" w:space="0" w:color="auto"/>
        <w:bottom w:val="none" w:sz="0" w:space="0" w:color="auto"/>
        <w:right w:val="none" w:sz="0" w:space="0" w:color="auto"/>
      </w:divBdr>
    </w:div>
    <w:div w:id="1403216798">
      <w:bodyDiv w:val="1"/>
      <w:marLeft w:val="0"/>
      <w:marRight w:val="0"/>
      <w:marTop w:val="0"/>
      <w:marBottom w:val="0"/>
      <w:divBdr>
        <w:top w:val="none" w:sz="0" w:space="0" w:color="auto"/>
        <w:left w:val="none" w:sz="0" w:space="0" w:color="auto"/>
        <w:bottom w:val="none" w:sz="0" w:space="0" w:color="auto"/>
        <w:right w:val="none" w:sz="0" w:space="0" w:color="auto"/>
      </w:divBdr>
    </w:div>
    <w:div w:id="1415280083">
      <w:bodyDiv w:val="1"/>
      <w:marLeft w:val="0"/>
      <w:marRight w:val="0"/>
      <w:marTop w:val="0"/>
      <w:marBottom w:val="0"/>
      <w:divBdr>
        <w:top w:val="none" w:sz="0" w:space="0" w:color="auto"/>
        <w:left w:val="none" w:sz="0" w:space="0" w:color="auto"/>
        <w:bottom w:val="none" w:sz="0" w:space="0" w:color="auto"/>
        <w:right w:val="none" w:sz="0" w:space="0" w:color="auto"/>
      </w:divBdr>
    </w:div>
    <w:div w:id="1453982798">
      <w:bodyDiv w:val="1"/>
      <w:marLeft w:val="0"/>
      <w:marRight w:val="0"/>
      <w:marTop w:val="0"/>
      <w:marBottom w:val="0"/>
      <w:divBdr>
        <w:top w:val="none" w:sz="0" w:space="0" w:color="auto"/>
        <w:left w:val="none" w:sz="0" w:space="0" w:color="auto"/>
        <w:bottom w:val="none" w:sz="0" w:space="0" w:color="auto"/>
        <w:right w:val="none" w:sz="0" w:space="0" w:color="auto"/>
      </w:divBdr>
    </w:div>
    <w:div w:id="1475022809">
      <w:bodyDiv w:val="1"/>
      <w:marLeft w:val="0"/>
      <w:marRight w:val="0"/>
      <w:marTop w:val="0"/>
      <w:marBottom w:val="0"/>
      <w:divBdr>
        <w:top w:val="none" w:sz="0" w:space="0" w:color="auto"/>
        <w:left w:val="none" w:sz="0" w:space="0" w:color="auto"/>
        <w:bottom w:val="none" w:sz="0" w:space="0" w:color="auto"/>
        <w:right w:val="none" w:sz="0" w:space="0" w:color="auto"/>
      </w:divBdr>
    </w:div>
    <w:div w:id="1482648440">
      <w:bodyDiv w:val="1"/>
      <w:marLeft w:val="0"/>
      <w:marRight w:val="0"/>
      <w:marTop w:val="0"/>
      <w:marBottom w:val="0"/>
      <w:divBdr>
        <w:top w:val="none" w:sz="0" w:space="0" w:color="auto"/>
        <w:left w:val="none" w:sz="0" w:space="0" w:color="auto"/>
        <w:bottom w:val="none" w:sz="0" w:space="0" w:color="auto"/>
        <w:right w:val="none" w:sz="0" w:space="0" w:color="auto"/>
      </w:divBdr>
    </w:div>
    <w:div w:id="1487018695">
      <w:bodyDiv w:val="1"/>
      <w:marLeft w:val="0"/>
      <w:marRight w:val="0"/>
      <w:marTop w:val="0"/>
      <w:marBottom w:val="0"/>
      <w:divBdr>
        <w:top w:val="none" w:sz="0" w:space="0" w:color="auto"/>
        <w:left w:val="none" w:sz="0" w:space="0" w:color="auto"/>
        <w:bottom w:val="none" w:sz="0" w:space="0" w:color="auto"/>
        <w:right w:val="none" w:sz="0" w:space="0" w:color="auto"/>
      </w:divBdr>
    </w:div>
    <w:div w:id="1510213759">
      <w:bodyDiv w:val="1"/>
      <w:marLeft w:val="0"/>
      <w:marRight w:val="0"/>
      <w:marTop w:val="0"/>
      <w:marBottom w:val="0"/>
      <w:divBdr>
        <w:top w:val="none" w:sz="0" w:space="0" w:color="auto"/>
        <w:left w:val="none" w:sz="0" w:space="0" w:color="auto"/>
        <w:bottom w:val="none" w:sz="0" w:space="0" w:color="auto"/>
        <w:right w:val="none" w:sz="0" w:space="0" w:color="auto"/>
      </w:divBdr>
    </w:div>
    <w:div w:id="1527137919">
      <w:bodyDiv w:val="1"/>
      <w:marLeft w:val="0"/>
      <w:marRight w:val="0"/>
      <w:marTop w:val="0"/>
      <w:marBottom w:val="0"/>
      <w:divBdr>
        <w:top w:val="none" w:sz="0" w:space="0" w:color="auto"/>
        <w:left w:val="none" w:sz="0" w:space="0" w:color="auto"/>
        <w:bottom w:val="none" w:sz="0" w:space="0" w:color="auto"/>
        <w:right w:val="none" w:sz="0" w:space="0" w:color="auto"/>
      </w:divBdr>
    </w:div>
    <w:div w:id="1580559528">
      <w:bodyDiv w:val="1"/>
      <w:marLeft w:val="0"/>
      <w:marRight w:val="0"/>
      <w:marTop w:val="0"/>
      <w:marBottom w:val="0"/>
      <w:divBdr>
        <w:top w:val="none" w:sz="0" w:space="0" w:color="auto"/>
        <w:left w:val="none" w:sz="0" w:space="0" w:color="auto"/>
        <w:bottom w:val="none" w:sz="0" w:space="0" w:color="auto"/>
        <w:right w:val="none" w:sz="0" w:space="0" w:color="auto"/>
      </w:divBdr>
    </w:div>
    <w:div w:id="1616936227">
      <w:bodyDiv w:val="1"/>
      <w:marLeft w:val="0"/>
      <w:marRight w:val="0"/>
      <w:marTop w:val="0"/>
      <w:marBottom w:val="0"/>
      <w:divBdr>
        <w:top w:val="none" w:sz="0" w:space="0" w:color="auto"/>
        <w:left w:val="none" w:sz="0" w:space="0" w:color="auto"/>
        <w:bottom w:val="none" w:sz="0" w:space="0" w:color="auto"/>
        <w:right w:val="none" w:sz="0" w:space="0" w:color="auto"/>
      </w:divBdr>
    </w:div>
    <w:div w:id="1622951261">
      <w:bodyDiv w:val="1"/>
      <w:marLeft w:val="0"/>
      <w:marRight w:val="0"/>
      <w:marTop w:val="0"/>
      <w:marBottom w:val="0"/>
      <w:divBdr>
        <w:top w:val="none" w:sz="0" w:space="0" w:color="auto"/>
        <w:left w:val="none" w:sz="0" w:space="0" w:color="auto"/>
        <w:bottom w:val="none" w:sz="0" w:space="0" w:color="auto"/>
        <w:right w:val="none" w:sz="0" w:space="0" w:color="auto"/>
      </w:divBdr>
    </w:div>
    <w:div w:id="1680500878">
      <w:bodyDiv w:val="1"/>
      <w:marLeft w:val="0"/>
      <w:marRight w:val="0"/>
      <w:marTop w:val="0"/>
      <w:marBottom w:val="0"/>
      <w:divBdr>
        <w:top w:val="none" w:sz="0" w:space="0" w:color="auto"/>
        <w:left w:val="none" w:sz="0" w:space="0" w:color="auto"/>
        <w:bottom w:val="none" w:sz="0" w:space="0" w:color="auto"/>
        <w:right w:val="none" w:sz="0" w:space="0" w:color="auto"/>
      </w:divBdr>
      <w:divsChild>
        <w:div w:id="437335820">
          <w:marLeft w:val="0"/>
          <w:marRight w:val="0"/>
          <w:marTop w:val="0"/>
          <w:marBottom w:val="0"/>
          <w:divBdr>
            <w:top w:val="none" w:sz="0" w:space="0" w:color="auto"/>
            <w:left w:val="none" w:sz="0" w:space="0" w:color="auto"/>
            <w:bottom w:val="none" w:sz="0" w:space="0" w:color="auto"/>
            <w:right w:val="none" w:sz="0" w:space="0" w:color="auto"/>
          </w:divBdr>
        </w:div>
        <w:div w:id="1405419894">
          <w:marLeft w:val="0"/>
          <w:marRight w:val="0"/>
          <w:marTop w:val="0"/>
          <w:marBottom w:val="0"/>
          <w:divBdr>
            <w:top w:val="none" w:sz="0" w:space="0" w:color="auto"/>
            <w:left w:val="none" w:sz="0" w:space="0" w:color="auto"/>
            <w:bottom w:val="none" w:sz="0" w:space="0" w:color="auto"/>
            <w:right w:val="none" w:sz="0" w:space="0" w:color="auto"/>
          </w:divBdr>
        </w:div>
      </w:divsChild>
    </w:div>
    <w:div w:id="1694845518">
      <w:bodyDiv w:val="1"/>
      <w:marLeft w:val="0"/>
      <w:marRight w:val="0"/>
      <w:marTop w:val="0"/>
      <w:marBottom w:val="0"/>
      <w:divBdr>
        <w:top w:val="none" w:sz="0" w:space="0" w:color="auto"/>
        <w:left w:val="none" w:sz="0" w:space="0" w:color="auto"/>
        <w:bottom w:val="none" w:sz="0" w:space="0" w:color="auto"/>
        <w:right w:val="none" w:sz="0" w:space="0" w:color="auto"/>
      </w:divBdr>
    </w:div>
    <w:div w:id="1753620152">
      <w:bodyDiv w:val="1"/>
      <w:marLeft w:val="0"/>
      <w:marRight w:val="0"/>
      <w:marTop w:val="0"/>
      <w:marBottom w:val="0"/>
      <w:divBdr>
        <w:top w:val="none" w:sz="0" w:space="0" w:color="auto"/>
        <w:left w:val="none" w:sz="0" w:space="0" w:color="auto"/>
        <w:bottom w:val="none" w:sz="0" w:space="0" w:color="auto"/>
        <w:right w:val="none" w:sz="0" w:space="0" w:color="auto"/>
      </w:divBdr>
    </w:div>
    <w:div w:id="1765956590">
      <w:bodyDiv w:val="1"/>
      <w:marLeft w:val="0"/>
      <w:marRight w:val="0"/>
      <w:marTop w:val="0"/>
      <w:marBottom w:val="0"/>
      <w:divBdr>
        <w:top w:val="none" w:sz="0" w:space="0" w:color="auto"/>
        <w:left w:val="none" w:sz="0" w:space="0" w:color="auto"/>
        <w:bottom w:val="none" w:sz="0" w:space="0" w:color="auto"/>
        <w:right w:val="none" w:sz="0" w:space="0" w:color="auto"/>
      </w:divBdr>
    </w:div>
    <w:div w:id="1785076579">
      <w:bodyDiv w:val="1"/>
      <w:marLeft w:val="0"/>
      <w:marRight w:val="0"/>
      <w:marTop w:val="0"/>
      <w:marBottom w:val="0"/>
      <w:divBdr>
        <w:top w:val="none" w:sz="0" w:space="0" w:color="auto"/>
        <w:left w:val="none" w:sz="0" w:space="0" w:color="auto"/>
        <w:bottom w:val="none" w:sz="0" w:space="0" w:color="auto"/>
        <w:right w:val="none" w:sz="0" w:space="0" w:color="auto"/>
      </w:divBdr>
    </w:div>
    <w:div w:id="1790779798">
      <w:bodyDiv w:val="1"/>
      <w:marLeft w:val="0"/>
      <w:marRight w:val="0"/>
      <w:marTop w:val="0"/>
      <w:marBottom w:val="0"/>
      <w:divBdr>
        <w:top w:val="none" w:sz="0" w:space="0" w:color="auto"/>
        <w:left w:val="none" w:sz="0" w:space="0" w:color="auto"/>
        <w:bottom w:val="none" w:sz="0" w:space="0" w:color="auto"/>
        <w:right w:val="none" w:sz="0" w:space="0" w:color="auto"/>
      </w:divBdr>
    </w:div>
    <w:div w:id="1790854311">
      <w:bodyDiv w:val="1"/>
      <w:marLeft w:val="0"/>
      <w:marRight w:val="0"/>
      <w:marTop w:val="0"/>
      <w:marBottom w:val="0"/>
      <w:divBdr>
        <w:top w:val="none" w:sz="0" w:space="0" w:color="auto"/>
        <w:left w:val="none" w:sz="0" w:space="0" w:color="auto"/>
        <w:bottom w:val="none" w:sz="0" w:space="0" w:color="auto"/>
        <w:right w:val="none" w:sz="0" w:space="0" w:color="auto"/>
      </w:divBdr>
    </w:div>
    <w:div w:id="1792554861">
      <w:bodyDiv w:val="1"/>
      <w:marLeft w:val="0"/>
      <w:marRight w:val="0"/>
      <w:marTop w:val="0"/>
      <w:marBottom w:val="0"/>
      <w:divBdr>
        <w:top w:val="none" w:sz="0" w:space="0" w:color="auto"/>
        <w:left w:val="none" w:sz="0" w:space="0" w:color="auto"/>
        <w:bottom w:val="none" w:sz="0" w:space="0" w:color="auto"/>
        <w:right w:val="none" w:sz="0" w:space="0" w:color="auto"/>
      </w:divBdr>
    </w:div>
    <w:div w:id="1832523675">
      <w:bodyDiv w:val="1"/>
      <w:marLeft w:val="0"/>
      <w:marRight w:val="0"/>
      <w:marTop w:val="0"/>
      <w:marBottom w:val="0"/>
      <w:divBdr>
        <w:top w:val="none" w:sz="0" w:space="0" w:color="auto"/>
        <w:left w:val="none" w:sz="0" w:space="0" w:color="auto"/>
        <w:bottom w:val="none" w:sz="0" w:space="0" w:color="auto"/>
        <w:right w:val="none" w:sz="0" w:space="0" w:color="auto"/>
      </w:divBdr>
    </w:div>
    <w:div w:id="1842619778">
      <w:bodyDiv w:val="1"/>
      <w:marLeft w:val="0"/>
      <w:marRight w:val="0"/>
      <w:marTop w:val="0"/>
      <w:marBottom w:val="0"/>
      <w:divBdr>
        <w:top w:val="none" w:sz="0" w:space="0" w:color="auto"/>
        <w:left w:val="none" w:sz="0" w:space="0" w:color="auto"/>
        <w:bottom w:val="none" w:sz="0" w:space="0" w:color="auto"/>
        <w:right w:val="none" w:sz="0" w:space="0" w:color="auto"/>
      </w:divBdr>
    </w:div>
    <w:div w:id="1847400309">
      <w:bodyDiv w:val="1"/>
      <w:marLeft w:val="0"/>
      <w:marRight w:val="0"/>
      <w:marTop w:val="0"/>
      <w:marBottom w:val="0"/>
      <w:divBdr>
        <w:top w:val="none" w:sz="0" w:space="0" w:color="auto"/>
        <w:left w:val="none" w:sz="0" w:space="0" w:color="auto"/>
        <w:bottom w:val="none" w:sz="0" w:space="0" w:color="auto"/>
        <w:right w:val="none" w:sz="0" w:space="0" w:color="auto"/>
      </w:divBdr>
    </w:div>
    <w:div w:id="1872062544">
      <w:bodyDiv w:val="1"/>
      <w:marLeft w:val="0"/>
      <w:marRight w:val="0"/>
      <w:marTop w:val="0"/>
      <w:marBottom w:val="0"/>
      <w:divBdr>
        <w:top w:val="none" w:sz="0" w:space="0" w:color="auto"/>
        <w:left w:val="none" w:sz="0" w:space="0" w:color="auto"/>
        <w:bottom w:val="none" w:sz="0" w:space="0" w:color="auto"/>
        <w:right w:val="none" w:sz="0" w:space="0" w:color="auto"/>
      </w:divBdr>
    </w:div>
    <w:div w:id="1880624941">
      <w:bodyDiv w:val="1"/>
      <w:marLeft w:val="0"/>
      <w:marRight w:val="0"/>
      <w:marTop w:val="0"/>
      <w:marBottom w:val="0"/>
      <w:divBdr>
        <w:top w:val="none" w:sz="0" w:space="0" w:color="auto"/>
        <w:left w:val="none" w:sz="0" w:space="0" w:color="auto"/>
        <w:bottom w:val="none" w:sz="0" w:space="0" w:color="auto"/>
        <w:right w:val="none" w:sz="0" w:space="0" w:color="auto"/>
      </w:divBdr>
    </w:div>
    <w:div w:id="1893419398">
      <w:bodyDiv w:val="1"/>
      <w:marLeft w:val="0"/>
      <w:marRight w:val="0"/>
      <w:marTop w:val="0"/>
      <w:marBottom w:val="0"/>
      <w:divBdr>
        <w:top w:val="none" w:sz="0" w:space="0" w:color="auto"/>
        <w:left w:val="none" w:sz="0" w:space="0" w:color="auto"/>
        <w:bottom w:val="none" w:sz="0" w:space="0" w:color="auto"/>
        <w:right w:val="none" w:sz="0" w:space="0" w:color="auto"/>
      </w:divBdr>
    </w:div>
    <w:div w:id="1904174584">
      <w:bodyDiv w:val="1"/>
      <w:marLeft w:val="0"/>
      <w:marRight w:val="0"/>
      <w:marTop w:val="0"/>
      <w:marBottom w:val="0"/>
      <w:divBdr>
        <w:top w:val="none" w:sz="0" w:space="0" w:color="auto"/>
        <w:left w:val="none" w:sz="0" w:space="0" w:color="auto"/>
        <w:bottom w:val="none" w:sz="0" w:space="0" w:color="auto"/>
        <w:right w:val="none" w:sz="0" w:space="0" w:color="auto"/>
      </w:divBdr>
    </w:div>
    <w:div w:id="1920673143">
      <w:bodyDiv w:val="1"/>
      <w:marLeft w:val="0"/>
      <w:marRight w:val="0"/>
      <w:marTop w:val="0"/>
      <w:marBottom w:val="0"/>
      <w:divBdr>
        <w:top w:val="none" w:sz="0" w:space="0" w:color="auto"/>
        <w:left w:val="none" w:sz="0" w:space="0" w:color="auto"/>
        <w:bottom w:val="none" w:sz="0" w:space="0" w:color="auto"/>
        <w:right w:val="none" w:sz="0" w:space="0" w:color="auto"/>
      </w:divBdr>
    </w:div>
    <w:div w:id="1938058924">
      <w:bodyDiv w:val="1"/>
      <w:marLeft w:val="0"/>
      <w:marRight w:val="0"/>
      <w:marTop w:val="0"/>
      <w:marBottom w:val="0"/>
      <w:divBdr>
        <w:top w:val="none" w:sz="0" w:space="0" w:color="auto"/>
        <w:left w:val="none" w:sz="0" w:space="0" w:color="auto"/>
        <w:bottom w:val="none" w:sz="0" w:space="0" w:color="auto"/>
        <w:right w:val="none" w:sz="0" w:space="0" w:color="auto"/>
      </w:divBdr>
    </w:div>
    <w:div w:id="1946838286">
      <w:bodyDiv w:val="1"/>
      <w:marLeft w:val="0"/>
      <w:marRight w:val="0"/>
      <w:marTop w:val="0"/>
      <w:marBottom w:val="0"/>
      <w:divBdr>
        <w:top w:val="none" w:sz="0" w:space="0" w:color="auto"/>
        <w:left w:val="none" w:sz="0" w:space="0" w:color="auto"/>
        <w:bottom w:val="none" w:sz="0" w:space="0" w:color="auto"/>
        <w:right w:val="none" w:sz="0" w:space="0" w:color="auto"/>
      </w:divBdr>
    </w:div>
    <w:div w:id="1988632292">
      <w:bodyDiv w:val="1"/>
      <w:marLeft w:val="0"/>
      <w:marRight w:val="0"/>
      <w:marTop w:val="0"/>
      <w:marBottom w:val="0"/>
      <w:divBdr>
        <w:top w:val="none" w:sz="0" w:space="0" w:color="auto"/>
        <w:left w:val="none" w:sz="0" w:space="0" w:color="auto"/>
        <w:bottom w:val="none" w:sz="0" w:space="0" w:color="auto"/>
        <w:right w:val="none" w:sz="0" w:space="0" w:color="auto"/>
      </w:divBdr>
    </w:div>
    <w:div w:id="2032411249">
      <w:bodyDiv w:val="1"/>
      <w:marLeft w:val="0"/>
      <w:marRight w:val="0"/>
      <w:marTop w:val="0"/>
      <w:marBottom w:val="0"/>
      <w:divBdr>
        <w:top w:val="none" w:sz="0" w:space="0" w:color="auto"/>
        <w:left w:val="none" w:sz="0" w:space="0" w:color="auto"/>
        <w:bottom w:val="none" w:sz="0" w:space="0" w:color="auto"/>
        <w:right w:val="none" w:sz="0" w:space="0" w:color="auto"/>
      </w:divBdr>
    </w:div>
    <w:div w:id="2038969057">
      <w:bodyDiv w:val="1"/>
      <w:marLeft w:val="0"/>
      <w:marRight w:val="0"/>
      <w:marTop w:val="0"/>
      <w:marBottom w:val="0"/>
      <w:divBdr>
        <w:top w:val="none" w:sz="0" w:space="0" w:color="auto"/>
        <w:left w:val="none" w:sz="0" w:space="0" w:color="auto"/>
        <w:bottom w:val="none" w:sz="0" w:space="0" w:color="auto"/>
        <w:right w:val="none" w:sz="0" w:space="0" w:color="auto"/>
      </w:divBdr>
    </w:div>
    <w:div w:id="21418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rn.com/abstract=1562444"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AE419-97AD-4681-989A-88772718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19928</Words>
  <Characters>113594</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2019-01-08T00:46:00Z</dcterms:created>
  <dcterms:modified xsi:type="dcterms:W3CDTF">2019-01-08T00:48:00Z</dcterms:modified>
</cp:coreProperties>
</file>