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D04" w:rsidRPr="002E5DBE" w:rsidRDefault="00D13D04" w:rsidP="00D13D04">
      <w:pPr>
        <w:pStyle w:val="CommentText"/>
        <w:spacing w:line="480" w:lineRule="auto"/>
        <w:rPr>
          <w:bCs/>
          <w:color w:val="000000" w:themeColor="text1"/>
          <w:lang w:val="en-US"/>
        </w:rPr>
      </w:pPr>
      <w:bookmarkStart w:id="0" w:name="_GoBack"/>
      <w:bookmarkEnd w:id="0"/>
      <w:r w:rsidRPr="002E5DBE">
        <w:rPr>
          <w:b/>
          <w:bCs/>
          <w:color w:val="000000" w:themeColor="text1"/>
          <w:lang w:val="en-US"/>
        </w:rPr>
        <w:t>Title :</w:t>
      </w:r>
      <w:r w:rsidRPr="002E5DBE">
        <w:rPr>
          <w:bCs/>
          <w:color w:val="000000" w:themeColor="text1"/>
          <w:lang w:val="en-US"/>
        </w:rPr>
        <w:t xml:space="preserve"> Adulthood and childhood ADHD in patients consulting for obesity is associated with food addiction and binge eating, but not sleep apnea syndrome</w:t>
      </w:r>
    </w:p>
    <w:p w:rsidR="00D13D04" w:rsidRPr="002E5DBE" w:rsidRDefault="00D13D04" w:rsidP="00D13D04">
      <w:pPr>
        <w:spacing w:line="480" w:lineRule="auto"/>
        <w:rPr>
          <w:bCs/>
          <w:color w:val="000000" w:themeColor="text1"/>
          <w:szCs w:val="24"/>
          <w:lang w:val="en-US"/>
        </w:rPr>
      </w:pPr>
    </w:p>
    <w:p w:rsidR="00D13D04" w:rsidRPr="002E5DBE" w:rsidRDefault="00D13D04" w:rsidP="00D13D04">
      <w:pPr>
        <w:spacing w:line="480" w:lineRule="auto"/>
        <w:rPr>
          <w:bCs/>
          <w:color w:val="000000" w:themeColor="text1"/>
          <w:szCs w:val="24"/>
          <w:vertAlign w:val="superscript"/>
        </w:rPr>
      </w:pPr>
      <w:r w:rsidRPr="002E5DBE">
        <w:rPr>
          <w:b/>
          <w:bCs/>
          <w:color w:val="000000" w:themeColor="text1"/>
          <w:szCs w:val="24"/>
        </w:rPr>
        <w:t>Authors and affiliations :</w:t>
      </w:r>
      <w:r w:rsidRPr="002E5DBE">
        <w:rPr>
          <w:bCs/>
          <w:color w:val="000000" w:themeColor="text1"/>
          <w:szCs w:val="24"/>
        </w:rPr>
        <w:t xml:space="preserve"> Paul Brunault (paul.brunault@univ-tours.fr)</w:t>
      </w:r>
      <w:r w:rsidRPr="002E5DBE">
        <w:rPr>
          <w:bCs/>
          <w:color w:val="000000" w:themeColor="text1"/>
          <w:szCs w:val="24"/>
          <w:vertAlign w:val="superscript"/>
        </w:rPr>
        <w:t>a,b,c</w:t>
      </w:r>
      <w:r w:rsidRPr="002E5DBE">
        <w:rPr>
          <w:bCs/>
          <w:color w:val="000000" w:themeColor="text1"/>
          <w:szCs w:val="24"/>
        </w:rPr>
        <w:t>*, Julie Frammery (j.frammery@chu-tours.fr)</w:t>
      </w:r>
      <w:r w:rsidRPr="002E5DBE">
        <w:rPr>
          <w:bCs/>
          <w:color w:val="000000" w:themeColor="text1"/>
          <w:szCs w:val="24"/>
          <w:vertAlign w:val="superscript"/>
        </w:rPr>
        <w:t>a,d</w:t>
      </w:r>
      <w:r w:rsidRPr="002E5DBE">
        <w:rPr>
          <w:bCs/>
          <w:color w:val="000000" w:themeColor="text1"/>
          <w:szCs w:val="24"/>
        </w:rPr>
        <w:t>, Pauline Montaudon (p.montaudon@chu-tours.fr)</w:t>
      </w:r>
      <w:r w:rsidRPr="002E5DBE">
        <w:rPr>
          <w:bCs/>
          <w:color w:val="000000" w:themeColor="text1"/>
          <w:szCs w:val="24"/>
          <w:vertAlign w:val="superscript"/>
        </w:rPr>
        <w:t>e</w:t>
      </w:r>
      <w:r w:rsidRPr="002E5DBE">
        <w:rPr>
          <w:bCs/>
          <w:color w:val="000000" w:themeColor="text1"/>
          <w:szCs w:val="24"/>
        </w:rPr>
        <w:t>, Arnaud De Luca (a.deluca@chu-tours.fr)</w:t>
      </w:r>
      <w:r w:rsidRPr="002E5DBE">
        <w:rPr>
          <w:bCs/>
          <w:color w:val="000000" w:themeColor="text1"/>
          <w:szCs w:val="24"/>
          <w:vertAlign w:val="superscript"/>
        </w:rPr>
        <w:t>f,g,h</w:t>
      </w:r>
      <w:r w:rsidRPr="002E5DBE">
        <w:rPr>
          <w:bCs/>
          <w:color w:val="000000" w:themeColor="text1"/>
          <w:szCs w:val="24"/>
        </w:rPr>
        <w:t>, Régis Hankard (regis.hankard@univ-tours.fr)</w:t>
      </w:r>
      <w:r w:rsidRPr="002E5DBE">
        <w:rPr>
          <w:bCs/>
          <w:color w:val="000000" w:themeColor="text1"/>
          <w:szCs w:val="24"/>
          <w:vertAlign w:val="superscript"/>
        </w:rPr>
        <w:t>f,g,h</w:t>
      </w:r>
      <w:r w:rsidRPr="002E5DBE">
        <w:rPr>
          <w:bCs/>
          <w:color w:val="000000" w:themeColor="text1"/>
          <w:szCs w:val="24"/>
        </w:rPr>
        <w:t>, Pierre-Henri Ducluzeau (pierre-henri.ducluzeau@univ-tours.fr)</w:t>
      </w:r>
      <w:r w:rsidRPr="002E5DBE">
        <w:rPr>
          <w:bCs/>
          <w:color w:val="000000" w:themeColor="text1"/>
          <w:szCs w:val="24"/>
          <w:vertAlign w:val="superscript"/>
        </w:rPr>
        <w:t>f,g</w:t>
      </w:r>
      <w:r w:rsidRPr="002E5DBE">
        <w:rPr>
          <w:bCs/>
          <w:color w:val="000000" w:themeColor="text1"/>
          <w:szCs w:val="24"/>
        </w:rPr>
        <w:t>, Samuele Cortese (samuele.cortese@gmail.com)</w:t>
      </w:r>
      <w:r w:rsidRPr="002E5DBE">
        <w:rPr>
          <w:bCs/>
          <w:color w:val="000000" w:themeColor="text1"/>
          <w:szCs w:val="24"/>
          <w:vertAlign w:val="superscript"/>
        </w:rPr>
        <w:t>i,j,k,l</w:t>
      </w:r>
      <w:r w:rsidRPr="002E5DBE">
        <w:rPr>
          <w:bCs/>
          <w:color w:val="000000" w:themeColor="text1"/>
          <w:szCs w:val="24"/>
        </w:rPr>
        <w:t>**, Nicolas Ballon (nicolas.ballon@univ-tours.fr)</w:t>
      </w:r>
      <w:r w:rsidRPr="002E5DBE">
        <w:rPr>
          <w:bCs/>
          <w:color w:val="000000" w:themeColor="text1"/>
          <w:szCs w:val="24"/>
          <w:vertAlign w:val="superscript"/>
        </w:rPr>
        <w:t>a,b</w:t>
      </w:r>
      <w:r w:rsidRPr="002E5DBE">
        <w:rPr>
          <w:bCs/>
          <w:color w:val="000000" w:themeColor="text1"/>
          <w:szCs w:val="24"/>
        </w:rPr>
        <w:t>**</w:t>
      </w:r>
    </w:p>
    <w:p w:rsidR="00D13D04" w:rsidRPr="002E5DBE" w:rsidRDefault="00D13D04" w:rsidP="00D13D04">
      <w:pPr>
        <w:autoSpaceDE w:val="0"/>
        <w:autoSpaceDN w:val="0"/>
        <w:adjustRightInd w:val="0"/>
        <w:spacing w:line="480" w:lineRule="auto"/>
        <w:rPr>
          <w:bCs/>
          <w:color w:val="000000" w:themeColor="text1"/>
          <w:szCs w:val="24"/>
        </w:rPr>
      </w:pPr>
      <w:r w:rsidRPr="002E5DBE">
        <w:rPr>
          <w:bCs/>
          <w:color w:val="000000" w:themeColor="text1"/>
          <w:szCs w:val="24"/>
          <w:vertAlign w:val="superscript"/>
        </w:rPr>
        <w:t xml:space="preserve">a </w:t>
      </w:r>
      <w:r w:rsidRPr="002E5DBE">
        <w:rPr>
          <w:bCs/>
          <w:color w:val="000000" w:themeColor="text1"/>
          <w:szCs w:val="24"/>
        </w:rPr>
        <w:t>CHRU de Tours, Équipe de Liaison et de Soins en Addictologie &amp; Clinique Psychiatrique Universitaire, 2 boulevard Tonnellé, 37044 Tours Cedex 9, France</w:t>
      </w:r>
      <w:r w:rsidRPr="002E5DBE">
        <w:rPr>
          <w:bCs/>
          <w:color w:val="000000" w:themeColor="text1"/>
          <w:szCs w:val="24"/>
        </w:rPr>
        <w:tab/>
      </w:r>
      <w:r w:rsidRPr="002E5DBE">
        <w:rPr>
          <w:bCs/>
          <w:color w:val="000000" w:themeColor="text1"/>
          <w:szCs w:val="24"/>
        </w:rPr>
        <w:br/>
      </w:r>
      <w:r w:rsidRPr="002E5DBE">
        <w:rPr>
          <w:bCs/>
          <w:color w:val="000000" w:themeColor="text1"/>
          <w:szCs w:val="24"/>
          <w:vertAlign w:val="superscript"/>
        </w:rPr>
        <w:t>b</w:t>
      </w:r>
      <w:r w:rsidRPr="002E5DBE">
        <w:rPr>
          <w:bCs/>
          <w:color w:val="000000" w:themeColor="text1"/>
          <w:szCs w:val="24"/>
        </w:rPr>
        <w:t xml:space="preserve"> Université de Tours, UMR INSERM U1253 iBrain « Brain and Imaging », 2 boulevard Tonnellé, 37044 Tours Cedex, France</w:t>
      </w:r>
      <w:r w:rsidRPr="002E5DBE">
        <w:rPr>
          <w:bCs/>
          <w:color w:val="000000" w:themeColor="text1"/>
          <w:szCs w:val="24"/>
        </w:rPr>
        <w:tab/>
      </w:r>
      <w:r w:rsidRPr="002E5DBE">
        <w:rPr>
          <w:bCs/>
          <w:color w:val="000000" w:themeColor="text1"/>
          <w:szCs w:val="24"/>
        </w:rPr>
        <w:br/>
      </w:r>
      <w:r w:rsidRPr="002E5DBE">
        <w:rPr>
          <w:bCs/>
          <w:color w:val="000000" w:themeColor="text1"/>
          <w:szCs w:val="24"/>
          <w:vertAlign w:val="superscript"/>
        </w:rPr>
        <w:t>c</w:t>
      </w:r>
      <w:r w:rsidRPr="002E5DBE">
        <w:rPr>
          <w:bCs/>
          <w:color w:val="000000" w:themeColor="text1"/>
          <w:szCs w:val="24"/>
        </w:rPr>
        <w:t xml:space="preserve"> Université de Tours, Département de Psychologie, EA 2114 « Psychologie des Âges de la Vie et adaptation », 3 rue des Tanneurs BP 4103, 37041 Tours Cedex 1, France</w:t>
      </w:r>
      <w:r w:rsidRPr="002E5DBE">
        <w:rPr>
          <w:bCs/>
          <w:color w:val="000000" w:themeColor="text1"/>
          <w:szCs w:val="24"/>
        </w:rPr>
        <w:tab/>
      </w:r>
    </w:p>
    <w:p w:rsidR="00D13D04" w:rsidRPr="002E5DBE" w:rsidRDefault="00D13D04" w:rsidP="00D13D04">
      <w:pPr>
        <w:autoSpaceDE w:val="0"/>
        <w:autoSpaceDN w:val="0"/>
        <w:adjustRightInd w:val="0"/>
        <w:spacing w:line="480" w:lineRule="auto"/>
        <w:rPr>
          <w:bCs/>
          <w:color w:val="000000" w:themeColor="text1"/>
          <w:szCs w:val="24"/>
        </w:rPr>
      </w:pPr>
      <w:r w:rsidRPr="002E5DBE">
        <w:rPr>
          <w:bCs/>
          <w:color w:val="000000" w:themeColor="text1"/>
          <w:szCs w:val="24"/>
          <w:vertAlign w:val="superscript"/>
        </w:rPr>
        <w:t>d</w:t>
      </w:r>
      <w:r w:rsidRPr="002E5DBE">
        <w:rPr>
          <w:bCs/>
          <w:color w:val="000000" w:themeColor="text1"/>
          <w:szCs w:val="24"/>
        </w:rPr>
        <w:t xml:space="preserve"> Centre Hospitalier Louis Sevestre, La Futaie, 37390 La Membrolle sur Choisille, France</w:t>
      </w:r>
    </w:p>
    <w:p w:rsidR="00D13D04" w:rsidRPr="002E5DBE" w:rsidRDefault="00D13D04" w:rsidP="00D13D04">
      <w:pPr>
        <w:autoSpaceDE w:val="0"/>
        <w:autoSpaceDN w:val="0"/>
        <w:adjustRightInd w:val="0"/>
        <w:spacing w:line="480" w:lineRule="auto"/>
        <w:rPr>
          <w:bCs/>
          <w:color w:val="000000" w:themeColor="text1"/>
          <w:szCs w:val="24"/>
        </w:rPr>
      </w:pPr>
      <w:r w:rsidRPr="002E5DBE">
        <w:rPr>
          <w:bCs/>
          <w:color w:val="000000" w:themeColor="text1"/>
          <w:szCs w:val="24"/>
          <w:vertAlign w:val="superscript"/>
        </w:rPr>
        <w:t xml:space="preserve">e </w:t>
      </w:r>
      <w:r w:rsidRPr="002E5DBE">
        <w:rPr>
          <w:bCs/>
          <w:color w:val="000000" w:themeColor="text1"/>
          <w:szCs w:val="24"/>
        </w:rPr>
        <w:t>CHRU de Tours, Service de Psychiatrie A, avenue de la république, 37170 Chambray-lès-Tours, France</w:t>
      </w:r>
    </w:p>
    <w:p w:rsidR="00D13D04" w:rsidRPr="002E5DBE" w:rsidRDefault="00D13D04" w:rsidP="00D13D04">
      <w:pPr>
        <w:autoSpaceDE w:val="0"/>
        <w:autoSpaceDN w:val="0"/>
        <w:adjustRightInd w:val="0"/>
        <w:spacing w:line="480" w:lineRule="auto"/>
        <w:rPr>
          <w:bCs/>
          <w:color w:val="000000" w:themeColor="text1"/>
          <w:szCs w:val="24"/>
        </w:rPr>
      </w:pPr>
      <w:r w:rsidRPr="002E5DBE">
        <w:rPr>
          <w:bCs/>
          <w:color w:val="000000" w:themeColor="text1"/>
          <w:szCs w:val="24"/>
          <w:vertAlign w:val="superscript"/>
        </w:rPr>
        <w:t xml:space="preserve">f </w:t>
      </w:r>
      <w:r w:rsidRPr="002E5DBE">
        <w:rPr>
          <w:color w:val="000000" w:themeColor="text1"/>
          <w:szCs w:val="24"/>
        </w:rPr>
        <w:t>CHRU de Tours, Centre Spécialisé pour la prise en charge de l’Obésité sévère, 2 boulevard Tonnellé, 37044 Tours Cedex 9, France</w:t>
      </w:r>
      <w:r w:rsidRPr="002E5DBE">
        <w:rPr>
          <w:bCs/>
          <w:color w:val="000000" w:themeColor="text1"/>
          <w:szCs w:val="24"/>
        </w:rPr>
        <w:t xml:space="preserve"> </w:t>
      </w:r>
    </w:p>
    <w:p w:rsidR="00D13D04" w:rsidRPr="002E5DBE" w:rsidRDefault="00D13D04" w:rsidP="00D13D04">
      <w:pPr>
        <w:autoSpaceDE w:val="0"/>
        <w:autoSpaceDN w:val="0"/>
        <w:adjustRightInd w:val="0"/>
        <w:spacing w:line="480" w:lineRule="auto"/>
        <w:rPr>
          <w:bCs/>
          <w:color w:val="000000" w:themeColor="text1"/>
          <w:szCs w:val="24"/>
        </w:rPr>
      </w:pPr>
      <w:r w:rsidRPr="002E5DBE">
        <w:rPr>
          <w:bCs/>
          <w:color w:val="000000" w:themeColor="text1"/>
          <w:szCs w:val="24"/>
          <w:vertAlign w:val="superscript"/>
        </w:rPr>
        <w:t xml:space="preserve">g </w:t>
      </w:r>
      <w:r w:rsidRPr="002E5DBE">
        <w:rPr>
          <w:color w:val="000000" w:themeColor="text1"/>
          <w:szCs w:val="24"/>
        </w:rPr>
        <w:t>Université de Tours, Inserm U1069, 10 Boulevard Tonnellé, 37000 Tours, France</w:t>
      </w:r>
    </w:p>
    <w:p w:rsidR="00D13D04" w:rsidRPr="002E5DBE" w:rsidRDefault="00D13D04" w:rsidP="00D13D04">
      <w:pPr>
        <w:spacing w:line="480" w:lineRule="auto"/>
        <w:rPr>
          <w:color w:val="000000" w:themeColor="text1"/>
          <w:szCs w:val="24"/>
        </w:rPr>
      </w:pPr>
      <w:r w:rsidRPr="002E5DBE">
        <w:rPr>
          <w:color w:val="000000" w:themeColor="text1"/>
          <w:szCs w:val="24"/>
          <w:vertAlign w:val="superscript"/>
        </w:rPr>
        <w:t>h</w:t>
      </w:r>
      <w:r w:rsidRPr="002E5DBE">
        <w:rPr>
          <w:color w:val="000000" w:themeColor="text1"/>
          <w:szCs w:val="24"/>
        </w:rPr>
        <w:t xml:space="preserve"> CHRU de Tours, Unité mobile de nutrition, 2 boulevard Tonnellé, 37000 Tours, France</w:t>
      </w:r>
    </w:p>
    <w:p w:rsidR="00D13D04" w:rsidRPr="002E5DBE" w:rsidRDefault="00D13D04" w:rsidP="00D13D04">
      <w:pPr>
        <w:spacing w:line="480" w:lineRule="auto"/>
        <w:rPr>
          <w:color w:val="000000" w:themeColor="text1"/>
          <w:szCs w:val="24"/>
          <w:lang w:val="en-US"/>
        </w:rPr>
      </w:pPr>
      <w:r w:rsidRPr="002E5DBE">
        <w:rPr>
          <w:color w:val="000000" w:themeColor="text1"/>
          <w:szCs w:val="24"/>
          <w:vertAlign w:val="superscript"/>
          <w:lang w:val="en-US"/>
        </w:rPr>
        <w:t>i</w:t>
      </w:r>
      <w:r w:rsidRPr="002E5DBE">
        <w:rPr>
          <w:color w:val="000000" w:themeColor="text1"/>
          <w:szCs w:val="24"/>
          <w:lang w:val="en-US"/>
        </w:rPr>
        <w:t xml:space="preserve"> Center for Innovation in Mental Health, Academic Unit of Psychology; Clinical and Experimental Sciences (CNS and Psychiatry), Faculty of Medicine, University of Southampton, UK</w:t>
      </w:r>
    </w:p>
    <w:p w:rsidR="00D13D04" w:rsidRPr="002E5DBE" w:rsidRDefault="00D13D04" w:rsidP="00D13D04">
      <w:pPr>
        <w:spacing w:line="480" w:lineRule="auto"/>
        <w:rPr>
          <w:color w:val="000000" w:themeColor="text1"/>
          <w:szCs w:val="24"/>
          <w:lang w:val="en-US"/>
        </w:rPr>
      </w:pPr>
      <w:r w:rsidRPr="002E5DBE">
        <w:rPr>
          <w:color w:val="000000" w:themeColor="text1"/>
          <w:szCs w:val="24"/>
          <w:vertAlign w:val="superscript"/>
          <w:lang w:val="en-US"/>
        </w:rPr>
        <w:t>j</w:t>
      </w:r>
      <w:r w:rsidRPr="002E5DBE">
        <w:rPr>
          <w:color w:val="000000" w:themeColor="text1"/>
          <w:szCs w:val="24"/>
          <w:lang w:val="en-US"/>
        </w:rPr>
        <w:t xml:space="preserve"> Solent NHS Trust, Southampton, UK</w:t>
      </w:r>
    </w:p>
    <w:p w:rsidR="00D13D04" w:rsidRPr="002E5DBE" w:rsidRDefault="00D13D04" w:rsidP="00D13D04">
      <w:pPr>
        <w:spacing w:line="480" w:lineRule="auto"/>
        <w:rPr>
          <w:color w:val="000000" w:themeColor="text1"/>
          <w:szCs w:val="24"/>
          <w:lang w:val="en-US"/>
        </w:rPr>
      </w:pPr>
      <w:r w:rsidRPr="002E5DBE">
        <w:rPr>
          <w:color w:val="000000" w:themeColor="text1"/>
          <w:szCs w:val="24"/>
          <w:vertAlign w:val="superscript"/>
          <w:lang w:val="en-US"/>
        </w:rPr>
        <w:lastRenderedPageBreak/>
        <w:t xml:space="preserve">k </w:t>
      </w:r>
      <w:r w:rsidRPr="002E5DBE">
        <w:rPr>
          <w:color w:val="000000" w:themeColor="text1"/>
          <w:szCs w:val="24"/>
          <w:lang w:val="en-US"/>
        </w:rPr>
        <w:t>New York University Child Study Center, New York, NY, USA</w:t>
      </w:r>
    </w:p>
    <w:p w:rsidR="00D13D04" w:rsidRPr="002E5DBE" w:rsidRDefault="00D13D04" w:rsidP="00D13D04">
      <w:pPr>
        <w:spacing w:line="480" w:lineRule="auto"/>
        <w:rPr>
          <w:color w:val="000000" w:themeColor="text1"/>
          <w:szCs w:val="24"/>
          <w:lang w:val="en-US"/>
        </w:rPr>
      </w:pPr>
      <w:r w:rsidRPr="002E5DBE">
        <w:rPr>
          <w:color w:val="000000" w:themeColor="text1"/>
          <w:szCs w:val="24"/>
          <w:vertAlign w:val="superscript"/>
          <w:lang w:val="en-US"/>
        </w:rPr>
        <w:t xml:space="preserve">l </w:t>
      </w:r>
      <w:r w:rsidRPr="002E5DBE">
        <w:rPr>
          <w:color w:val="000000" w:themeColor="text1"/>
          <w:szCs w:val="24"/>
          <w:lang w:val="en-US"/>
        </w:rPr>
        <w:t>Division of Psychiatry and Applied Psychology, School of Medicine, University of Nottingham, Nottingham, UK</w:t>
      </w:r>
    </w:p>
    <w:p w:rsidR="00D13D04" w:rsidRPr="002E5DBE" w:rsidRDefault="00D13D04" w:rsidP="00D13D04">
      <w:pPr>
        <w:spacing w:line="480" w:lineRule="auto"/>
        <w:rPr>
          <w:color w:val="000000" w:themeColor="text1"/>
          <w:szCs w:val="24"/>
          <w:lang w:val="en-US"/>
        </w:rPr>
      </w:pPr>
    </w:p>
    <w:p w:rsidR="00D13D04" w:rsidRPr="002E5DBE" w:rsidRDefault="00D13D04" w:rsidP="00D13D04">
      <w:pPr>
        <w:spacing w:line="480" w:lineRule="auto"/>
        <w:rPr>
          <w:color w:val="000000" w:themeColor="text1"/>
          <w:szCs w:val="24"/>
          <w:lang w:val="en-US"/>
        </w:rPr>
      </w:pPr>
      <w:r w:rsidRPr="002E5DBE">
        <w:rPr>
          <w:color w:val="000000" w:themeColor="text1"/>
          <w:szCs w:val="24"/>
          <w:lang w:val="en-US"/>
        </w:rPr>
        <w:t>** These authors contributed equally to this work</w:t>
      </w:r>
    </w:p>
    <w:p w:rsidR="00D13D04" w:rsidRPr="002E5DBE" w:rsidRDefault="00D13D04" w:rsidP="00D13D04">
      <w:pPr>
        <w:autoSpaceDE w:val="0"/>
        <w:autoSpaceDN w:val="0"/>
        <w:adjustRightInd w:val="0"/>
        <w:spacing w:line="480" w:lineRule="auto"/>
        <w:rPr>
          <w:bCs/>
          <w:color w:val="000000" w:themeColor="text1"/>
          <w:szCs w:val="24"/>
          <w:lang w:val="en-US"/>
        </w:rPr>
      </w:pPr>
    </w:p>
    <w:p w:rsidR="00D13D04" w:rsidRPr="002E5DBE" w:rsidRDefault="00D13D04" w:rsidP="00D13D04">
      <w:pPr>
        <w:autoSpaceDE w:val="0"/>
        <w:autoSpaceDN w:val="0"/>
        <w:adjustRightInd w:val="0"/>
        <w:spacing w:line="480" w:lineRule="auto"/>
        <w:rPr>
          <w:b/>
          <w:bCs/>
          <w:color w:val="000000" w:themeColor="text1"/>
          <w:szCs w:val="24"/>
          <w:lang w:val="en-US"/>
        </w:rPr>
      </w:pPr>
      <w:r w:rsidRPr="002E5DBE">
        <w:rPr>
          <w:b/>
          <w:bCs/>
          <w:color w:val="000000" w:themeColor="text1"/>
          <w:szCs w:val="24"/>
          <w:lang w:val="en-US"/>
        </w:rPr>
        <w:t>Corresponding author:</w:t>
      </w:r>
    </w:p>
    <w:p w:rsidR="00D13D04" w:rsidRPr="002E5DBE" w:rsidRDefault="00D13D04" w:rsidP="00D13D04">
      <w:pPr>
        <w:autoSpaceDE w:val="0"/>
        <w:autoSpaceDN w:val="0"/>
        <w:adjustRightInd w:val="0"/>
        <w:spacing w:line="480" w:lineRule="auto"/>
        <w:rPr>
          <w:bCs/>
          <w:color w:val="000000" w:themeColor="text1"/>
          <w:szCs w:val="24"/>
          <w:lang w:val="en-US"/>
        </w:rPr>
      </w:pPr>
      <w:r w:rsidRPr="002E5DBE">
        <w:rPr>
          <w:bCs/>
          <w:color w:val="000000" w:themeColor="text1"/>
          <w:szCs w:val="24"/>
          <w:lang w:val="en-US"/>
        </w:rPr>
        <w:t xml:space="preserve">Paul Brunault (M.D., Ph.D., Lecturer in Addiction Medicine), CHRU de Tours, Department of Psychiatry &amp; Addiction, 2 boulevard Tonnellé, 37044 Tours Cedex 9, France. </w:t>
      </w:r>
    </w:p>
    <w:p w:rsidR="00D13D04" w:rsidRPr="002E5DBE" w:rsidRDefault="00D13D04" w:rsidP="00D13D04">
      <w:pPr>
        <w:autoSpaceDE w:val="0"/>
        <w:autoSpaceDN w:val="0"/>
        <w:adjustRightInd w:val="0"/>
        <w:spacing w:line="480" w:lineRule="auto"/>
        <w:rPr>
          <w:bCs/>
          <w:color w:val="000000" w:themeColor="text1"/>
          <w:szCs w:val="24"/>
          <w:lang w:val="en-US"/>
        </w:rPr>
      </w:pPr>
      <w:r w:rsidRPr="002E5DBE">
        <w:rPr>
          <w:bCs/>
          <w:color w:val="000000" w:themeColor="text1"/>
          <w:szCs w:val="24"/>
          <w:lang w:val="en-US"/>
        </w:rPr>
        <w:t xml:space="preserve">e-mail: </w:t>
      </w:r>
      <w:hyperlink r:id="rId6" w:history="1">
        <w:r w:rsidRPr="002E5DBE">
          <w:rPr>
            <w:bCs/>
            <w:color w:val="000000" w:themeColor="text1"/>
            <w:szCs w:val="24"/>
            <w:lang w:val="en-US"/>
          </w:rPr>
          <w:t>paul.brunault@univ-tours.fr</w:t>
        </w:r>
      </w:hyperlink>
      <w:r w:rsidRPr="002E5DBE">
        <w:rPr>
          <w:bCs/>
          <w:color w:val="000000" w:themeColor="text1"/>
          <w:szCs w:val="24"/>
          <w:lang w:val="en-US"/>
        </w:rPr>
        <w:t>; Telephone: +33-247-478043; Fax: +33-247-478402</w:t>
      </w:r>
    </w:p>
    <w:p w:rsidR="00D13D04" w:rsidRPr="002E5DBE" w:rsidRDefault="00D13D04" w:rsidP="00D13D04">
      <w:pPr>
        <w:rPr>
          <w:color w:val="000000" w:themeColor="text1"/>
          <w:szCs w:val="24"/>
          <w:highlight w:val="yellow"/>
          <w:u w:val="single"/>
          <w:lang w:val="en-US"/>
        </w:rPr>
      </w:pPr>
    </w:p>
    <w:p w:rsidR="00D13D04" w:rsidRPr="002E5DBE" w:rsidRDefault="00D13D04" w:rsidP="00D13D04">
      <w:pPr>
        <w:spacing w:line="240" w:lineRule="auto"/>
        <w:jc w:val="left"/>
        <w:rPr>
          <w:b/>
          <w:color w:val="000000" w:themeColor="text1"/>
          <w:szCs w:val="24"/>
          <w:lang w:val="en-US"/>
        </w:rPr>
      </w:pPr>
      <w:r w:rsidRPr="002E5DBE">
        <w:rPr>
          <w:b/>
          <w:color w:val="000000" w:themeColor="text1"/>
          <w:szCs w:val="24"/>
          <w:lang w:val="en-US"/>
        </w:rPr>
        <w:br w:type="page"/>
      </w:r>
    </w:p>
    <w:p w:rsidR="00D13D04" w:rsidRPr="002E5DBE" w:rsidRDefault="00D13D04" w:rsidP="00D13D04">
      <w:pPr>
        <w:autoSpaceDE w:val="0"/>
        <w:autoSpaceDN w:val="0"/>
        <w:adjustRightInd w:val="0"/>
        <w:spacing w:line="480" w:lineRule="auto"/>
        <w:outlineLvl w:val="0"/>
        <w:rPr>
          <w:b/>
          <w:color w:val="000000" w:themeColor="text1"/>
          <w:szCs w:val="24"/>
          <w:lang w:val="en-US"/>
        </w:rPr>
      </w:pPr>
      <w:r w:rsidRPr="002E5DBE">
        <w:rPr>
          <w:b/>
          <w:color w:val="000000" w:themeColor="text1"/>
          <w:szCs w:val="24"/>
          <w:lang w:val="en-US"/>
        </w:rPr>
        <w:lastRenderedPageBreak/>
        <w:t>Abstract</w:t>
      </w:r>
    </w:p>
    <w:p w:rsidR="00D13D04" w:rsidRPr="002E5DBE" w:rsidRDefault="00D13D04" w:rsidP="00D13D04">
      <w:pPr>
        <w:autoSpaceDE w:val="0"/>
        <w:autoSpaceDN w:val="0"/>
        <w:adjustRightInd w:val="0"/>
        <w:spacing w:line="480" w:lineRule="auto"/>
        <w:outlineLvl w:val="0"/>
        <w:rPr>
          <w:color w:val="000000" w:themeColor="text1"/>
          <w:szCs w:val="24"/>
          <w:lang w:val="en-GB"/>
        </w:rPr>
      </w:pPr>
      <w:r w:rsidRPr="002E5DBE">
        <w:rPr>
          <w:b/>
          <w:color w:val="000000" w:themeColor="text1"/>
          <w:szCs w:val="24"/>
          <w:lang w:val="en-US"/>
        </w:rPr>
        <w:t>Introduction:</w:t>
      </w:r>
      <w:r w:rsidRPr="002E5DBE">
        <w:rPr>
          <w:color w:val="000000" w:themeColor="text1"/>
          <w:szCs w:val="24"/>
          <w:lang w:val="en-US"/>
        </w:rPr>
        <w:t xml:space="preserve"> The exact mechanisms underlying the established association between ADHD and obesity remain unclear. Food addiction and binge eating may contribute to this link. We examined for the first time the association </w:t>
      </w:r>
      <w:r w:rsidRPr="002E5DBE">
        <w:rPr>
          <w:color w:val="000000" w:themeColor="text1"/>
          <w:szCs w:val="24"/>
          <w:lang w:val="en-GB"/>
        </w:rPr>
        <w:t>between childhood/adult ADHD and food addiction/ binge eating in patients with obesity</w:t>
      </w:r>
      <w:r w:rsidRPr="002E5DBE">
        <w:rPr>
          <w:color w:val="000000" w:themeColor="text1"/>
          <w:szCs w:val="24"/>
          <w:lang w:val="en-US"/>
        </w:rPr>
        <w:t xml:space="preserve">, as well as the association between ADHD and sleep apnea syndrome. </w:t>
      </w:r>
    </w:p>
    <w:p w:rsidR="00D13D04" w:rsidRPr="002E5DBE" w:rsidRDefault="00D13D04" w:rsidP="00D13D04">
      <w:pPr>
        <w:autoSpaceDE w:val="0"/>
        <w:autoSpaceDN w:val="0"/>
        <w:adjustRightInd w:val="0"/>
        <w:rPr>
          <w:bCs/>
          <w:color w:val="000000" w:themeColor="text1"/>
          <w:szCs w:val="24"/>
          <w:lang w:val="en-US"/>
        </w:rPr>
      </w:pPr>
      <w:r w:rsidRPr="002E5DBE">
        <w:rPr>
          <w:b/>
          <w:color w:val="000000" w:themeColor="text1"/>
          <w:szCs w:val="24"/>
          <w:lang w:val="en-US"/>
        </w:rPr>
        <w:t>Methods:</w:t>
      </w:r>
      <w:r w:rsidRPr="002E5DBE">
        <w:rPr>
          <w:color w:val="000000" w:themeColor="text1"/>
          <w:szCs w:val="24"/>
          <w:lang w:val="en-US"/>
        </w:rPr>
        <w:t xml:space="preserve"> </w:t>
      </w:r>
      <w:r w:rsidRPr="002E5DBE">
        <w:rPr>
          <w:bCs/>
          <w:color w:val="000000" w:themeColor="text1"/>
          <w:szCs w:val="24"/>
          <w:lang w:val="en-US"/>
        </w:rPr>
        <w:t xml:space="preserve">We included 105 obese patients from the Nutrition Department of the University Hospital of Tours (France) between January and December 2014. We assessed categorical diagnoses of childhood/adulthood ADHD (semi-structured interview DIVA 2.0), food addiction (Yale Food Addiction Scale 2.0), binge eating (Binge Eating Scale), obstructive sleep apnea (clinical assessment), and BMI (clinical assessment). </w:t>
      </w:r>
    </w:p>
    <w:p w:rsidR="00D13D04" w:rsidRPr="002E5DBE" w:rsidRDefault="00D13D04" w:rsidP="00D13D04">
      <w:pPr>
        <w:autoSpaceDE w:val="0"/>
        <w:autoSpaceDN w:val="0"/>
        <w:adjustRightInd w:val="0"/>
        <w:rPr>
          <w:iCs/>
          <w:color w:val="000000" w:themeColor="text1"/>
          <w:szCs w:val="24"/>
          <w:lang w:val="en-US"/>
        </w:rPr>
      </w:pPr>
      <w:r w:rsidRPr="002E5DBE">
        <w:rPr>
          <w:b/>
          <w:iCs/>
          <w:color w:val="000000" w:themeColor="text1"/>
          <w:szCs w:val="24"/>
          <w:lang w:val="en-US"/>
        </w:rPr>
        <w:t>Results:</w:t>
      </w:r>
      <w:r w:rsidRPr="002E5DBE">
        <w:rPr>
          <w:iCs/>
          <w:color w:val="000000" w:themeColor="text1"/>
          <w:szCs w:val="24"/>
          <w:lang w:val="en-US"/>
        </w:rPr>
        <w:t xml:space="preserve"> </w:t>
      </w:r>
      <w:r w:rsidRPr="002E5DBE">
        <w:rPr>
          <w:color w:val="000000" w:themeColor="text1"/>
          <w:szCs w:val="24"/>
          <w:lang w:val="en-GB"/>
        </w:rPr>
        <w:t xml:space="preserve">Patients with adult ADHD were at significantly higher risk of food addiction than patients without adult ADHD (28.6% vs. 9.1%; p=.016). </w:t>
      </w:r>
      <w:r w:rsidRPr="002E5DBE">
        <w:rPr>
          <w:iCs/>
          <w:color w:val="000000" w:themeColor="text1"/>
          <w:szCs w:val="24"/>
          <w:lang w:val="en-US"/>
        </w:rPr>
        <w:t>Adult and childhood ADHD were significantly associated with self-reported food addiction, food addiction scores and binge eating scores, with a larger effect size for adult (ORs: 4.00[1.29-12.40], 1.37[1.14-1.65] and 1.08[1.03-1.14], respectively) than childhood (ORs: 3.32[1.08-10.23], 1.29[1.08-1.55] and 1.06[1.01-1.11], respectively) ADHD. ADHD diagnosis was not significantly correlated to obstructive sleep apnea. M</w:t>
      </w:r>
      <w:r w:rsidRPr="002E5DBE">
        <w:rPr>
          <w:color w:val="000000" w:themeColor="text1"/>
          <w:szCs w:val="24"/>
          <w:lang w:val="en-GB"/>
        </w:rPr>
        <w:t>ean age of onset of ADHD preceded mean age of onset of obesity.</w:t>
      </w:r>
    </w:p>
    <w:p w:rsidR="00D13D04" w:rsidRPr="002E5DBE" w:rsidRDefault="00D13D04" w:rsidP="00D13D04">
      <w:pPr>
        <w:autoSpaceDE w:val="0"/>
        <w:autoSpaceDN w:val="0"/>
        <w:adjustRightInd w:val="0"/>
        <w:rPr>
          <w:color w:val="000000" w:themeColor="text1"/>
          <w:szCs w:val="24"/>
          <w:lang w:val="en-GB"/>
        </w:rPr>
      </w:pPr>
      <w:r w:rsidRPr="002E5DBE">
        <w:rPr>
          <w:b/>
          <w:iCs/>
          <w:color w:val="000000" w:themeColor="text1"/>
          <w:szCs w:val="24"/>
          <w:lang w:val="en-US"/>
        </w:rPr>
        <w:t>Conclusion:</w:t>
      </w:r>
      <w:r w:rsidRPr="002E5DBE">
        <w:rPr>
          <w:color w:val="000000" w:themeColor="text1"/>
          <w:szCs w:val="24"/>
          <w:lang w:val="en-GB"/>
        </w:rPr>
        <w:t xml:space="preserve"> ADHD diagnosis is associated with food addiction and binge eating, with a larger effect size for adult than childhood ADHD. Our results provide a strong rationale for further longitudinal research on the link between ADHD, food addiction, binge eating and obesity, paving the way for evidence-based therapeutic interventions for these patients. </w:t>
      </w:r>
    </w:p>
    <w:p w:rsidR="00D13D04" w:rsidRPr="002E5DBE" w:rsidRDefault="00D13D04" w:rsidP="00D13D04">
      <w:pPr>
        <w:autoSpaceDE w:val="0"/>
        <w:autoSpaceDN w:val="0"/>
        <w:adjustRightInd w:val="0"/>
        <w:spacing w:line="480" w:lineRule="auto"/>
        <w:rPr>
          <w:bCs/>
          <w:color w:val="000000" w:themeColor="text1"/>
          <w:szCs w:val="24"/>
          <w:highlight w:val="yellow"/>
          <w:lang w:val="en-US"/>
        </w:rPr>
      </w:pPr>
    </w:p>
    <w:p w:rsidR="00D13D04" w:rsidRPr="002E5DBE" w:rsidRDefault="00D13D04" w:rsidP="00D13D04">
      <w:pPr>
        <w:spacing w:line="480" w:lineRule="auto"/>
        <w:rPr>
          <w:color w:val="000000" w:themeColor="text1"/>
          <w:szCs w:val="24"/>
          <w:lang w:val="en-US"/>
        </w:rPr>
      </w:pPr>
      <w:r w:rsidRPr="002E5DBE">
        <w:rPr>
          <w:b/>
          <w:color w:val="000000" w:themeColor="text1"/>
          <w:szCs w:val="24"/>
          <w:lang w:val="en-US"/>
        </w:rPr>
        <w:t>Keywords:</w:t>
      </w:r>
      <w:r w:rsidRPr="002E5DBE">
        <w:rPr>
          <w:color w:val="000000" w:themeColor="text1"/>
          <w:szCs w:val="24"/>
          <w:lang w:val="en-US"/>
        </w:rPr>
        <w:t xml:space="preserve"> Attention Deficit Disorder with Hyperactivity; behavior, addictive; impulsive behavior; addictive-like eating; eating addiction; substance-related and addictive disorders.</w:t>
      </w:r>
    </w:p>
    <w:p w:rsidR="00D13D04" w:rsidRPr="002E5DBE" w:rsidRDefault="00D13D04" w:rsidP="00D13D04">
      <w:pPr>
        <w:spacing w:line="480" w:lineRule="auto"/>
        <w:rPr>
          <w:color w:val="000000" w:themeColor="text1"/>
          <w:szCs w:val="24"/>
          <w:lang w:val="en-GB"/>
        </w:rPr>
      </w:pPr>
    </w:p>
    <w:p w:rsidR="00D13D04" w:rsidRPr="002E5DBE" w:rsidRDefault="00D13D04" w:rsidP="00D13D04">
      <w:pPr>
        <w:spacing w:line="480" w:lineRule="auto"/>
        <w:rPr>
          <w:color w:val="000000" w:themeColor="text1"/>
          <w:szCs w:val="24"/>
          <w:lang w:val="en-GB"/>
        </w:rPr>
      </w:pPr>
    </w:p>
    <w:p w:rsidR="00D13D04" w:rsidRPr="002E5DBE" w:rsidRDefault="00D13D04" w:rsidP="00D13D04">
      <w:pPr>
        <w:spacing w:line="480" w:lineRule="auto"/>
        <w:rPr>
          <w:color w:val="000000" w:themeColor="text1"/>
          <w:szCs w:val="24"/>
          <w:lang w:val="en-GB"/>
        </w:rPr>
      </w:pPr>
    </w:p>
    <w:p w:rsidR="00D13D04" w:rsidRPr="002E5DBE" w:rsidRDefault="00D13D04" w:rsidP="00D13D04">
      <w:pPr>
        <w:spacing w:line="480" w:lineRule="auto"/>
        <w:rPr>
          <w:color w:val="000000" w:themeColor="text1"/>
          <w:szCs w:val="24"/>
          <w:lang w:val="en-GB"/>
        </w:rPr>
      </w:pPr>
    </w:p>
    <w:p w:rsidR="00D13D04" w:rsidRPr="002E5DBE" w:rsidRDefault="00D13D04" w:rsidP="00D13D04">
      <w:pPr>
        <w:spacing w:line="480" w:lineRule="auto"/>
        <w:outlineLvl w:val="0"/>
        <w:rPr>
          <w:b/>
          <w:color w:val="000000" w:themeColor="text1"/>
          <w:szCs w:val="24"/>
          <w:lang w:val="en-US"/>
        </w:rPr>
      </w:pPr>
      <w:r w:rsidRPr="002E5DBE">
        <w:rPr>
          <w:b/>
          <w:color w:val="000000" w:themeColor="text1"/>
          <w:szCs w:val="24"/>
          <w:lang w:val="en-US"/>
        </w:rPr>
        <w:lastRenderedPageBreak/>
        <w:t>Highlights:</w:t>
      </w:r>
    </w:p>
    <w:p w:rsidR="00D13D04" w:rsidRPr="002E5DBE" w:rsidRDefault="00D13D04" w:rsidP="00D13D04">
      <w:pPr>
        <w:pStyle w:val="ListParagraph"/>
        <w:numPr>
          <w:ilvl w:val="0"/>
          <w:numId w:val="40"/>
        </w:numPr>
        <w:spacing w:line="480" w:lineRule="auto"/>
        <w:rPr>
          <w:color w:val="000000" w:themeColor="text1"/>
          <w:szCs w:val="24"/>
          <w:lang w:val="en-GB"/>
        </w:rPr>
      </w:pPr>
      <w:r w:rsidRPr="002E5DBE">
        <w:rPr>
          <w:color w:val="000000" w:themeColor="text1"/>
          <w:szCs w:val="24"/>
          <w:lang w:val="en-GB"/>
        </w:rPr>
        <w:t>Childhood and adulthood ADHD are associated with obesity, but the underlying mechanisms are not well defined</w:t>
      </w:r>
    </w:p>
    <w:p w:rsidR="00D13D04" w:rsidRPr="002E5DBE" w:rsidRDefault="00D13D04" w:rsidP="00D13D04">
      <w:pPr>
        <w:spacing w:line="480" w:lineRule="auto"/>
        <w:ind w:left="360"/>
        <w:outlineLvl w:val="0"/>
        <w:rPr>
          <w:color w:val="000000" w:themeColor="text1"/>
          <w:szCs w:val="24"/>
          <w:lang w:val="en-GB"/>
        </w:rPr>
      </w:pPr>
      <w:r w:rsidRPr="002E5DBE">
        <w:rPr>
          <w:color w:val="000000" w:themeColor="text1"/>
          <w:szCs w:val="24"/>
          <w:lang w:val="en-GB"/>
        </w:rPr>
        <w:t>We found that:</w:t>
      </w:r>
    </w:p>
    <w:p w:rsidR="00D13D04" w:rsidRPr="002E5DBE" w:rsidRDefault="00D13D04" w:rsidP="00D13D04">
      <w:pPr>
        <w:pStyle w:val="ListParagraph"/>
        <w:numPr>
          <w:ilvl w:val="0"/>
          <w:numId w:val="40"/>
        </w:numPr>
        <w:spacing w:line="480" w:lineRule="auto"/>
        <w:rPr>
          <w:color w:val="000000" w:themeColor="text1"/>
          <w:szCs w:val="24"/>
          <w:lang w:val="en-GB"/>
        </w:rPr>
      </w:pPr>
      <w:r w:rsidRPr="002E5DBE">
        <w:rPr>
          <w:color w:val="000000" w:themeColor="text1"/>
          <w:szCs w:val="24"/>
          <w:lang w:val="en-GB"/>
        </w:rPr>
        <w:t xml:space="preserve">Food addiction/binge eating were significantly associated with both childhood and adult ADHD diagnosis </w:t>
      </w:r>
    </w:p>
    <w:p w:rsidR="00D13D04" w:rsidRPr="002E5DBE" w:rsidRDefault="00D13D04" w:rsidP="00D13D04">
      <w:pPr>
        <w:pStyle w:val="ListParagraph"/>
        <w:numPr>
          <w:ilvl w:val="0"/>
          <w:numId w:val="40"/>
        </w:numPr>
        <w:spacing w:line="480" w:lineRule="auto"/>
        <w:rPr>
          <w:color w:val="000000" w:themeColor="text1"/>
          <w:szCs w:val="24"/>
          <w:lang w:val="en-GB"/>
        </w:rPr>
      </w:pPr>
      <w:r w:rsidRPr="002E5DBE">
        <w:rPr>
          <w:color w:val="000000" w:themeColor="text1"/>
          <w:szCs w:val="24"/>
          <w:lang w:val="en-GB"/>
        </w:rPr>
        <w:t xml:space="preserve">This association was stronger for adulthood than childhood ADHD </w:t>
      </w:r>
    </w:p>
    <w:p w:rsidR="00D13D04" w:rsidRPr="00AB3C5A" w:rsidRDefault="00D13D04" w:rsidP="00D13D04">
      <w:pPr>
        <w:pStyle w:val="ListParagraph"/>
        <w:numPr>
          <w:ilvl w:val="0"/>
          <w:numId w:val="40"/>
        </w:numPr>
        <w:spacing w:line="480" w:lineRule="auto"/>
        <w:rPr>
          <w:color w:val="000000" w:themeColor="text1"/>
          <w:szCs w:val="24"/>
          <w:lang w:val="en-GB"/>
        </w:rPr>
      </w:pPr>
      <w:r w:rsidRPr="002E5DBE">
        <w:rPr>
          <w:color w:val="000000" w:themeColor="text1"/>
          <w:szCs w:val="24"/>
          <w:lang w:val="en-GB"/>
        </w:rPr>
        <w:t xml:space="preserve">ADHD was </w:t>
      </w:r>
      <w:r w:rsidRPr="00AB3C5A">
        <w:rPr>
          <w:color w:val="000000" w:themeColor="text1"/>
          <w:szCs w:val="24"/>
          <w:lang w:val="en-GB"/>
        </w:rPr>
        <w:t>strongly associated with both food addiction and binge eating</w:t>
      </w:r>
      <w:r w:rsidR="00AB3C5A" w:rsidRPr="00AB3C5A">
        <w:rPr>
          <w:color w:val="000000" w:themeColor="text1"/>
          <w:szCs w:val="24"/>
          <w:lang w:val="en-GB"/>
        </w:rPr>
        <w:t>, with no difference in effect sizes.</w:t>
      </w:r>
    </w:p>
    <w:p w:rsidR="00D13D04" w:rsidRPr="002E5DBE" w:rsidRDefault="00D13D04" w:rsidP="00D13D04">
      <w:pPr>
        <w:pStyle w:val="ListParagraph"/>
        <w:numPr>
          <w:ilvl w:val="0"/>
          <w:numId w:val="40"/>
        </w:numPr>
        <w:spacing w:line="480" w:lineRule="auto"/>
        <w:rPr>
          <w:color w:val="000000" w:themeColor="text1"/>
          <w:szCs w:val="24"/>
          <w:lang w:val="en-GB"/>
        </w:rPr>
      </w:pPr>
      <w:r w:rsidRPr="002E5DBE">
        <w:rPr>
          <w:color w:val="000000" w:themeColor="text1"/>
          <w:szCs w:val="24"/>
          <w:lang w:val="en-GB"/>
        </w:rPr>
        <w:t>ADHD was not correlated to obstructive sleep apnea syndrome</w:t>
      </w:r>
    </w:p>
    <w:p w:rsidR="00D13D04" w:rsidRPr="002E5DBE" w:rsidRDefault="00D13D04" w:rsidP="00D13D04">
      <w:pPr>
        <w:spacing w:line="480" w:lineRule="auto"/>
        <w:rPr>
          <w:color w:val="000000" w:themeColor="text1"/>
          <w:szCs w:val="24"/>
          <w:lang w:val="en-GB"/>
        </w:rPr>
      </w:pPr>
    </w:p>
    <w:p w:rsidR="00D13D04" w:rsidRPr="002E5DBE" w:rsidRDefault="00D13D04" w:rsidP="00D13D04">
      <w:pPr>
        <w:spacing w:line="240" w:lineRule="auto"/>
        <w:jc w:val="left"/>
        <w:rPr>
          <w:color w:val="000000" w:themeColor="text1"/>
          <w:szCs w:val="24"/>
          <w:lang w:val="en-GB"/>
        </w:rPr>
      </w:pPr>
      <w:r w:rsidRPr="002E5DBE">
        <w:rPr>
          <w:color w:val="000000" w:themeColor="text1"/>
          <w:szCs w:val="24"/>
          <w:lang w:val="en-GB"/>
        </w:rPr>
        <w:br w:type="page"/>
      </w:r>
    </w:p>
    <w:p w:rsidR="00D13D04" w:rsidRPr="002E5DBE" w:rsidRDefault="00D13D04" w:rsidP="00D13D04">
      <w:pPr>
        <w:autoSpaceDE w:val="0"/>
        <w:autoSpaceDN w:val="0"/>
        <w:adjustRightInd w:val="0"/>
        <w:spacing w:line="276" w:lineRule="auto"/>
        <w:jc w:val="left"/>
        <w:rPr>
          <w:bCs/>
          <w:color w:val="000000" w:themeColor="text1"/>
          <w:szCs w:val="24"/>
          <w:lang w:val="en-US"/>
        </w:rPr>
        <w:sectPr w:rsidR="00D13D04" w:rsidRPr="002E5DBE" w:rsidSect="00D13D04">
          <w:pgSz w:w="11900" w:h="16840"/>
          <w:pgMar w:top="1417" w:right="1417" w:bottom="1417" w:left="1417" w:header="708" w:footer="708" w:gutter="0"/>
          <w:cols w:space="708"/>
          <w:docGrid w:linePitch="360"/>
        </w:sectPr>
      </w:pPr>
    </w:p>
    <w:p w:rsidR="00D13D04" w:rsidRPr="002E5DBE" w:rsidRDefault="00D13D04" w:rsidP="00D13D04">
      <w:pPr>
        <w:pStyle w:val="ListParagraph"/>
        <w:numPr>
          <w:ilvl w:val="0"/>
          <w:numId w:val="41"/>
        </w:numPr>
        <w:autoSpaceDE w:val="0"/>
        <w:autoSpaceDN w:val="0"/>
        <w:adjustRightInd w:val="0"/>
        <w:spacing w:line="480" w:lineRule="auto"/>
        <w:rPr>
          <w:b/>
          <w:color w:val="000000" w:themeColor="text1"/>
          <w:szCs w:val="24"/>
          <w:lang w:val="en-US"/>
        </w:rPr>
      </w:pPr>
      <w:r w:rsidRPr="002E5DBE">
        <w:rPr>
          <w:b/>
          <w:color w:val="000000" w:themeColor="text1"/>
          <w:szCs w:val="24"/>
          <w:lang w:val="en-US"/>
        </w:rPr>
        <w:lastRenderedPageBreak/>
        <w:t>Introduction</w:t>
      </w:r>
    </w:p>
    <w:p w:rsidR="00D13D04" w:rsidRPr="002E5DBE" w:rsidRDefault="00D13D04" w:rsidP="00D13D04">
      <w:pPr>
        <w:autoSpaceDE w:val="0"/>
        <w:autoSpaceDN w:val="0"/>
        <w:adjustRightInd w:val="0"/>
        <w:spacing w:line="480" w:lineRule="auto"/>
        <w:rPr>
          <w:bCs/>
          <w:color w:val="000000" w:themeColor="text1"/>
          <w:szCs w:val="24"/>
          <w:lang w:val="en-US"/>
        </w:rPr>
      </w:pPr>
      <w:r w:rsidRPr="002E5DBE">
        <w:rPr>
          <w:bCs/>
          <w:color w:val="000000" w:themeColor="text1"/>
          <w:szCs w:val="24"/>
          <w:lang w:val="en-US"/>
        </w:rPr>
        <w:t xml:space="preserve">Attention-Deficit/Hyperactivity Disorder (ADHD) is a neurodevelopmental disorder characterized by </w:t>
      </w:r>
      <w:r w:rsidRPr="002E5DBE">
        <w:rPr>
          <w:color w:val="000000" w:themeColor="text1"/>
          <w:szCs w:val="24"/>
          <w:lang w:val="en"/>
        </w:rPr>
        <w:t xml:space="preserve">impairing levels of inattention and/or hyperactivity-impulsivity, that begins in childhood (by definition before the age of 12) </w:t>
      </w:r>
      <w:r w:rsidRPr="002E5DBE">
        <w:rPr>
          <w:bCs/>
          <w:color w:val="000000" w:themeColor="text1"/>
          <w:szCs w:val="24"/>
          <w:lang w:val="en-US"/>
        </w:rPr>
        <w:t xml:space="preserve">and significantly interfere with the social, academic, or occupational functioning </w:t>
      </w:r>
      <w:r w:rsidRPr="002E5DBE">
        <w:rPr>
          <w:bCs/>
          <w:color w:val="000000" w:themeColor="text1"/>
          <w:szCs w:val="24"/>
        </w:rPr>
        <w:fldChar w:fldCharType="begin"/>
      </w:r>
      <w:r w:rsidRPr="002E5DBE">
        <w:rPr>
          <w:bCs/>
          <w:color w:val="000000" w:themeColor="text1"/>
          <w:szCs w:val="24"/>
          <w:lang w:val="en-US"/>
        </w:rPr>
        <w:instrText xml:space="preserve"> ADDIN ZOTERO_ITEM CSL_CITATION {"citationID":"WvoKOnGX","properties":{"formattedCitation":"(American Psychiatric Association, 2013)","plainCitation":"(American Psychiatric Association, 2013)","noteIndex":0},"citationItems":[{"id":1234,"uris":["http://zotero.org/users/158295/items/Q7F56CFE"],"uri":["http://zotero.org/users/158295/items/Q7F56CFE"],"itemData":{"id":1234,"type":"book","title":"Diagnostic and statistical manual of mental disorders (5th ed.)","publisher":"American Psychiatric Publishing, Inc.","publisher-place":"Arlington, VA","source":"Google Scholar","event-place":"Arlington, VA","URL":"http://books.google.fr/books?hl=fr&amp;lr=&amp;id=w_HajjMnjxwC&amp;oi=fnd&amp;pg=PP1&amp;dq=APA+DSM-IV+TR&amp;ots=i7SWdm7K2J&amp;sig=hnno5KwWJYtqGkGR5GutDL1FDBI","shortTitle":"Diagnostic and statistical manual of mental disorders","author":[{"family":"American Psychiatric Association","given":""}],"issued":{"date-parts":[["2013"]]},"accessed":{"date-parts":[["2013",8,30]]}}}],"schema":"https://github.com/citation-style-language/schema/raw/master/csl-citation.json"} </w:instrText>
      </w:r>
      <w:r w:rsidRPr="002E5DBE">
        <w:rPr>
          <w:bCs/>
          <w:color w:val="000000" w:themeColor="text1"/>
          <w:szCs w:val="24"/>
        </w:rPr>
        <w:fldChar w:fldCharType="separate"/>
      </w:r>
      <w:r w:rsidRPr="002E5DBE">
        <w:rPr>
          <w:color w:val="000000" w:themeColor="text1"/>
          <w:szCs w:val="24"/>
          <w:lang w:val="en-US"/>
        </w:rPr>
        <w:t>(American Psychiatric Association, 2013)</w:t>
      </w:r>
      <w:r w:rsidRPr="002E5DBE">
        <w:rPr>
          <w:bCs/>
          <w:color w:val="000000" w:themeColor="text1"/>
          <w:szCs w:val="24"/>
        </w:rPr>
        <w:fldChar w:fldCharType="end"/>
      </w:r>
      <w:r w:rsidRPr="002E5DBE">
        <w:rPr>
          <w:bCs/>
          <w:color w:val="000000" w:themeColor="text1"/>
          <w:szCs w:val="24"/>
          <w:lang w:val="en-US"/>
        </w:rPr>
        <w:t xml:space="preserve">. Although some researchers initially asserted that ADHD usually remitted in adulthood </w:t>
      </w:r>
      <w:r w:rsidRPr="002E5DBE">
        <w:rPr>
          <w:bCs/>
          <w:color w:val="000000" w:themeColor="text1"/>
          <w:szCs w:val="24"/>
        </w:rPr>
        <w:fldChar w:fldCharType="begin"/>
      </w:r>
      <w:r w:rsidRPr="002E5DBE">
        <w:rPr>
          <w:bCs/>
          <w:color w:val="000000" w:themeColor="text1"/>
          <w:szCs w:val="24"/>
          <w:lang w:val="en-US"/>
        </w:rPr>
        <w:instrText xml:space="preserve"> ADDIN ZOTERO_ITEM CSL_CITATION {"citationID":"qphc6jmua","properties":{"formattedCitation":"(Hill &amp; Schoener, 1996)","plainCitation":"(Hill &amp; Schoener, 1996)","noteIndex":0},"citationItems":[{"id":1167,"uris":["http://zotero.org/users/158295/items/2BH6JMS5"],"uri":["http://zotero.org/users/158295/items/2BH6JMS5"],"itemData":{"id":1167,"type":"article-journal","title":"Age-dependent decline of attention deficit hyperactivity disorder.","container-title":"The American Journal of Psychiatry","page":"1143-6","volume":"153","source":"Google Scholar","DOI":"http://dx.doi.org/10.1176/ajp.153.9.1143","journalAbbreviation":"Am J Psychiatry","author":[{"family":"Hill","given":"John C."},{"family":"Schoener","given":"Eugene P."}],"issued":{"date-parts":[["1996"]]}}}],"schema":"https://github.com/citation-style-language/schema/raw/master/csl-citation.json"} </w:instrText>
      </w:r>
      <w:r w:rsidRPr="002E5DBE">
        <w:rPr>
          <w:bCs/>
          <w:color w:val="000000" w:themeColor="text1"/>
          <w:szCs w:val="24"/>
        </w:rPr>
        <w:fldChar w:fldCharType="separate"/>
      </w:r>
      <w:r w:rsidRPr="002E5DBE">
        <w:rPr>
          <w:color w:val="000000" w:themeColor="text1"/>
          <w:szCs w:val="24"/>
          <w:lang w:val="en-US"/>
        </w:rPr>
        <w:t>(Hill &amp; Schoener, 1996)</w:t>
      </w:r>
      <w:r w:rsidRPr="002E5DBE">
        <w:rPr>
          <w:bCs/>
          <w:color w:val="000000" w:themeColor="text1"/>
          <w:szCs w:val="24"/>
        </w:rPr>
        <w:fldChar w:fldCharType="end"/>
      </w:r>
      <w:r w:rsidRPr="002E5DBE">
        <w:rPr>
          <w:bCs/>
          <w:color w:val="000000" w:themeColor="text1"/>
          <w:szCs w:val="24"/>
          <w:lang w:val="en-US"/>
        </w:rPr>
        <w:t xml:space="preserve">, current evidence indicates that impairing symptoms of the  disorder persist in adulthood in up to 65% of the cases </w:t>
      </w:r>
      <w:r w:rsidRPr="002E5DBE">
        <w:rPr>
          <w:bCs/>
          <w:color w:val="000000" w:themeColor="text1"/>
          <w:szCs w:val="24"/>
        </w:rPr>
        <w:fldChar w:fldCharType="begin"/>
      </w:r>
      <w:r w:rsidRPr="002E5DBE">
        <w:rPr>
          <w:bCs/>
          <w:color w:val="000000" w:themeColor="text1"/>
          <w:szCs w:val="24"/>
          <w:lang w:val="en-US"/>
        </w:rPr>
        <w:instrText xml:space="preserve"> ADDIN ZOTERO_ITEM CSL_CITATION {"citationID":"BkpYTBlG","properties":{"formattedCitation":"(Faraone, Biederman, &amp; Mick, 2006; S. J. J. Kooij et al., 2010)","plainCitation":"(Faraone, Biederman, &amp; Mick, 2006; S. J. J. Kooij et al., 2010)","dontUpdate":true,"noteIndex":0},"citationItems":[{"id":3786,"uris":["http://zotero.org/groups/148846/items/NASNXBJV"],"uri":["http://zotero.org/groups/148846/items/NASNXBJV"],"itemData":{"id":3786,"type":"article-journal","title":"European consensus statement on diagnosis and treatment of adult ADHD: The European Network Adult ADHD","container-title":"BMC Psychiatry","page":"67","volume":"10","issue":"1","source":"Google Scholar","shortTitle":"European consensus statement on diagnosis and treatment of adult ADHD","author":[{"family":"Kooij","given":"S. J. J."},{"family":"Bejerot","given":"S."},{"family":"Blackwell","given":"A."},{"family":"Caci","given":"H."},{"family":"Casas-Brugué","given":"M."},{"family":"Carpentier","given":"P. J."},{"family":"Edvinsson","given":"D."},{"family":"Fayyad","given":"J."},{"family":"Foeken","given":"K."},{"family":"Fitzgerald","given":"M."}],"issued":{"date-parts":[["2010"]]}}},{"id":1165,"uris":["http://zotero.org/users/158295/items/3MDGRAAM"],"uri":["http://zotero.org/users/158295/items/3MDGRAAM"],"itemData":{"id":1165,"type":"article-journal","title":"The age-dependent decline of attention deficit hyperactivity disorder: a meta-analysis of follow-up studies","container-title":"Psychological Medicine","page":"159-165","volume":"36","issue":"2","source":"NCBI PubMed","abstract":"BACKGROUND: This study examined the persistence of attention deficit hyperactivity disorder (ADHD) into adulthood.\nMETHOD: We analyzed data from published follow-up studies of ADHD. To be included in the analysis, these additional studies had to meet the following criteria: the study included a control group and it was clear from the methods if the diagnosis of ADHD included subjects who did not meet full criteria but showed residual and impairing signs of the disorder. We used a meta-analysis regression model to separately assess the syndromatic and symptomatic persistence of ADHD.\nRESULTS: When we define only those meeting full criteria for ADHD as having 'persistent ADHD', the rate of persistence is low, approximately 15% at age 25 years. But when we include cases consistent with DSM-IV's definition of ADHD in partial remission, the rate of persistence is much higher, approximately 65%.\nCONCLUSIONS: Our results show that estimates of ADHD's persistence rely heavily on how one defines persistence. Yet, regardless of definition, our analyses show that evidence for ADHD lessens with age. More work is needed to determine if this reflects true remission of ADHD symptoms or is due to the developmental insensitivity of diagnostic criteria for the disorder.","DOI":"10.1017/S003329170500471X","ISSN":"0033-2917","note":"PMID: 16420712","shortTitle":"The age-dependent decline of attention deficit hyperactivity disorder","journalAbbreviation":"Psychol Med","language":"eng","author":[{"family":"Faraone","given":"Stephen V."},{"family":"Biederman","given":"Joseph"},{"family":"Mick","given":"Eric"}],"issued":{"date-parts":[["2006",2]]}}}],"schema":"https://github.com/citation-style-language/schema/raw/master/csl-citation.json"} </w:instrText>
      </w:r>
      <w:r w:rsidRPr="002E5DBE">
        <w:rPr>
          <w:bCs/>
          <w:color w:val="000000" w:themeColor="text1"/>
          <w:szCs w:val="24"/>
        </w:rPr>
        <w:fldChar w:fldCharType="separate"/>
      </w:r>
      <w:r w:rsidRPr="002E5DBE">
        <w:rPr>
          <w:color w:val="000000" w:themeColor="text1"/>
          <w:szCs w:val="24"/>
          <w:lang w:val="en-US"/>
        </w:rPr>
        <w:t>(Faraone, Biederman, &amp; Mick, 2006; Kooij et al., 2010)</w:t>
      </w:r>
      <w:r w:rsidRPr="002E5DBE">
        <w:rPr>
          <w:bCs/>
          <w:color w:val="000000" w:themeColor="text1"/>
          <w:szCs w:val="24"/>
        </w:rPr>
        <w:fldChar w:fldCharType="end"/>
      </w:r>
      <w:r w:rsidRPr="002E5DBE">
        <w:rPr>
          <w:bCs/>
          <w:color w:val="000000" w:themeColor="text1"/>
          <w:szCs w:val="24"/>
          <w:lang w:val="en-US"/>
        </w:rPr>
        <w:t xml:space="preserve">. The estimated pooled prevalence of ADHD in children and adults is 5% and 2.5%, respectively </w:t>
      </w:r>
      <w:r w:rsidRPr="002E5DBE">
        <w:rPr>
          <w:bCs/>
          <w:color w:val="000000" w:themeColor="text1"/>
          <w:szCs w:val="24"/>
        </w:rPr>
        <w:fldChar w:fldCharType="begin"/>
      </w:r>
      <w:r w:rsidRPr="002E5DBE">
        <w:rPr>
          <w:bCs/>
          <w:color w:val="000000" w:themeColor="text1"/>
          <w:szCs w:val="24"/>
          <w:lang w:val="en-US"/>
        </w:rPr>
        <w:instrText xml:space="preserve"> ADDIN ZOTERO_ITEM CSL_CITATION {"citationID":"Kl3KXa61","properties":{"formattedCitation":"(Kessler et al., 2006; Simon, Czobor, B\\uc0\\u225{}lint, M\\uc0\\u233{}sz\\uc0\\u225{}ros, &amp; Bitter, 2009)","plainCitation":"(Kessler et al., 2006; Simon, Czobor, Bálint, Mészáros, &amp; Bitter, 2009)","noteIndex":0},"citationItems":[{"id":1781,"uris":["http://zotero.org/users/158295/items/N47W8Z7D"],"uri":["http://zotero.org/users/158295/items/N47W8Z7D"],"itemData":{"id":1781,"type":"article-journal","title":"Prevalence and correlates of adult attention-deficit hyperactivity disorder: meta-analysis","container-title":"British Journal of Psychiatry","page":"204-211","volume":"194","issue":"3","source":"NCBI PubMed","abstract":"BACKGROUND: In spite of the growing literature about adult attention-deficit hyperactivity disorder (ADHD), relatively little is known about the prevalence and correlates of this disorder.\nAIMS: To estimate the prevalence of adult ADHD and to identify its demographic correlates using meta-regression analysis.\nMETHOD: We used the MEDLINE, PsycLit and EMBASE databases as well as hand-searching to find relevant publications.\nRESULTS: The pooled prevalence of adult ADHD was 2.5% (95% CI 2.1-3.1). Gender and mean age, interacting with each other, were significantly related to prevalence of ADHD. Meta-regression analysis indicated that the proportion of participants with ADHD decreased with age when men and women were equally represented in the sample.\nCONCLUSIONS: Prevalence of ADHD in adults declines with age in the general population. We think, however, that the unclear validity of DSM-IV diagnostic criteria for this condition can lead to reduced prevalence rates by underestimation of the prevalence of adult ADHD.","DOI":"10.1192/bjp.bp.107.048827","ISSN":"1472-1465","note":"PMID: 19252145","shortTitle":"Prevalence and correlates of adult attention-deficit hyperactivity disorder","journalAbbreviation":"Br J Psychiatry","language":"eng","author":[{"family":"Simon","given":"Viktória"},{"family":"Czobor","given":"Pál"},{"family":"Bálint","given":"Sára"},{"family":"Mészáros","given":"Agnes"},{"family":"Bitter","given":"István"}],"issued":{"date-parts":[["2009",3]]}}},{"id":3713,"uris":["http://zotero.org/groups/148846/items/EG2VR2KI"],"uri":["http://zotero.org/groups/148846/items/EG2VR2KI"],"itemData":{"id":3713,"type":"article-journal","title":"The prevalence and correlates of adult ADHD in the United States: results from the National Comorbidity Survey Replication","container-title":"The American journal of psychiatry","page":"716","volume":"163","issue":"4","source":"Google Scholar","shortTitle":"The prevalence and correlates of adult ADHD in the United States","author":[{"family":"Kessler","given":"R. C."},{"family":"Adler","given":"L."},{"family":"Barkley","given":"R."},{"family":"Biederman","given":"J."},{"family":"Conners","given":"C. K."},{"family":"Demler","given":"O."},{"family":"Faraone","given":"S. V."},{"family":"Greenhill","given":"L. L."},{"family":"Howes","given":"M. J."},{"family":"Secnik","given":"K."}],"issued":{"date-parts":[["2006"]]}}}],"schema":"https://github.com/citation-style-language/schema/raw/master/csl-citation.json"} </w:instrText>
      </w:r>
      <w:r w:rsidRPr="002E5DBE">
        <w:rPr>
          <w:bCs/>
          <w:color w:val="000000" w:themeColor="text1"/>
          <w:szCs w:val="24"/>
        </w:rPr>
        <w:fldChar w:fldCharType="separate"/>
      </w:r>
      <w:r w:rsidRPr="002E5DBE">
        <w:rPr>
          <w:color w:val="000000" w:themeColor="text1"/>
          <w:lang w:val="en-US"/>
        </w:rPr>
        <w:t>(Kessler et al., 2006; Simon, Czobor, Bálint, Mészáros, &amp; Bitter, 2009)</w:t>
      </w:r>
      <w:r w:rsidRPr="002E5DBE">
        <w:rPr>
          <w:bCs/>
          <w:color w:val="000000" w:themeColor="text1"/>
          <w:szCs w:val="24"/>
        </w:rPr>
        <w:fldChar w:fldCharType="end"/>
      </w:r>
      <w:r w:rsidRPr="002E5DBE">
        <w:rPr>
          <w:bCs/>
          <w:color w:val="000000" w:themeColor="text1"/>
          <w:szCs w:val="24"/>
          <w:lang w:val="en-US"/>
        </w:rPr>
        <w:t xml:space="preserve">. These findings led the field to better explore the course of ADHD during adulthood, and to better characterize the comorbidities associated with adult ADHD. </w:t>
      </w:r>
    </w:p>
    <w:p w:rsidR="00D13D04" w:rsidRPr="002E5DBE" w:rsidRDefault="00D13D04" w:rsidP="00D13D04">
      <w:pPr>
        <w:autoSpaceDE w:val="0"/>
        <w:autoSpaceDN w:val="0"/>
        <w:adjustRightInd w:val="0"/>
        <w:spacing w:line="480" w:lineRule="auto"/>
        <w:rPr>
          <w:bCs/>
          <w:color w:val="000000" w:themeColor="text1"/>
          <w:szCs w:val="24"/>
          <w:lang w:val="en-US"/>
        </w:rPr>
      </w:pPr>
      <w:r w:rsidRPr="002E5DBE">
        <w:rPr>
          <w:bCs/>
          <w:color w:val="000000" w:themeColor="text1"/>
          <w:szCs w:val="24"/>
          <w:lang w:val="en-US"/>
        </w:rPr>
        <w:tab/>
        <w:t xml:space="preserve">While the comorbidity between ADHD and psychiatric disorders has been extensively documented, the possible association with somatic comorbidities has received less attention </w:t>
      </w:r>
      <w:r w:rsidRPr="002E5DBE">
        <w:rPr>
          <w:bCs/>
          <w:color w:val="000000" w:themeColor="text1"/>
          <w:szCs w:val="24"/>
        </w:rPr>
        <w:fldChar w:fldCharType="begin"/>
      </w:r>
      <w:r w:rsidRPr="002E5DBE">
        <w:rPr>
          <w:bCs/>
          <w:color w:val="000000" w:themeColor="text1"/>
          <w:szCs w:val="24"/>
          <w:lang w:val="en-US"/>
        </w:rPr>
        <w:instrText xml:space="preserve"> ADDIN ZOTERO_ITEM CSL_CITATION {"citationID":"mCnEtmvB","properties":{"formattedCitation":"(Cortese &amp; Castellanos, 2014; Instanes, Klungs\\uc0\\u248{}yr, Halm\\uc0\\u248{}y, Fasmer, &amp; Haavik, 2018)","plainCitation":"(Cortese &amp; Castellanos, 2014; Instanes, Klungsøyr, Halmøy, Fasmer, &amp; Haavik, 2018)","noteIndex":0},"citationItems":[{"id":99,"uris":["http://zotero.org/users/158295/items/3SPSFJTF"],"uri":["http://zotero.org/users/158295/items/3SPSFJTF"],"itemData":{"id":99,"type":"article-journal","title":"The relationship between ADHD and obesity: implications for therapy","container-title":"Expert Review of Neurotherapeutics","page":"473-479","volume":"14","issue":"5","source":"PubMed","abstract":"Increasing attention is being paid to the relationship between attention deficit/hyperactivity disorder (ADHD) and obesity. While most available research focused on determining the extent of the association between ADHD and obesity, a few studies have examined the clinical implications of diagnosing/treating ADHD in individuals with obesity. Here, we provide a narrative review of studies addressing the impact of ADHD, or its treatment, in individuals with obesity. Reviewed studies suggest that ADHD impedes the successful treatment of obesity in individuals with comorbid ADHD and obesity. Preliminary evidence also suggests that ADHD treatment might significantly increase the effectiveness of weight management strategies. We discuss the limitations of the reviewed studies and provide suggestions for future research in the field.","DOI":"10.1586/14737175.2014.904748","ISSN":"1744-8360","note":"PMID: 24701972","shortTitle":"The relationship between ADHD and obesity","journalAbbreviation":"Expert Rev Neurother","language":"eng","author":[{"family":"Cortese","given":"Samuele"},{"family":"Castellanos","given":"F. Xavier"}],"issued":{"date-parts":[["2014",5]]}}},{"id":93,"uris":["http://zotero.org/users/158295/items/LNZHH5G6"],"uri":["http://zotero.org/users/158295/items/LNZHH5G6"],"itemData":{"id":93,"type":"article-journal","title":"Adult ADHD and Comorbid Somatic Disease: A Systematic Literature Review","container-title":"Journal of Attention Disorders","page":"203-228","volume":"22","issue":"3","source":"PubMed","abstract":"OBJECTIVE: To systematically review, synthesize, and appraise available evidence, connecting adult ADHD with somatic disease.\nMETHOD: Embase, Psychinfo, and Medline databases were searched for studies published from 1994 to 2015 addressing adult ADHD and somatic comorbidity. Somatic conditions were classified according to International Classification of Diseases (ICD-10) codes. Levels of evidence were graded as inconclusive, tentative, or well documented.\nRESULTS: Most of the 126 studies included in the qualitative synthesis were small and of modest quality. Obesity, sleep disorders, and asthma were well-documented comorbidities in adult ADHD. Tentative evidence was found for an association between adult ADHD and migraine and celiac disease. In a large health registry study, cardiovascular disease was not associated with adult ADHD.\nCONCLUSION: There are few large systematic studies using standardized diagnostic criteria evaluating adult ADHD and somatic comorbidities. Significant associations are found between adult ADHD and several somatic diseases, and these are important to consider when assessing and treating either adult ADHD or the somatic diseases.","DOI":"10.1177/1087054716669589","ISSN":"1557-1246","note":"PMID: 27664125","shortTitle":"Adult ADHD and Comorbid Somatic Disease","journalAbbreviation":"J Atten Disord","language":"eng","author":[{"family":"Instanes","given":"Johanne Telnes"},{"family":"Klungsøyr","given":"Kari"},{"family":"Halmøy","given":"Anne"},{"family":"Fasmer","given":"Ole Bernt"},{"family":"Haavik","given":"Jan"}],"issued":{"date-parts":[["2018",2]]}}}],"schema":"https://github.com/citation-style-language/schema/raw/master/csl-citation.json"} </w:instrText>
      </w:r>
      <w:r w:rsidRPr="002E5DBE">
        <w:rPr>
          <w:bCs/>
          <w:color w:val="000000" w:themeColor="text1"/>
          <w:szCs w:val="24"/>
        </w:rPr>
        <w:fldChar w:fldCharType="separate"/>
      </w:r>
      <w:r w:rsidRPr="002E5DBE">
        <w:rPr>
          <w:color w:val="000000" w:themeColor="text1"/>
          <w:lang w:val="en-US"/>
        </w:rPr>
        <w:t>(Cortese &amp; Castellanos, 2014; Instanes, Klungsøyr, Halmøy, Fasmer, &amp; Haavik, 2018)</w:t>
      </w:r>
      <w:r w:rsidRPr="002E5DBE">
        <w:rPr>
          <w:bCs/>
          <w:color w:val="000000" w:themeColor="text1"/>
          <w:szCs w:val="24"/>
        </w:rPr>
        <w:fldChar w:fldCharType="end"/>
      </w:r>
      <w:r w:rsidRPr="002E5DBE">
        <w:rPr>
          <w:bCs/>
          <w:color w:val="000000" w:themeColor="text1"/>
          <w:szCs w:val="24"/>
          <w:lang w:val="en-US"/>
        </w:rPr>
        <w:t xml:space="preserve">. One of the most prevalent and disabling comorbidities associated with adult ADHD is obesity. Meta-analytic evidence has shown that the prevalence of obesity is increased by 70% in adults with compared to those without ADHD </w:t>
      </w:r>
      <w:r w:rsidRPr="002E5DBE">
        <w:rPr>
          <w:bCs/>
          <w:color w:val="000000" w:themeColor="text1"/>
          <w:szCs w:val="24"/>
        </w:rPr>
        <w:fldChar w:fldCharType="begin"/>
      </w:r>
      <w:r w:rsidRPr="002E5DBE">
        <w:rPr>
          <w:bCs/>
          <w:color w:val="000000" w:themeColor="text1"/>
          <w:szCs w:val="24"/>
          <w:lang w:val="en-US"/>
        </w:rPr>
        <w:instrText xml:space="preserve"> ADDIN ZOTERO_ITEM CSL_CITATION {"citationID":"a2m2ctlde95","properties":{"formattedCitation":"(Cortese et al., 2016)","plainCitation":"(Cortese et al., 2016)","noteIndex":0},"citationItems":[{"id":100,"uris":["http://zotero.org/users/158295/items/BDF7GWHD"],"uri":["http://zotero.org/users/158295/items/BDF7GWHD"],"itemData":{"id":100,"type":"article-journal","title":"Association Between ADHD and Obesity: A Systematic Review and Meta-Analysis","container-title":"American Journal of Psychiatry","page":"34-43","volume":"173","issue":"1","source":"Google Scholar","shortTitle":"Association Between ADHD and Obesity","author":[{"family":"Cortese","given":"Samuele"},{"family":"Moreira-Maia","given":"Carlos Renato"},{"family":"St. Fleur","given":"Diane"},{"family":"Morcillo-Peñalver","given":"Carmen"},{"family":"Rohde","given":"Luis Augusto"},{"family":"Faraone","given":"Stephen V."}],"issued":{"date-parts":[["2016"]]}}}],"schema":"https://github.com/citation-style-language/schema/raw/master/csl-citation.json"} </w:instrText>
      </w:r>
      <w:r w:rsidRPr="002E5DBE">
        <w:rPr>
          <w:bCs/>
          <w:color w:val="000000" w:themeColor="text1"/>
          <w:szCs w:val="24"/>
        </w:rPr>
        <w:fldChar w:fldCharType="separate"/>
      </w:r>
      <w:r w:rsidRPr="002E5DBE">
        <w:rPr>
          <w:bCs/>
          <w:noProof/>
          <w:color w:val="000000" w:themeColor="text1"/>
          <w:szCs w:val="24"/>
          <w:lang w:val="en-US"/>
        </w:rPr>
        <w:t>(Cortese et al., 2016)</w:t>
      </w:r>
      <w:r w:rsidRPr="002E5DBE">
        <w:rPr>
          <w:bCs/>
          <w:color w:val="000000" w:themeColor="text1"/>
          <w:szCs w:val="24"/>
        </w:rPr>
        <w:fldChar w:fldCharType="end"/>
      </w:r>
      <w:r w:rsidRPr="002E5DBE">
        <w:rPr>
          <w:bCs/>
          <w:color w:val="000000" w:themeColor="text1"/>
          <w:szCs w:val="24"/>
          <w:lang w:val="en-US"/>
        </w:rPr>
        <w:t xml:space="preserve">. Although a significant association between ADHD and obesity is established, we currently lack an understanding of the exact neurobiological and psychopathological mechanisms underpinning this link </w:t>
      </w:r>
      <w:r w:rsidRPr="002E5DBE">
        <w:rPr>
          <w:bCs/>
          <w:color w:val="000000" w:themeColor="text1"/>
          <w:szCs w:val="24"/>
        </w:rPr>
        <w:fldChar w:fldCharType="begin"/>
      </w:r>
      <w:r w:rsidRPr="002E5DBE">
        <w:rPr>
          <w:bCs/>
          <w:color w:val="000000" w:themeColor="text1"/>
          <w:szCs w:val="24"/>
          <w:lang w:val="en-US"/>
        </w:rPr>
        <w:instrText xml:space="preserve"> ADDIN ZOTERO_ITEM CSL_CITATION {"citationID":"pdGF5RTQ","properties":{"formattedCitation":"(Cortese &amp; Vincenzi, 2012; Han\\uc0\\u263{} &amp; Cortese, 2018)","plainCitation":"(Cortese &amp; Vincenzi, 2012; Hanć &amp; Cortese, 2018)","noteIndex":0},"citationItems":[{"id":3783,"uris":["http://zotero.org/groups/148846/items/ERZKXMJC"],"uri":["http://zotero.org/groups/148846/items/ERZKXMJC"],"itemData":{"id":3783,"type":"article-journal","title":"Obesity and ADHD: Clinical and Neurobiological Implications","container-title":"Current topics in behavioral neurosciences","page":"199-218","volume":"9","source":"NCBI PubMed","abstract":"Although quite overlooked, increasing evidence points to a significant association between attention-deficit/hyperactivity disorder (ADHD) and obesity. Here, we present an updated systematic review and a critical discussion of studies on the relationship between ADHD and obesity, with a particular emphasis on the possible behavioral, neurobiological, and genetics underlying mechanisms. Available empirically based studies indicate that the prevalence of ADHD in clinical samples of patients seeking treatment for their obesity is higher than that in the general population. Moreover, although still limited, current evidence shows that individuals with ADHD have higher-than-average body mass index z-scores and/or significantly higher obesity rates compared with subjects without ADHD. Three mechanisms underlying the association between ADHD and obesity have been proposed: (1) obesity and/or factors associated with it (such as sleep-disordered breathing and deficits in arousal/alertness) manifest as ADHD-like symptoms; (2) ADHD and obesity share common genetics and neurobiological dysfunctions, involving the dopaminergic and, possibly, other systems (e.g., brain-derived neurotropic factor, melanocortin-4-receptor); and (3) impulsivity and inattention of ADHD contribute to weight gain via dysregulated eating patterns. With regards to the possible clinical implications, we suggest that it is noteworthy to screen for ADHD in patients with obesity and to look for abnormal eating behaviors as possible contributing factors of obesity in patients with ADHD. If further studies confirm a causal relationship between ADHD and obesity, appropriate treatment of ADHD may improve eating patterns and, as a consequence, weight status of individuals with both obesity and ADHD.","DOI":"10.1007/7854_2011_154","ISSN":"1866-3370","note":"PMID: 21845534","shortTitle":"Obesity and ADHD","journalAbbreviation":"Curr Top Behav Neurosci","author":[{"family":"Cortese","given":"Samuele"},{"family":"Vincenzi","given":"Brenda"}],"issued":{"date-parts":[["2012"]]}}},{"id":5793,"uris":["http://zotero.org/users/158295/items/E9VMAE2D"],"uri":["http://zotero.org/users/158295/items/E9VMAE2D"],"itemData":{"id":5793,"type":"article-journal","title":"Attention deficit/hyperactivity-disorder and obesity: A review and model of current hypotheses explaining their comorbidity","container-title":"Neuroscience &amp; Biobehavioral Reviews","page":"16-28","volume":"92","source":"ScienceDirect","abstract":"Available meta-analyses point to a significant association between attention-deficit/hyperactivity disorder (ADHD) and obesity. The possible mechanisms underlying this relationship are unclear. Here, we overview the studies aimed at identifying the factors contributing to the comorbidity between ADHD and obesity, including genetic factors, fetal programming, executive dysfunctions, psychosocial stress, factors directly related to energy balance, and sleep patterns alterations. The bulk of current research has focused on reduced physical activity and abnormal eating patterns as possible causes of weight gain in individuals with ADHD. Further research is needed to explore the specific role of executive dysfunctions. None of the available published studies have evaluated physiological mechanisms such as hormonal and metabolic disorders or inappropriate neurobiological regulation of appetite. Research exploring the genetic basis for the coexistence of ADHD and obesity and epigenetic mechanisms, with particular emphasis on stress, both pre- and postnatal, seems particularly promising. Here, we propose a biopsychosocial model to integrate current findings and move the field forward to gain insight into the ADHD-obesity relationship.","DOI":"10.1016/j.neubiorev.2018.05.017","ISSN":"0149-7634","shortTitle":"Attention deficit/hyperactivity-disorder and obesity","journalAbbreviation":"Neuroscience &amp; Biobehavioral Reviews","author":[{"family":"Hanć","given":"Tomasz"},{"family":"Cortese","given":"Samuele"}],"issued":{"date-parts":[["2018",9,1]]}}}],"schema":"https://github.com/citation-style-language/schema/raw/master/csl-citation.json"} </w:instrText>
      </w:r>
      <w:r w:rsidRPr="002E5DBE">
        <w:rPr>
          <w:bCs/>
          <w:color w:val="000000" w:themeColor="text1"/>
          <w:szCs w:val="24"/>
        </w:rPr>
        <w:fldChar w:fldCharType="separate"/>
      </w:r>
      <w:r w:rsidRPr="002E5DBE">
        <w:rPr>
          <w:color w:val="000000" w:themeColor="text1"/>
          <w:lang w:val="en-US"/>
        </w:rPr>
        <w:t>(Cortese &amp; Vincenzi, 2012; Hanć &amp; Cortese, 2018)</w:t>
      </w:r>
      <w:r w:rsidRPr="002E5DBE">
        <w:rPr>
          <w:bCs/>
          <w:color w:val="000000" w:themeColor="text1"/>
          <w:szCs w:val="24"/>
        </w:rPr>
        <w:fldChar w:fldCharType="end"/>
      </w:r>
      <w:r w:rsidRPr="002E5DBE">
        <w:rPr>
          <w:bCs/>
          <w:color w:val="000000" w:themeColor="text1"/>
          <w:szCs w:val="24"/>
          <w:lang w:val="en-US"/>
        </w:rPr>
        <w:t xml:space="preserve">. Assuming that ADHD precedes obesity , as showed by preliminary evidence </w:t>
      </w:r>
      <w:r w:rsidRPr="002E5DBE">
        <w:rPr>
          <w:bCs/>
          <w:color w:val="000000" w:themeColor="text1"/>
          <w:szCs w:val="24"/>
        </w:rPr>
        <w:fldChar w:fldCharType="begin"/>
      </w:r>
      <w:r w:rsidRPr="002E5DBE">
        <w:rPr>
          <w:bCs/>
          <w:color w:val="000000" w:themeColor="text1"/>
          <w:szCs w:val="24"/>
          <w:lang w:val="en-US"/>
        </w:rPr>
        <w:instrText xml:space="preserve"> ADDIN ZOTERO_ITEM CSL_CITATION {"citationID":"z7u4tp7z","properties":{"formattedCitation":"(Cortese et al., 2016)","plainCitation":"(Cortese et al., 2016)","noteIndex":0},"citationItems":[{"id":100,"uris":["http://zotero.org/users/158295/items/BDF7GWHD"],"uri":["http://zotero.org/users/158295/items/BDF7GWHD"],"itemData":{"id":100,"type":"article-journal","title":"Association Between ADHD and Obesity: A Systematic Review and Meta-Analysis","container-title":"American Journal of Psychiatry","page":"34-43","volume":"173","issue":"1","source":"Google Scholar","shortTitle":"Association Between ADHD and Obesity","author":[{"family":"Cortese","given":"Samuele"},{"family":"Moreira-Maia","given":"Carlos Renato"},{"family":"St. Fleur","given":"Diane"},{"family":"Morcillo-Peñalver","given":"Carmen"},{"family":"Rohde","given":"Luis Augusto"},{"family":"Faraone","given":"Stephen V."}],"issued":{"date-parts":[["2016"]]}}}],"schema":"https://github.com/citation-style-language/schema/raw/master/csl-citation.json"} </w:instrText>
      </w:r>
      <w:r w:rsidRPr="002E5DBE">
        <w:rPr>
          <w:bCs/>
          <w:color w:val="000000" w:themeColor="text1"/>
          <w:szCs w:val="24"/>
        </w:rPr>
        <w:fldChar w:fldCharType="separate"/>
      </w:r>
      <w:r w:rsidRPr="002E5DBE">
        <w:rPr>
          <w:bCs/>
          <w:noProof/>
          <w:color w:val="000000" w:themeColor="text1"/>
          <w:szCs w:val="24"/>
          <w:lang w:val="en-US"/>
        </w:rPr>
        <w:t>(Cortese et al., 2016)</w:t>
      </w:r>
      <w:r w:rsidRPr="002E5DBE">
        <w:rPr>
          <w:bCs/>
          <w:color w:val="000000" w:themeColor="text1"/>
          <w:szCs w:val="24"/>
        </w:rPr>
        <w:fldChar w:fldCharType="end"/>
      </w:r>
      <w:r w:rsidRPr="002E5DBE">
        <w:rPr>
          <w:i/>
          <w:color w:val="000000" w:themeColor="text1"/>
          <w:szCs w:val="24"/>
          <w:lang w:val="en-US"/>
        </w:rPr>
        <w:t>,</w:t>
      </w:r>
      <w:r w:rsidRPr="002E5DBE">
        <w:rPr>
          <w:bCs/>
          <w:color w:val="000000" w:themeColor="text1"/>
          <w:szCs w:val="24"/>
          <w:lang w:val="en-US"/>
        </w:rPr>
        <w:t xml:space="preserve"> such an understanding is however crucial to prevent as early as possible obesity in individuals with ADHD, by designing adequate preventive and therapeutic interventions targeting risk factors for obesity. </w:t>
      </w:r>
    </w:p>
    <w:p w:rsidR="00D13D04" w:rsidRPr="002E5DBE" w:rsidRDefault="00D13D04" w:rsidP="00D13D04">
      <w:pPr>
        <w:autoSpaceDE w:val="0"/>
        <w:autoSpaceDN w:val="0"/>
        <w:adjustRightInd w:val="0"/>
        <w:spacing w:line="480" w:lineRule="auto"/>
        <w:rPr>
          <w:bCs/>
          <w:color w:val="000000" w:themeColor="text1"/>
          <w:szCs w:val="24"/>
          <w:lang w:val="en-US"/>
        </w:rPr>
      </w:pPr>
      <w:r w:rsidRPr="002E5DBE">
        <w:rPr>
          <w:bCs/>
          <w:color w:val="000000" w:themeColor="text1"/>
          <w:szCs w:val="24"/>
          <w:lang w:val="en-US"/>
        </w:rPr>
        <w:lastRenderedPageBreak/>
        <w:tab/>
        <w:t xml:space="preserve">A number of mechanisms/factors have been proposed to explain the association between ADHD and obesity including genetic factors, fetal programming, executive dysfunctions, psychosocial stress, factors directly related to energy balance, and sleep patterns alterations </w:t>
      </w:r>
      <w:r w:rsidRPr="002E5DBE">
        <w:rPr>
          <w:bCs/>
          <w:color w:val="000000" w:themeColor="text1"/>
          <w:szCs w:val="24"/>
        </w:rPr>
        <w:fldChar w:fldCharType="begin"/>
      </w:r>
      <w:r w:rsidRPr="002E5DBE">
        <w:rPr>
          <w:bCs/>
          <w:color w:val="000000" w:themeColor="text1"/>
          <w:szCs w:val="24"/>
          <w:lang w:val="en-US"/>
        </w:rPr>
        <w:instrText xml:space="preserve"> ADDIN ZOTERO_ITEM CSL_CITATION {"citationID":"VsrLbvXn","properties":{"formattedCitation":"(Han\\uc0\\u263{} &amp; Cortese, 2018)","plainCitation":"(Hanć &amp; Cortese, 2018)","noteIndex":0},"citationItems":[{"id":5793,"uris":["http://zotero.org/users/158295/items/E9VMAE2D"],"uri":["http://zotero.org/users/158295/items/E9VMAE2D"],"itemData":{"id":5793,"type":"article-journal","title":"Attention deficit/hyperactivity-disorder and obesity: A review and model of current hypotheses explaining their comorbidity","container-title":"Neuroscience &amp; Biobehavioral Reviews","page":"16-28","volume":"92","source":"ScienceDirect","abstract":"Available meta-analyses point to a significant association between attention-deficit/hyperactivity disorder (ADHD) and obesity. The possible mechanisms underlying this relationship are unclear. Here, we overview the studies aimed at identifying the factors contributing to the comorbidity between ADHD and obesity, including genetic factors, fetal programming, executive dysfunctions, psychosocial stress, factors directly related to energy balance, and sleep patterns alterations. The bulk of current research has focused on reduced physical activity and abnormal eating patterns as possible causes of weight gain in individuals with ADHD. Further research is needed to explore the specific role of executive dysfunctions. None of the available published studies have evaluated physiological mechanisms such as hormonal and metabolic disorders or inappropriate neurobiological regulation of appetite. Research exploring the genetic basis for the coexistence of ADHD and obesity and epigenetic mechanisms, with particular emphasis on stress, both pre- and postnatal, seems particularly promising. Here, we propose a biopsychosocial model to integrate current findings and move the field forward to gain insight into the ADHD-obesity relationship.","DOI":"10.1016/j.neubiorev.2018.05.017","ISSN":"0149-7634","shortTitle":"Attention deficit/hyperactivity-disorder and obesity","journalAbbreviation":"Neuroscience &amp; Biobehavioral Reviews","author":[{"family":"Hanć","given":"Tomasz"},{"family":"Cortese","given":"Samuele"}],"issued":{"date-parts":[["2018",9,1]]}}}],"schema":"https://github.com/citation-style-language/schema/raw/master/csl-citation.json"} </w:instrText>
      </w:r>
      <w:r w:rsidRPr="002E5DBE">
        <w:rPr>
          <w:bCs/>
          <w:color w:val="000000" w:themeColor="text1"/>
          <w:szCs w:val="24"/>
        </w:rPr>
        <w:fldChar w:fldCharType="separate"/>
      </w:r>
      <w:r w:rsidRPr="002E5DBE">
        <w:rPr>
          <w:color w:val="000000" w:themeColor="text1"/>
          <w:lang w:val="en-US"/>
        </w:rPr>
        <w:t>(Hanć &amp; Cortese, 2018)</w:t>
      </w:r>
      <w:r w:rsidRPr="002E5DBE">
        <w:rPr>
          <w:bCs/>
          <w:color w:val="000000" w:themeColor="text1"/>
          <w:szCs w:val="24"/>
        </w:rPr>
        <w:fldChar w:fldCharType="end"/>
      </w:r>
      <w:r w:rsidRPr="002E5DBE">
        <w:rPr>
          <w:bCs/>
          <w:color w:val="000000" w:themeColor="text1"/>
          <w:szCs w:val="24"/>
          <w:lang w:val="en-US"/>
        </w:rPr>
        <w:t xml:space="preserve">. One of the proposed mechanisms includes factors related to energy balance such as reduced physical activity and abnormal eating patterns. More specifically, impulsivity and inattention of ADHD may contribute to weight gain via dysregulated eating patterns. In line with this  hypothesis, previous studies demonstrated that childhood ADHD was associated with binge eating, binge eating disorder </w:t>
      </w:r>
      <w:r w:rsidRPr="002E5DBE">
        <w:rPr>
          <w:bCs/>
          <w:color w:val="000000" w:themeColor="text1"/>
          <w:szCs w:val="24"/>
        </w:rPr>
        <w:fldChar w:fldCharType="begin"/>
      </w:r>
      <w:r w:rsidRPr="002E5DBE">
        <w:rPr>
          <w:bCs/>
          <w:color w:val="000000" w:themeColor="text1"/>
          <w:szCs w:val="24"/>
          <w:lang w:val="en-US"/>
        </w:rPr>
        <w:instrText xml:space="preserve"> ADDIN ZOTERO_ITEM CSL_CITATION {"citationID":"a1u19oc4j34","properties":{"formattedCitation":"(Nazar, Bernardes, et al., 2016)","plainCitation":"(Nazar, Bernardes, et al., 2016)","noteIndex":0},"citationItems":[{"id":92,"uris":["http://zotero.org/users/158295/items/XCIW4XLU"],"uri":["http://zotero.org/users/158295/items/XCIW4XLU"],"itemData":{"id":92,"type":"article-journal","title":"The risk of eating disorders comorbid with attention-deficit/hyperactivity disorder: A systematic review and meta-analysis","container-title":"The International Journal of Eating Disorders","page":"1045-1057","volume":"49","issue":"12","source":"PubMed","abstract":"OBJECTIVE: There has been interest in whether people with Attention-Deficit/Hyperactivity Disorder (ADHD) are at higher risk of developing an Eating Disorder (ED). The aim of this study was estimate the size of this association with a meta-analysis of studies.\nMETHODS: We retrieved studies following PRISMA guidelines from a broad range of databases.\nRESULTS: Twelve studies fitted our primary aim in investigating ED in ADHD populations (ADHD = 4,013/Controls = 29,404), and five exploring ADHD in ED populations (ED = 1,044/Controls = 11,292). The pooled odds ratio of diagnosing any ED in ADHD was increased significantly, 3.82 (95% CI:2.34-6.24). A similar level of risk was found across all ED syndromes [Anorexia Nervosa = 4.28 (95% CI:2.24-8.16); Bulimia Nervosa = 5.71 (95% CI: 3.56-9.16) and Binge Eating Disorder = 4.13 (95% CI:3-5.67)]. The risk was significantly higher if ADHD was diagnosed using a clinical interview [5.89 (95% CI:4.32-8.04)] rather than a self-report instrument [2.23 (95% CI:1.23-4.03)]. The pooled odds ratio of diagnosing ADHD in participants with ED was significantly increased, 2.57 (95% CI:1.30-5.11). Subgroup analysis of cohorts with binge eating only yielded a risk of 5.77 (95% CI:2.35-14.18). None of the variables examined in meta-regression procedures explained the variance in effect size between studies.\nDISCUSSION: People with ADHD have a higher risk of comorbidity with an ED and people with an ED also have higher levels of comorbidity with ADHD. Future studies should address if patients with this comorbidity have a different prognosis, course and treatment response when compared to patients with either disorder alone.\nRESUMEN OBJETIVO: Ha habido interés en saber si la gente con Trastorno por Déficit de Atención e Hiperactividad (TDAH) están en mayor riesgo de desarrollar un Trastorno de la Conducta Alimentaria (TCA). El objetivo de este estudio fue estimar el tamaño de esta asociación con un meta-análisis de los estudios. Métodos: Recuperamos estudios de una amplia gama base de datos,  que siguen los lineamientos PRISMA. Resultados: Doce estudios encajaron con nuestro objetivo primario de investigar los TCA en poblaciones con TDAH (TDAH = 4,013/Controles = 29,404), y 5 exploraron TDAH en poblaciones con TCA (TCA = 1,044/Controles = 11,292). El odds ratio (OR) agrupado de diagnosticar cualquier TCA en el TDAH se incrementó significativamente, 3.82 (95% CI:2.34-6.24). Un nivel de riesgo similar fue encontrado en todos los síndromes de TCA [Anorexia Nervosa = 4.28 (95% CI:2.24-8.16); Bulimia Nervosa = 5.71 (95% CI:3.56-9.16) y Trastorno por Atracón = 4.13 (95% CI: 3-5.67)]. El riesgo fue significativamente mayor si el TDAH fue diagnosticado utilizando una entrevista clínica [5.89 (95% CI:4.32-8.04)] en lugar de un instrumento de auto-reporte [2.23 (95% CI:1.23-4.03)]. El odds ratio (OR) agrupado de diagnosticar TDAH en participantes con TCA fue significativamente incrementado, 2.57 (95% CI:1.30-5.11). El análisis de los subgrupos de cohort con atracones solamente produjo un riesgo de 5.77 (95% CI:2.35-14.18). Ninguna de las variables examinadas en los procedimientos de meta-regresión explicaron la varianza en el tamaño del efecto entre los estudios. Discusión: La gente con TDAH tiene un mayor riesgo de comorbilidad con un TCA y la gente con un TCA también tiene niveles altos de comorbilidad con TDAH. Los estudios futuros deberán abordar si los pacientes con esta comorbilidad tienen diferente pronóstico, curso y respuesta a tratamiento cuando son comparados con pacientes que solamente tienen uno de los trastornos.  © 2016 Wiley Periodicals, Inc. (Int J Eat Disord 2016) © 2016 Wiley Periodicals, Inc. (Int J Eat Disord 2016; 49:1045-1057).","DOI":"10.1002/eat.22643","ISSN":"1098-108X","note":"PMID: 27859581","shortTitle":"The risk of eating disorders comorbid with attention-deficit/hyperactivity disorder","journalAbbreviation":"Int J Eat Disord","language":"eng","author":[{"family":"Nazar","given":"Bruno Palazzo"},{"family":"Bernardes","given":"Camila"},{"family":"Peachey","given":"Gemma"},{"family":"Sergeant","given":"Joseph"},{"family":"Mattos","given":"Paulo"},{"family":"Treasure","given":"Janet"}],"issued":{"date-parts":[["2016",12]]}}}],"schema":"https://github.com/citation-style-language/schema/raw/master/csl-citation.json"} </w:instrText>
      </w:r>
      <w:r w:rsidRPr="002E5DBE">
        <w:rPr>
          <w:bCs/>
          <w:color w:val="000000" w:themeColor="text1"/>
          <w:szCs w:val="24"/>
        </w:rPr>
        <w:fldChar w:fldCharType="separate"/>
      </w:r>
      <w:r w:rsidRPr="002E5DBE">
        <w:rPr>
          <w:bCs/>
          <w:noProof/>
          <w:color w:val="000000" w:themeColor="text1"/>
          <w:szCs w:val="24"/>
          <w:lang w:val="en-US"/>
        </w:rPr>
        <w:t>(Nazar, Bernardes, et al., 2016)</w:t>
      </w:r>
      <w:r w:rsidRPr="002E5DBE">
        <w:rPr>
          <w:bCs/>
          <w:color w:val="000000" w:themeColor="text1"/>
          <w:szCs w:val="24"/>
        </w:rPr>
        <w:fldChar w:fldCharType="end"/>
      </w:r>
      <w:r w:rsidRPr="002E5DBE">
        <w:rPr>
          <w:bCs/>
          <w:color w:val="000000" w:themeColor="text1"/>
          <w:szCs w:val="24"/>
          <w:lang w:val="en-US"/>
        </w:rPr>
        <w:t xml:space="preserve"> and loss of control over eating </w:t>
      </w:r>
      <w:r w:rsidRPr="002E5DBE">
        <w:rPr>
          <w:bCs/>
          <w:color w:val="000000" w:themeColor="text1"/>
          <w:szCs w:val="24"/>
        </w:rPr>
        <w:fldChar w:fldCharType="begin"/>
      </w:r>
      <w:r w:rsidRPr="002E5DBE">
        <w:rPr>
          <w:bCs/>
          <w:color w:val="000000" w:themeColor="text1"/>
          <w:szCs w:val="24"/>
          <w:lang w:val="en-US"/>
        </w:rPr>
        <w:instrText xml:space="preserve"> ADDIN ZOTERO_ITEM CSL_CITATION {"citationID":"a2isc59pvn","properties":{"formattedCitation":"(Hilbert et al., 2018)","plainCitation":"(Hilbert et al., 2018)","noteIndex":0},"citationItems":[{"id":95,"uris":["http://zotero.org/users/158295/items/EX7QNBVH"],"uri":["http://zotero.org/users/158295/items/EX7QNBVH"],"itemData":{"id":95,"type":"article-journal","title":"Cue reactivity, habituation, and eating in the absence of hunger in children with loss of control eating and attention-deficit/hyperactivity disorder","container-title":"The International Journal of Eating Disorders","page":"223-232","volume":"51","source":"PubMed","abstract":"OBJECTIVE: Childhood loss of control (LOC) eating and attention-deficit/hyperactivity disorder (ADHD) are highly comorbid conditions and present with disordered eating behaviors, such as overeating. This study sought to delineate shared and specific abnormalities in physiological, cognitive-motivational, and behavioral components of food-specific impulsivity in children with LOC eating and ADHD. Specifically, children's reactivity and habituation to food and eating in the absence of hunger were examined.\nMETHODS: Within this community-based study, four groups of 8-13-year-old children with LOC eating (n = 24), ADHD (n = 32), comorbid LOC eating/ADHD (n = 9), and matched controls (n = 34) received a standard laboratory test meal to establish satiety and were then exposed to their favorite snack food in a cue exposure/reactivity trial, while salivation and desire to eat were repeatedly assessed. Subsequently, they were offered a variety of snack foods ad libitum.\nRESULTS: Children with LOC eating, ADHD, and LOC/ADHD did not differ from controls in salivary reactivity and habituation to food cues. Children with LOC eating and ADHD showed greater cue reactivity of the desire to eat than controls, but groups did not differ in its longer-term increments. At free access, only children with LOC/ADHD consumed significantly more energy than controls. Longer-term increments of desire to eat predicted greater energy intake beyond LOC/ADHD group status.\nDISCUSSION: Desire to eat among children with comorbid LOC eating and ADHD was associated with overeating in the absence of hunger, which may contribute to excess weight gain. Delineation of the specific features of childhood LOC eating versus ADHD warrants further study.","DOI":"10.1002/eat.22821","ISSN":"1098-108X","note":"PMID: 29341214","journalAbbreviation":"Int J Eat Disord","language":"eng","author":[{"family":"Hilbert","given":"Anja"},{"family":"Kurz","given":"Susanne"},{"family":"Dremmel","given":"Daniela"},{"family":"Weihrauch Blüher","given":"Susann"},{"family":"Munsch","given":"Simone"},{"family":"Schmidt","given":"Ricarda"}],"issued":{"date-parts":[["2018",1,17]]}}}],"schema":"https://github.com/citation-style-language/schema/raw/master/csl-citation.json"} </w:instrText>
      </w:r>
      <w:r w:rsidRPr="002E5DBE">
        <w:rPr>
          <w:bCs/>
          <w:color w:val="000000" w:themeColor="text1"/>
          <w:szCs w:val="24"/>
        </w:rPr>
        <w:fldChar w:fldCharType="separate"/>
      </w:r>
      <w:r w:rsidRPr="002E5DBE">
        <w:rPr>
          <w:bCs/>
          <w:noProof/>
          <w:color w:val="000000" w:themeColor="text1"/>
          <w:szCs w:val="24"/>
          <w:lang w:val="en-US"/>
        </w:rPr>
        <w:t>(Hilbert et al., 2018)</w:t>
      </w:r>
      <w:r w:rsidRPr="002E5DBE">
        <w:rPr>
          <w:bCs/>
          <w:color w:val="000000" w:themeColor="text1"/>
          <w:szCs w:val="24"/>
        </w:rPr>
        <w:fldChar w:fldCharType="end"/>
      </w:r>
      <w:r w:rsidRPr="002E5DBE">
        <w:rPr>
          <w:bCs/>
          <w:color w:val="000000" w:themeColor="text1"/>
          <w:szCs w:val="24"/>
          <w:lang w:val="en-US"/>
        </w:rPr>
        <w:t xml:space="preserve">, and adult ADHD is associated with binge eating severity </w:t>
      </w:r>
      <w:r w:rsidRPr="002E5DBE">
        <w:rPr>
          <w:bCs/>
          <w:color w:val="000000" w:themeColor="text1"/>
          <w:szCs w:val="24"/>
        </w:rPr>
        <w:fldChar w:fldCharType="begin"/>
      </w:r>
      <w:r w:rsidRPr="002E5DBE">
        <w:rPr>
          <w:bCs/>
          <w:color w:val="000000" w:themeColor="text1"/>
          <w:szCs w:val="24"/>
          <w:lang w:val="en-US"/>
        </w:rPr>
        <w:instrText xml:space="preserve"> ADDIN ZOTERO_ITEM CSL_CITATION {"citationID":"QQn3vJJE","properties":{"formattedCitation":"(Brewerton &amp; Duncan, 2016; Nazar, de Sousa Pinna, et al., 2016)","plainCitation":"(Brewerton &amp; Duncan, 2016; Nazar, de Sousa Pinna, et al., 2016)","noteIndex":0},"citationItems":[{"id":94,"uris":["http://zotero.org/users/158295/items/A63TD6SB"],"uri":["http://zotero.org/users/158295/items/A63TD6SB"],"itemData":{"id":94,"type":"article-journal","title":"Associations between Attention Deficit Hyperactivity Disorder and Eating Disorders by Gender: Results from the National Comorbidity Survey Replication","container-title":"European Eating Disorders Review","page":"536-540","volume":"24","issue":"6","source":"PubMed","abstract":"Few studies have assessed the association between attention-deficit hyperactivity disorder (ADHD) and eating disorders (ED) separately in men and women, especially in representative samples. Using data from the National Comorbidity Survey Replication, lifetime and past 12-month prevalence of Diagnostic and Statistical Manual of Mental Disorders IV, ADHD was compared in men and women with and without diagnoses of Diagnostic and Statistical Manual of Mental Disorders IV ED and any binge eating (BE) using logistic regression models adjusted for gender and age. In both sexes, those with lifetime and past 12-month BE and binge eating disorder had significantly higher prevalence of ADHD than those without BE and binge eating disorder, respectively. Women with lifetime and past 12-month bulimia nervosa and lifetime anorexia nervosa also had significantly higher prevalence of ADHD compared with women without these diagnoses. Given that ADHD invariably began earlier than the ED, ADHD may be an important risk factor for subsequent BE and related ED, and there may be opportunities for intervention among youth with ADHD. Copyright © 2016 John Wiley &amp; Sons, Ltd and Eating Disorders Association.","DOI":"10.1002/erv.2468","ISSN":"1099-0968","note":"PMID: 27480884","shortTitle":"Associations between Attention Deficit Hyperactivity Disorder and Eating Disorders by Gender","journalAbbreviation":"Eur Eat Disord Rev","language":"eng","author":[{"family":"Brewerton","given":"Timothy D."},{"family":"Duncan","given":"Alexis E."}],"issued":{"date-parts":[["2016",11]]}}},{"id":89,"uris":["http://zotero.org/users/158295/items/VWMUXVHN"],"uri":["http://zotero.org/users/158295/items/VWMUXVHN"],"itemData":{"id":89,"type":"article-journal","title":"ADHD Rate in Obese Women With Binge Eating and Bulimic Behaviors From a Weight-Loss Clinic","container-title":"Journal of Attention Disorders","page":"610-616","volume":"20","issue":"7","source":"PubMed","abstract":"OBJECTIVE: Few studies have demonstrated a possible association between ADHD and obesity in adults. The aim of this study was to investigate the prevalence of ADHD in a sample of obese women seeking treatment, and its relations with binge eating and bulimic behaviors.\nMETHOD: We performed a cross-sectional study in a clinical sample of one hundred fifty-five women, with a mean age of 38.9 (+10.7) years and a mean body mass index (BMI) of 39.2 (+5.29). Participants were evaluated with semistructured interviews and completed self-report psychiatric rating scales.\nRESULTS: The rate of ADHD in the sample was of 28.3%. The presence of ADHD was significantly correlated with more severe binge eating, bulimic behaviors, and depressive symptomatology.\nCONCLUSION: Similar to previous studies, a higher than expected rate of ADHD was observed among obese women. ADHD in obese individuals may be a risk factor for greater severity of disordered eating patterns.","DOI":"10.1177/1087054712455503","ISSN":"1557-1246","note":"PMID: 22930790","journalAbbreviation":"J Atten Disord","language":"eng","author":[{"family":"Nazar","given":"Bruno Palazzo"},{"family":"Sousa Pinna","given":"Camilla Moreira","non-dropping-particle":"de"},{"family":"Suwwan","given":"Raphael"},{"family":"Duchesne","given":"Monica"},{"family":"Freitas","given":"Silvia Regina"},{"family":"Sergeant","given":"Joseph"},{"family":"Mattos","given":"Paulo"}],"issued":{"date-parts":[["2016"]]}}}],"schema":"https://github.com/citation-style-language/schema/raw/master/csl-citation.json"} </w:instrText>
      </w:r>
      <w:r w:rsidRPr="002E5DBE">
        <w:rPr>
          <w:bCs/>
          <w:color w:val="000000" w:themeColor="text1"/>
          <w:szCs w:val="24"/>
        </w:rPr>
        <w:fldChar w:fldCharType="separate"/>
      </w:r>
      <w:r w:rsidRPr="002E5DBE">
        <w:rPr>
          <w:bCs/>
          <w:noProof/>
          <w:color w:val="000000" w:themeColor="text1"/>
          <w:szCs w:val="24"/>
          <w:lang w:val="en-US"/>
        </w:rPr>
        <w:t>(Brewerton &amp; Duncan, 2016; Nazar, de Sousa Pinna, et al., 2016)</w:t>
      </w:r>
      <w:r w:rsidRPr="002E5DBE">
        <w:rPr>
          <w:bCs/>
          <w:color w:val="000000" w:themeColor="text1"/>
          <w:szCs w:val="24"/>
        </w:rPr>
        <w:fldChar w:fldCharType="end"/>
      </w:r>
      <w:r w:rsidRPr="002E5DBE">
        <w:rPr>
          <w:bCs/>
          <w:color w:val="000000" w:themeColor="text1"/>
          <w:szCs w:val="24"/>
          <w:lang w:val="en-US"/>
        </w:rPr>
        <w:t xml:space="preserve"> and binge eating disorder </w:t>
      </w:r>
      <w:r w:rsidRPr="002E5DBE">
        <w:rPr>
          <w:bCs/>
          <w:color w:val="000000" w:themeColor="text1"/>
          <w:szCs w:val="24"/>
        </w:rPr>
        <w:fldChar w:fldCharType="begin"/>
      </w:r>
      <w:r w:rsidRPr="002E5DBE">
        <w:rPr>
          <w:bCs/>
          <w:color w:val="000000" w:themeColor="text1"/>
          <w:szCs w:val="24"/>
          <w:lang w:val="en-US"/>
        </w:rPr>
        <w:instrText xml:space="preserve"> ADDIN ZOTERO_ITEM CSL_CITATION {"citationID":"a245q5upmka","properties":{"formattedCitation":"(Alfonsson, Parling, &amp; Ghaderi, 2013)","plainCitation":"(Alfonsson, Parling, &amp; Ghaderi, 2013)","noteIndex":0},"citationItems":[{"id":91,"uris":["http://zotero.org/users/158295/items/X6KKFBGT"],"uri":["http://zotero.org/users/158295/items/X6KKFBGT"],"itemData":{"id":91,"type":"article-journal","title":"Self-reported symptoms of adult attention deficit hyperactivity disorder among obese patients seeking bariatric surgery and its relation to alcohol consumption, disordered eating and gender","container-title":"Clinical Obesity","page":"124-131","volume":"3","issue":"5","source":"PubMed","abstract":"WHAT IS ALREADY KNOWN ABOUT THIS SUBJECT: Symptoms of adult attention deficit hyperactivity disorder (ADHD) are common among people with obesity. Symptoms of ADHD are associated with other impulsive behaviours. Impulsivity can manifest differently in women and men.\nWHAT THIS STUDY ADDS: The prevalence of ADHD symptoms was equal in both sexes in this patient group. ADHD symptoms were associated with hazardous alcohol consumption in men but not in women. It may be important to investigate several comorbid conditions simultaneously instead of a single diagnosis. Eating disorders and adult attention deficit hyperactivity disorder (ADHD), both characterized by deficits in impulse control, are common among bariatric surgery patients. Previous studies in other groups have found gender differences in how symptoms of ADHD and eating disorders manifest as women show more disordered eating and men show more risk consumption of alcohol. In the present study, the association between symptoms of adult ADHD, eating disorders and hazardous alcohol consumption was investigated, while considering gender differences. Self-report questionnaires were obtained from 276 bariatric surgery patients 3-6 months before surgery. The prevalence rates of adult ADHD and binge eating disorder (BED) were 8.6% and 6.3%, respectively, with no evidence of gender difference in the prevalence rates. Hazardous alcohol consumption was reported by a significantly larger portion of men (16.9%) than women (8.6%). There was an association between adult ADHD and both BED and hazardous alcohol consumption. However, symptoms of adult ADHD were associated with hazardous alcohol consumption in men but not in women. Our results suggest gender differences in hazardous alcohol consumption and self-reported symptoms of disordered eating despite similar prevalence rate of BED, but no gender difference in symptoms of adult ADHD. Finally, as the associations between these variables seem to be different in women and men, future studies need to investigate potential gender-specific functional and temporal relations between these variables.","DOI":"10.1111/cob.12025","ISSN":"1758-8111","note":"PMID: 25586627","journalAbbreviation":"Clin Obes","language":"eng","author":[{"family":"Alfonsson","given":"S."},{"family":"Parling","given":"T."},{"family":"Ghaderi","given":"A."}],"issued":{"date-parts":[["2013",10]]}}}],"schema":"https://github.com/citation-style-language/schema/raw/master/csl-citation.json"} </w:instrText>
      </w:r>
      <w:r w:rsidRPr="002E5DBE">
        <w:rPr>
          <w:bCs/>
          <w:color w:val="000000" w:themeColor="text1"/>
          <w:szCs w:val="24"/>
        </w:rPr>
        <w:fldChar w:fldCharType="separate"/>
      </w:r>
      <w:r w:rsidRPr="002E5DBE">
        <w:rPr>
          <w:bCs/>
          <w:noProof/>
          <w:color w:val="000000" w:themeColor="text1"/>
          <w:szCs w:val="24"/>
          <w:lang w:val="en-US"/>
        </w:rPr>
        <w:t>(Alfonsson, Parling, &amp; Ghaderi, 2013)</w:t>
      </w:r>
      <w:r w:rsidRPr="002E5DBE">
        <w:rPr>
          <w:bCs/>
          <w:color w:val="000000" w:themeColor="text1"/>
          <w:szCs w:val="24"/>
        </w:rPr>
        <w:fldChar w:fldCharType="end"/>
      </w:r>
      <w:r w:rsidRPr="002E5DBE">
        <w:rPr>
          <w:bCs/>
          <w:color w:val="000000" w:themeColor="text1"/>
          <w:szCs w:val="24"/>
          <w:lang w:val="en-US"/>
        </w:rPr>
        <w:t xml:space="preserve">. With regards to alterations of eating patterns, a possibly relevant but so far unexplored mechanism is represented by food addiction. The concept of food addiction, proposed by Gearhardt et al. by adapting DSM-IV-TR substance dependence criteria </w:t>
      </w:r>
      <w:r w:rsidRPr="002E5DBE">
        <w:rPr>
          <w:bCs/>
          <w:color w:val="000000" w:themeColor="text1"/>
          <w:szCs w:val="24"/>
        </w:rPr>
        <w:fldChar w:fldCharType="begin"/>
      </w:r>
      <w:r w:rsidRPr="002E5DBE">
        <w:rPr>
          <w:bCs/>
          <w:color w:val="000000" w:themeColor="text1"/>
          <w:szCs w:val="24"/>
          <w:lang w:val="en-US"/>
        </w:rPr>
        <w:instrText xml:space="preserve"> ADDIN ZOTERO_ITEM CSL_CITATION {"citationID":"a1ontrokj83","properties":{"formattedCitation":"(A. N. Gearhardt, Corbin, &amp; Brownell, 2009a)","plainCitation":"(A. N. Gearhardt, Corbin, &amp; Brownell, 2009a)","dontUpdate":true,"noteIndex":0},"citationItems":[{"id":4712,"uris":["http://zotero.org/groups/156894/items/TKGGJ3GF"],"uri":["http://zotero.org/groups/156894/items/TKGGJ3GF"],"itemData":{"id":4712,"type":"article-journal","title":"Food addiction: an examination of the diagnostic criteria for dependence","container-title":"Journal of Addiction Medicine","page":"1–7","volume":"3","issue":"1","source":"Google Scholar","shortTitle":"Food addiction","author":[{"family":"Gearhardt","given":"Ashley N."},{"family":"Corbin","given":"William R."},{"family":"Brownell","given":"Kelly D."}],"issued":{"date-parts":[["2009"]]}}}],"schema":"https://github.com/citation-style-language/schema/raw/master/csl-citation.json"} </w:instrText>
      </w:r>
      <w:r w:rsidRPr="002E5DBE">
        <w:rPr>
          <w:bCs/>
          <w:color w:val="000000" w:themeColor="text1"/>
          <w:szCs w:val="24"/>
        </w:rPr>
        <w:fldChar w:fldCharType="separate"/>
      </w:r>
      <w:r w:rsidRPr="002E5DBE">
        <w:rPr>
          <w:bCs/>
          <w:noProof/>
          <w:color w:val="000000" w:themeColor="text1"/>
          <w:szCs w:val="24"/>
          <w:lang w:val="en-US"/>
        </w:rPr>
        <w:t>(Gearhardt, Corbin, &amp; Brownell, 2009a)</w:t>
      </w:r>
      <w:r w:rsidRPr="002E5DBE">
        <w:rPr>
          <w:bCs/>
          <w:color w:val="000000" w:themeColor="text1"/>
          <w:szCs w:val="24"/>
        </w:rPr>
        <w:fldChar w:fldCharType="end"/>
      </w:r>
      <w:r w:rsidRPr="002E5DBE">
        <w:rPr>
          <w:bCs/>
          <w:color w:val="000000" w:themeColor="text1"/>
          <w:szCs w:val="24"/>
          <w:lang w:val="en-US"/>
        </w:rPr>
        <w:t xml:space="preserve">, and then, DSM-5 </w:t>
      </w:r>
      <w:r w:rsidRPr="002E5DBE">
        <w:rPr>
          <w:rFonts w:ascii="TimesNewRomanPSMT" w:eastAsia="Times New Roman" w:hAnsi="TimesNewRomanPSMT" w:cs="TimesNewRomanPSMT"/>
          <w:color w:val="000000" w:themeColor="text1"/>
          <w:szCs w:val="24"/>
          <w:lang w:val="en-GB" w:eastAsia="fr-FR"/>
        </w:rPr>
        <w:t xml:space="preserve">criteria for </w:t>
      </w:r>
      <w:r w:rsidRPr="002E5DBE">
        <w:rPr>
          <w:color w:val="000000" w:themeColor="text1"/>
          <w:szCs w:val="24"/>
          <w:lang w:val="en-CA"/>
        </w:rPr>
        <w:t xml:space="preserve">Substance-Related and Addictive Disorders </w:t>
      </w:r>
      <w:r w:rsidRPr="002E5DBE">
        <w:rPr>
          <w:color w:val="000000" w:themeColor="text1"/>
          <w:szCs w:val="24"/>
          <w:lang w:val="en-CA"/>
        </w:rPr>
        <w:fldChar w:fldCharType="begin"/>
      </w:r>
      <w:r w:rsidRPr="002E5DBE">
        <w:rPr>
          <w:color w:val="000000" w:themeColor="text1"/>
          <w:szCs w:val="24"/>
          <w:lang w:val="en-CA"/>
        </w:rPr>
        <w:instrText xml:space="preserve"> ADDIN ZOTERO_ITEM CSL_CITATION {"citationID":"ad5l3rddoc","properties":{"formattedCitation":"(A. N. Gearhardt, Corbin, &amp; Brownell, 2016)","plainCitation":"(A. N. Gearhardt, Corbin, &amp; Brownell, 2016)","dontUpdate":true,"noteIndex":0},"citationItems":[{"id":1666,"uris":["http://zotero.org/users/158295/items/5EIVVVPF"],"uri":["http://zotero.org/users/158295/items/5EIVVVPF"],"itemData":{"id":1666,"type":"article-journal","title":"Development of the Yale Food Addiction Scale Version 2.0","container-title":"Psychology of Addictive Behaviors","page":"113-121","volume":"30","issue":"1","source":"PubMed","abstract":"Parallels in biological, psychological, and behavioral systems have led to the hypothesis that an addictive process may contribute to problematic eating. The Yale Food Addiction Scale (YFAS) was developed to provide a validated measure of addictive-like eating behavior based upon the diagnostic criteria for substance dependence. Recently, the Diagnostic and Statistical Manual of Mental Disorders (5th ed.; DSM-5) was released, which included significant changes to the substance-related and addictive disorders (SRAD) section. In the current study, the YFAS 2.0 was developed to maintain consistency with the current diagnostic understanding of addiction and to improve the psychometric properties of the original YFAS. In a sample of 550 participants, 14.6% met criteria for food addiction. The YFAS 2.0 demonstrated good internal consistency, as well as convergent, discriminant, and incremental validity. Elevated scores on the YFAS 2.0 were associated with higher rates of obesity and more severe pathological eating (e.g., binge eating). The YFAS 2.0 also appeared to capture a related, but unique construct relative to traditional eating disorders. In a separate sample of 209 participants, the YFAS and YFAS 2.0 were directly compared. Both versions of the YFAS were similarly associated with elevated body mass index, binge eating, and weight cycling. However, exceeding the food addiction threshold was more strongly associated with obesity for the YFAS 2.0 than the original YFAS. Thus, the YFAS 2.0 appears to by a psychometrically sound measure that reflects the current diagnostic understanding of addiction to further investigate the potential role of an addictive process in problematic eating behavior. (PsycINFO Database Record","DOI":"10.1037/adb0000136","ISSN":"1939-1501","note":"PMID: 26866783","journalAbbreviation":"Psychol Addict Behav","language":"eng","author":[{"family":"Gearhardt","given":"Ashley N."},{"family":"Corbin","given":"William R."},{"family":"Brownell","given":"Kelly D."}],"issued":{"date-parts":[["2016",2]]}}}],"schema":"https://github.com/citation-style-language/schema/raw/master/csl-citation.json"} </w:instrText>
      </w:r>
      <w:r w:rsidRPr="002E5DBE">
        <w:rPr>
          <w:color w:val="000000" w:themeColor="text1"/>
          <w:szCs w:val="24"/>
          <w:lang w:val="en-CA"/>
        </w:rPr>
        <w:fldChar w:fldCharType="separate"/>
      </w:r>
      <w:r w:rsidRPr="002E5DBE">
        <w:rPr>
          <w:noProof/>
          <w:color w:val="000000" w:themeColor="text1"/>
          <w:szCs w:val="24"/>
          <w:lang w:val="en-CA"/>
        </w:rPr>
        <w:t>(Gearhardt, Corbin, &amp; Brownell, 2016)</w:t>
      </w:r>
      <w:r w:rsidRPr="002E5DBE">
        <w:rPr>
          <w:color w:val="000000" w:themeColor="text1"/>
          <w:szCs w:val="24"/>
          <w:lang w:val="en-CA"/>
        </w:rPr>
        <w:fldChar w:fldCharType="end"/>
      </w:r>
      <w:r w:rsidRPr="002E5DBE">
        <w:rPr>
          <w:color w:val="000000" w:themeColor="text1"/>
          <w:szCs w:val="24"/>
          <w:lang w:val="en-CA"/>
        </w:rPr>
        <w:t xml:space="preserve"> to food, postulates that some people may develop addictive-like eating behaviour to highly palatable foods (i.e., foods rich in sugar, fat and/or salt) </w:t>
      </w:r>
      <w:r w:rsidRPr="002E5DBE">
        <w:rPr>
          <w:color w:val="000000" w:themeColor="text1"/>
          <w:szCs w:val="24"/>
          <w:lang w:val="en-CA"/>
        </w:rPr>
        <w:fldChar w:fldCharType="begin"/>
      </w:r>
      <w:r w:rsidRPr="002E5DBE">
        <w:rPr>
          <w:color w:val="000000" w:themeColor="text1"/>
          <w:szCs w:val="24"/>
          <w:lang w:val="en-CA"/>
        </w:rPr>
        <w:instrText xml:space="preserve"> ADDIN ZOTERO_ITEM CSL_CITATION {"citationID":"z1zVO4xL","properties":{"formattedCitation":"(Davis &amp; Carter, 2009; Ashley N. Gearhardt et al., 2016)","plainCitation":"(Davis &amp; Carter, 2009; Ashley N. Gearhardt et al., 2016)","dontUpdate":true,"noteIndex":0},"citationItems":[{"id":160,"uris":["http://zotero.org/users/158295/items/V8I6VUJ4"],"uri":["http://zotero.org/users/158295/items/V8I6VUJ4"],"itemData":{"id":160,"type":"article-journal","title":"Compulsive overeating as an addiction disorder. A review of theory and evidence","container-title":"Appetite","page":"1-8","volume":"53","issue":"1","source":"NCBI PubMed","abstract":"In this paper we argue that compulsive overeating has compelling similarities to conventional drug addiction. Our case is based on their comparable clinical features, the biological mechanisms they have in common, and on evidence that the two disorders have a shared diathesis. In making the argument for overeating as an addictive behaviour, it is clearly not appropriate to include all cases of excessive food consumption in this taxon. Nor are we claiming that obesity and addiction are one and the same. However, it is proposed that Binge Eating Disorder (BED) is a phenotype particularly well-suited to such a conceptualization, and that sound clinical and scientific evidence exists to support this viewpoint. We have provided some recommendations for treatment modifications that recognize the similarities between treating drug dependence and compulsive overeating.","DOI":"10.1016/j.appet.2009.05.018","ISSN":"1095-8304","note":"PMID: 19500625","journalAbbreviation":"Appetite","language":"eng","author":[{"family":"Davis","given":"Caroline"},{"family":"Carter","given":"Jacqueline C"}],"issued":{"date-parts":[["2009",8]]}}},{"id":1666,"uris":["http://zotero.org/users/158295/items/5EIVVVPF"],"uri":["http://zotero.org/users/158295/items/5EIVVVPF"],"itemData":{"id":1666,"type":"article-journal","title":"Development of the Yale Food Addiction Scale Version 2.0","container-title":"Psychology of Addictive Behaviors","page":"113-121","volume":"30","issue":"1","source":"PubMed","abstract":"Parallels in biological, psychological, and behavioral systems have led to the hypothesis that an addictive process may contribute to problematic eating. The Yale Food Addiction Scale (YFAS) was developed to provide a validated measure of addictive-like eating behavior based upon the diagnostic criteria for substance dependence. Recently, the Diagnostic and Statistical Manual of Mental Disorders (5th ed.; DSM-5) was released, which included significant changes to the substance-related and addictive disorders (SRAD) section. In the current study, the YFAS 2.0 was developed to maintain consistency with the current diagnostic understanding of addiction and to improve the psychometric properties of the original YFAS. In a sample of 550 participants, 14.6% met criteria for food addiction. The YFAS 2.0 demonstrated good internal consistency, as well as convergent, discriminant, and incremental validity. Elevated scores on the YFAS 2.0 were associated with higher rates of obesity and more severe pathological eating (e.g., binge eating). The YFAS 2.0 also appeared to capture a related, but unique construct relative to traditional eating disorders. In a separate sample of 209 participants, the YFAS and YFAS 2.0 were directly compared. Both versions of the YFAS were similarly associated with elevated body mass index, binge eating, and weight cycling. However, exceeding the food addiction threshold was more strongly associated with obesity for the YFAS 2.0 than the original YFAS. Thus, the YFAS 2.0 appears to by a psychometrically sound measure that reflects the current diagnostic understanding of addiction to further investigate the potential role of an addictive process in problematic eating behavior. (PsycINFO Database Record","DOI":"10.1037/adb0000136","ISSN":"1939-1501","note":"PMID: 26866783","journalAbbreviation":"Psychol Addict Behav","language":"eng","author":[{"family":"Gearhardt","given":"Ashley N."},{"family":"Corbin","given":"William R."},{"family":"Brownell","given":"Kelly D."}],"issued":{"date-parts":[["2016",2]]}}}],"schema":"https://github.com/citation-style-language/schema/raw/master/csl-citation.json"} </w:instrText>
      </w:r>
      <w:r w:rsidRPr="002E5DBE">
        <w:rPr>
          <w:color w:val="000000" w:themeColor="text1"/>
          <w:szCs w:val="24"/>
          <w:lang w:val="en-CA"/>
        </w:rPr>
        <w:fldChar w:fldCharType="separate"/>
      </w:r>
      <w:r w:rsidRPr="002E5DBE">
        <w:rPr>
          <w:noProof/>
          <w:color w:val="000000" w:themeColor="text1"/>
          <w:szCs w:val="24"/>
          <w:lang w:val="en-CA"/>
        </w:rPr>
        <w:t>(Davis &amp; Carter, 2009; Gearhardt et al., 2016)</w:t>
      </w:r>
      <w:r w:rsidRPr="002E5DBE">
        <w:rPr>
          <w:color w:val="000000" w:themeColor="text1"/>
          <w:szCs w:val="24"/>
          <w:lang w:val="en-CA"/>
        </w:rPr>
        <w:fldChar w:fldCharType="end"/>
      </w:r>
      <w:r w:rsidRPr="002E5DBE">
        <w:rPr>
          <w:color w:val="000000" w:themeColor="text1"/>
          <w:szCs w:val="24"/>
          <w:lang w:val="en-CA"/>
        </w:rPr>
        <w:t xml:space="preserve">. </w:t>
      </w:r>
      <w:r w:rsidRPr="002E5DBE">
        <w:rPr>
          <w:color w:val="000000" w:themeColor="text1"/>
          <w:szCs w:val="24"/>
          <w:lang w:val="en"/>
        </w:rPr>
        <w:t xml:space="preserve">On the one hand, food craving, which is a core feature of food addiction, is associated with weight gain </w:t>
      </w:r>
      <w:r w:rsidRPr="002E5DBE">
        <w:rPr>
          <w:color w:val="000000" w:themeColor="text1"/>
          <w:szCs w:val="24"/>
          <w:lang w:val="en"/>
        </w:rPr>
        <w:fldChar w:fldCharType="begin"/>
      </w:r>
      <w:r w:rsidRPr="002E5DBE">
        <w:rPr>
          <w:color w:val="000000" w:themeColor="text1"/>
          <w:szCs w:val="24"/>
          <w:lang w:val="en"/>
        </w:rPr>
        <w:instrText xml:space="preserve"> ADDIN ZOTERO_ITEM CSL_CITATION {"citationID":"a1tfedq7iiu","properties":{"formattedCitation":"(Contreras-Rodr\\uc0\\u237{}guez, Mart\\uc0\\u237{}n-P\\uc0\\u233{}rez, Vilar-L\\uc0\\u243{}pez, &amp; Verdejo-Garcia, 2017)","plainCitation":"(Contreras-Rodríguez, Martín-Pérez, Vilar-López, &amp; Verdejo-Garcia, 2017)","noteIndex":0},"citationItems":[{"id":54,"uris":["http://zotero.org/users/158295/items/HJ2N7NLH"],"uri":["http://zotero.org/users/158295/items/HJ2N7NLH"],"itemData":{"id":54,"type":"article-journal","title":"Ventral and Dorsal Striatum Networks in Obesity: Link to Food Craving and Weight Gain","container-title":"Biological Psychiatry","page":"789-796","volume":"81","issue":"9","source":"PubMed","abstract":"BACKGROUND: The food addiction model proposes that obesity overlaps with addiction in terms of neurobiological alterations in the striatum and related clinical manifestations (i.e., craving and persistence of unhealthy habits). Therefore, we aimed to examine the functional connectivity of the striatum in excess-weight versus normal-weight subjects and to determine the extent of the association between striatum connectivity and individual differences in food craving and changes in body mass index (BMI).\nMETHODS: Forty-two excess-weight participants (BMI &gt; 25) and 39 normal-weight participants enrolled in the study. Functional connectivity in the ventral and dorsal striatum was indicated by seed-based analyses on resting-state data. Food craving was indicated with subjective ratings of visual cues of high-calorie food. Changes in BMI between baseline and 12 weeks follow-up were assessed in 28 excess-weight participants. Measures of connectivity in the ventral striatum and dorsal striatum were compared between groups and correlated with craving and BMI change.\nRESULTS: Participants with excess weight displayed increased functional connectivity between the ventral striatum and the medial prefrontal and parietal cortices and between the dorsal striatum and the somatosensory cortex. Dorsal striatum connectivity correlated with food craving and predicted BMI gains.\nCONCLUSIONS: Obesity is linked to alterations in the functional connectivity of dorsal striatal networks relevant to food craving and weight gain. These neural alterations are associated with habit learning and thus compatible with the food addiction model of obesity.","DOI":"10.1016/j.biopsych.2015.11.020","ISSN":"1873-2402","note":"PMID: 26809248","shortTitle":"Ventral and Dorsal Striatum Networks in Obesity","journalAbbreviation":"Biol. Psychiatry","language":"eng","author":[{"family":"Contreras-Rodríguez","given":"Oren"},{"family":"Martín-Pérez","given":"Cristina"},{"family":"Vilar-López","given":"Raquel"},{"family":"Verdejo-Garcia","given":"Antonio"}],"issued":{"date-parts":[["2017"]],"season":"01"}}}],"schema":"https://github.com/citation-style-language/schema/raw/master/csl-citation.json"} </w:instrText>
      </w:r>
      <w:r w:rsidRPr="002E5DBE">
        <w:rPr>
          <w:color w:val="000000" w:themeColor="text1"/>
          <w:szCs w:val="24"/>
          <w:lang w:val="en"/>
        </w:rPr>
        <w:fldChar w:fldCharType="separate"/>
      </w:r>
      <w:r w:rsidRPr="002E5DBE">
        <w:rPr>
          <w:color w:val="000000" w:themeColor="text1"/>
          <w:lang w:val="en-US"/>
        </w:rPr>
        <w:t>(Contreras-Rodríguez, Martín-Pérez, Vilar-López, &amp; Verdejo-Garcia, 2017)</w:t>
      </w:r>
      <w:r w:rsidRPr="002E5DBE">
        <w:rPr>
          <w:color w:val="000000" w:themeColor="text1"/>
          <w:szCs w:val="24"/>
          <w:lang w:val="en"/>
        </w:rPr>
        <w:fldChar w:fldCharType="end"/>
      </w:r>
      <w:r w:rsidRPr="002E5DBE">
        <w:rPr>
          <w:color w:val="000000" w:themeColor="text1"/>
          <w:szCs w:val="24"/>
          <w:lang w:val="en"/>
        </w:rPr>
        <w:t xml:space="preserve">. On the other hand, </w:t>
      </w:r>
      <w:r w:rsidRPr="002E5DBE">
        <w:rPr>
          <w:bCs/>
          <w:color w:val="000000" w:themeColor="text1"/>
          <w:szCs w:val="24"/>
          <w:lang w:val="en-US"/>
        </w:rPr>
        <w:t>A</w:t>
      </w:r>
      <w:r w:rsidRPr="002E5DBE">
        <w:rPr>
          <w:color w:val="000000" w:themeColor="text1"/>
          <w:szCs w:val="24"/>
          <w:lang w:val="en"/>
        </w:rPr>
        <w:t xml:space="preserve">DHD is indeed a robust risk factor of addictive disorders such as tobacco, alcohol or cannabis use disorder </w:t>
      </w:r>
      <w:r w:rsidRPr="002E5DBE">
        <w:rPr>
          <w:color w:val="000000" w:themeColor="text1"/>
          <w:szCs w:val="24"/>
          <w:lang w:val="en"/>
        </w:rPr>
        <w:fldChar w:fldCharType="begin"/>
      </w:r>
      <w:r w:rsidRPr="002E5DBE">
        <w:rPr>
          <w:color w:val="000000" w:themeColor="text1"/>
          <w:szCs w:val="24"/>
          <w:lang w:val="en"/>
        </w:rPr>
        <w:instrText xml:space="preserve"> ADDIN ZOTERO_ITEM CSL_CITATION {"citationID":"ut7pdonft","properties":{"formattedCitation":"(Luo &amp; Levin, 2017)","plainCitation":"(Luo &amp; Levin, 2017)","noteIndex":0},"citationItems":[{"id":1761,"uris":["http://zotero.org/users/158295/items/5F2T3AWQ"],"uri":["http://zotero.org/users/158295/items/5F2T3AWQ"],"itemData":{"id":1761,"type":"article-journal","title":"Towards Precision Addiction Treatment: New Findings in Co-morbid Substance Use and Attention-Deficit Hyperactivity Disorders","container-title":"Current Psychiatry Reports","page":"14","volume":"19","issue":"3","source":"PubMed","abstract":"Attention-deficit hyperactivity disorder (ADHD) and substance use disorders (SUDs) may have common etiologies. ADHD is more prevalent in patients with substance use disorders, and this pattern is consistent across different substances of abuse. Individuals with SUDs and ADHD exhibit significant variations in their clinical presentations. The developmental trajectory of ADHD to SUDs is complex: ADHD symptoms appear first in some patients but not in others. Many patients present with a heterogeneous collection of psychiatric and substance use co-morbidities, and these symptoms change over time. ADHD symptom severity is also highly variable, and more severe ADHD symptoms worsen co-morbid SUDs and complicate treatment. New longitudinal studies with innovative methods in high-risk populations and in community-based samples may clarify issues related to patient-treatment matching. When closely monitored, psychostimulant and other adjunct medications can be safely used to treat ADHD in this population, and such treatment may also improve outcome of SUDs. In particular, emerging evidence suggests individual-level tailoring (\"precision medicine\") approaches may represent a key pathway to improve clinical outcome.","DOI":"10.1007/s11920-017-0769-7","ISSN":"1535-1645","note":"PMID: 28251590\nPMCID: PMC5518319","shortTitle":"Towards Precision Addiction Treatment","journalAbbreviation":"Curr Psychiatry Rep","language":"eng","author":[{"family":"Luo","given":"Sean X."},{"family":"Levin","given":"Frances R."}],"issued":{"date-parts":[["2017",3]]}}}],"schema":"https://github.com/citation-style-language/schema/raw/master/csl-citation.json"} </w:instrText>
      </w:r>
      <w:r w:rsidRPr="002E5DBE">
        <w:rPr>
          <w:color w:val="000000" w:themeColor="text1"/>
          <w:szCs w:val="24"/>
          <w:lang w:val="en"/>
        </w:rPr>
        <w:fldChar w:fldCharType="separate"/>
      </w:r>
      <w:r w:rsidRPr="002E5DBE">
        <w:rPr>
          <w:color w:val="000000" w:themeColor="text1"/>
          <w:szCs w:val="24"/>
          <w:lang w:val="en-US"/>
        </w:rPr>
        <w:t>(Luo &amp; Levin, 2017)</w:t>
      </w:r>
      <w:r w:rsidRPr="002E5DBE">
        <w:rPr>
          <w:color w:val="000000" w:themeColor="text1"/>
          <w:szCs w:val="24"/>
          <w:lang w:val="en"/>
        </w:rPr>
        <w:fldChar w:fldCharType="end"/>
      </w:r>
      <w:r w:rsidRPr="002E5DBE">
        <w:rPr>
          <w:color w:val="000000" w:themeColor="text1"/>
          <w:szCs w:val="24"/>
          <w:lang w:val="en"/>
        </w:rPr>
        <w:t xml:space="preserve"> and gambling disorder </w:t>
      </w:r>
      <w:r w:rsidRPr="002E5DBE">
        <w:rPr>
          <w:color w:val="000000" w:themeColor="text1"/>
          <w:szCs w:val="24"/>
          <w:lang w:val="en"/>
        </w:rPr>
        <w:fldChar w:fldCharType="begin"/>
      </w:r>
      <w:r w:rsidRPr="002E5DBE">
        <w:rPr>
          <w:color w:val="000000" w:themeColor="text1"/>
          <w:szCs w:val="24"/>
          <w:lang w:val="en"/>
        </w:rPr>
        <w:instrText xml:space="preserve"> ADDIN ZOTERO_ITEM CSL_CITATION {"citationID":"12hl1n2k76","properties":{"formattedCitation":"(Fats\\uc0\\u233{}as et al., 2016; Grall-Bronnec et al., 2011)","plainCitation":"(Fatséas et al., 2016; Grall-Bronnec et al., 2011)","noteIndex":0},"citationItems":[{"id":1745,"uris":["http://zotero.org/users/158295/items/VP5HYFVU"],"uri":["http://zotero.org/users/158295/items/VP5HYFVU"],"itemData":{"id":1745,"type":"article-journal","title":"Gambling behaviors and psychopathology related to Attention-Deficit/Hyperactivity Disorder (ADHD) in problem and non-problem adult gamblers","container-title":"Psychiatry Research","page":"232-238","volume":"239","source":"PubMed","abstract":"Previous studies showed that Pathological Gambling and Attention Deficit/Hyperactivity Disorder (ADHD) often co-occur. The aim of this study was to examine whether ADHD is associated with specific severity patterns in terms of gambling behavior, psychopathology and personality traits. 599 problem and non-problem-gamblers were recruited in addiction clinics and gambling places in France. Subjects were assessed with the Wender-Utah Rating Scale-Child, the Adult ADHD Self-Report Scale, the Mini International Neuropsychiatric Interview, the Temperament and Character Inventory, the South Oaks Gambling Screen and questionnaires assessing gambling related cognitive distortions and gambling habits. 20.7% (n=124) of gamblers were screened positive for lifetime or current ADHD. Results from the multivariate analysis showed that ADHD was associated with a higher severity of gambling-related problems and with more psychiatric comorbidity. Among problem gamblers, subjects with history of ADHD were also at higher risk for unemployment, psychiatric comorbidity and specific dysfunctional personality traits. This study supports the link between gambling related problems and ADHD in a large sample of problem and non-problem gamblers, including problem-gamblers not seeking treatment. This points out the necessity to consider this disorder in the prevention and in the treatment of pathological gambling.","DOI":"10.1016/j.psychres.2016.03.028","ISSN":"1872-7123","note":"PMID: 27031593","journalAbbreviation":"Psychiatry Res","language":"eng","author":[{"family":"Fatséas","given":"Melina"},{"family":"Alexandre","given":"Jean-Marc"},{"family":"Vénisse","given":"Jean-Luc"},{"family":"Romo","given":"Lucia"},{"family":"Valleur","given":"Marc"},{"family":"Magalon","given":"David"},{"family":"Chéreau-Boudet","given":"Isabelle"},{"family":"Luquiens","given":"Amandine"},{"family":"Guilleux","given":"Alice"},{"family":"Groupe Jeu","given":"null"},{"family":"Challet-Bouju","given":"Gaëlle"},{"family":"Grall-Bronnec","given":"Marie"}],"issued":{"date-parts":[["2016"]],"season":"30"}}},{"id":1773,"uris":["http://zotero.org/users/158295/items/5JVR6QDL"],"uri":["http://zotero.org/users/158295/items/5JVR6QDL"],"itemData":{"id":1773,"type":"article-journal","title":"Attention deficit hyperactivity disorder among pathological and at-risk gamblers seeking treatment: a hidden disorder","container-title":"European Addiction Research","page":"231-240","volume":"17","issue":"5","source":"PubMed","abstract":"BACKGROUND: The links between attention deficit hyperactivity disorder (ADHD) and substance use disorders have been the subject of numerous papers. Few studies, however, have focused specifically on the relationship between ADHD and behavioural addictions. The aim of this study was to (i) examine the frequency of pathological and at-risk gamblers having a previous history of ADHD; (ii) give details of the characteristics of this association, and (iii) identify risk factors for a history of ADHD.\nMETHODS: 84 pathological and at-risk gamblers were assessed about socio-demographic, gambling and clinical characteristics.\nRESULTS: Over 25% of the subjects had a history of ADHD. They were characterized as having more severe gambling problems and a higher level of gambling-related cognitions, a higher frequency of psychiatric comorbidities and an elevated risk of suicide. Finally, they differed in their level and type of impulsivity. Among pathological and at-risk gamblers, a high level of impulsivity, or a history of anxiety disorders, constitute risk factors for a comorbidity with ADHD.\nCONCLUSION: The association 'ADHD-problem gambling' therefore appears to be not only frequent, but also linked to factors that are known to worsen the prognosis. Researching this relationship is therefore important to adapt strategies for effective future therapy.","DOI":"10.1159/000328628","ISSN":"1421-9891","note":"PMID: 21654176","shortTitle":"Attention deficit hyperactivity disorder among pathological and at-risk gamblers seeking treatment","journalAbbreviation":"Eur Addict Res","language":"eng","author":[{"family":"Grall-Bronnec","given":"M"},{"family":"Wainstein","given":"Laura"},{"family":"Augy","given":"Jennyfer"},{"family":"Bouju","given":"Gaëlle"},{"family":"Feuillet","given":"Fanny"},{"family":"Vénisse","given":"Jean-Luc"},{"family":"Sébille-Rivain","given":"Véronique"}],"issued":{"date-parts":[["2011"]]}}}],"schema":"https://github.com/citation-style-language/schema/raw/master/csl-citation.json"} </w:instrText>
      </w:r>
      <w:r w:rsidRPr="002E5DBE">
        <w:rPr>
          <w:color w:val="000000" w:themeColor="text1"/>
          <w:szCs w:val="24"/>
          <w:lang w:val="en"/>
        </w:rPr>
        <w:fldChar w:fldCharType="separate"/>
      </w:r>
      <w:r w:rsidRPr="002E5DBE">
        <w:rPr>
          <w:color w:val="000000" w:themeColor="text1"/>
          <w:lang w:val="en-US"/>
        </w:rPr>
        <w:t>(Fatséas et al., 2016; Grall-Bronnec et al., 2011)</w:t>
      </w:r>
      <w:r w:rsidRPr="002E5DBE">
        <w:rPr>
          <w:color w:val="000000" w:themeColor="text1"/>
          <w:szCs w:val="24"/>
          <w:lang w:val="en"/>
        </w:rPr>
        <w:fldChar w:fldCharType="end"/>
      </w:r>
      <w:r w:rsidRPr="002E5DBE">
        <w:rPr>
          <w:color w:val="000000" w:themeColor="text1"/>
          <w:szCs w:val="24"/>
          <w:lang w:val="en"/>
        </w:rPr>
        <w:t xml:space="preserve">. </w:t>
      </w:r>
      <w:r w:rsidRPr="002E5DBE">
        <w:rPr>
          <w:bCs/>
          <w:color w:val="000000" w:themeColor="text1"/>
          <w:szCs w:val="24"/>
          <w:lang w:val="en-US"/>
        </w:rPr>
        <w:t>It is possible that ADHD is associated with a higher risk of food addiction, and this contributes to explain the subsequent weight gain and the higher risk for obesity in this population</w:t>
      </w:r>
      <w:r w:rsidRPr="002E5DBE">
        <w:rPr>
          <w:color w:val="000000" w:themeColor="text1"/>
          <w:szCs w:val="24"/>
          <w:lang w:val="en"/>
        </w:rPr>
        <w:t xml:space="preserve">. Previous research conducted in a non-clinical population of students demonstrated that ADHD symptoms, as assessed by self-administered questionnaires, </w:t>
      </w:r>
      <w:r w:rsidRPr="002E5DBE">
        <w:rPr>
          <w:color w:val="000000" w:themeColor="text1"/>
          <w:szCs w:val="24"/>
          <w:lang w:val="en"/>
        </w:rPr>
        <w:lastRenderedPageBreak/>
        <w:t xml:space="preserve">were associated to higher prevalence for food addiction </w:t>
      </w:r>
      <w:r w:rsidRPr="002E5DBE">
        <w:rPr>
          <w:color w:val="000000" w:themeColor="text1"/>
          <w:szCs w:val="24"/>
          <w:lang w:val="en"/>
        </w:rPr>
        <w:fldChar w:fldCharType="begin"/>
      </w:r>
      <w:r w:rsidRPr="002E5DBE">
        <w:rPr>
          <w:color w:val="000000" w:themeColor="text1"/>
          <w:szCs w:val="24"/>
          <w:lang w:val="en"/>
        </w:rPr>
        <w:instrText xml:space="preserve"> ADDIN ZOTERO_ITEM CSL_CITATION {"citationID":"XjvZYeay","properties":{"formattedCitation":"(Romo et al., 2018)","plainCitation":"(Romo et al., 2018)","noteIndex":0},"citationItems":[{"id":6002,"uris":["http://zotero.org/users/158295/items/WJ5VENPK"],"uri":["http://zotero.org/users/158295/items/WJ5VENPK"],"itemData":{"id":6002,"type":"article-journal","title":"Attention-deficit hyperactivity disorder and addictions (substance and behavioral): Prevalence and characteristics in a multicenter study in France","container-title":"Journal of Behavioral Addictions","page":"743-751","volume":"7","issue":"3","source":"PubMed","abstract":"AIM: The aim of this study is to determine the possible links between attention-deficit hyperactivity disorder (ADHD) and the presence of concomitant addictions with or without substance use in a French student population.\nMEASURES: A battery of questionnaire measuring socioeconomic characteristics, university curriculum, ADHD (Wender Utah Rating Scale and Adult ADHD Self-Report Scale), substance consumptions (alcohol, tobacco, and cannabis), and behavioral addictions [(eating disorders (SCOFF)], Internet addiction (Internet Addiction Test), food addiction (Yale Food Addiction Scale), compulsive buying (Echeburua's), and problem gambling (The Canadian Problem Gambling Index)] and measures of physical activity (Godin's Leisure Time Exercise Questionnaire) was filled up by university students in Rouen and Nanterre in France.\nRESULTS: A total of 1,517 students were included (472 from Paris Nanterre and 1,042 from Rouen). The mean age was 20.6 years (SD = 3.6) and the sex ratio male to female was 0.46. The prevalence of ADHD among the students (current ADHD with a history of ADHD in childhood) was 5.6%. A quarter (25.7%) of students had already repeated their university curriculum, compared to 42.2% among the students with ADHD. Students with possible ADHD had repeated classes more often and believed to have a lower academic level than the students without ADHD. Significant differences were found as students with ADHD were less likely to succeed in their studies (repeated classes more often) than non-ADHD students, and considered their academic level to be lower. They also had significantly higher scores on substance (alcohol, cannabis, and tobacco) as well as behavioral addictions (gambling, compulsive buying disorder, eating disorders, and Internet addiction).\nCONCLUSION: It seems essential to determine students' problems and propose interventions adapted to students' needs, in order to reduce the negative impact on their future academic and global successes.","DOI":"10.1556/2006.7.2018.58","ISSN":"2063-5303","note":"PMID: 30010409","shortTitle":"Attention-deficit hyperactivity disorder and addictions (substance and behavioral)","journalAbbreviation":"J Behav Addict","language":"eng","author":[{"family":"Romo","given":"Lucia"},{"family":"Ladner","given":"Joel"},{"family":"Kotbagi","given":"Gayatri"},{"family":"Morvan","given":"Yannick"},{"family":"Saleh","given":"Dalia"},{"family":"Tavolacci","given":"Marie Pierre"},{"family":"Kern","given":"Laurence"}],"issued":{"date-parts":[["2018",9,1]]}}}],"schema":"https://github.com/citation-style-language/schema/raw/master/csl-citation.json"} </w:instrText>
      </w:r>
      <w:r w:rsidRPr="002E5DBE">
        <w:rPr>
          <w:color w:val="000000" w:themeColor="text1"/>
          <w:szCs w:val="24"/>
          <w:lang w:val="en"/>
        </w:rPr>
        <w:fldChar w:fldCharType="separate"/>
      </w:r>
      <w:r w:rsidRPr="002E5DBE">
        <w:rPr>
          <w:noProof/>
          <w:color w:val="000000" w:themeColor="text1"/>
          <w:szCs w:val="24"/>
          <w:lang w:val="en"/>
        </w:rPr>
        <w:t>(Romo et al., 2018)</w:t>
      </w:r>
      <w:r w:rsidRPr="002E5DBE">
        <w:rPr>
          <w:color w:val="000000" w:themeColor="text1"/>
          <w:szCs w:val="24"/>
          <w:lang w:val="en"/>
        </w:rPr>
        <w:fldChar w:fldCharType="end"/>
      </w:r>
      <w:r w:rsidRPr="002E5DBE">
        <w:rPr>
          <w:color w:val="000000" w:themeColor="text1"/>
          <w:szCs w:val="24"/>
          <w:lang w:val="en"/>
        </w:rPr>
        <w:t xml:space="preserve">. </w:t>
      </w:r>
      <w:r w:rsidRPr="002E5DBE">
        <w:rPr>
          <w:bCs/>
          <w:color w:val="000000" w:themeColor="text1"/>
          <w:szCs w:val="24"/>
          <w:lang w:val="en-US"/>
        </w:rPr>
        <w:t>However, to our knowledge, no study so far has explored the links between ADHD diagnosis, as assessed by a clinical interview, and food addiction in the specific population of individuals with obesity.</w:t>
      </w:r>
    </w:p>
    <w:p w:rsidR="00D13D04" w:rsidRPr="002E5DBE" w:rsidRDefault="00D13D04" w:rsidP="00D13D04">
      <w:pPr>
        <w:autoSpaceDE w:val="0"/>
        <w:autoSpaceDN w:val="0"/>
        <w:adjustRightInd w:val="0"/>
        <w:spacing w:line="480" w:lineRule="auto"/>
        <w:ind w:firstLine="708"/>
        <w:rPr>
          <w:bCs/>
          <w:color w:val="000000" w:themeColor="text1"/>
          <w:szCs w:val="24"/>
          <w:lang w:val="en-US"/>
        </w:rPr>
      </w:pPr>
      <w:r w:rsidRPr="002E5DBE">
        <w:rPr>
          <w:bCs/>
          <w:color w:val="000000" w:themeColor="text1"/>
          <w:szCs w:val="24"/>
          <w:lang w:val="en-US"/>
        </w:rPr>
        <w:t xml:space="preserve">Additionally, studies focusing on the links between ADHD and obesity have generally failed to control for a possible important confounder, namely sleep apnea syndrome. Sleep apnea syndrome is indeed far more prevalent in persons with overweight or obesity than in the overall population (30-40% vs. 2-4%) </w:t>
      </w:r>
      <w:r w:rsidRPr="002E5DBE">
        <w:rPr>
          <w:bCs/>
          <w:color w:val="000000" w:themeColor="text1"/>
          <w:szCs w:val="24"/>
          <w:lang w:val="en-US"/>
        </w:rPr>
        <w:fldChar w:fldCharType="begin"/>
      </w:r>
      <w:r w:rsidRPr="002E5DBE">
        <w:rPr>
          <w:bCs/>
          <w:color w:val="000000" w:themeColor="text1"/>
          <w:szCs w:val="24"/>
          <w:lang w:val="en-US"/>
        </w:rPr>
        <w:instrText xml:space="preserve"> ADDIN ZOTERO_ITEM CSL_CITATION {"citationID":"MAgQ9APH","properties":{"formattedCitation":"(A. R. Schwartz et al., 2008)","plainCitation":"(A. R. Schwartz et al., 2008)","dontUpdate":true,"noteIndex":0},"citationItems":[{"id":6006,"uris":["http://zotero.org/users/158295/items/B52SHY2D"],"uri":["http://zotero.org/users/158295/items/B52SHY2D"],"itemData":{"id":6006,"type":"article-journal","title":"Obesity and Obstructive Sleep Apnea","container-title":"Proceedings of the American Thoracic Society","page":"185-192","volume":"5","issue":"2","source":"PubMed Central","abstract":"Obstructive sleep apnea is a common disorder whose prevalence is linked to an epidemic of obesity in Western society. Sleep apnea is due to recurrent episodes of upper airway obstruction during sleep that are caused by elevations in upper airway collapsibility during sleep. Collapsibility can be increased by underlying anatomic alterations and/or disturbances in upper airway neuromuscular control, both of which play key roles in the pathogenesis of obstructive sleep apnea. Obesity and particularly central adiposity are potent risk factors for sleep apnea. They can increase pharyngeal collapsibility through mechanical effects on pharyngeal soft tissues and lung volume, and through central nervous system–acting signaling proteins (adipokines) that may affect airway neuromuscular control. Specific molecular signaling pathways encode differences in the distribution and metabolic activity of adipose tissue. These differences can produce alterations in the mechanical and neural control of upper airway collapsibility, which determine sleep apnea susceptibility. Although weight loss reduces upper airway collapsibility during sleep, it is not known whether its effects are mediated primarily by improvement in upper airway mechanical properties or neuromuscular control. A variety of behavioral, pharmacologic, and surgical approaches to weight loss may be of benefit to patients with sleep apnea, through distinct effects on the mass and activity of regional adipose stores. Examining responses to specific weight loss strategies will provide critical insight into mechanisms linking obesity and sleep apnea, and will help to elucidate the humoral and molecular predictors of weight loss responses.","DOI":"10.1513/pats.200708-137MG","ISSN":"1546-3222","note":"PMID: 18250211\nPMCID: PMC2645252","journalAbbreviation":"Proc Am Thorac Soc","author":[{"family":"Schwartz","given":"Alan R."},{"family":"Patil","given":"Susheel P."},{"family":"Laffan","given":"Alison M."},{"family":"Polotsky","given":"Vsevolod"},{"family":"Schneider","given":"Hartmut"},{"family":"Smith","given":"Philip L."}],"issued":{"date-parts":[["2008",2,15]]}}}],"schema":"https://github.com/citation-style-language/schema/raw/master/csl-citation.json"} </w:instrText>
      </w:r>
      <w:r w:rsidRPr="002E5DBE">
        <w:rPr>
          <w:bCs/>
          <w:color w:val="000000" w:themeColor="text1"/>
          <w:szCs w:val="24"/>
          <w:lang w:val="en-US"/>
        </w:rPr>
        <w:fldChar w:fldCharType="separate"/>
      </w:r>
      <w:r w:rsidRPr="002E5DBE">
        <w:rPr>
          <w:bCs/>
          <w:noProof/>
          <w:color w:val="000000" w:themeColor="text1"/>
          <w:szCs w:val="24"/>
          <w:lang w:val="en-US"/>
        </w:rPr>
        <w:t>(Schwartz et al., 2008)</w:t>
      </w:r>
      <w:r w:rsidRPr="002E5DBE">
        <w:rPr>
          <w:bCs/>
          <w:color w:val="000000" w:themeColor="text1"/>
          <w:szCs w:val="24"/>
          <w:lang w:val="en-US"/>
        </w:rPr>
        <w:fldChar w:fldCharType="end"/>
      </w:r>
      <w:r w:rsidRPr="002E5DBE">
        <w:rPr>
          <w:bCs/>
          <w:color w:val="000000" w:themeColor="text1"/>
          <w:szCs w:val="24"/>
          <w:lang w:val="en-US"/>
        </w:rPr>
        <w:t xml:space="preserve">, and this diagnosis may explain the higher prevalence of ADHD in patients with obesity </w:t>
      </w:r>
      <w:r w:rsidRPr="002E5DBE">
        <w:rPr>
          <w:bCs/>
          <w:color w:val="000000" w:themeColor="text1"/>
          <w:szCs w:val="24"/>
        </w:rPr>
        <w:fldChar w:fldCharType="begin"/>
      </w:r>
      <w:r w:rsidRPr="002E5DBE">
        <w:rPr>
          <w:bCs/>
          <w:color w:val="000000" w:themeColor="text1"/>
          <w:szCs w:val="24"/>
          <w:lang w:val="en-US"/>
        </w:rPr>
        <w:instrText xml:space="preserve"> ADDIN ZOTERO_ITEM CSL_CITATION {"citationID":"oXwRjLDC","properties":{"formattedCitation":"(Han\\uc0\\u263{} &amp; Cortese, 2018)","plainCitation":"(Hanć &amp; Cortese, 2018)","noteIndex":0},"citationItems":[{"id":5793,"uris":["http://zotero.org/users/158295/items/E9VMAE2D"],"uri":["http://zotero.org/users/158295/items/E9VMAE2D"],"itemData":{"id":5793,"type":"article-journal","title":"Attention deficit/hyperactivity-disorder and obesity: A review and model of current hypotheses explaining their comorbidity","container-title":"Neuroscience &amp; Biobehavioral Reviews","page":"16-28","volume":"92","source":"ScienceDirect","abstract":"Available meta-analyses point to a significant association between attention-deficit/hyperactivity disorder (ADHD) and obesity. The possible mechanisms underlying this relationship are unclear. Here, we overview the studies aimed at identifying the factors contributing to the comorbidity between ADHD and obesity, including genetic factors, fetal programming, executive dysfunctions, psychosocial stress, factors directly related to energy balance, and sleep patterns alterations. The bulk of current research has focused on reduced physical activity and abnormal eating patterns as possible causes of weight gain in individuals with ADHD. Further research is needed to explore the specific role of executive dysfunctions. None of the available published studies have evaluated physiological mechanisms such as hormonal and metabolic disorders or inappropriate neurobiological regulation of appetite. Research exploring the genetic basis for the coexistence of ADHD and obesity and epigenetic mechanisms, with particular emphasis on stress, both pre- and postnatal, seems particularly promising. Here, we propose a biopsychosocial model to integrate current findings and move the field forward to gain insight into the ADHD-obesity relationship.","DOI":"10.1016/j.neubiorev.2018.05.017","ISSN":"0149-7634","shortTitle":"Attention deficit/hyperactivity-disorder and obesity","journalAbbreviation":"Neuroscience &amp; Biobehavioral Reviews","author":[{"family":"Hanć","given":"Tomasz"},{"family":"Cortese","given":"Samuele"}],"issued":{"date-parts":[["2018",9,1]]}}}],"schema":"https://github.com/citation-style-language/schema/raw/master/csl-citation.json"} </w:instrText>
      </w:r>
      <w:r w:rsidRPr="002E5DBE">
        <w:rPr>
          <w:bCs/>
          <w:color w:val="000000" w:themeColor="text1"/>
          <w:szCs w:val="24"/>
        </w:rPr>
        <w:fldChar w:fldCharType="separate"/>
      </w:r>
      <w:r w:rsidRPr="002E5DBE">
        <w:rPr>
          <w:color w:val="000000" w:themeColor="text1"/>
          <w:lang w:val="en-US"/>
        </w:rPr>
        <w:t>(Hanć &amp; Cortese, 2018)</w:t>
      </w:r>
      <w:r w:rsidRPr="002E5DBE">
        <w:rPr>
          <w:bCs/>
          <w:color w:val="000000" w:themeColor="text1"/>
          <w:szCs w:val="24"/>
        </w:rPr>
        <w:fldChar w:fldCharType="end"/>
      </w:r>
      <w:r w:rsidRPr="002E5DBE">
        <w:rPr>
          <w:bCs/>
          <w:color w:val="000000" w:themeColor="text1"/>
          <w:szCs w:val="24"/>
          <w:lang w:val="en-US"/>
        </w:rPr>
        <w:t xml:space="preserve">. It was indeed proposed that obesity and the factors associated with it (e.g., sleep apnea syndrome and deficits in arousal/alertness) may manifest as ADHD-like symptoms </w:t>
      </w:r>
      <w:r w:rsidRPr="002E5DBE">
        <w:rPr>
          <w:bCs/>
          <w:color w:val="000000" w:themeColor="text1"/>
          <w:szCs w:val="24"/>
          <w:lang w:val="en-US"/>
        </w:rPr>
        <w:fldChar w:fldCharType="begin"/>
      </w:r>
      <w:r w:rsidRPr="002E5DBE">
        <w:rPr>
          <w:bCs/>
          <w:color w:val="000000" w:themeColor="text1"/>
          <w:szCs w:val="24"/>
          <w:lang w:val="en-US"/>
        </w:rPr>
        <w:instrText xml:space="preserve"> ADDIN ZOTERO_ITEM CSL_CITATION {"citationID":"PsyQKfh1","properties":{"formattedCitation":"(Cortese &amp; Vincenzi, 2012)","plainCitation":"(Cortese &amp; Vincenzi, 2012)","noteIndex":0},"citationItems":[{"id":3783,"uris":["http://zotero.org/groups/148846/items/ERZKXMJC"],"uri":["http://zotero.org/groups/148846/items/ERZKXMJC"],"itemData":{"id":3783,"type":"article-journal","title":"Obesity and ADHD: Clinical and Neurobiological Implications","container-title":"Current topics in behavioral neurosciences","page":"199-218","volume":"9","source":"NCBI PubMed","abstract":"Although quite overlooked, increasing evidence points to a significant association between attention-deficit/hyperactivity disorder (ADHD) and obesity. Here, we present an updated systematic review and a critical discussion of studies on the relationship between ADHD and obesity, with a particular emphasis on the possible behavioral, neurobiological, and genetics underlying mechanisms. Available empirically based studies indicate that the prevalence of ADHD in clinical samples of patients seeking treatment for their obesity is higher than that in the general population. Moreover, although still limited, current evidence shows that individuals with ADHD have higher-than-average body mass index z-scores and/or significantly higher obesity rates compared with subjects without ADHD. Three mechanisms underlying the association between ADHD and obesity have been proposed: (1) obesity and/or factors associated with it (such as sleep-disordered breathing and deficits in arousal/alertness) manifest as ADHD-like symptoms; (2) ADHD and obesity share common genetics and neurobiological dysfunctions, involving the dopaminergic and, possibly, other systems (e.g., brain-derived neurotropic factor, melanocortin-4-receptor); and (3) impulsivity and inattention of ADHD contribute to weight gain via dysregulated eating patterns. With regards to the possible clinical implications, we suggest that it is noteworthy to screen for ADHD in patients with obesity and to look for abnormal eating behaviors as possible contributing factors of obesity in patients with ADHD. If further studies confirm a causal relationship between ADHD and obesity, appropriate treatment of ADHD may improve eating patterns and, as a consequence, weight status of individuals with both obesity and ADHD.","DOI":"10.1007/7854_2011_154","ISSN":"1866-3370","note":"PMID: 21845534","shortTitle":"Obesity and ADHD","journalAbbreviation":"Curr Top Behav Neurosci","author":[{"family":"Cortese","given":"Samuele"},{"family":"Vincenzi","given":"Brenda"}],"issued":{"date-parts":[["2012"]]}}}],"schema":"https://github.com/citation-style-language/schema/raw/master/csl-citation.json"} </w:instrText>
      </w:r>
      <w:r w:rsidRPr="002E5DBE">
        <w:rPr>
          <w:bCs/>
          <w:color w:val="000000" w:themeColor="text1"/>
          <w:szCs w:val="24"/>
          <w:lang w:val="en-US"/>
        </w:rPr>
        <w:fldChar w:fldCharType="separate"/>
      </w:r>
      <w:r w:rsidRPr="002E5DBE">
        <w:rPr>
          <w:bCs/>
          <w:noProof/>
          <w:color w:val="000000" w:themeColor="text1"/>
          <w:szCs w:val="24"/>
          <w:lang w:val="en-US"/>
        </w:rPr>
        <w:t>(Cortese &amp; Vincenzi, 2012)</w:t>
      </w:r>
      <w:r w:rsidRPr="002E5DBE">
        <w:rPr>
          <w:bCs/>
          <w:color w:val="000000" w:themeColor="text1"/>
          <w:szCs w:val="24"/>
          <w:lang w:val="en-US"/>
        </w:rPr>
        <w:fldChar w:fldCharType="end"/>
      </w:r>
      <w:r w:rsidRPr="002E5DBE">
        <w:rPr>
          <w:bCs/>
          <w:color w:val="000000" w:themeColor="text1"/>
          <w:szCs w:val="24"/>
          <w:lang w:val="en-US"/>
        </w:rPr>
        <w:t xml:space="preserve">: patients with sleep apnea syndrome may screen positive for ADHD symptoms, and sleep apnea symptoms may be mistakenly attributed to ADHD </w:t>
      </w:r>
      <w:r w:rsidRPr="002E5DBE">
        <w:rPr>
          <w:bCs/>
          <w:color w:val="000000" w:themeColor="text1"/>
          <w:szCs w:val="24"/>
        </w:rPr>
        <w:fldChar w:fldCharType="begin"/>
      </w:r>
      <w:r w:rsidRPr="002E5DBE">
        <w:rPr>
          <w:bCs/>
          <w:color w:val="000000" w:themeColor="text1"/>
          <w:szCs w:val="24"/>
          <w:lang w:val="en-US"/>
        </w:rPr>
        <w:instrText xml:space="preserve"> ADDIN ZOTERO_ITEM CSL_CITATION {"citationID":"XQHk3pDa","properties":{"formattedCitation":"(Han\\uc0\\u263{} &amp; Cortese, 2018)","plainCitation":"(Hanć &amp; Cortese, 2018)","noteIndex":0},"citationItems":[{"id":5793,"uris":["http://zotero.org/users/158295/items/E9VMAE2D"],"uri":["http://zotero.org/users/158295/items/E9VMAE2D"],"itemData":{"id":5793,"type":"article-journal","title":"Attention deficit/hyperactivity-disorder and obesity: A review and model of current hypotheses explaining their comorbidity","container-title":"Neuroscience &amp; Biobehavioral Reviews","page":"16-28","volume":"92","source":"ScienceDirect","abstract":"Available meta-analyses point to a significant association between attention-deficit/hyperactivity disorder (ADHD) and obesity. The possible mechanisms underlying this relationship are unclear. Here, we overview the studies aimed at identifying the factors contributing to the comorbidity between ADHD and obesity, including genetic factors, fetal programming, executive dysfunctions, psychosocial stress, factors directly related to energy balance, and sleep patterns alterations. The bulk of current research has focused on reduced physical activity and abnormal eating patterns as possible causes of weight gain in individuals with ADHD. Further research is needed to explore the specific role of executive dysfunctions. None of the available published studies have evaluated physiological mechanisms such as hormonal and metabolic disorders or inappropriate neurobiological regulation of appetite. Research exploring the genetic basis for the coexistence of ADHD and obesity and epigenetic mechanisms, with particular emphasis on stress, both pre- and postnatal, seems particularly promising. Here, we propose a biopsychosocial model to integrate current findings and move the field forward to gain insight into the ADHD-obesity relationship.","DOI":"10.1016/j.neubiorev.2018.05.017","ISSN":"0149-7634","shortTitle":"Attention deficit/hyperactivity-disorder and obesity","journalAbbreviation":"Neuroscience &amp; Biobehavioral Reviews","author":[{"family":"Hanć","given":"Tomasz"},{"family":"Cortese","given":"Samuele"}],"issued":{"date-parts":[["2018",9,1]]}}}],"schema":"https://github.com/citation-style-language/schema/raw/master/csl-citation.json"} </w:instrText>
      </w:r>
      <w:r w:rsidRPr="002E5DBE">
        <w:rPr>
          <w:bCs/>
          <w:color w:val="000000" w:themeColor="text1"/>
          <w:szCs w:val="24"/>
        </w:rPr>
        <w:fldChar w:fldCharType="separate"/>
      </w:r>
      <w:r w:rsidRPr="002E5DBE">
        <w:rPr>
          <w:color w:val="000000" w:themeColor="text1"/>
          <w:lang w:val="en-US"/>
        </w:rPr>
        <w:t>(Hanć &amp; Cortese, 2018)</w:t>
      </w:r>
      <w:r w:rsidRPr="002E5DBE">
        <w:rPr>
          <w:bCs/>
          <w:color w:val="000000" w:themeColor="text1"/>
          <w:szCs w:val="24"/>
        </w:rPr>
        <w:fldChar w:fldCharType="end"/>
      </w:r>
      <w:r w:rsidRPr="002E5DBE">
        <w:rPr>
          <w:bCs/>
          <w:color w:val="000000" w:themeColor="text1"/>
          <w:szCs w:val="24"/>
          <w:lang w:val="en-US"/>
        </w:rPr>
        <w:t>.  To our knowledge, no study tested this hypothesis in patients with obesity.</w:t>
      </w:r>
    </w:p>
    <w:p w:rsidR="00D13D04" w:rsidRPr="002E5DBE" w:rsidRDefault="00D13D04" w:rsidP="00D13D04">
      <w:pPr>
        <w:autoSpaceDE w:val="0"/>
        <w:autoSpaceDN w:val="0"/>
        <w:adjustRightInd w:val="0"/>
        <w:spacing w:line="480" w:lineRule="auto"/>
        <w:rPr>
          <w:bCs/>
          <w:color w:val="000000" w:themeColor="text1"/>
          <w:szCs w:val="24"/>
          <w:lang w:val="en-US"/>
        </w:rPr>
      </w:pPr>
      <w:r w:rsidRPr="002E5DBE">
        <w:rPr>
          <w:bCs/>
          <w:color w:val="000000" w:themeColor="text1"/>
          <w:szCs w:val="24"/>
          <w:lang w:val="en-US"/>
        </w:rPr>
        <w:tab/>
        <w:t xml:space="preserve">To fill these gaps, </w:t>
      </w:r>
      <w:r w:rsidRPr="002E5DBE">
        <w:rPr>
          <w:color w:val="000000" w:themeColor="text1"/>
          <w:szCs w:val="24"/>
          <w:lang w:val="en-GB"/>
        </w:rPr>
        <w:t xml:space="preserve">we compared the prevalence for self-reported food addiction between patients with versus without adult ADHD diagnosis in a sample of adults patients with obesity. We hypothesized that obese patients with adult ADHD would have a significantly higher prevalence rate for self-reported food addiction than obese patients without adult ADHD. Our secondary objectives were: (1) to assess whether ADHD diagnosis was significantly related to sleep apnea syndrome; (2) to determine the associations between </w:t>
      </w:r>
      <w:r w:rsidRPr="002E5DBE">
        <w:rPr>
          <w:i/>
          <w:color w:val="000000" w:themeColor="text1"/>
          <w:szCs w:val="24"/>
          <w:lang w:val="en-GB"/>
        </w:rPr>
        <w:t>childhood</w:t>
      </w:r>
      <w:r w:rsidRPr="002E5DBE">
        <w:rPr>
          <w:color w:val="000000" w:themeColor="text1"/>
          <w:szCs w:val="24"/>
          <w:lang w:val="en-GB"/>
        </w:rPr>
        <w:t xml:space="preserve"> ADHD, </w:t>
      </w:r>
      <w:r w:rsidRPr="002E5DBE">
        <w:rPr>
          <w:i/>
          <w:color w:val="000000" w:themeColor="text1"/>
          <w:szCs w:val="24"/>
          <w:lang w:val="en-GB"/>
        </w:rPr>
        <w:t xml:space="preserve">adult </w:t>
      </w:r>
      <w:r w:rsidRPr="002E5DBE">
        <w:rPr>
          <w:color w:val="000000" w:themeColor="text1"/>
          <w:szCs w:val="24"/>
          <w:lang w:val="en-GB"/>
        </w:rPr>
        <w:t xml:space="preserve">ADHD and food addiction; (3) to compare binge eating score, food addiction score and ADHD diagnosis. We hypothesized that: (1) </w:t>
      </w:r>
      <w:r w:rsidRPr="002E5DBE">
        <w:rPr>
          <w:bCs/>
          <w:color w:val="000000" w:themeColor="text1"/>
          <w:szCs w:val="24"/>
          <w:lang w:val="en-US"/>
        </w:rPr>
        <w:t xml:space="preserve">adult ADHD would not be significantly related to sleep apnea syndrome, because we hypothesized that ADHD inattentive symptoms and sleep apnea symptoms are two different diseases; </w:t>
      </w:r>
      <w:r w:rsidRPr="002E5DBE">
        <w:rPr>
          <w:color w:val="000000" w:themeColor="text1"/>
          <w:szCs w:val="24"/>
          <w:lang w:val="en-GB"/>
        </w:rPr>
        <w:t>(2) ADHD status would be associated with both childhood and adult ADHD, with a larger effect size for adult than childhood ADHD</w:t>
      </w:r>
      <w:r w:rsidRPr="002E5DBE">
        <w:rPr>
          <w:color w:val="000000" w:themeColor="text1"/>
          <w:szCs w:val="24"/>
          <w:lang w:val="en-US"/>
        </w:rPr>
        <w:t>, because we assumed that remission of ADHD symptoms would lead to improved eating behavior</w:t>
      </w:r>
      <w:r w:rsidRPr="002E5DBE">
        <w:rPr>
          <w:color w:val="000000" w:themeColor="text1"/>
          <w:szCs w:val="24"/>
          <w:lang w:val="en-GB"/>
        </w:rPr>
        <w:t xml:space="preserve">; (3) adult ADHD </w:t>
      </w:r>
      <w:r w:rsidRPr="002E5DBE">
        <w:rPr>
          <w:color w:val="000000" w:themeColor="text1"/>
          <w:szCs w:val="24"/>
          <w:lang w:val="en-GB"/>
        </w:rPr>
        <w:lastRenderedPageBreak/>
        <w:t>would be associated with both binge eating and food addiction scores, with a larger effect size for food addiction than binge eating</w:t>
      </w:r>
      <w:r w:rsidRPr="002E5DBE">
        <w:rPr>
          <w:color w:val="000000" w:themeColor="text1"/>
          <w:szCs w:val="24"/>
          <w:lang w:val="en-US"/>
        </w:rPr>
        <w:t xml:space="preserve">, because we assume here that the “food addiction” phenotype </w:t>
      </w:r>
      <w:r w:rsidRPr="002E5DBE">
        <w:rPr>
          <w:color w:val="000000" w:themeColor="text1"/>
          <w:szCs w:val="24"/>
          <w:lang w:val="en-GB"/>
        </w:rPr>
        <w:t xml:space="preserve">may </w:t>
      </w:r>
      <w:r w:rsidRPr="002E5DBE">
        <w:rPr>
          <w:bCs/>
          <w:color w:val="000000" w:themeColor="text1"/>
          <w:szCs w:val="24"/>
          <w:lang w:val="en-US"/>
        </w:rPr>
        <w:t>identify a different, potentially more homogeneous, population of patients at-risk for obesity (i.e., binge eating symptoms rely on a certain amount of food eaten, while food addiction symptoms rely on loss of control and maintenance of a behavior despite adverse consequences)</w:t>
      </w:r>
      <w:r w:rsidRPr="002E5DBE">
        <w:rPr>
          <w:color w:val="000000" w:themeColor="text1"/>
          <w:szCs w:val="24"/>
          <w:lang w:val="en-GB"/>
        </w:rPr>
        <w:t>.</w:t>
      </w:r>
    </w:p>
    <w:p w:rsidR="00D13D04" w:rsidRPr="002E5DBE" w:rsidRDefault="00D13D04" w:rsidP="00D13D04">
      <w:pPr>
        <w:autoSpaceDE w:val="0"/>
        <w:autoSpaceDN w:val="0"/>
        <w:adjustRightInd w:val="0"/>
        <w:spacing w:line="480" w:lineRule="auto"/>
        <w:rPr>
          <w:color w:val="000000" w:themeColor="text1"/>
          <w:szCs w:val="24"/>
          <w:lang w:val="en-US"/>
        </w:rPr>
      </w:pPr>
    </w:p>
    <w:p w:rsidR="00D13D04" w:rsidRPr="002E5DBE" w:rsidRDefault="00D13D04" w:rsidP="00D13D04">
      <w:pPr>
        <w:autoSpaceDE w:val="0"/>
        <w:autoSpaceDN w:val="0"/>
        <w:adjustRightInd w:val="0"/>
        <w:spacing w:line="480" w:lineRule="auto"/>
        <w:rPr>
          <w:color w:val="000000" w:themeColor="text1"/>
          <w:szCs w:val="24"/>
          <w:lang w:val="en-US"/>
        </w:rPr>
      </w:pPr>
    </w:p>
    <w:p w:rsidR="00D13D04" w:rsidRPr="002E5DBE" w:rsidRDefault="00D13D04" w:rsidP="00D13D04">
      <w:pPr>
        <w:pStyle w:val="ListParagraph"/>
        <w:numPr>
          <w:ilvl w:val="0"/>
          <w:numId w:val="41"/>
        </w:numPr>
        <w:autoSpaceDE w:val="0"/>
        <w:autoSpaceDN w:val="0"/>
        <w:adjustRightInd w:val="0"/>
        <w:spacing w:line="480" w:lineRule="auto"/>
        <w:ind w:left="0" w:firstLine="0"/>
        <w:rPr>
          <w:b/>
          <w:bCs/>
          <w:color w:val="000000" w:themeColor="text1"/>
          <w:szCs w:val="24"/>
          <w:lang w:val="en-US"/>
        </w:rPr>
      </w:pPr>
      <w:r w:rsidRPr="002E5DBE">
        <w:rPr>
          <w:b/>
          <w:bCs/>
          <w:color w:val="000000" w:themeColor="text1"/>
          <w:szCs w:val="24"/>
          <w:lang w:val="en-US"/>
        </w:rPr>
        <w:t>Method</w:t>
      </w:r>
    </w:p>
    <w:p w:rsidR="00D13D04" w:rsidRPr="002E5DBE" w:rsidRDefault="00D13D04" w:rsidP="00D13D04">
      <w:pPr>
        <w:spacing w:line="480" w:lineRule="auto"/>
        <w:rPr>
          <w:iCs/>
          <w:color w:val="000000" w:themeColor="text1"/>
          <w:szCs w:val="24"/>
          <w:lang w:val="en-GB"/>
        </w:rPr>
      </w:pPr>
    </w:p>
    <w:p w:rsidR="00D13D04" w:rsidRPr="002E5DBE" w:rsidRDefault="00D13D04" w:rsidP="00D13D04">
      <w:pPr>
        <w:spacing w:line="480" w:lineRule="auto"/>
        <w:rPr>
          <w:b/>
          <w:bCs/>
          <w:color w:val="000000" w:themeColor="text1"/>
          <w:szCs w:val="24"/>
          <w:lang w:val="en-US"/>
        </w:rPr>
      </w:pPr>
      <w:r w:rsidRPr="002E5DBE">
        <w:rPr>
          <w:iCs/>
          <w:color w:val="000000" w:themeColor="text1"/>
          <w:szCs w:val="24"/>
          <w:lang w:val="en-GB"/>
        </w:rPr>
        <w:t>This protocol, which was specifically designed for this data collection, was approved by the Institutional Review Board of the University Hospital of Tours, France (IRB number: 2013-A00560-45). The research was conducted in accordance with the Helsinki Declaration as revised in 1989. All participants provided written informed consent after the procedure had been fully explained and prior to their inclusion in the study.</w:t>
      </w:r>
    </w:p>
    <w:p w:rsidR="00D13D04" w:rsidRPr="002E5DBE" w:rsidRDefault="00D13D04" w:rsidP="00D13D04">
      <w:pPr>
        <w:pStyle w:val="ListParagraph"/>
        <w:autoSpaceDE w:val="0"/>
        <w:autoSpaceDN w:val="0"/>
        <w:adjustRightInd w:val="0"/>
        <w:spacing w:line="480" w:lineRule="auto"/>
        <w:ind w:left="0"/>
        <w:rPr>
          <w:b/>
          <w:bCs/>
          <w:color w:val="000000" w:themeColor="text1"/>
          <w:szCs w:val="24"/>
          <w:lang w:val="en-US"/>
        </w:rPr>
      </w:pPr>
    </w:p>
    <w:p w:rsidR="00D13D04" w:rsidRPr="002E5DBE" w:rsidRDefault="00D13D04" w:rsidP="00D13D04">
      <w:pPr>
        <w:pStyle w:val="ListParagraph"/>
        <w:numPr>
          <w:ilvl w:val="1"/>
          <w:numId w:val="41"/>
        </w:numPr>
        <w:spacing w:line="480" w:lineRule="auto"/>
        <w:ind w:left="0" w:firstLine="0"/>
        <w:rPr>
          <w:bCs/>
          <w:i/>
          <w:color w:val="000000" w:themeColor="text1"/>
          <w:szCs w:val="24"/>
          <w:lang w:val="en-US"/>
        </w:rPr>
      </w:pPr>
      <w:r w:rsidRPr="002E5DBE">
        <w:rPr>
          <w:bCs/>
          <w:i/>
          <w:color w:val="000000" w:themeColor="text1"/>
          <w:szCs w:val="24"/>
          <w:lang w:val="en-US"/>
        </w:rPr>
        <w:t>Participants and procedure</w:t>
      </w:r>
    </w:p>
    <w:p w:rsidR="00D13D04" w:rsidRPr="002E5DBE" w:rsidRDefault="00D13D04" w:rsidP="00D13D04">
      <w:pPr>
        <w:spacing w:line="480" w:lineRule="auto"/>
        <w:rPr>
          <w:bCs/>
          <w:iCs/>
          <w:color w:val="000000" w:themeColor="text1"/>
          <w:szCs w:val="24"/>
          <w:lang w:val="en-GB"/>
        </w:rPr>
      </w:pPr>
      <w:r w:rsidRPr="002E5DBE">
        <w:rPr>
          <w:color w:val="000000" w:themeColor="text1"/>
          <w:szCs w:val="24"/>
          <w:lang w:val="en-US"/>
        </w:rPr>
        <w:t>This cross-sectional study included all consecutively referred adult patients with severe obesity (body mass index ≥ 35 kg/m</w:t>
      </w:r>
      <w:r w:rsidRPr="002E5DBE">
        <w:rPr>
          <w:color w:val="000000" w:themeColor="text1"/>
          <w:szCs w:val="24"/>
          <w:vertAlign w:val="superscript"/>
          <w:lang w:val="en-US"/>
        </w:rPr>
        <w:t>2</w:t>
      </w:r>
      <w:r w:rsidRPr="002E5DBE">
        <w:rPr>
          <w:color w:val="000000" w:themeColor="text1"/>
          <w:szCs w:val="24"/>
          <w:lang w:val="en-US"/>
        </w:rPr>
        <w:t xml:space="preserve">) seen between January and December 2014 within the Nutrition Department of the University Hospital of Tours, France. Exclusion criteria was: obesity due to an endocrinal disease (e.g., polycystic ovarian syndrome). </w:t>
      </w:r>
      <w:r w:rsidRPr="002E5DBE">
        <w:rPr>
          <w:color w:val="000000" w:themeColor="text1"/>
          <w:szCs w:val="24"/>
          <w:lang w:val="en-GB"/>
        </w:rPr>
        <w:t>The study procedure included two phases: (1) all eligible participants received a postal mail inviting to participate in the study completing self-administered questionnaires, including the Yale Food Addiction Scale 2.0</w:t>
      </w:r>
      <w:r w:rsidRPr="002E5DBE">
        <w:rPr>
          <w:bCs/>
          <w:iCs/>
          <w:color w:val="000000" w:themeColor="text1"/>
          <w:szCs w:val="24"/>
          <w:lang w:val="en-GB"/>
        </w:rPr>
        <w:t xml:space="preserve"> </w:t>
      </w:r>
      <w:r w:rsidRPr="002E5DBE">
        <w:rPr>
          <w:color w:val="000000" w:themeColor="text1"/>
          <w:szCs w:val="24"/>
          <w:lang w:val="en-GB"/>
        </w:rPr>
        <w:t xml:space="preserve">and the Binge Eating Scale); (2) all patients who fully completed the self-administered questionnaires of the first study phase were invited to participate to a consultation with a </w:t>
      </w:r>
      <w:r w:rsidRPr="002E5DBE">
        <w:rPr>
          <w:color w:val="000000" w:themeColor="text1"/>
          <w:szCs w:val="24"/>
          <w:lang w:val="en-GB"/>
        </w:rPr>
        <w:lastRenderedPageBreak/>
        <w:t xml:space="preserve">psychiatrist that aimed to diagnose ADHD with a semi-structured interview (one systematic recall if no answer after three days). </w:t>
      </w:r>
      <w:r w:rsidRPr="002E5DBE">
        <w:rPr>
          <w:bCs/>
          <w:iCs/>
          <w:color w:val="000000" w:themeColor="text1"/>
          <w:szCs w:val="24"/>
          <w:lang w:val="en-GB"/>
        </w:rPr>
        <w:t>The psychiatric assessments were conducted by psychiatrists trained in the DIVA 2.0 and ADHD assessments: JF, PM and PB.</w:t>
      </w:r>
    </w:p>
    <w:p w:rsidR="00D13D04" w:rsidRPr="002E5DBE" w:rsidRDefault="00D13D04" w:rsidP="00D13D04">
      <w:pPr>
        <w:spacing w:line="480" w:lineRule="auto"/>
        <w:rPr>
          <w:bCs/>
          <w:color w:val="000000" w:themeColor="text1"/>
          <w:szCs w:val="24"/>
          <w:lang w:val="en-US"/>
        </w:rPr>
      </w:pPr>
      <w:r w:rsidRPr="002E5DBE">
        <w:rPr>
          <w:bCs/>
          <w:iCs/>
          <w:color w:val="000000" w:themeColor="text1"/>
          <w:szCs w:val="24"/>
          <w:lang w:val="en-GB"/>
        </w:rPr>
        <w:t xml:space="preserve"> </w:t>
      </w:r>
    </w:p>
    <w:p w:rsidR="00D13D04" w:rsidRPr="002E5DBE" w:rsidRDefault="00D13D04" w:rsidP="00D13D04">
      <w:pPr>
        <w:pStyle w:val="ListParagraph"/>
        <w:numPr>
          <w:ilvl w:val="1"/>
          <w:numId w:val="41"/>
        </w:numPr>
        <w:spacing w:line="480" w:lineRule="auto"/>
        <w:rPr>
          <w:bCs/>
          <w:i/>
          <w:color w:val="000000" w:themeColor="text1"/>
          <w:szCs w:val="24"/>
          <w:lang w:val="en-US"/>
        </w:rPr>
      </w:pPr>
      <w:r w:rsidRPr="002E5DBE">
        <w:rPr>
          <w:bCs/>
          <w:i/>
          <w:color w:val="000000" w:themeColor="text1"/>
          <w:szCs w:val="24"/>
          <w:lang w:val="en-US"/>
        </w:rPr>
        <w:t>Measures</w:t>
      </w:r>
    </w:p>
    <w:p w:rsidR="00D13D04" w:rsidRPr="002E5DBE" w:rsidRDefault="00D13D04" w:rsidP="00D13D04">
      <w:pPr>
        <w:pStyle w:val="ListParagraph"/>
        <w:numPr>
          <w:ilvl w:val="2"/>
          <w:numId w:val="41"/>
        </w:numPr>
        <w:spacing w:line="480" w:lineRule="auto"/>
        <w:rPr>
          <w:bCs/>
          <w:color w:val="000000" w:themeColor="text1"/>
          <w:szCs w:val="24"/>
          <w:lang w:val="en-GB"/>
        </w:rPr>
      </w:pPr>
      <w:r w:rsidRPr="002E5DBE">
        <w:rPr>
          <w:bCs/>
          <w:color w:val="000000" w:themeColor="text1"/>
          <w:szCs w:val="24"/>
          <w:lang w:val="en-GB"/>
        </w:rPr>
        <w:t>Socio-demographics and medical characteristics</w:t>
      </w:r>
    </w:p>
    <w:p w:rsidR="00D13D04" w:rsidRPr="002E5DBE" w:rsidRDefault="00D13D04" w:rsidP="00D13D04">
      <w:pPr>
        <w:spacing w:line="480" w:lineRule="auto"/>
        <w:rPr>
          <w:color w:val="000000" w:themeColor="text1"/>
          <w:szCs w:val="24"/>
          <w:lang w:val="en-GB"/>
        </w:rPr>
      </w:pPr>
      <w:r w:rsidRPr="002E5DBE">
        <w:rPr>
          <w:color w:val="000000" w:themeColor="text1"/>
          <w:szCs w:val="24"/>
          <w:lang w:val="en-GB"/>
        </w:rPr>
        <w:t xml:space="preserve">We collected data on demographics (age, gender), current body-mass index (BMI), previous maximal BMI, age of onset of obesity, duration of obesity, and history of previous bariatric surgery based on medical records. BMI was measured using a weighing scale suitable for patients with obesity. We also assessed the presence of a sleep apnea syndrome based on the clinical diagnosis of a physician expert in obstructive sleep apnea syndrome (systematic consultation for all patients). Obstructive sleep apnea syndrome is a common disorder characterized by repetitive episodes of nocturnal breathing cessation due to upper airway collapse; it causes severe symptoms such as excessive daytime somnolence, morning headaches, irritability, memory loss or decreased libido </w:t>
      </w:r>
      <w:r w:rsidRPr="002E5DBE">
        <w:rPr>
          <w:color w:val="000000" w:themeColor="text1"/>
          <w:szCs w:val="24"/>
        </w:rPr>
        <w:fldChar w:fldCharType="begin"/>
      </w:r>
      <w:r w:rsidRPr="002E5DBE">
        <w:rPr>
          <w:color w:val="000000" w:themeColor="text1"/>
          <w:lang w:val="en-US"/>
        </w:rPr>
        <w:instrText xml:space="preserve"> ADDIN ZOTERO_ITEM CSL_CITATION {"citationID":"mZMeOBtj","properties":{"formattedCitation":"(Spicuzza, Caruso, &amp; Di Maria, 2015)","plainCitation":"(Spicuzza, Caruso, &amp; Di Maria, 2015)","noteIndex":0},"citationItems":[{"id":5934,"uris":["http://zotero.org/users/158295/items/IIYIIU6E"],"uri":["http://zotero.org/users/158295/items/IIYIIU6E"],"itemData":{"id":5934,"type":"article-journal","title":"Obstructive sleep apnoea syndrome and its management.","container-title":"Therapeutic advances in chronic disease","page":"273-285","volume":"6","issue":"5","source":"Google Scholar","shortTitle":"Ther Adv Chronic Dis","author":[{"family":"Spicuzza","given":"L."},{"family":"Caruso","given":"D."},{"family":"Di Maria","given":"G."}],"issued":{"date-parts":[["2015"]]}}}],"schema":"https://github.com/citation-style-language/schema/raw/master/csl-citation.json"} </w:instrText>
      </w:r>
      <w:r w:rsidRPr="002E5DBE">
        <w:rPr>
          <w:color w:val="000000" w:themeColor="text1"/>
          <w:szCs w:val="24"/>
        </w:rPr>
        <w:fldChar w:fldCharType="separate"/>
      </w:r>
      <w:r w:rsidRPr="002E5DBE">
        <w:rPr>
          <w:noProof/>
          <w:color w:val="000000" w:themeColor="text1"/>
          <w:szCs w:val="24"/>
          <w:lang w:val="en-US"/>
        </w:rPr>
        <w:t>(Spicuzza, Caruso, &amp; Di Maria, 2015)</w:t>
      </w:r>
      <w:r w:rsidRPr="002E5DBE">
        <w:rPr>
          <w:color w:val="000000" w:themeColor="text1"/>
          <w:szCs w:val="24"/>
        </w:rPr>
        <w:fldChar w:fldCharType="end"/>
      </w:r>
      <w:r w:rsidRPr="002E5DBE">
        <w:rPr>
          <w:color w:val="000000" w:themeColor="text1"/>
          <w:szCs w:val="24"/>
          <w:lang w:val="en-GB"/>
        </w:rPr>
        <w:t xml:space="preserve">. </w:t>
      </w:r>
    </w:p>
    <w:p w:rsidR="00D13D04" w:rsidRPr="002E5DBE" w:rsidRDefault="00D13D04" w:rsidP="00D13D04">
      <w:pPr>
        <w:spacing w:line="480" w:lineRule="auto"/>
        <w:rPr>
          <w:color w:val="000000" w:themeColor="text1"/>
          <w:szCs w:val="24"/>
          <w:lang w:val="en-GB"/>
        </w:rPr>
      </w:pPr>
    </w:p>
    <w:p w:rsidR="00D13D04" w:rsidRPr="002E5DBE" w:rsidRDefault="00D13D04" w:rsidP="00D13D04">
      <w:pPr>
        <w:pStyle w:val="ListParagraph"/>
        <w:numPr>
          <w:ilvl w:val="2"/>
          <w:numId w:val="41"/>
        </w:numPr>
        <w:spacing w:line="480" w:lineRule="auto"/>
        <w:rPr>
          <w:color w:val="000000" w:themeColor="text1"/>
          <w:szCs w:val="24"/>
          <w:lang w:val="en-GB"/>
        </w:rPr>
      </w:pPr>
      <w:r w:rsidRPr="002E5DBE">
        <w:rPr>
          <w:color w:val="000000" w:themeColor="text1"/>
          <w:szCs w:val="24"/>
          <w:lang w:val="en-GB"/>
        </w:rPr>
        <w:t>Attention-deficit/hyperactivity disorder diagnosis</w:t>
      </w:r>
    </w:p>
    <w:p w:rsidR="00D13D04" w:rsidRPr="002E5DBE" w:rsidRDefault="00D13D04" w:rsidP="00D13D04">
      <w:pPr>
        <w:spacing w:line="480" w:lineRule="auto"/>
        <w:rPr>
          <w:bCs/>
          <w:iCs/>
          <w:color w:val="000000" w:themeColor="text1"/>
          <w:szCs w:val="24"/>
          <w:lang w:val="en-GB"/>
        </w:rPr>
      </w:pPr>
      <w:r w:rsidRPr="002E5DBE">
        <w:rPr>
          <w:bCs/>
          <w:iCs/>
          <w:color w:val="000000" w:themeColor="text1"/>
          <w:szCs w:val="24"/>
          <w:lang w:val="en-GB"/>
        </w:rPr>
        <w:tab/>
        <w:t xml:space="preserve">We used the Diagnostic Interview for ADHD in Adults, second edition, (Diagnostische Interview Voor ADHD bij volwassenes, DIVA 2.0). The DIVA 2.0 is a semi-structured diagnostic interview assessing adult ADHD based on the DSM criteria </w:t>
      </w:r>
      <w:r w:rsidRPr="002E5DBE">
        <w:rPr>
          <w:bCs/>
          <w:iCs/>
          <w:color w:val="000000" w:themeColor="text1"/>
          <w:szCs w:val="24"/>
          <w:lang w:val="en-GB"/>
        </w:rPr>
        <w:fldChar w:fldCharType="begin"/>
      </w:r>
      <w:r w:rsidRPr="002E5DBE">
        <w:rPr>
          <w:bCs/>
          <w:iCs/>
          <w:color w:val="000000" w:themeColor="text1"/>
          <w:szCs w:val="24"/>
          <w:lang w:val="en-GB"/>
        </w:rPr>
        <w:instrText xml:space="preserve"> ADDIN ZOTERO_ITEM CSL_CITATION {"citationID":"10alhhd4qo","properties":{"formattedCitation":"(J. J. Kooij &amp; Francken, 2010)","plainCitation":"(J. J. Kooij &amp; Francken, 2010)","noteIndex":0},"citationItems":[{"id":1164,"uris":["http://zotero.org/users/158295/items/FW6MHVQN"],"uri":["http://zotero.org/users/158295/items/FW6MHVQN"],"itemData":{"id":1164,"type":"article-journal","title":"Diagnostic Interview for ADHD in Adults Version 2.0 (DIVA 2.0)[Dutch: Diagnostisch Interview voor ADHD bij volwassenen]","container-title":"DIVA Foundation, The Hague, the Netherlands","source":"Google Scholar","shortTitle":"Diagnostic Interview for ADHD in Adults Version 2.0 (DIVA 2.0)[Dutch","author":[{"family":"Kooij","given":"J. J."},{"family":"Francken","given":"M. H."}],"issued":{"date-parts":[["2010"]]}}}],"schema":"https://github.com/citation-style-language/schema/raw/master/csl-citation.json"} </w:instrText>
      </w:r>
      <w:r w:rsidRPr="002E5DBE">
        <w:rPr>
          <w:bCs/>
          <w:iCs/>
          <w:color w:val="000000" w:themeColor="text1"/>
          <w:szCs w:val="24"/>
          <w:lang w:val="en-GB"/>
        </w:rPr>
        <w:fldChar w:fldCharType="separate"/>
      </w:r>
      <w:r w:rsidRPr="002E5DBE">
        <w:rPr>
          <w:color w:val="000000" w:themeColor="text1"/>
          <w:szCs w:val="24"/>
          <w:lang w:val="en-US"/>
        </w:rPr>
        <w:t>(Kooij &amp; Francken, 2010)</w:t>
      </w:r>
      <w:r w:rsidRPr="002E5DBE">
        <w:rPr>
          <w:bCs/>
          <w:iCs/>
          <w:color w:val="000000" w:themeColor="text1"/>
          <w:szCs w:val="24"/>
          <w:lang w:val="en-GB"/>
        </w:rPr>
        <w:fldChar w:fldCharType="end"/>
      </w:r>
      <w:r w:rsidRPr="002E5DBE">
        <w:rPr>
          <w:bCs/>
          <w:iCs/>
          <w:color w:val="000000" w:themeColor="text1"/>
          <w:szCs w:val="24"/>
          <w:lang w:val="en-GB"/>
        </w:rPr>
        <w:t xml:space="preserve">. It is widely used by health professionals in Europe as well as in clinical research studies </w:t>
      </w:r>
      <w:r w:rsidRPr="002E5DBE">
        <w:rPr>
          <w:bCs/>
          <w:iCs/>
          <w:color w:val="000000" w:themeColor="text1"/>
          <w:szCs w:val="24"/>
          <w:lang w:val="en-GB"/>
        </w:rPr>
        <w:fldChar w:fldCharType="begin"/>
      </w:r>
      <w:r w:rsidRPr="002E5DBE">
        <w:rPr>
          <w:bCs/>
          <w:iCs/>
          <w:color w:val="000000" w:themeColor="text1"/>
          <w:szCs w:val="24"/>
          <w:lang w:val="en-GB"/>
        </w:rPr>
        <w:instrText xml:space="preserve"> ADDIN ZOTERO_ITEM CSL_CITATION {"citationID":"1p8vmnjj1s","properties":{"formattedCitation":"(Michielsen et al., 2012; Semeijn et al., 2013)","plainCitation":"(Michielsen et al., 2012; Semeijn et al., 2013)","noteIndex":0},"citationItems":[{"id":1163,"uris":["http://zotero.org/users/158295/items/QF2AVRAQ"],"uri":["http://zotero.org/users/158295/items/QF2AVRAQ"],"itemData":{"id":1163,"type":"article-journal","title":"Prevalence of attention-deficit hyperactivity disorder in older adults in The Netherlands","container-title":"The British Journal of Psychiatry","page":"298–305","volume":"201","issue":"4","source":"Google Scholar","author":[{"family":"Michielsen","given":"Marieke"},{"family":"Semeijn","given":"Evert"},{"family":"Comijs","given":"Hannie C."},{"family":"Ven","given":"Peter","non-dropping-particle":"van de"},{"family":"Beekman","given":"Aartjan TF"},{"family":"Deeg","given":"Dorly JH"},{"family":"Kooij","given":"JJ Sandra"}],"issued":{"date-parts":[["2012"]]}}},{"id":1162,"uris":["http://zotero.org/users/158295/items/UFVVK92W"],"uri":["http://zotero.org/users/158295/items/UFVVK92W"],"itemData":{"id":1162,"type":"article-journal","title":"Criterion Validity of an Attention Deficit Hyperactivity Disorder (ADHD) Screening List for Screening ADHD in Older Adults Aged 60–94 years","container-title":"The American Journal of Geriatric Psychiatry","page":"631-635","volume":"21","issue":"7","source":"ScienceDirect","abstract":"Objective\nTo identify Attention Deficit Hyperactivity disorder (ADHD) in older adults, a validated screener is needed. This study evaluates the reliability and criterion validity of an ADHD screener for younger adults on its usefulness in a population-based sample of older adults.\nMethods\nData were collected as a side study in the Longitudinal Aging Study Amsterdam. In a two-phase design the validity of the screener was tested against a structured diagnostic interview (DIVA 2.0). In Phase 1, 1,494 respondents (60–94 years) were assessed with the ADHD screener. In Phase 2, 231 respondents participated in the diagnostic interview.\nResults\nInternal consistency (Cronbach's α) and reliability (ICC) of the screener were 0.71 and 0.56, respectively. The area under the curve was 0.82. The optimal cut-point was found at 2 (sensitivity: 0.80; specificity: 0.77; PPV: 0.13; NPV: 0.99).\nConclusion\nDespite its low ICC, the ADHD screener may serve as a useful contribution to measure ADHD in the older population.","DOI":"10.1016/j.jagp.2012.08.003","ISSN":"1064-7481","journalAbbreviation":"The American Journal of Geriatric Psychiatry","author":[{"family":"Semeijn","given":"Evert J."},{"family":"Michielsen","given":"Marieke"},{"family":"Comijs","given":"Hannie C."},{"family":"Deeg","given":"Dorly J. H."},{"family":"Beekman","given":"Aartjan T. F."},{"family":"Kooij","given":"J. J. Sandra"}],"issued":{"date-parts":[["2013",7]]}}}],"schema":"https://github.com/citation-style-language/schema/raw/master/csl-citation.json"} </w:instrText>
      </w:r>
      <w:r w:rsidRPr="002E5DBE">
        <w:rPr>
          <w:bCs/>
          <w:iCs/>
          <w:color w:val="000000" w:themeColor="text1"/>
          <w:szCs w:val="24"/>
          <w:lang w:val="en-GB"/>
        </w:rPr>
        <w:fldChar w:fldCharType="separate"/>
      </w:r>
      <w:r w:rsidRPr="002E5DBE">
        <w:rPr>
          <w:color w:val="000000" w:themeColor="text1"/>
          <w:szCs w:val="24"/>
          <w:lang w:val="en-US"/>
        </w:rPr>
        <w:t>(Michielsen et al., 2012; Semeijn et al., 2013)</w:t>
      </w:r>
      <w:r w:rsidRPr="002E5DBE">
        <w:rPr>
          <w:bCs/>
          <w:iCs/>
          <w:color w:val="000000" w:themeColor="text1"/>
          <w:szCs w:val="24"/>
          <w:lang w:val="en-GB"/>
        </w:rPr>
        <w:fldChar w:fldCharType="end"/>
      </w:r>
      <w:r w:rsidRPr="002E5DBE">
        <w:rPr>
          <w:bCs/>
          <w:iCs/>
          <w:color w:val="000000" w:themeColor="text1"/>
          <w:szCs w:val="24"/>
          <w:lang w:val="en-GB"/>
        </w:rPr>
        <w:t xml:space="preserve">. It consists of two parts: the first assesses the presence of each of the 18 items of the DSM-IV-TR criterion A for ADHD, both in childhood (primary school, before 7 years old (retrospective assessment) and at the current time (assessment at the current time of the interview); the second assesses impairment in five areas </w:t>
      </w:r>
      <w:r w:rsidRPr="002E5DBE">
        <w:rPr>
          <w:bCs/>
          <w:iCs/>
          <w:color w:val="000000" w:themeColor="text1"/>
          <w:szCs w:val="24"/>
          <w:lang w:val="en-GB"/>
        </w:rPr>
        <w:lastRenderedPageBreak/>
        <w:t xml:space="preserve">of functioning (work, education, family, social/relationships and self-confidence) due to ADHD, both in childhood and at the current time. Respondents were identified as ‘cases’ if they met the following criteria, in line with the ADHD DSM-IV-TR criteria: (1) six or more symptoms of inattention and/or six or more symptoms of hyperactivity-impulsivity, present for at least six months prior to assessment; (2) six or more symptoms of inattention and/or six or more symptoms of hyperactivity-impulsivity in childhood (before 7 years old); (3) clinically significant impairment in at least two areas of daily life (work, education, family, social &amp; relationships, self-confidence), both during the past 6 months prior to the interview and in childhood (i.e., before the age of  7 years old) </w:t>
      </w:r>
      <w:r w:rsidRPr="002E5DBE">
        <w:rPr>
          <w:bCs/>
          <w:iCs/>
          <w:color w:val="000000" w:themeColor="text1"/>
          <w:szCs w:val="24"/>
          <w:lang w:val="en-GB"/>
        </w:rPr>
        <w:fldChar w:fldCharType="begin"/>
      </w:r>
      <w:r w:rsidRPr="002E5DBE">
        <w:rPr>
          <w:bCs/>
          <w:iCs/>
          <w:color w:val="000000" w:themeColor="text1"/>
          <w:szCs w:val="24"/>
          <w:lang w:val="en-GB"/>
        </w:rPr>
        <w:instrText xml:space="preserve"> ADDIN ZOTERO_ITEM CSL_CITATION {"citationID":"1cugla3l0m","properties":{"formattedCitation":"(J. J. Kooij &amp; Francken, 2010)","plainCitation":"(J. J. Kooij &amp; Francken, 2010)","noteIndex":0},"citationItems":[{"id":1164,"uris":["http://zotero.org/users/158295/items/FW6MHVQN"],"uri":["http://zotero.org/users/158295/items/FW6MHVQN"],"itemData":{"id":1164,"type":"article-journal","title":"Diagnostic Interview for ADHD in Adults Version 2.0 (DIVA 2.0)[Dutch: Diagnostisch Interview voor ADHD bij volwassenen]","container-title":"DIVA Foundation, The Hague, the Netherlands","source":"Google Scholar","shortTitle":"Diagnostic Interview for ADHD in Adults Version 2.0 (DIVA 2.0)[Dutch","author":[{"family":"Kooij","given":"J. J."},{"family":"Francken","given":"M. H."}],"issued":{"date-parts":[["2010"]]}}}],"schema":"https://github.com/citation-style-language/schema/raw/master/csl-citation.json"} </w:instrText>
      </w:r>
      <w:r w:rsidRPr="002E5DBE">
        <w:rPr>
          <w:bCs/>
          <w:iCs/>
          <w:color w:val="000000" w:themeColor="text1"/>
          <w:szCs w:val="24"/>
          <w:lang w:val="en-GB"/>
        </w:rPr>
        <w:fldChar w:fldCharType="separate"/>
      </w:r>
      <w:r w:rsidRPr="002E5DBE">
        <w:rPr>
          <w:color w:val="000000" w:themeColor="text1"/>
          <w:szCs w:val="24"/>
          <w:lang w:val="en-US"/>
        </w:rPr>
        <w:t>(Kooij &amp; Francken, 2010)</w:t>
      </w:r>
      <w:r w:rsidRPr="002E5DBE">
        <w:rPr>
          <w:bCs/>
          <w:iCs/>
          <w:color w:val="000000" w:themeColor="text1"/>
          <w:szCs w:val="24"/>
          <w:lang w:val="en-GB"/>
        </w:rPr>
        <w:fldChar w:fldCharType="end"/>
      </w:r>
      <w:r w:rsidRPr="002E5DBE">
        <w:rPr>
          <w:bCs/>
          <w:iCs/>
          <w:color w:val="000000" w:themeColor="text1"/>
          <w:szCs w:val="24"/>
          <w:lang w:val="en-GB"/>
        </w:rPr>
        <w:t xml:space="preserve">. The DIVA 2.0 is a reliable tool for assessing and diagnosing adult ADHD, with an excellent diagnostic accuracy when compared to the Conners' Adult ADHD Diagnostic Interview for DSM-IV (CAADID) and with a high convergent validity with ADHD self-administered scales such as the Wender Utah Rating Scale and the adult ADHD self-report scale </w:t>
      </w:r>
      <w:r w:rsidRPr="002E5DBE">
        <w:rPr>
          <w:bCs/>
          <w:iCs/>
          <w:color w:val="000000" w:themeColor="text1"/>
          <w:szCs w:val="24"/>
          <w:lang w:val="en-GB"/>
        </w:rPr>
        <w:fldChar w:fldCharType="begin"/>
      </w:r>
      <w:r w:rsidRPr="002E5DBE">
        <w:rPr>
          <w:bCs/>
          <w:iCs/>
          <w:color w:val="000000" w:themeColor="text1"/>
          <w:szCs w:val="24"/>
          <w:lang w:val="en-GB"/>
        </w:rPr>
        <w:instrText xml:space="preserve"> ADDIN ZOTERO_ITEM CSL_CITATION {"citationID":"a273ae9ea4k","properties":{"formattedCitation":"(Ramos-Quiroga et al., 2016)","plainCitation":"(Ramos-Quiroga et al., 2016)","noteIndex":0},"citationItems":[{"id":1735,"uris":["http://zotero.org/users/158295/items/4LNJZRPU"],"uri":["http://zotero.org/users/158295/items/4LNJZRPU"],"itemData":{"id":1735,"type":"article-journal","title":"Criteria and Concurrent Validity of DIVA 2.0: A Semi-Structured Diagnostic Interview for Adult ADHD","container-title":"Journal of Attention Disorders","source":"PubMed","abstract":"OBJECTIVE: The aim of this study was to assess for the first time the criterion validity of the semi-structured Diagnostic Interview for ADHD in adults (DIVA 2.0), and its concurrent validity in comparison with the Conners' Adult ADHD Diagnostic Interview for DSM-IV (CAADID) and other ADHD severity scales, following the Diagnostic and Statistical Manual of Mental Disorders (4th ed.; DSM-IV) criteria.\nMETHOD: A transversal study was performed on 40 out-patients with ADHD to check the criteria and concurrent validity of the DIVA 2.0 compared with the CAADID.\nRESULTS: The DIVA 2.0 interview showed a diagnostic accuracy of 100% when compared with the diagnoses obtained with the CAADID interview. The concurrent validity demonstrated good correlations with three self-reported rating scales: the Wender Utah Rating Scale (WURS; r = .544, p &lt; .0001), the ADHD-Rating Scale (r = .720, p &lt; .0001), and Sheehan's Dysfunction Inventory (r = .674, p &lt; .0001).\nCONCLUSION: The DIVA 2.0 is a reliable tool for assessing and diagnosing Adult ADHD and is the only one that offers free online access for clinical and research purposes.","DOI":"10.1177/1087054716646451","ISSN":"1557-1246","note":"PMID: 27125994","shortTitle":"Criteria and Concurrent Validity of DIVA 2.0","journalAbbreviation":"J Atten Disord","language":"eng","author":[{"family":"Ramos-Quiroga","given":"Josep Antoni"},{"family":"Nasillo","given":"Viviana"},{"family":"Richarte","given":"Vanesa"},{"family":"Corrales","given":"Montserrat"},{"family":"Palma","given":"Felipe"},{"family":"Ibáñez","given":"Pol"},{"family":"Michelsen","given":"Marieke"},{"family":"Van de Glind","given":"Geurt"},{"family":"Casas","given":"Miquel"},{"family":"Kooij","given":"J. J. Sandra"}],"issued":{"date-parts":[["2016",4,28]]}}}],"schema":"https://github.com/citation-style-language/schema/raw/master/csl-citation.json"} </w:instrText>
      </w:r>
      <w:r w:rsidRPr="002E5DBE">
        <w:rPr>
          <w:bCs/>
          <w:iCs/>
          <w:color w:val="000000" w:themeColor="text1"/>
          <w:szCs w:val="24"/>
          <w:lang w:val="en-GB"/>
        </w:rPr>
        <w:fldChar w:fldCharType="separate"/>
      </w:r>
      <w:r w:rsidRPr="002E5DBE">
        <w:rPr>
          <w:bCs/>
          <w:iCs/>
          <w:noProof/>
          <w:color w:val="000000" w:themeColor="text1"/>
          <w:szCs w:val="24"/>
          <w:lang w:val="en-GB"/>
        </w:rPr>
        <w:t>(Ramos-Quiroga et al., 2016)</w:t>
      </w:r>
      <w:r w:rsidRPr="002E5DBE">
        <w:rPr>
          <w:bCs/>
          <w:iCs/>
          <w:color w:val="000000" w:themeColor="text1"/>
          <w:szCs w:val="24"/>
          <w:lang w:val="en-GB"/>
        </w:rPr>
        <w:fldChar w:fldCharType="end"/>
      </w:r>
      <w:r w:rsidRPr="002E5DBE">
        <w:rPr>
          <w:bCs/>
          <w:iCs/>
          <w:color w:val="000000" w:themeColor="text1"/>
          <w:szCs w:val="24"/>
          <w:lang w:val="en-GB"/>
        </w:rPr>
        <w:t xml:space="preserve">. </w:t>
      </w:r>
    </w:p>
    <w:p w:rsidR="00D13D04" w:rsidRPr="002E5DBE" w:rsidRDefault="00D13D04" w:rsidP="00D13D04">
      <w:pPr>
        <w:spacing w:line="480" w:lineRule="auto"/>
        <w:rPr>
          <w:bCs/>
          <w:iCs/>
          <w:color w:val="000000" w:themeColor="text1"/>
          <w:szCs w:val="24"/>
          <w:lang w:val="en-GB"/>
        </w:rPr>
      </w:pPr>
    </w:p>
    <w:p w:rsidR="00D13D04" w:rsidRPr="002E5DBE" w:rsidRDefault="00D13D04" w:rsidP="00D13D04">
      <w:pPr>
        <w:pStyle w:val="ListParagraph"/>
        <w:numPr>
          <w:ilvl w:val="2"/>
          <w:numId w:val="41"/>
        </w:numPr>
        <w:spacing w:line="480" w:lineRule="auto"/>
        <w:rPr>
          <w:bCs/>
          <w:color w:val="000000" w:themeColor="text1"/>
          <w:szCs w:val="24"/>
          <w:lang w:val="en-GB"/>
        </w:rPr>
      </w:pPr>
      <w:r w:rsidRPr="002E5DBE">
        <w:rPr>
          <w:bCs/>
          <w:color w:val="000000" w:themeColor="text1"/>
          <w:szCs w:val="24"/>
          <w:lang w:val="en-GB"/>
        </w:rPr>
        <w:t>Food addiction</w:t>
      </w:r>
    </w:p>
    <w:p w:rsidR="00D13D04" w:rsidRPr="002E5DBE" w:rsidRDefault="00D13D04" w:rsidP="00D13D04">
      <w:pPr>
        <w:spacing w:line="480" w:lineRule="auto"/>
        <w:contextualSpacing/>
        <w:rPr>
          <w:rFonts w:ascii="TimesNewRomanPSMT" w:eastAsia="Times New Roman" w:hAnsi="TimesNewRomanPSMT" w:cs="TimesNewRomanPSMT"/>
          <w:color w:val="000000" w:themeColor="text1"/>
          <w:szCs w:val="24"/>
          <w:lang w:val="en-GB" w:eastAsia="fr-FR"/>
        </w:rPr>
      </w:pPr>
      <w:r w:rsidRPr="002E5DBE">
        <w:rPr>
          <w:color w:val="000000" w:themeColor="text1"/>
          <w:szCs w:val="24"/>
          <w:lang w:val="en-CA"/>
        </w:rPr>
        <w:t xml:space="preserve">We assessed food addiction using the French version of the Yale Food Addiction Scale 2.0, which is based on DSM-5 criteria (YFAS 2.0; </w:t>
      </w:r>
      <w:r w:rsidRPr="002E5DBE">
        <w:rPr>
          <w:rFonts w:ascii="TimesNewRomanPSMT" w:eastAsia="Times New Roman" w:hAnsi="TimesNewRomanPSMT" w:cs="TimesNewRomanPSMT"/>
          <w:color w:val="000000" w:themeColor="text1"/>
          <w:szCs w:val="24"/>
          <w:lang w:val="en-GB" w:eastAsia="fr-FR"/>
        </w:rPr>
        <w:t xml:space="preserve">original version: </w:t>
      </w:r>
      <w:r w:rsidRPr="002E5DBE">
        <w:rPr>
          <w:rFonts w:ascii="TimesNewRomanPSMT" w:eastAsia="Times New Roman" w:hAnsi="TimesNewRomanPSMT" w:cs="TimesNewRomanPSMT"/>
          <w:color w:val="000000" w:themeColor="text1"/>
          <w:szCs w:val="24"/>
          <w:lang w:val="en-GB" w:eastAsia="fr-FR"/>
        </w:rPr>
        <w:fldChar w:fldCharType="begin"/>
      </w:r>
      <w:r w:rsidRPr="002E5DBE">
        <w:rPr>
          <w:rFonts w:ascii="TimesNewRomanPSMT" w:eastAsia="Times New Roman" w:hAnsi="TimesNewRomanPSMT" w:cs="TimesNewRomanPSMT"/>
          <w:color w:val="000000" w:themeColor="text1"/>
          <w:szCs w:val="24"/>
          <w:lang w:val="en-GB" w:eastAsia="fr-FR"/>
        </w:rPr>
        <w:instrText xml:space="preserve"> ADDIN ZOTERO_ITEM CSL_CITATION {"citationID":"yaOjDK1r","properties":{"formattedCitation":"(A. N. Gearhardt et al., 2016)","plainCitation":"(A. N. Gearhardt et al., 2016)","dontUpdate":true,"noteIndex":0},"citationItems":[{"id":1666,"uris":["http://zotero.org/users/158295/items/5EIVVVPF"],"uri":["http://zotero.org/users/158295/items/5EIVVVPF"],"itemData":{"id":1666,"type":"article-journal","title":"Development of the Yale Food Addiction Scale Version 2.0","container-title":"Psychology of Addictive Behaviors","page":"113-121","volume":"30","issue":"1","source":"PubMed","abstract":"Parallels in biological, psychological, and behavioral systems have led to the hypothesis that an addictive process may contribute to problematic eating. The Yale Food Addiction Scale (YFAS) was developed to provide a validated measure of addictive-like eating behavior based upon the diagnostic criteria for substance dependence. Recently, the Diagnostic and Statistical Manual of Mental Disorders (5th ed.; DSM-5) was released, which included significant changes to the substance-related and addictive disorders (SRAD) section. In the current study, the YFAS 2.0 was developed to maintain consistency with the current diagnostic understanding of addiction and to improve the psychometric properties of the original YFAS. In a sample of 550 participants, 14.6% met criteria for food addiction. The YFAS 2.0 demonstrated good internal consistency, as well as convergent, discriminant, and incremental validity. Elevated scores on the YFAS 2.0 were associated with higher rates of obesity and more severe pathological eating (e.g., binge eating). The YFAS 2.0 also appeared to capture a related, but unique construct relative to traditional eating disorders. In a separate sample of 209 participants, the YFAS and YFAS 2.0 were directly compared. Both versions of the YFAS were similarly associated with elevated body mass index, binge eating, and weight cycling. However, exceeding the food addiction threshold was more strongly associated with obesity for the YFAS 2.0 than the original YFAS. Thus, the YFAS 2.0 appears to by a psychometrically sound measure that reflects the current diagnostic understanding of addiction to further investigate the potential role of an addictive process in problematic eating behavior. (PsycINFO Database Record","DOI":"10.1037/adb0000136","ISSN":"1939-1501","note":"PMID: 26866783","journalAbbreviation":"Psychol Addict Behav","language":"eng","author":[{"family":"Gearhardt","given":"Ashley N."},{"family":"Corbin","given":"William R."},{"family":"Brownell","given":"Kelly D."}],"issued":{"date-parts":[["2016",2]]}}}],"schema":"https://github.com/citation-style-language/schema/raw/master/csl-citation.json"} </w:instrText>
      </w:r>
      <w:r w:rsidRPr="002E5DBE">
        <w:rPr>
          <w:rFonts w:ascii="TimesNewRomanPSMT" w:eastAsia="Times New Roman" w:hAnsi="TimesNewRomanPSMT" w:cs="TimesNewRomanPSMT"/>
          <w:color w:val="000000" w:themeColor="text1"/>
          <w:szCs w:val="24"/>
          <w:lang w:val="en-GB" w:eastAsia="fr-FR"/>
        </w:rPr>
        <w:fldChar w:fldCharType="separate"/>
      </w:r>
      <w:r w:rsidRPr="002E5DBE">
        <w:rPr>
          <w:rFonts w:ascii="TimesNewRomanPSMT" w:eastAsia="Times New Roman" w:hAnsi="TimesNewRomanPSMT" w:cs="TimesNewRomanPSMT"/>
          <w:noProof/>
          <w:color w:val="000000" w:themeColor="text1"/>
          <w:szCs w:val="24"/>
          <w:lang w:val="en-US" w:eastAsia="fr-FR"/>
        </w:rPr>
        <w:t>Gearhardt et al., 2016</w:t>
      </w:r>
      <w:r w:rsidRPr="002E5DBE">
        <w:rPr>
          <w:rFonts w:ascii="TimesNewRomanPSMT" w:eastAsia="Times New Roman" w:hAnsi="TimesNewRomanPSMT" w:cs="TimesNewRomanPSMT"/>
          <w:color w:val="000000" w:themeColor="text1"/>
          <w:szCs w:val="24"/>
          <w:lang w:val="en-GB" w:eastAsia="fr-FR"/>
        </w:rPr>
        <w:fldChar w:fldCharType="end"/>
      </w:r>
      <w:r w:rsidRPr="002E5DBE">
        <w:rPr>
          <w:rFonts w:ascii="TimesNewRomanPSMT" w:eastAsia="Times New Roman" w:hAnsi="TimesNewRomanPSMT" w:cs="TimesNewRomanPSMT"/>
          <w:color w:val="000000" w:themeColor="text1"/>
          <w:szCs w:val="24"/>
          <w:lang w:val="en-US" w:eastAsia="fr-FR"/>
        </w:rPr>
        <w:t xml:space="preserve">; French version: </w:t>
      </w:r>
      <w:r w:rsidRPr="002E5DBE">
        <w:rPr>
          <w:rFonts w:ascii="TimesNewRomanPSMT" w:eastAsia="Times New Roman" w:hAnsi="TimesNewRomanPSMT" w:cs="TimesNewRomanPSMT"/>
          <w:color w:val="000000" w:themeColor="text1"/>
          <w:szCs w:val="24"/>
          <w:lang w:val="en-GB" w:eastAsia="fr-FR"/>
        </w:rPr>
        <w:fldChar w:fldCharType="begin"/>
      </w:r>
      <w:r w:rsidRPr="002E5DBE">
        <w:rPr>
          <w:rFonts w:ascii="TimesNewRomanPSMT" w:eastAsia="Times New Roman" w:hAnsi="TimesNewRomanPSMT" w:cs="TimesNewRomanPSMT"/>
          <w:color w:val="000000" w:themeColor="text1"/>
          <w:szCs w:val="24"/>
          <w:lang w:val="en-US" w:eastAsia="fr-FR"/>
        </w:rPr>
        <w:instrText xml:space="preserve"> ADDIN ZOTERO_ITEM CSL_CITATION {"citationID":"ash19h8j5e","properties":{"formattedCitation":"(Brunault et al., 2017, p. 5)","plainCitation":"(Brunault et al., 2017, p. 5)","noteIndex":0},"citationItems":[{"id":1868,"uris":["http://zotero.org/users/158295/items/HIJRF32N"],"uri":["http://zotero.org/users/158295/items/HIJRF32N"],"itemData":{"id":1868,"type":"article-journal","title":"Validation of the French version of the DSM-5 Yale Food Addiction Scale (YFAS 2.0) in a nonclinical sample","container-title":"Canadian Journal of Psychiatry","page":"199-210","volume":"62","author":[{"family":"Brunault","given":"P"},{"family":"Courtois","given":"R"},{"family":"Gearhardt","given":"AN"},{"family":"Gaillard","given":"P"},{"family":"Journiac","given":"K"},{"family":"Cathelain","given":"S"},{"family":"Réveillère","given":"C"},{"family":"Ballon","given":"N"}],"issued":{"date-parts":[["2017"]]}},"locator":"-5"}],"schema":"https://github.com/citation-style-language/schema/raw/master/csl-citation.json"} </w:instrText>
      </w:r>
      <w:r w:rsidRPr="002E5DBE">
        <w:rPr>
          <w:rFonts w:ascii="TimesNewRomanPSMT" w:eastAsia="Times New Roman" w:hAnsi="TimesNewRomanPSMT" w:cs="TimesNewRomanPSMT"/>
          <w:color w:val="000000" w:themeColor="text1"/>
          <w:szCs w:val="24"/>
          <w:lang w:val="en-GB" w:eastAsia="fr-FR"/>
        </w:rPr>
        <w:fldChar w:fldCharType="separate"/>
      </w:r>
      <w:r w:rsidRPr="002E5DBE">
        <w:rPr>
          <w:rFonts w:ascii="TimesNewRomanPSMT" w:eastAsia="Times New Roman" w:hAnsi="TimesNewRomanPSMT" w:cs="TimesNewRomanPSMT"/>
          <w:noProof/>
          <w:color w:val="000000" w:themeColor="text1"/>
          <w:szCs w:val="24"/>
          <w:lang w:val="en-US" w:eastAsia="fr-FR"/>
        </w:rPr>
        <w:t>Brunault et al., 2017</w:t>
      </w:r>
      <w:r w:rsidRPr="002E5DBE">
        <w:rPr>
          <w:rFonts w:ascii="TimesNewRomanPSMT" w:eastAsia="Times New Roman" w:hAnsi="TimesNewRomanPSMT" w:cs="TimesNewRomanPSMT"/>
          <w:color w:val="000000" w:themeColor="text1"/>
          <w:szCs w:val="24"/>
          <w:lang w:val="en-GB" w:eastAsia="fr-FR"/>
        </w:rPr>
        <w:fldChar w:fldCharType="end"/>
      </w:r>
      <w:r w:rsidRPr="002E5DBE">
        <w:rPr>
          <w:rFonts w:ascii="TimesNewRomanPSMT" w:eastAsia="Times New Roman" w:hAnsi="TimesNewRomanPSMT" w:cs="TimesNewRomanPSMT"/>
          <w:color w:val="000000" w:themeColor="text1"/>
          <w:szCs w:val="24"/>
          <w:lang w:val="en-US" w:eastAsia="fr-FR"/>
        </w:rPr>
        <w:t xml:space="preserve">). </w:t>
      </w:r>
      <w:r w:rsidRPr="002E5DBE">
        <w:rPr>
          <w:rFonts w:ascii="TimesNewRomanPSMT" w:eastAsia="Times New Roman" w:hAnsi="TimesNewRomanPSMT" w:cs="TimesNewRomanPSMT"/>
          <w:color w:val="000000" w:themeColor="text1"/>
          <w:szCs w:val="24"/>
          <w:lang w:val="en-GB" w:eastAsia="fr-FR"/>
        </w:rPr>
        <w:t>The YFAS 2.0</w:t>
      </w:r>
      <w:r w:rsidRPr="002E5DBE">
        <w:rPr>
          <w:color w:val="000000" w:themeColor="text1"/>
          <w:szCs w:val="24"/>
          <w:lang w:val="en-CA"/>
        </w:rPr>
        <w:t xml:space="preserve"> is a 35-item self-administered questionnaire that </w:t>
      </w:r>
      <w:r w:rsidRPr="002E5DBE">
        <w:rPr>
          <w:bCs/>
          <w:iCs/>
          <w:color w:val="000000" w:themeColor="text1"/>
          <w:szCs w:val="24"/>
          <w:lang w:val="en-GB"/>
        </w:rPr>
        <w:t xml:space="preserve">identifies people </w:t>
      </w:r>
      <w:r w:rsidRPr="002E5DBE">
        <w:rPr>
          <w:rFonts w:ascii="TimesNewRomanPSMT" w:eastAsia="Times New Roman" w:hAnsi="TimesNewRomanPSMT" w:cs="TimesNewRomanPSMT"/>
          <w:color w:val="000000" w:themeColor="text1"/>
          <w:szCs w:val="24"/>
          <w:lang w:val="en-GB" w:eastAsia="fr-FR"/>
        </w:rPr>
        <w:t xml:space="preserve">exhibiting symptoms of addiction regarding specific types of foods (e.g., high fat and/or high sugar) over the past 12 months, relying on the DSM-5 criteria for </w:t>
      </w:r>
      <w:r w:rsidRPr="002E5DBE">
        <w:rPr>
          <w:color w:val="000000" w:themeColor="text1"/>
          <w:szCs w:val="24"/>
          <w:lang w:val="en-CA"/>
        </w:rPr>
        <w:t xml:space="preserve">Substance-Related and Addictive Disorders </w:t>
      </w:r>
      <w:r w:rsidRPr="002E5DBE">
        <w:rPr>
          <w:rFonts w:ascii="TimesNewRomanPSMT" w:eastAsia="Times New Roman" w:hAnsi="TimesNewRomanPSMT" w:cs="TimesNewRomanPSMT"/>
          <w:color w:val="000000" w:themeColor="text1"/>
          <w:szCs w:val="24"/>
          <w:lang w:val="en-GB" w:eastAsia="fr-FR"/>
        </w:rPr>
        <w:t xml:space="preserve">to food </w:t>
      </w:r>
      <w:r w:rsidRPr="002E5DBE">
        <w:rPr>
          <w:rFonts w:ascii="TimesNewRomanPSMT" w:eastAsia="Times New Roman" w:hAnsi="TimesNewRomanPSMT" w:cs="TimesNewRomanPSMT"/>
          <w:color w:val="000000" w:themeColor="text1"/>
          <w:szCs w:val="24"/>
          <w:lang w:val="en-GB" w:eastAsia="fr-FR"/>
        </w:rPr>
        <w:fldChar w:fldCharType="begin"/>
      </w:r>
      <w:r w:rsidRPr="002E5DBE">
        <w:rPr>
          <w:rFonts w:ascii="TimesNewRomanPSMT" w:eastAsia="Times New Roman" w:hAnsi="TimesNewRomanPSMT" w:cs="TimesNewRomanPSMT"/>
          <w:color w:val="000000" w:themeColor="text1"/>
          <w:szCs w:val="24"/>
          <w:lang w:val="en-GB" w:eastAsia="fr-FR"/>
        </w:rPr>
        <w:instrText xml:space="preserve"> ADDIN ZOTERO_ITEM CSL_CITATION {"citationID":"rwdsBhp1","properties":{"unsorted":true,"formattedCitation":"(A. N. Gearhardt et al., 2009a; A. N. Gearhardt, Corbin, &amp; Brownell, 2009b)","plainCitation":"(A. N. Gearhardt et al., 2009a; A. N. Gearhardt, Corbin, &amp; Brownell, 2009b)","dontUpdate":true,"noteIndex":0},"citationItems":[{"id":4712,"uris":["http://zotero.org/groups/156894/items/TKGGJ3GF"],"uri":["http://zotero.org/groups/156894/items/TKGGJ3GF"],"itemData":{"id":4712,"type":"article-journal","title":"Food addiction: an examination of the diagnostic criteria for dependence","container-title":"Journal of Addiction Medicine","page":"1–7","volume":"3","issue":"1","source":"Google Scholar","shortTitle":"Food addiction","author":[{"family":"Gearhardt","given":"Ashley N."},{"family":"Corbin","given":"William R."},{"family":"Brownell","given":"Kelly D."}],"issued":{"date-parts":[["2009"]]}}},{"id":4662,"uris":["http://zotero.org/groups/156894/items/AWR2XNAR"],"uri":["http://zotero.org/groups/156894/items/AWR2XNAR"],"itemData":{"id":4662,"type":"article-journal","title":"Preliminary validation of the Yale Food Addiction Scale","container-title":"Appetite","page":"430–436","volume":"52","issue":"2","source":"Google Scholar","DOI":"10.1016/j.appet.2008.12.003","author":[{"family":"Gearhardt","given":"Ashley N."},{"family":"Corbin","given":"William R."},{"family":"Brownell","given":"Kelly D."}],"issued":{"date-parts":[["2009"]]}}}],"schema":"https://github.com/citation-style-language/schema/raw/master/csl-citation.json"} </w:instrText>
      </w:r>
      <w:r w:rsidRPr="002E5DBE">
        <w:rPr>
          <w:rFonts w:ascii="TimesNewRomanPSMT" w:eastAsia="Times New Roman" w:hAnsi="TimesNewRomanPSMT" w:cs="TimesNewRomanPSMT"/>
          <w:color w:val="000000" w:themeColor="text1"/>
          <w:szCs w:val="24"/>
          <w:lang w:val="en-GB" w:eastAsia="fr-FR"/>
        </w:rPr>
        <w:fldChar w:fldCharType="separate"/>
      </w:r>
      <w:r w:rsidRPr="002E5DBE">
        <w:rPr>
          <w:rFonts w:ascii="TimesNewRomanPSMT" w:hAnsi="TimesNewRomanPSMT"/>
          <w:color w:val="000000" w:themeColor="text1"/>
          <w:szCs w:val="24"/>
          <w:lang w:val="en-US"/>
        </w:rPr>
        <w:t>(Gearhardt et al., 2009a; Gearhardt, Corbin, &amp; Brownell, 2009b)</w:t>
      </w:r>
      <w:r w:rsidRPr="002E5DBE">
        <w:rPr>
          <w:rFonts w:ascii="TimesNewRomanPSMT" w:eastAsia="Times New Roman" w:hAnsi="TimesNewRomanPSMT" w:cs="TimesNewRomanPSMT"/>
          <w:color w:val="000000" w:themeColor="text1"/>
          <w:szCs w:val="24"/>
          <w:lang w:val="en-GB" w:eastAsia="fr-FR"/>
        </w:rPr>
        <w:fldChar w:fldCharType="end"/>
      </w:r>
      <w:r w:rsidRPr="002E5DBE">
        <w:rPr>
          <w:bCs/>
          <w:iCs/>
          <w:color w:val="000000" w:themeColor="text1"/>
          <w:szCs w:val="24"/>
          <w:lang w:val="en-GB"/>
        </w:rPr>
        <w:t xml:space="preserve">. The YFAS 2.0 enables the assessment of a number of DSM-5 symptoms occurred over the past 12 months (ranging from zero to eleven) and the “diagnosis” of food addiction </w:t>
      </w:r>
      <w:r w:rsidRPr="002E5DBE">
        <w:rPr>
          <w:color w:val="000000" w:themeColor="text1"/>
          <w:szCs w:val="24"/>
          <w:lang w:val="en-CA"/>
        </w:rPr>
        <w:t>when the participant report at least two food addiction symptoms during the previous 12 months plus clinically significant impairment or distress</w:t>
      </w:r>
      <w:r w:rsidRPr="002E5DBE">
        <w:rPr>
          <w:bCs/>
          <w:iCs/>
          <w:color w:val="000000" w:themeColor="text1"/>
          <w:szCs w:val="24"/>
          <w:lang w:val="en-GB"/>
        </w:rPr>
        <w:t xml:space="preserve">. </w:t>
      </w:r>
      <w:r w:rsidRPr="002E5DBE">
        <w:rPr>
          <w:color w:val="000000" w:themeColor="text1"/>
          <w:szCs w:val="24"/>
          <w:lang w:val="en-CA"/>
        </w:rPr>
        <w:t xml:space="preserve">Food addiction is then rated as </w:t>
      </w:r>
      <w:r w:rsidRPr="002E5DBE">
        <w:rPr>
          <w:color w:val="000000" w:themeColor="text1"/>
          <w:szCs w:val="24"/>
          <w:lang w:val="en-CA"/>
        </w:rPr>
        <w:lastRenderedPageBreak/>
        <w:t xml:space="preserve">mild, moderate or severe depending on the number of food addiction symptoms associated (cut-off: 2, 4, and 6, respectively) </w:t>
      </w:r>
      <w:r w:rsidRPr="002E5DBE">
        <w:rPr>
          <w:color w:val="000000" w:themeColor="text1"/>
          <w:szCs w:val="24"/>
          <w:lang w:val="en-CA"/>
        </w:rPr>
        <w:fldChar w:fldCharType="begin"/>
      </w:r>
      <w:r w:rsidRPr="002E5DBE">
        <w:rPr>
          <w:color w:val="000000" w:themeColor="text1"/>
          <w:szCs w:val="24"/>
          <w:lang w:val="en-CA"/>
        </w:rPr>
        <w:instrText xml:space="preserve"> ADDIN ZOTERO_ITEM CSL_CITATION {"citationID":"O3bQCjWJ","properties":{"formattedCitation":"(American Psychiatric Association, 2013; A. Gearhardt, Corbin, &amp; Brownell, 2016)","plainCitation":"(American Psychiatric Association, 2013; A. Gearhardt, Corbin, &amp; Brownell, 2016)","dontUpdate":true,"noteIndex":0},"citationItems":[{"id":1234,"uris":["http://zotero.org/users/158295/items/Q7F56CFE"],"uri":["http://zotero.org/users/158295/items/Q7F56CFE"],"itemData":{"id":1234,"type":"book","title":"Diagnostic and statistical manual of mental disorders (5th ed.)","publisher":"American Psychiatric Publishing, Inc.","publisher-place":"Arlington, VA","source":"Google Scholar","event-place":"Arlington, VA","URL":"http://books.google.fr/books?hl=fr&amp;lr=&amp;id=w_HajjMnjxwC&amp;oi=fnd&amp;pg=PP1&amp;dq=APA+DSM-IV+TR&amp;ots=i7SWdm7K2J&amp;sig=hnno5KwWJYtqGkGR5GutDL1FDBI","shortTitle":"Diagnostic and statistical manual of mental disorders","author":[{"family":"American Psychiatric Association","given":""}],"issued":{"date-parts":[["2013"]]},"accessed":{"date-parts":[["2013",8,30]]}}},{"id":1718,"uris":["http://zotero.org/users/158295/items/ARTGU5U2"],"uri":["http://zotero.org/users/158295/items/ARTGU5U2"],"itemData":{"id":1718,"type":"article-journal","title":"Development of the Yale Food Addiction Scale Version 2.0","container-title":"Psychology of Addictive Behaviors","page":"113-121","volume":"30","issue":"1","DOI":"10.1037/adb0000136","journalAbbreviation":"Psychol Addict Behav","author":[{"family":"Gearhardt","given":"A.N."},{"family":"Corbin","given":"William R."},{"family":"Brownell","given":"Kelly D."}],"issued":{"date-parts":[["2016"]]}}}],"schema":"https://github.com/citation-style-language/schema/raw/master/csl-citation.json"} </w:instrText>
      </w:r>
      <w:r w:rsidRPr="002E5DBE">
        <w:rPr>
          <w:color w:val="000000" w:themeColor="text1"/>
          <w:szCs w:val="24"/>
          <w:lang w:val="en-CA"/>
        </w:rPr>
        <w:fldChar w:fldCharType="separate"/>
      </w:r>
      <w:r w:rsidRPr="002E5DBE">
        <w:rPr>
          <w:color w:val="000000" w:themeColor="text1"/>
          <w:szCs w:val="24"/>
          <w:lang w:val="en-US"/>
        </w:rPr>
        <w:t>(American Psychiatric Association, 2013; Gearhardt, Corbin, &amp; Brownell, 2016)</w:t>
      </w:r>
      <w:r w:rsidRPr="002E5DBE">
        <w:rPr>
          <w:color w:val="000000" w:themeColor="text1"/>
          <w:szCs w:val="24"/>
          <w:lang w:val="en-CA"/>
        </w:rPr>
        <w:fldChar w:fldCharType="end"/>
      </w:r>
      <w:r w:rsidRPr="002E5DBE">
        <w:rPr>
          <w:rFonts w:ascii="TimesNewRomanPSMT" w:eastAsia="Times New Roman" w:hAnsi="TimesNewRomanPSMT" w:cs="TimesNewRomanPSMT"/>
          <w:color w:val="000000" w:themeColor="text1"/>
          <w:szCs w:val="24"/>
          <w:lang w:val="en-GB" w:eastAsia="fr-FR"/>
        </w:rPr>
        <w:t xml:space="preserve">. </w:t>
      </w:r>
    </w:p>
    <w:p w:rsidR="00D13D04" w:rsidRPr="002E5DBE" w:rsidRDefault="00D13D04" w:rsidP="00D13D04">
      <w:pPr>
        <w:spacing w:line="480" w:lineRule="auto"/>
        <w:contextualSpacing/>
        <w:rPr>
          <w:bCs/>
          <w:iCs/>
          <w:color w:val="000000" w:themeColor="text1"/>
          <w:szCs w:val="24"/>
          <w:lang w:val="en-GB"/>
        </w:rPr>
      </w:pPr>
      <w:r w:rsidRPr="002E5DBE">
        <w:rPr>
          <w:rFonts w:ascii="TimesNewRomanPSMT" w:eastAsia="Times New Roman" w:hAnsi="TimesNewRomanPSMT" w:cs="TimesNewRomanPSMT"/>
          <w:color w:val="000000" w:themeColor="text1"/>
          <w:szCs w:val="24"/>
          <w:lang w:val="en-GB" w:eastAsia="fr-FR"/>
        </w:rPr>
        <w:tab/>
        <w:t xml:space="preserve">The YFAS 2.0 demonstrated good construct validity in both obese and non-obese individuals </w:t>
      </w:r>
      <w:r w:rsidRPr="002E5DBE">
        <w:rPr>
          <w:rFonts w:ascii="TimesNewRomanPSMT" w:eastAsia="Times New Roman" w:hAnsi="TimesNewRomanPSMT" w:cs="TimesNewRomanPSMT"/>
          <w:color w:val="000000" w:themeColor="text1"/>
          <w:szCs w:val="24"/>
          <w:lang w:val="en-GB" w:eastAsia="fr-FR"/>
        </w:rPr>
        <w:fldChar w:fldCharType="begin"/>
      </w:r>
      <w:r w:rsidRPr="002E5DBE">
        <w:rPr>
          <w:rFonts w:ascii="TimesNewRomanPSMT" w:eastAsia="Times New Roman" w:hAnsi="TimesNewRomanPSMT" w:cs="TimesNewRomanPSMT"/>
          <w:color w:val="000000" w:themeColor="text1"/>
          <w:szCs w:val="24"/>
          <w:lang w:val="en-GB" w:eastAsia="fr-FR"/>
        </w:rPr>
        <w:instrText xml:space="preserve"> ADDIN ZOTERO_ITEM CSL_CITATION {"citationID":"a19tfjd2iho","properties":{"formattedCitation":"(A. N. Gearhardt et al., 2016; Meule, M\\uc0\\u252{}ller, Gearhardt, &amp; Blechert, 2017)","plainCitation":"(A. N. Gearhardt et al., 2016; Meule, Müller, Gearhardt, &amp; Blechert, 2017)","dontUpdate":true,"noteIndex":0},"citationItems":[{"id":1666,"uris":["http://zotero.org/users/158295/items/5EIVVVPF"],"uri":["http://zotero.org/users/158295/items/5EIVVVPF"],"itemData":{"id":1666,"type":"article-journal","title":"Development of the Yale Food Addiction Scale Version 2.0","container-title":"Psychology of Addictive Behaviors","page":"113-121","volume":"30","issue":"1","source":"PubMed","abstract":"Parallels in biological, psychological, and behavioral systems have led to the hypothesis that an addictive process may contribute to problematic eating. The Yale Food Addiction Scale (YFAS) was developed to provide a validated measure of addictive-like eating behavior based upon the diagnostic criteria for substance dependence. Recently, the Diagnostic and Statistical Manual of Mental Disorders (5th ed.; DSM-5) was released, which included significant changes to the substance-related and addictive disorders (SRAD) section. In the current study, the YFAS 2.0 was developed to maintain consistency with the current diagnostic understanding of addiction and to improve the psychometric properties of the original YFAS. In a sample of 550 participants, 14.6% met criteria for food addiction. The YFAS 2.0 demonstrated good internal consistency, as well as convergent, discriminant, and incremental validity. Elevated scores on the YFAS 2.0 were associated with higher rates of obesity and more severe pathological eating (e.g., binge eating). The YFAS 2.0 also appeared to capture a related, but unique construct relative to traditional eating disorders. In a separate sample of 209 participants, the YFAS and YFAS 2.0 were directly compared. Both versions of the YFAS were similarly associated with elevated body mass index, binge eating, and weight cycling. However, exceeding the food addiction threshold was more strongly associated with obesity for the YFAS 2.0 than the original YFAS. Thus, the YFAS 2.0 appears to by a psychometrically sound measure that reflects the current diagnostic understanding of addiction to further investigate the potential role of an addictive process in problematic eating behavior. (PsycINFO Database Record","DOI":"10.1037/adb0000136","ISSN":"1939-1501","note":"PMID: 26866783","journalAbbreviation":"Psychol Addict Behav","language":"eng","author":[{"family":"Gearhardt","given":"Ashley N."},{"family":"Corbin","given":"William R."},{"family":"Brownell","given":"Kelly D."}],"issued":{"date-parts":[["2016",2]]}}},{"id":1840,"uris":["http://zotero.org/users/158295/items/QIDPUGHA"],"uri":["http://zotero.org/users/158295/items/QIDPUGHA"],"itemData":{"id":1840,"type":"article-journal","title":"German version of the Yale Food Addiction Scale 2.0: Prevalence and correlates of 'food addiction' in students and obese individuals","container-title":"Appetite","page":"54-61","volume":"115","source":"Google Scholar","DOI":"10.1016/j.appet.2016.10.003.","shortTitle":"German version of the Yale Food Addiction Scale 2.0","author":[{"family":"Meule","given":"Adrian"},{"family":"Müller","given":"Astrid"},{"family":"Gearhardt","given":"Ashley N."},{"family":"Blechert","given":"Jens"}],"issued":{"date-parts":[["2017"]]}}}],"schema":"https://github.com/citation-style-language/schema/raw/master/csl-citation.json"} </w:instrText>
      </w:r>
      <w:r w:rsidRPr="002E5DBE">
        <w:rPr>
          <w:rFonts w:ascii="TimesNewRomanPSMT" w:eastAsia="Times New Roman" w:hAnsi="TimesNewRomanPSMT" w:cs="TimesNewRomanPSMT"/>
          <w:color w:val="000000" w:themeColor="text1"/>
          <w:szCs w:val="24"/>
          <w:lang w:val="en-GB" w:eastAsia="fr-FR"/>
        </w:rPr>
        <w:fldChar w:fldCharType="separate"/>
      </w:r>
      <w:r w:rsidRPr="002E5DBE">
        <w:rPr>
          <w:rFonts w:ascii="TimesNewRomanPSMT" w:hAnsi="TimesNewRomanPSMT" w:cs="TimesNewRomanPSMT"/>
          <w:color w:val="000000" w:themeColor="text1"/>
          <w:lang w:val="en-US"/>
        </w:rPr>
        <w:t>(Gearhardt et al., 2016; Meule, Müller, Gearhardt, &amp; Blechert, 2017)</w:t>
      </w:r>
      <w:r w:rsidRPr="002E5DBE">
        <w:rPr>
          <w:rFonts w:ascii="TimesNewRomanPSMT" w:eastAsia="Times New Roman" w:hAnsi="TimesNewRomanPSMT" w:cs="TimesNewRomanPSMT"/>
          <w:color w:val="000000" w:themeColor="text1"/>
          <w:szCs w:val="24"/>
          <w:lang w:val="en-GB" w:eastAsia="fr-FR"/>
        </w:rPr>
        <w:fldChar w:fldCharType="end"/>
      </w:r>
      <w:r w:rsidRPr="002E5DBE">
        <w:rPr>
          <w:rFonts w:ascii="TimesNewRomanPSMT" w:eastAsia="Times New Roman" w:hAnsi="TimesNewRomanPSMT" w:cs="TimesNewRomanPSMT"/>
          <w:color w:val="000000" w:themeColor="text1"/>
          <w:szCs w:val="24"/>
          <w:lang w:val="en-GB" w:eastAsia="fr-FR"/>
        </w:rPr>
        <w:t>, including excellent good internal consistency (</w:t>
      </w:r>
      <w:r w:rsidRPr="002E5DBE">
        <w:rPr>
          <w:rFonts w:ascii="Symbol" w:eastAsia="Times New Roman" w:hAnsi="Symbol" w:cs="TimesNewRomanPSMT"/>
          <w:color w:val="000000" w:themeColor="text1"/>
          <w:szCs w:val="24"/>
          <w:lang w:val="en-GB" w:eastAsia="fr-FR"/>
        </w:rPr>
        <w:t></w:t>
      </w:r>
      <w:r w:rsidRPr="002E5DBE">
        <w:rPr>
          <w:rFonts w:ascii="Symbol" w:eastAsia="Times New Roman" w:hAnsi="Symbol" w:cs="TimesNewRomanPSMT"/>
          <w:color w:val="000000" w:themeColor="text1"/>
          <w:szCs w:val="24"/>
          <w:lang w:val="en-GB" w:eastAsia="fr-FR"/>
        </w:rPr>
        <w:t></w:t>
      </w:r>
      <w:r w:rsidRPr="002E5DBE">
        <w:rPr>
          <w:rFonts w:ascii="TimesNewRomanPSMT" w:eastAsia="Times New Roman" w:hAnsi="TimesNewRomanPSMT" w:cs="TimesNewRomanPSMT"/>
          <w:color w:val="000000" w:themeColor="text1"/>
          <w:szCs w:val="24"/>
          <w:lang w:val="en-GB" w:eastAsia="fr-FR"/>
        </w:rPr>
        <w:t xml:space="preserve">.90), as well as good convergent and incremental validity </w:t>
      </w:r>
      <w:r w:rsidRPr="002E5DBE">
        <w:rPr>
          <w:rFonts w:ascii="TimesNewRomanPSMT" w:eastAsia="Times New Roman" w:hAnsi="TimesNewRomanPSMT" w:cs="TimesNewRomanPSMT"/>
          <w:color w:val="000000" w:themeColor="text1"/>
          <w:szCs w:val="24"/>
          <w:lang w:val="en-GB" w:eastAsia="fr-FR"/>
        </w:rPr>
        <w:fldChar w:fldCharType="begin"/>
      </w:r>
      <w:r w:rsidRPr="002E5DBE">
        <w:rPr>
          <w:rFonts w:ascii="TimesNewRomanPSMT" w:eastAsia="Times New Roman" w:hAnsi="TimesNewRomanPSMT" w:cs="TimesNewRomanPSMT"/>
          <w:color w:val="000000" w:themeColor="text1"/>
          <w:szCs w:val="24"/>
          <w:lang w:val="en-GB" w:eastAsia="fr-FR"/>
        </w:rPr>
        <w:instrText xml:space="preserve"> ADDIN ZOTERO_ITEM CSL_CITATION {"citationID":"a1oei59n3v4","properties":{"formattedCitation":"(A. N. Gearhardt et al., 2016)","plainCitation":"(A. N. Gearhardt et al., 2016)","dontUpdate":true,"noteIndex":0},"citationItems":[{"id":1666,"uris":["http://zotero.org/users/158295/items/5EIVVVPF"],"uri":["http://zotero.org/users/158295/items/5EIVVVPF"],"itemData":{"id":1666,"type":"article-journal","title":"Development of the Yale Food Addiction Scale Version 2.0","container-title":"Psychology of Addictive Behaviors","page":"113-121","volume":"30","issue":"1","source":"PubMed","abstract":"Parallels in biological, psychological, and behavioral systems have led to the hypothesis that an addictive process may contribute to problematic eating. The Yale Food Addiction Scale (YFAS) was developed to provide a validated measure of addictive-like eating behavior based upon the diagnostic criteria for substance dependence. Recently, the Diagnostic and Statistical Manual of Mental Disorders (5th ed.; DSM-5) was released, which included significant changes to the substance-related and addictive disorders (SRAD) section. In the current study, the YFAS 2.0 was developed to maintain consistency with the current diagnostic understanding of addiction and to improve the psychometric properties of the original YFAS. In a sample of 550 participants, 14.6% met criteria for food addiction. The YFAS 2.0 demonstrated good internal consistency, as well as convergent, discriminant, and incremental validity. Elevated scores on the YFAS 2.0 were associated with higher rates of obesity and more severe pathological eating (e.g., binge eating). The YFAS 2.0 also appeared to capture a related, but unique construct relative to traditional eating disorders. In a separate sample of 209 participants, the YFAS and YFAS 2.0 were directly compared. Both versions of the YFAS were similarly associated with elevated body mass index, binge eating, and weight cycling. However, exceeding the food addiction threshold was more strongly associated with obesity for the YFAS 2.0 than the original YFAS. Thus, the YFAS 2.0 appears to by a psychometrically sound measure that reflects the current diagnostic understanding of addiction to further investigate the potential role of an addictive process in problematic eating behavior. (PsycINFO Database Record","DOI":"10.1037/adb0000136","ISSN":"1939-1501","note":"PMID: 26866783","journalAbbreviation":"Psychol Addict Behav","language":"eng","author":[{"family":"Gearhardt","given":"Ashley N."},{"family":"Corbin","given":"William R."},{"family":"Brownell","given":"Kelly D."}],"issued":{"date-parts":[["2016",2]]}}}],"schema":"https://github.com/citation-style-language/schema/raw/master/csl-citation.json"} </w:instrText>
      </w:r>
      <w:r w:rsidRPr="002E5DBE">
        <w:rPr>
          <w:rFonts w:ascii="TimesNewRomanPSMT" w:eastAsia="Times New Roman" w:hAnsi="TimesNewRomanPSMT" w:cs="TimesNewRomanPSMT"/>
          <w:color w:val="000000" w:themeColor="text1"/>
          <w:szCs w:val="24"/>
          <w:lang w:val="en-GB" w:eastAsia="fr-FR"/>
        </w:rPr>
        <w:fldChar w:fldCharType="separate"/>
      </w:r>
      <w:r w:rsidRPr="002E5DBE">
        <w:rPr>
          <w:rFonts w:ascii="TimesNewRomanPSMT" w:eastAsia="Times New Roman" w:hAnsi="TimesNewRomanPSMT" w:cs="TimesNewRomanPSMT"/>
          <w:noProof/>
          <w:color w:val="000000" w:themeColor="text1"/>
          <w:szCs w:val="24"/>
          <w:lang w:val="en-GB" w:eastAsia="fr-FR"/>
        </w:rPr>
        <w:t>(Gearhardt et al., 2016)</w:t>
      </w:r>
      <w:r w:rsidRPr="002E5DBE">
        <w:rPr>
          <w:rFonts w:ascii="TimesNewRomanPSMT" w:eastAsia="Times New Roman" w:hAnsi="TimesNewRomanPSMT" w:cs="TimesNewRomanPSMT"/>
          <w:color w:val="000000" w:themeColor="text1"/>
          <w:szCs w:val="24"/>
          <w:lang w:val="en-GB" w:eastAsia="fr-FR"/>
        </w:rPr>
        <w:fldChar w:fldCharType="end"/>
      </w:r>
      <w:r w:rsidRPr="002E5DBE">
        <w:rPr>
          <w:rFonts w:ascii="TimesNewRomanPSMT" w:eastAsia="Times New Roman" w:hAnsi="TimesNewRomanPSMT" w:cs="TimesNewRomanPSMT"/>
          <w:color w:val="000000" w:themeColor="text1"/>
          <w:szCs w:val="24"/>
          <w:lang w:val="en-GB" w:eastAsia="fr-FR"/>
        </w:rPr>
        <w:t xml:space="preserve">. In the present study, we considered self-reported food addiction (existence of at least two food addiction symptoms </w:t>
      </w:r>
      <w:r w:rsidRPr="002E5DBE">
        <w:rPr>
          <w:color w:val="000000" w:themeColor="text1"/>
          <w:szCs w:val="24"/>
          <w:lang w:val="en-CA"/>
        </w:rPr>
        <w:t>plus clinically significant impairment or distress</w:t>
      </w:r>
      <w:r w:rsidRPr="002E5DBE">
        <w:rPr>
          <w:rFonts w:ascii="TimesNewRomanPSMT" w:eastAsia="Times New Roman" w:hAnsi="TimesNewRomanPSMT" w:cs="TimesNewRomanPSMT"/>
          <w:color w:val="000000" w:themeColor="text1"/>
          <w:szCs w:val="24"/>
          <w:lang w:val="en-GB" w:eastAsia="fr-FR"/>
        </w:rPr>
        <w:t>) and food addiction severity (food addiction symptom count)</w:t>
      </w:r>
      <w:r w:rsidRPr="002E5DBE">
        <w:rPr>
          <w:bCs/>
          <w:iCs/>
          <w:color w:val="000000" w:themeColor="text1"/>
          <w:szCs w:val="24"/>
          <w:lang w:val="en-GB"/>
        </w:rPr>
        <w:t xml:space="preserve">. </w:t>
      </w:r>
    </w:p>
    <w:p w:rsidR="00D13D04" w:rsidRPr="002E5DBE" w:rsidRDefault="00D13D04" w:rsidP="00D13D04">
      <w:pPr>
        <w:spacing w:line="480" w:lineRule="auto"/>
        <w:rPr>
          <w:bCs/>
          <w:i/>
          <w:color w:val="000000" w:themeColor="text1"/>
          <w:szCs w:val="24"/>
          <w:lang w:val="en-GB"/>
        </w:rPr>
      </w:pPr>
    </w:p>
    <w:p w:rsidR="00D13D04" w:rsidRPr="002E5DBE" w:rsidRDefault="00D13D04" w:rsidP="00D13D04">
      <w:pPr>
        <w:pStyle w:val="ListParagraph"/>
        <w:numPr>
          <w:ilvl w:val="2"/>
          <w:numId w:val="41"/>
        </w:numPr>
        <w:spacing w:line="480" w:lineRule="auto"/>
        <w:rPr>
          <w:bCs/>
          <w:color w:val="000000" w:themeColor="text1"/>
          <w:szCs w:val="24"/>
          <w:lang w:val="en-GB"/>
        </w:rPr>
      </w:pPr>
      <w:r w:rsidRPr="002E5DBE">
        <w:rPr>
          <w:bCs/>
          <w:color w:val="000000" w:themeColor="text1"/>
          <w:szCs w:val="24"/>
          <w:lang w:val="en-GB"/>
        </w:rPr>
        <w:t>Binge eating</w:t>
      </w:r>
    </w:p>
    <w:p w:rsidR="00D13D04" w:rsidRPr="002E5DBE" w:rsidRDefault="00D13D04" w:rsidP="00D13D04">
      <w:pPr>
        <w:spacing w:line="480" w:lineRule="auto"/>
        <w:contextualSpacing/>
        <w:rPr>
          <w:bCs/>
          <w:iCs/>
          <w:color w:val="000000" w:themeColor="text1"/>
          <w:szCs w:val="24"/>
          <w:lang w:val="en-GB"/>
        </w:rPr>
      </w:pPr>
      <w:r w:rsidRPr="002E5DBE">
        <w:rPr>
          <w:bCs/>
          <w:iCs/>
          <w:color w:val="000000" w:themeColor="text1"/>
          <w:szCs w:val="24"/>
          <w:lang w:val="en-GB"/>
        </w:rPr>
        <w:tab/>
        <w:t xml:space="preserve">We assessed binge eating symptoms with the French version of the Binge Eating Scale (BES) total score, a 16-item questionnaire designed to assess severity of binge eating using behavioural, affective, and cognitive symptoms (original version: </w:t>
      </w:r>
      <w:r w:rsidRPr="002E5DBE">
        <w:rPr>
          <w:bCs/>
          <w:iCs/>
          <w:color w:val="000000" w:themeColor="text1"/>
          <w:szCs w:val="24"/>
          <w:lang w:val="en-GB"/>
        </w:rPr>
        <w:fldChar w:fldCharType="begin"/>
      </w:r>
      <w:r w:rsidRPr="002E5DBE">
        <w:rPr>
          <w:bCs/>
          <w:iCs/>
          <w:color w:val="000000" w:themeColor="text1"/>
          <w:szCs w:val="24"/>
          <w:lang w:val="en-GB"/>
        </w:rPr>
        <w:instrText xml:space="preserve"> ADDIN ZOTERO_ITEM CSL_CITATION {"citationID":"a2m5l65h8nq","properties":{"formattedCitation":"(Gormally, Black, Daston, &amp; Rardin, 1982)","plainCitation":"(Gormally, Black, Daston, &amp; Rardin, 1982)","noteIndex":0},"citationItems":[{"id":1421,"uris":["http://zotero.org/users/158295/items/NG2QFUMI"],"uri":["http://zotero.org/users/158295/items/NG2QFUMI"],"itemData":{"id":1421,"type":"article-journal","title":"The assessment of binge eating severity among obese persons","container-title":"Addictive Behaviors","page":"47–55","volume":"7","issue":"1","source":"Google Scholar","author":[{"family":"Gormally","given":"Jim"},{"family":"Black","given":"Sionag"},{"family":"Daston","given":"Sandy"},{"family":"Rardin","given":"David"}],"issued":{"date-parts":[["1982"]]}}}],"schema":"https://github.com/citation-style-language/schema/raw/master/csl-citation.json"} </w:instrText>
      </w:r>
      <w:r w:rsidRPr="002E5DBE">
        <w:rPr>
          <w:bCs/>
          <w:iCs/>
          <w:color w:val="000000" w:themeColor="text1"/>
          <w:szCs w:val="24"/>
          <w:lang w:val="en-GB"/>
        </w:rPr>
        <w:fldChar w:fldCharType="separate"/>
      </w:r>
      <w:r w:rsidRPr="002E5DBE">
        <w:rPr>
          <w:bCs/>
          <w:iCs/>
          <w:noProof/>
          <w:color w:val="000000" w:themeColor="text1"/>
          <w:szCs w:val="24"/>
          <w:lang w:val="en-GB"/>
        </w:rPr>
        <w:t>Gormally, Black, Daston, &amp; Rardin, 1982</w:t>
      </w:r>
      <w:r w:rsidRPr="002E5DBE">
        <w:rPr>
          <w:bCs/>
          <w:iCs/>
          <w:color w:val="000000" w:themeColor="text1"/>
          <w:szCs w:val="24"/>
          <w:lang w:val="en-GB"/>
        </w:rPr>
        <w:fldChar w:fldCharType="end"/>
      </w:r>
      <w:r w:rsidRPr="002E5DBE">
        <w:rPr>
          <w:bCs/>
          <w:iCs/>
          <w:color w:val="000000" w:themeColor="text1"/>
          <w:szCs w:val="24"/>
          <w:lang w:val="en-GB"/>
        </w:rPr>
        <w:t xml:space="preserve">; French version: </w:t>
      </w:r>
      <w:r w:rsidRPr="002E5DBE">
        <w:rPr>
          <w:bCs/>
          <w:iCs/>
          <w:color w:val="000000" w:themeColor="text1"/>
          <w:szCs w:val="24"/>
          <w:lang w:val="en-GB"/>
        </w:rPr>
        <w:fldChar w:fldCharType="begin"/>
      </w:r>
      <w:r w:rsidRPr="002E5DBE">
        <w:rPr>
          <w:bCs/>
          <w:iCs/>
          <w:color w:val="000000" w:themeColor="text1"/>
          <w:szCs w:val="24"/>
          <w:lang w:val="en-GB"/>
        </w:rPr>
        <w:instrText xml:space="preserve"> ADDIN ZOTERO_ITEM CSL_CITATION {"citationID":"a1e2lckmsmf","properties":{"formattedCitation":"(Brunault et al., 2016)","plainCitation":"(Brunault et al., 2016)","noteIndex":0},"citationItems":[{"id":1423,"uris":["http://zotero.org/users/158295/items/2FPIR8I5"],"uri":["http://zotero.org/users/158295/items/2FPIR8I5"],"itemData":{"id":1423,"type":"article-journal","title":"Validation de la version française de la Binge Eating Scale : étude de sa structure factorielle, de sa consistance interne et de sa validité de construit en population clinique et non clinique","container-title":"Encéphale","page":"426-433","volume":"42","issue":"5","author":[{"family":"Brunault","given":"P"},{"family":"Gaillard","given":"P"},{"family":"Ballon","given":"N"},{"family":"Couet","given":"C"},{"family":"Isnard","given":"P"},{"family":"Cook","given":"S"},{"family":"Delbachian","given":"I"},{"family":"Réveillère","given":"C"},{"family":"Courtois","given":"R"}],"issued":{"date-parts":[["2016"]]}}}],"schema":"https://github.com/citation-style-language/schema/raw/master/csl-citation.json"} </w:instrText>
      </w:r>
      <w:r w:rsidRPr="002E5DBE">
        <w:rPr>
          <w:bCs/>
          <w:iCs/>
          <w:color w:val="000000" w:themeColor="text1"/>
          <w:szCs w:val="24"/>
          <w:lang w:val="en-GB"/>
        </w:rPr>
        <w:fldChar w:fldCharType="separate"/>
      </w:r>
      <w:r w:rsidRPr="002E5DBE">
        <w:rPr>
          <w:bCs/>
          <w:iCs/>
          <w:noProof/>
          <w:color w:val="000000" w:themeColor="text1"/>
          <w:szCs w:val="24"/>
          <w:lang w:val="en-GB"/>
        </w:rPr>
        <w:t>Brunault et al., 2016)</w:t>
      </w:r>
      <w:r w:rsidRPr="002E5DBE">
        <w:rPr>
          <w:bCs/>
          <w:iCs/>
          <w:color w:val="000000" w:themeColor="text1"/>
          <w:szCs w:val="24"/>
          <w:lang w:val="en-GB"/>
        </w:rPr>
        <w:fldChar w:fldCharType="end"/>
      </w:r>
      <w:r w:rsidRPr="002E5DBE">
        <w:rPr>
          <w:bCs/>
          <w:iCs/>
          <w:color w:val="000000" w:themeColor="text1"/>
          <w:szCs w:val="24"/>
          <w:lang w:val="en-GB"/>
        </w:rPr>
        <w:t xml:space="preserve">. It is a reliable tool for assessing binge eating disorder symptoms and has been validated in French </w:t>
      </w:r>
      <w:r w:rsidRPr="002E5DBE">
        <w:rPr>
          <w:bCs/>
          <w:iCs/>
          <w:color w:val="000000" w:themeColor="text1"/>
          <w:szCs w:val="24"/>
          <w:lang w:val="en-GB"/>
        </w:rPr>
        <w:fldChar w:fldCharType="begin"/>
      </w:r>
      <w:r w:rsidRPr="002E5DBE">
        <w:rPr>
          <w:bCs/>
          <w:iCs/>
          <w:color w:val="000000" w:themeColor="text1"/>
          <w:szCs w:val="24"/>
          <w:lang w:val="en-GB"/>
        </w:rPr>
        <w:instrText xml:space="preserve"> ADDIN ZOTERO_ITEM CSL_CITATION {"citationID":"23kbmo1b8e","properties":{"formattedCitation":"(Brunault et al., 2016)","plainCitation":"(Brunault et al., 2016)","noteIndex":0},"citationItems":[{"id":1423,"uris":["http://zotero.org/users/158295/items/2FPIR8I5"],"uri":["http://zotero.org/users/158295/items/2FPIR8I5"],"itemData":{"id":1423,"type":"article-journal","title":"Validation de la version française de la Binge Eating Scale : étude de sa structure factorielle, de sa consistance interne et de sa validité de construit en population clinique et non clinique","container-title":"Encéphale","page":"426-433","volume":"42","issue":"5","author":[{"family":"Brunault","given":"P"},{"family":"Gaillard","given":"P"},{"family":"Ballon","given":"N"},{"family":"Couet","given":"C"},{"family":"Isnard","given":"P"},{"family":"Cook","given":"S"},{"family":"Delbachian","given":"I"},{"family":"Réveillère","given":"C"},{"family":"Courtois","given":"R"}],"issued":{"date-parts":[["2016"]]}}}],"schema":"https://github.com/citation-style-language/schema/raw/master/csl-citation.json"} </w:instrText>
      </w:r>
      <w:r w:rsidRPr="002E5DBE">
        <w:rPr>
          <w:bCs/>
          <w:iCs/>
          <w:color w:val="000000" w:themeColor="text1"/>
          <w:szCs w:val="24"/>
          <w:lang w:val="en-GB"/>
        </w:rPr>
        <w:fldChar w:fldCharType="separate"/>
      </w:r>
      <w:r w:rsidRPr="002E5DBE">
        <w:rPr>
          <w:bCs/>
          <w:iCs/>
          <w:color w:val="000000" w:themeColor="text1"/>
          <w:szCs w:val="24"/>
          <w:lang w:val="en-GB"/>
        </w:rPr>
        <w:t>(Brunault et al., 2016)</w:t>
      </w:r>
      <w:r w:rsidRPr="002E5DBE">
        <w:rPr>
          <w:bCs/>
          <w:iCs/>
          <w:color w:val="000000" w:themeColor="text1"/>
          <w:szCs w:val="24"/>
          <w:lang w:val="en-GB"/>
        </w:rPr>
        <w:fldChar w:fldCharType="end"/>
      </w:r>
      <w:r w:rsidRPr="002E5DBE">
        <w:rPr>
          <w:bCs/>
          <w:iCs/>
          <w:color w:val="000000" w:themeColor="text1"/>
          <w:szCs w:val="24"/>
          <w:lang w:val="en-GB"/>
        </w:rPr>
        <w:t>.</w:t>
      </w:r>
    </w:p>
    <w:p w:rsidR="00D13D04" w:rsidRPr="002E5DBE" w:rsidRDefault="00D13D04" w:rsidP="00D13D04">
      <w:pPr>
        <w:spacing w:line="480" w:lineRule="auto"/>
        <w:rPr>
          <w:i/>
          <w:color w:val="000000" w:themeColor="text1"/>
          <w:szCs w:val="24"/>
          <w:lang w:val="en-US"/>
        </w:rPr>
      </w:pPr>
    </w:p>
    <w:p w:rsidR="00D13D04" w:rsidRPr="002E5DBE" w:rsidRDefault="00D13D04" w:rsidP="00D13D04">
      <w:pPr>
        <w:pStyle w:val="ListParagraph"/>
        <w:numPr>
          <w:ilvl w:val="1"/>
          <w:numId w:val="41"/>
        </w:numPr>
        <w:spacing w:line="480" w:lineRule="auto"/>
        <w:rPr>
          <w:i/>
          <w:color w:val="000000" w:themeColor="text1"/>
          <w:szCs w:val="24"/>
          <w:lang w:val="en-US"/>
        </w:rPr>
      </w:pPr>
      <w:r w:rsidRPr="002E5DBE">
        <w:rPr>
          <w:i/>
          <w:color w:val="000000" w:themeColor="text1"/>
          <w:szCs w:val="24"/>
          <w:lang w:val="en-US"/>
        </w:rPr>
        <w:t>Statistical analyses</w:t>
      </w:r>
    </w:p>
    <w:p w:rsidR="00D13D04" w:rsidRPr="002E5DBE" w:rsidRDefault="00D13D04" w:rsidP="00D13D04">
      <w:pPr>
        <w:spacing w:line="480" w:lineRule="auto"/>
        <w:rPr>
          <w:iCs/>
          <w:color w:val="000000" w:themeColor="text1"/>
          <w:szCs w:val="24"/>
          <w:lang w:val="en-GB"/>
        </w:rPr>
      </w:pPr>
      <w:r w:rsidRPr="002E5DBE">
        <w:rPr>
          <w:iCs/>
          <w:color w:val="000000" w:themeColor="text1"/>
          <w:szCs w:val="24"/>
          <w:lang w:val="en-GB"/>
        </w:rPr>
        <w:tab/>
        <w:t xml:space="preserve">Descriptive statistics included percentages for ordinal variables, and mean and standard deviation for continuous variables. To answer our primary objective, we used univariate logistic regression analysis to determine the links between self-reported food addiction (YFAS 2.0, independent variable) and adult ADHD diagnosis (DIVA 2.0; dependent variable). To answer our secondary objectives, we used univariate logistic regression analyses to factors associated with childhood/adult ADHD (DIVA 2.0; dependent variable): food addiction score (YFAS 2.0; independent variable), binge eating score (BES total score; independent variable), sleep apnea </w:t>
      </w:r>
      <w:r w:rsidRPr="002E5DBE">
        <w:rPr>
          <w:iCs/>
          <w:color w:val="000000" w:themeColor="text1"/>
          <w:szCs w:val="24"/>
          <w:lang w:val="en-GB"/>
        </w:rPr>
        <w:lastRenderedPageBreak/>
        <w:t>syndrome (clinical assessment; independent variable)</w:t>
      </w:r>
      <w:r w:rsidRPr="002E5DBE">
        <w:rPr>
          <w:b/>
          <w:i/>
          <w:iCs/>
          <w:color w:val="000000" w:themeColor="text1"/>
          <w:szCs w:val="24"/>
          <w:lang w:val="en-GB"/>
        </w:rPr>
        <w:t>.</w:t>
      </w:r>
      <w:r w:rsidRPr="002E5DBE">
        <w:rPr>
          <w:iCs/>
          <w:color w:val="000000" w:themeColor="text1"/>
          <w:szCs w:val="24"/>
          <w:lang w:val="en-GB"/>
        </w:rPr>
        <w:t xml:space="preserve"> Results were presented as Odds-Ratio, its Confidence Interval at 95% [95% CI] and its associated </w:t>
      </w:r>
      <w:r w:rsidRPr="002E5DBE">
        <w:rPr>
          <w:i/>
          <w:iCs/>
          <w:color w:val="000000" w:themeColor="text1"/>
          <w:szCs w:val="24"/>
          <w:lang w:val="en-GB"/>
        </w:rPr>
        <w:t>p</w:t>
      </w:r>
      <w:r w:rsidRPr="002E5DBE">
        <w:rPr>
          <w:iCs/>
          <w:color w:val="000000" w:themeColor="text1"/>
          <w:szCs w:val="24"/>
          <w:lang w:val="en-GB"/>
        </w:rPr>
        <w:t xml:space="preserve">-value. Analyses were conducted using SPSS version 22 (IBM Corp. Released 2013. IBM SPSS Statistics for Windows, Version 22.0. Armonk, NY: IBM Corp.). All analyses were two-tailed; </w:t>
      </w:r>
      <w:r w:rsidRPr="002E5DBE">
        <w:rPr>
          <w:i/>
          <w:iCs/>
          <w:color w:val="000000" w:themeColor="text1"/>
          <w:szCs w:val="24"/>
          <w:lang w:val="en-GB"/>
        </w:rPr>
        <w:t>p</w:t>
      </w:r>
      <w:r w:rsidRPr="002E5DBE">
        <w:rPr>
          <w:iCs/>
          <w:color w:val="000000" w:themeColor="text1"/>
          <w:szCs w:val="24"/>
          <w:lang w:val="en-GB"/>
        </w:rPr>
        <w:t>-values ≤ .05 were considered statistically significant.</w:t>
      </w:r>
    </w:p>
    <w:p w:rsidR="00D13D04" w:rsidRPr="002E5DBE" w:rsidRDefault="00D13D04" w:rsidP="00D13D04">
      <w:pPr>
        <w:spacing w:line="480" w:lineRule="auto"/>
        <w:rPr>
          <w:iCs/>
          <w:color w:val="000000" w:themeColor="text1"/>
          <w:szCs w:val="24"/>
          <w:lang w:val="en-GB"/>
        </w:rPr>
      </w:pPr>
    </w:p>
    <w:p w:rsidR="00D13D04" w:rsidRPr="002E5DBE" w:rsidRDefault="00D13D04" w:rsidP="00D13D04">
      <w:pPr>
        <w:pStyle w:val="ListParagraph"/>
        <w:numPr>
          <w:ilvl w:val="0"/>
          <w:numId w:val="41"/>
        </w:numPr>
        <w:spacing w:line="480" w:lineRule="auto"/>
        <w:rPr>
          <w:b/>
          <w:color w:val="000000" w:themeColor="text1"/>
          <w:szCs w:val="24"/>
          <w:lang w:val="en-US"/>
        </w:rPr>
      </w:pPr>
      <w:r w:rsidRPr="002E5DBE">
        <w:rPr>
          <w:b/>
          <w:color w:val="000000" w:themeColor="text1"/>
          <w:szCs w:val="24"/>
          <w:lang w:val="en-US"/>
        </w:rPr>
        <w:t>Results</w:t>
      </w:r>
    </w:p>
    <w:p w:rsidR="00D13D04" w:rsidRPr="002E5DBE" w:rsidRDefault="00D13D04" w:rsidP="00D13D04">
      <w:pPr>
        <w:pStyle w:val="ListParagraph"/>
        <w:numPr>
          <w:ilvl w:val="1"/>
          <w:numId w:val="41"/>
        </w:numPr>
        <w:spacing w:line="480" w:lineRule="auto"/>
        <w:rPr>
          <w:i/>
          <w:color w:val="000000" w:themeColor="text1"/>
          <w:szCs w:val="24"/>
          <w:lang w:val="en-US"/>
        </w:rPr>
      </w:pPr>
      <w:r w:rsidRPr="002E5DBE">
        <w:rPr>
          <w:i/>
          <w:color w:val="000000" w:themeColor="text1"/>
          <w:szCs w:val="24"/>
          <w:lang w:val="en-US"/>
        </w:rPr>
        <w:t>Study flow diagram</w:t>
      </w:r>
    </w:p>
    <w:p w:rsidR="00D13D04" w:rsidRPr="002E5DBE" w:rsidRDefault="00D13D04" w:rsidP="00D13D04">
      <w:pPr>
        <w:spacing w:line="480" w:lineRule="auto"/>
        <w:rPr>
          <w:color w:val="000000" w:themeColor="text1"/>
          <w:szCs w:val="24"/>
          <w:lang w:val="en-US"/>
        </w:rPr>
      </w:pPr>
      <w:r w:rsidRPr="002E5DBE">
        <w:rPr>
          <w:color w:val="000000" w:themeColor="text1"/>
          <w:szCs w:val="24"/>
          <w:lang w:val="en-US"/>
        </w:rPr>
        <w:t>The study flow diagram is presented in Figure 1. O</w:t>
      </w:r>
      <w:r w:rsidRPr="002E5DBE">
        <w:rPr>
          <w:color w:val="000000" w:themeColor="text1"/>
          <w:szCs w:val="24"/>
          <w:lang w:val="en-GB"/>
        </w:rPr>
        <w:t>ut of the 287 initial patients who were initially eligible, one was excluded due to a polycystic ovary syndrome, and 125 returned fully usable questionnaires (no missing data for the self-administered questionnaires of the first step of the study). Out of these 125 patients, 105 (final study population) accepted to undergo the DIVA assessment. The 105 patients who completed the study were significantly older than the  182 who did not (</w:t>
      </w:r>
      <w:r w:rsidRPr="002E5DBE">
        <w:rPr>
          <w:rFonts w:eastAsia="MS Mincho"/>
          <w:color w:val="000000" w:themeColor="text1"/>
          <w:lang w:val="en-GB" w:eastAsia="ja-JP"/>
        </w:rPr>
        <w:t>43.9 ±10.8 years vs. 41.2 ± 11.4 years; p=.045), but there no significant difference in terms of gender (men were respectively 19% vs. 24.2%; p=.32), current BMI (47.4 ±7.4 vs. 47.8 ± 7.6; p=.70), nor previous maximal BMI (50.1 ±8.2 vs. 50.0 ± 8.2; p=.90).</w:t>
      </w:r>
    </w:p>
    <w:p w:rsidR="00D13D04" w:rsidRPr="002E5DBE" w:rsidRDefault="00D13D04" w:rsidP="00D13D04">
      <w:pPr>
        <w:spacing w:line="480" w:lineRule="auto"/>
        <w:rPr>
          <w:i/>
          <w:color w:val="000000" w:themeColor="text1"/>
          <w:szCs w:val="24"/>
          <w:lang w:val="en-GB"/>
        </w:rPr>
      </w:pPr>
    </w:p>
    <w:p w:rsidR="00D13D04" w:rsidRPr="002E5DBE" w:rsidRDefault="00D13D04" w:rsidP="00D13D04">
      <w:pPr>
        <w:pStyle w:val="ListParagraph"/>
        <w:numPr>
          <w:ilvl w:val="1"/>
          <w:numId w:val="41"/>
        </w:numPr>
        <w:spacing w:line="480" w:lineRule="auto"/>
        <w:rPr>
          <w:i/>
          <w:color w:val="000000" w:themeColor="text1"/>
          <w:szCs w:val="24"/>
          <w:lang w:val="en-GB"/>
        </w:rPr>
      </w:pPr>
      <w:r w:rsidRPr="002E5DBE">
        <w:rPr>
          <w:i/>
          <w:color w:val="000000" w:themeColor="text1"/>
          <w:szCs w:val="24"/>
          <w:lang w:val="en-GB"/>
        </w:rPr>
        <w:t xml:space="preserve">Descriptive statistics and correlations between the variables </w:t>
      </w:r>
    </w:p>
    <w:p w:rsidR="00D13D04" w:rsidRPr="002E5DBE" w:rsidRDefault="00D13D04" w:rsidP="00D13D04">
      <w:pPr>
        <w:spacing w:line="480" w:lineRule="auto"/>
        <w:rPr>
          <w:color w:val="000000" w:themeColor="text1"/>
          <w:szCs w:val="24"/>
          <w:lang w:val="en-US"/>
        </w:rPr>
      </w:pPr>
      <w:r w:rsidRPr="002E5DBE">
        <w:rPr>
          <w:color w:val="000000" w:themeColor="text1"/>
          <w:szCs w:val="24"/>
          <w:lang w:val="en-GB"/>
        </w:rPr>
        <w:t xml:space="preserve">Table 1 presents the descriptive data of the study sample. Prevalence rate for adult ADHD, childhood ADHD and self-reported food addiction </w:t>
      </w:r>
      <w:r w:rsidRPr="002E5DBE">
        <w:rPr>
          <w:b/>
          <w:i/>
          <w:color w:val="000000" w:themeColor="text1"/>
          <w:szCs w:val="24"/>
          <w:lang w:val="en-US"/>
        </w:rPr>
        <w:t xml:space="preserve"> </w:t>
      </w:r>
      <w:r w:rsidRPr="002E5DBE">
        <w:rPr>
          <w:color w:val="000000" w:themeColor="text1"/>
          <w:szCs w:val="24"/>
          <w:lang w:val="en-GB"/>
        </w:rPr>
        <w:t>were respectively 26.7%, 35.2% and 14.3%.</w:t>
      </w:r>
      <w:r w:rsidRPr="002E5DBE">
        <w:rPr>
          <w:strike/>
          <w:color w:val="000000" w:themeColor="text1"/>
          <w:szCs w:val="24"/>
          <w:lang w:val="en-GB"/>
        </w:rPr>
        <w:t xml:space="preserve"> </w:t>
      </w:r>
      <w:r w:rsidRPr="002E5DBE">
        <w:rPr>
          <w:color w:val="000000" w:themeColor="text1"/>
          <w:szCs w:val="24"/>
          <w:lang w:val="en-GB"/>
        </w:rPr>
        <w:t xml:space="preserve">Mean age in the whole sample was 46.4 </w:t>
      </w:r>
      <w:r w:rsidRPr="002E5DBE">
        <w:rPr>
          <w:bCs/>
          <w:color w:val="000000" w:themeColor="text1"/>
          <w:szCs w:val="24"/>
          <w:lang w:val="en-US"/>
        </w:rPr>
        <w:t>± 10.7 years</w:t>
      </w:r>
      <w:r w:rsidRPr="002E5DBE">
        <w:rPr>
          <w:color w:val="000000" w:themeColor="text1"/>
          <w:szCs w:val="24"/>
          <w:lang w:val="en-GB"/>
        </w:rPr>
        <w:t xml:space="preserve"> (range: 27-69)</w:t>
      </w:r>
      <w:r w:rsidRPr="002E5DBE">
        <w:rPr>
          <w:b/>
          <w:color w:val="000000" w:themeColor="text1"/>
          <w:szCs w:val="24"/>
          <w:lang w:val="en-GB"/>
        </w:rPr>
        <w:t xml:space="preserve">. </w:t>
      </w:r>
      <w:r w:rsidRPr="002E5DBE">
        <w:rPr>
          <w:bCs/>
          <w:iCs/>
          <w:color w:val="000000" w:themeColor="text1"/>
          <w:szCs w:val="24"/>
          <w:lang w:val="en-GB"/>
        </w:rPr>
        <w:t xml:space="preserve">In our study, the YFAS 2.0 had an excellent internal consistency </w:t>
      </w:r>
      <w:r w:rsidRPr="002E5DBE">
        <w:rPr>
          <w:rFonts w:ascii="TimesNewRomanPSMT" w:eastAsia="Times New Roman" w:hAnsi="TimesNewRomanPSMT" w:cs="TimesNewRomanPSMT"/>
          <w:color w:val="000000" w:themeColor="text1"/>
          <w:szCs w:val="24"/>
          <w:lang w:val="en-GB" w:eastAsia="fr-FR"/>
        </w:rPr>
        <w:t>(</w:t>
      </w:r>
      <w:r w:rsidRPr="002E5DBE">
        <w:rPr>
          <w:rFonts w:ascii="Symbol" w:eastAsia="Times New Roman" w:hAnsi="Symbol" w:cs="TimesNewRomanPSMT"/>
          <w:color w:val="000000" w:themeColor="text1"/>
          <w:szCs w:val="24"/>
          <w:lang w:val="en-GB" w:eastAsia="fr-FR"/>
        </w:rPr>
        <w:t></w:t>
      </w:r>
      <w:r w:rsidRPr="002E5DBE">
        <w:rPr>
          <w:rFonts w:ascii="Symbol" w:eastAsia="Times New Roman" w:hAnsi="Symbol" w:cs="TimesNewRomanPSMT"/>
          <w:color w:val="000000" w:themeColor="text1"/>
          <w:szCs w:val="24"/>
          <w:lang w:val="en-GB" w:eastAsia="fr-FR"/>
        </w:rPr>
        <w:t></w:t>
      </w:r>
      <w:r w:rsidRPr="002E5DBE">
        <w:rPr>
          <w:rFonts w:ascii="TimesNewRomanPSMT" w:eastAsia="Times New Roman" w:hAnsi="TimesNewRomanPSMT" w:cs="TimesNewRomanPSMT"/>
          <w:color w:val="000000" w:themeColor="text1"/>
          <w:szCs w:val="24"/>
          <w:lang w:val="en-GB" w:eastAsia="fr-FR"/>
        </w:rPr>
        <w:t>.91)</w:t>
      </w:r>
      <w:r w:rsidRPr="002E5DBE">
        <w:rPr>
          <w:bCs/>
          <w:iCs/>
          <w:color w:val="000000" w:themeColor="text1"/>
          <w:szCs w:val="24"/>
          <w:lang w:val="en-GB"/>
        </w:rPr>
        <w:t xml:space="preserve">, with a one-factor structure explaining 30.1% of the total variance. Cronbach’s </w:t>
      </w:r>
      <w:r w:rsidRPr="002E5DBE">
        <w:rPr>
          <w:rFonts w:ascii="Symbol" w:hAnsi="Symbol"/>
          <w:bCs/>
          <w:iCs/>
          <w:color w:val="000000" w:themeColor="text1"/>
          <w:szCs w:val="24"/>
          <w:lang w:val="en-GB"/>
        </w:rPr>
        <w:t></w:t>
      </w:r>
      <w:r w:rsidRPr="002E5DBE">
        <w:rPr>
          <w:bCs/>
          <w:iCs/>
          <w:color w:val="000000" w:themeColor="text1"/>
          <w:szCs w:val="24"/>
          <w:lang w:val="en-GB"/>
        </w:rPr>
        <w:t xml:space="preserve"> for the BES was .89. </w:t>
      </w:r>
      <w:r w:rsidRPr="002E5DBE">
        <w:rPr>
          <w:bCs/>
          <w:iCs/>
          <w:color w:val="000000" w:themeColor="text1"/>
          <w:szCs w:val="24"/>
          <w:lang w:val="en-US"/>
        </w:rPr>
        <w:t xml:space="preserve">The correlations between </w:t>
      </w:r>
      <w:r w:rsidRPr="002E5DBE">
        <w:rPr>
          <w:color w:val="000000" w:themeColor="text1"/>
          <w:lang w:val="en-GB"/>
        </w:rPr>
        <w:t>food addiction score, binge eating score, mean number of adult and childhood ADHD symptoms, as well as current BMI and age</w:t>
      </w:r>
      <w:r w:rsidRPr="002E5DBE">
        <w:rPr>
          <w:bCs/>
          <w:iCs/>
          <w:color w:val="000000" w:themeColor="text1"/>
          <w:szCs w:val="24"/>
          <w:lang w:val="en-US"/>
        </w:rPr>
        <w:t xml:space="preserve"> are presented in Supplemental Table 1</w:t>
      </w:r>
      <w:r w:rsidRPr="002E5DBE">
        <w:rPr>
          <w:b/>
          <w:color w:val="000000" w:themeColor="text1"/>
          <w:lang w:val="en-US"/>
        </w:rPr>
        <w:t>.</w:t>
      </w:r>
      <w:r w:rsidRPr="002E5DBE">
        <w:rPr>
          <w:b/>
          <w:i/>
          <w:color w:val="000000" w:themeColor="text1"/>
          <w:lang w:val="en-US"/>
        </w:rPr>
        <w:t xml:space="preserve"> </w:t>
      </w:r>
      <w:r w:rsidRPr="002E5DBE">
        <w:rPr>
          <w:color w:val="000000" w:themeColor="text1"/>
          <w:lang w:val="en-GB"/>
        </w:rPr>
        <w:t xml:space="preserve">Food addiction score was </w:t>
      </w:r>
      <w:r w:rsidRPr="002E5DBE">
        <w:rPr>
          <w:color w:val="000000" w:themeColor="text1"/>
          <w:lang w:val="en-GB"/>
        </w:rPr>
        <w:lastRenderedPageBreak/>
        <w:t>correlated to binge eating symptoms, but 68.8% of the patients with significant binge eating had no food addiction, and 66.6% of the patients with food addiction had no significant binge eating.</w:t>
      </w:r>
    </w:p>
    <w:p w:rsidR="00D13D04" w:rsidRPr="002E5DBE" w:rsidRDefault="00D13D04" w:rsidP="00D13D04">
      <w:pPr>
        <w:spacing w:line="480" w:lineRule="auto"/>
        <w:ind w:firstLine="360"/>
        <w:rPr>
          <w:bCs/>
          <w:iCs/>
          <w:color w:val="000000" w:themeColor="text1"/>
          <w:szCs w:val="24"/>
          <w:lang w:val="en-US"/>
        </w:rPr>
      </w:pPr>
    </w:p>
    <w:p w:rsidR="00D13D04" w:rsidRPr="002E5DBE" w:rsidRDefault="00D13D04" w:rsidP="00D13D04">
      <w:pPr>
        <w:pStyle w:val="ListParagraph"/>
        <w:numPr>
          <w:ilvl w:val="1"/>
          <w:numId w:val="41"/>
        </w:numPr>
        <w:spacing w:line="480" w:lineRule="auto"/>
        <w:rPr>
          <w:i/>
          <w:color w:val="000000" w:themeColor="text1"/>
          <w:szCs w:val="24"/>
          <w:lang w:val="en-GB"/>
        </w:rPr>
      </w:pPr>
      <w:r w:rsidRPr="002E5DBE">
        <w:rPr>
          <w:i/>
          <w:color w:val="000000" w:themeColor="text1"/>
          <w:szCs w:val="24"/>
          <w:lang w:val="en-GB"/>
        </w:rPr>
        <w:t>Factors associated with adult ADHD diagnosis</w:t>
      </w:r>
    </w:p>
    <w:p w:rsidR="00D13D04" w:rsidRPr="002E5DBE" w:rsidRDefault="00D13D04" w:rsidP="00D13D04">
      <w:pPr>
        <w:spacing w:line="480" w:lineRule="auto"/>
        <w:rPr>
          <w:color w:val="000000" w:themeColor="text1"/>
          <w:szCs w:val="24"/>
          <w:lang w:val="en-GB"/>
        </w:rPr>
      </w:pPr>
      <w:r w:rsidRPr="002E5DBE">
        <w:rPr>
          <w:color w:val="000000" w:themeColor="text1"/>
          <w:szCs w:val="24"/>
          <w:lang w:val="en-GB"/>
        </w:rPr>
        <w:t xml:space="preserve">As presented in Table 2, patients with adult ADHD were at significantly higher risk of food addiction than patients without adult ADHD (28.6% vs. 9.1%; </w:t>
      </w:r>
      <w:r w:rsidRPr="002E5DBE">
        <w:rPr>
          <w:iCs/>
          <w:color w:val="000000" w:themeColor="text1"/>
          <w:szCs w:val="24"/>
          <w:lang w:val="en-US"/>
        </w:rPr>
        <w:t>p=.016)</w:t>
      </w:r>
      <w:r w:rsidRPr="002E5DBE">
        <w:rPr>
          <w:color w:val="000000" w:themeColor="text1"/>
          <w:szCs w:val="24"/>
          <w:lang w:val="en-GB"/>
        </w:rPr>
        <w:t xml:space="preserve">, but they did not report higher prevalence of sleep apnea syndrome. Food addiction and binge eating scores were both significantly associated with adult ADHD status (respective </w:t>
      </w:r>
      <w:r w:rsidRPr="002E5DBE">
        <w:rPr>
          <w:iCs/>
          <w:color w:val="000000" w:themeColor="text1"/>
          <w:szCs w:val="24"/>
          <w:lang w:val="en-US"/>
        </w:rPr>
        <w:t>ORs were 1.37[1.14-1.65], p&lt;.001 and 1.08[1.03-1.14], p=.004)</w:t>
      </w:r>
      <w:r w:rsidRPr="002E5DBE">
        <w:rPr>
          <w:color w:val="000000" w:themeColor="text1"/>
          <w:szCs w:val="24"/>
          <w:lang w:val="en-GB"/>
        </w:rPr>
        <w:t xml:space="preserve">. </w:t>
      </w:r>
      <w:r w:rsidRPr="002E5DBE">
        <w:rPr>
          <w:rFonts w:eastAsia="MS Mincho"/>
          <w:color w:val="000000" w:themeColor="text1"/>
          <w:lang w:val="en-GB" w:eastAsia="ja-JP"/>
        </w:rPr>
        <w:t xml:space="preserve">Although the 95% CI for food addiction was higher than the one for binge eating, the comparison between the two odds ratio indicated no significant differences (p=.12). </w:t>
      </w:r>
      <w:r w:rsidRPr="002E5DBE">
        <w:rPr>
          <w:color w:val="000000" w:themeColor="text1"/>
          <w:szCs w:val="24"/>
          <w:lang w:val="en-GB"/>
        </w:rPr>
        <w:t xml:space="preserve">Adult ADHD diagnosis was not related to age (p=.94), gender (p=.86), current body mass index (p=.63), previous maximal body mass index (p=.61), nor age of onset of obesity (p=.09). </w:t>
      </w:r>
    </w:p>
    <w:p w:rsidR="00D13D04" w:rsidRPr="002E5DBE" w:rsidRDefault="00D13D04" w:rsidP="00D13D04">
      <w:pPr>
        <w:spacing w:line="480" w:lineRule="auto"/>
        <w:rPr>
          <w:i/>
          <w:color w:val="000000" w:themeColor="text1"/>
          <w:szCs w:val="24"/>
          <w:lang w:val="en-GB"/>
        </w:rPr>
      </w:pPr>
    </w:p>
    <w:p w:rsidR="00D13D04" w:rsidRPr="002E5DBE" w:rsidRDefault="00D13D04" w:rsidP="00D13D04">
      <w:pPr>
        <w:pStyle w:val="ListParagraph"/>
        <w:numPr>
          <w:ilvl w:val="1"/>
          <w:numId w:val="41"/>
        </w:numPr>
        <w:spacing w:line="480" w:lineRule="auto"/>
        <w:rPr>
          <w:i/>
          <w:color w:val="000000" w:themeColor="text1"/>
          <w:szCs w:val="24"/>
          <w:lang w:val="en-GB"/>
        </w:rPr>
      </w:pPr>
      <w:r w:rsidRPr="002E5DBE">
        <w:rPr>
          <w:i/>
          <w:color w:val="000000" w:themeColor="text1"/>
          <w:szCs w:val="24"/>
          <w:lang w:val="en-GB"/>
        </w:rPr>
        <w:t>Factors associated with childhood ADHD diagnosis</w:t>
      </w:r>
    </w:p>
    <w:p w:rsidR="00D13D04" w:rsidRPr="002E5DBE" w:rsidRDefault="00D13D04" w:rsidP="00D13D04">
      <w:pPr>
        <w:spacing w:line="480" w:lineRule="auto"/>
        <w:rPr>
          <w:iCs/>
          <w:color w:val="000000" w:themeColor="text1"/>
          <w:szCs w:val="24"/>
          <w:lang w:val="en-US"/>
        </w:rPr>
      </w:pPr>
      <w:r w:rsidRPr="002E5DBE">
        <w:rPr>
          <w:color w:val="000000" w:themeColor="text1"/>
          <w:szCs w:val="24"/>
          <w:lang w:val="en-GB"/>
        </w:rPr>
        <w:t>As presented in Table 3, patients with childhood ADHD were at higher risk for food addiction (24.3% vs. 8.8%</w:t>
      </w:r>
      <w:r w:rsidRPr="002E5DBE">
        <w:rPr>
          <w:iCs/>
          <w:color w:val="000000" w:themeColor="text1"/>
          <w:szCs w:val="24"/>
          <w:lang w:val="en-US"/>
        </w:rPr>
        <w:t xml:space="preserve">) </w:t>
      </w:r>
      <w:r w:rsidRPr="002E5DBE">
        <w:rPr>
          <w:color w:val="000000" w:themeColor="text1"/>
          <w:szCs w:val="24"/>
          <w:lang w:val="en-GB"/>
        </w:rPr>
        <w:t>and binge eating</w:t>
      </w:r>
      <w:r w:rsidRPr="002E5DBE">
        <w:rPr>
          <w:iCs/>
          <w:color w:val="000000" w:themeColor="text1"/>
          <w:szCs w:val="24"/>
          <w:lang w:val="en-US"/>
        </w:rPr>
        <w:t xml:space="preserve"> </w:t>
      </w:r>
      <w:r w:rsidRPr="002E5DBE">
        <w:rPr>
          <w:color w:val="000000" w:themeColor="text1"/>
          <w:szCs w:val="24"/>
          <w:lang w:val="en-GB"/>
        </w:rPr>
        <w:t>than patients without childhood ADHD, but they did not report higher prevalence of sleep apnea syndrome. Food addiction and binge eating scores were both significantly associated with childhood ADHD status. Childhood ADHD diagnosis was not related to age (p=.92), gender (p=.52), current body mass index (p=.75), previous maximal body mass index (p=.98), nor age of onset of obesity (p=.17). Overall, self-reported food addiction, food addiction score and binge eating scores were more strongly associated with adult ADHD than childhood ADHD</w:t>
      </w:r>
      <w:r w:rsidRPr="002E5DBE">
        <w:rPr>
          <w:iCs/>
          <w:color w:val="000000" w:themeColor="text1"/>
          <w:szCs w:val="24"/>
          <w:lang w:val="en-US"/>
        </w:rPr>
        <w:t xml:space="preserve">. </w:t>
      </w:r>
    </w:p>
    <w:p w:rsidR="00D13D04" w:rsidRPr="002E5DBE" w:rsidRDefault="00D13D04" w:rsidP="00D13D04">
      <w:pPr>
        <w:spacing w:line="480" w:lineRule="auto"/>
        <w:rPr>
          <w:i/>
          <w:color w:val="000000" w:themeColor="text1"/>
          <w:szCs w:val="24"/>
          <w:lang w:val="en-US"/>
        </w:rPr>
      </w:pPr>
    </w:p>
    <w:p w:rsidR="00D13D04" w:rsidRPr="002E5DBE" w:rsidRDefault="00D13D04" w:rsidP="00D13D04">
      <w:pPr>
        <w:pStyle w:val="ListParagraph"/>
        <w:numPr>
          <w:ilvl w:val="0"/>
          <w:numId w:val="41"/>
        </w:numPr>
        <w:spacing w:line="480" w:lineRule="auto"/>
        <w:rPr>
          <w:b/>
          <w:color w:val="000000" w:themeColor="text1"/>
          <w:szCs w:val="24"/>
          <w:lang w:val="en-US"/>
        </w:rPr>
      </w:pPr>
      <w:r w:rsidRPr="002E5DBE">
        <w:rPr>
          <w:b/>
          <w:color w:val="000000" w:themeColor="text1"/>
          <w:szCs w:val="24"/>
          <w:lang w:val="en-US"/>
        </w:rPr>
        <w:lastRenderedPageBreak/>
        <w:t>Discussion</w:t>
      </w:r>
    </w:p>
    <w:p w:rsidR="00D13D04" w:rsidRPr="002E5DBE" w:rsidRDefault="00D13D04" w:rsidP="00D13D04">
      <w:pPr>
        <w:spacing w:line="480" w:lineRule="auto"/>
        <w:rPr>
          <w:color w:val="000000" w:themeColor="text1"/>
          <w:szCs w:val="24"/>
          <w:lang w:val="en-GB"/>
        </w:rPr>
      </w:pPr>
      <w:r w:rsidRPr="002E5DBE">
        <w:rPr>
          <w:color w:val="000000" w:themeColor="text1"/>
          <w:szCs w:val="24"/>
          <w:lang w:val="en-GB"/>
        </w:rPr>
        <w:t xml:space="preserve">This study is the first study to demonstrate that obese patients with adult ADHD, as assessed by a clinical interview, have significantly higher prevalence of food addiction (categorial disorder) as well as of  food addiction symptoms than patients without adult ADHD. In addition, ADHD diagnosis was associated with both binge eating symptoms and food addiction score, with a larger effect size for adult ADHD than childhood ADHD. Furthermore, ADHD diagnosis was not related to obstructive sleep apnea syndrome (OSA), ruling out the possibility that what we measured was a phenocopy of ADHD symptoms due to OSA. </w:t>
      </w:r>
    </w:p>
    <w:p w:rsidR="00D13D04" w:rsidRPr="002E5DBE" w:rsidRDefault="00D13D04" w:rsidP="00D13D04">
      <w:pPr>
        <w:tabs>
          <w:tab w:val="left" w:pos="0"/>
        </w:tabs>
        <w:spacing w:line="480" w:lineRule="auto"/>
        <w:rPr>
          <w:color w:val="000000" w:themeColor="text1"/>
          <w:szCs w:val="24"/>
          <w:lang w:val="en-GB"/>
        </w:rPr>
      </w:pPr>
      <w:r w:rsidRPr="002E5DBE">
        <w:rPr>
          <w:color w:val="000000" w:themeColor="text1"/>
          <w:szCs w:val="24"/>
          <w:lang w:val="en-GB"/>
        </w:rPr>
        <w:tab/>
        <w:t>According to Hanć</w:t>
      </w:r>
      <w:r w:rsidRPr="002E5DBE">
        <w:rPr>
          <w:rFonts w:eastAsiaTheme="minorEastAsia"/>
          <w:color w:val="000000" w:themeColor="text1"/>
          <w:szCs w:val="24"/>
          <w:lang w:val="en-US" w:eastAsia="fr-FR"/>
        </w:rPr>
        <w:t xml:space="preserve"> &amp; </w:t>
      </w:r>
      <w:r w:rsidRPr="002E5DBE">
        <w:rPr>
          <w:color w:val="000000" w:themeColor="text1"/>
          <w:szCs w:val="24"/>
          <w:lang w:val="en-GB"/>
        </w:rPr>
        <w:t xml:space="preserve">Cortese </w:t>
      </w:r>
      <w:r w:rsidRPr="002E5DBE">
        <w:rPr>
          <w:color w:val="000000" w:themeColor="text1"/>
          <w:szCs w:val="24"/>
          <w:lang w:val="en-GB"/>
        </w:rPr>
        <w:fldChar w:fldCharType="begin"/>
      </w:r>
      <w:r w:rsidRPr="002E5DBE">
        <w:rPr>
          <w:color w:val="000000" w:themeColor="text1"/>
          <w:szCs w:val="24"/>
          <w:lang w:val="en-GB"/>
        </w:rPr>
        <w:instrText xml:space="preserve"> ADDIN ZOTERO_ITEM CSL_CITATION {"citationID":"zb9WHrE5","properties":{"formattedCitation":"(Han\\uc0\\u263{} &amp; Cortese, 2018)","plainCitation":"(Hanć &amp; Cortese, 2018)","noteIndex":0},"citationItems":[{"id":5793,"uris":["http://zotero.org/users/158295/items/E9VMAE2D"],"uri":["http://zotero.org/users/158295/items/E9VMAE2D"],"itemData":{"id":5793,"type":"article-journal","title":"Attention deficit/hyperactivity-disorder and obesity: A review and model of current hypotheses explaining their comorbidity","container-title":"Neuroscience &amp; Biobehavioral Reviews","page":"16-28","volume":"92","source":"ScienceDirect","abstract":"Available meta-analyses point to a significant association between attention-deficit/hyperactivity disorder (ADHD) and obesity. The possible mechanisms underlying this relationship are unclear. Here, we overview the studies aimed at identifying the factors contributing to the comorbidity between ADHD and obesity, including genetic factors, fetal programming, executive dysfunctions, psychosocial stress, factors directly related to energy balance, and sleep patterns alterations. The bulk of current research has focused on reduced physical activity and abnormal eating patterns as possible causes of weight gain in individuals with ADHD. Further research is needed to explore the specific role of executive dysfunctions. None of the available published studies have evaluated physiological mechanisms such as hormonal and metabolic disorders or inappropriate neurobiological regulation of appetite. Research exploring the genetic basis for the coexistence of ADHD and obesity and epigenetic mechanisms, with particular emphasis on stress, both pre- and postnatal, seems particularly promising. Here, we propose a biopsychosocial model to integrate current findings and move the field forward to gain insight into the ADHD-obesity relationship.","DOI":"10.1016/j.neubiorev.2018.05.017","ISSN":"0149-7634","shortTitle":"Attention deficit/hyperactivity-disorder and obesity","journalAbbreviation":"Neuroscience &amp; Biobehavioral Reviews","author":[{"family":"Hanć","given":"Tomasz"},{"family":"Cortese","given":"Samuele"}],"issued":{"date-parts":[["2018",9,1]]}}}],"schema":"https://github.com/citation-style-language/schema/raw/master/csl-citation.json"} </w:instrText>
      </w:r>
      <w:r w:rsidRPr="002E5DBE">
        <w:rPr>
          <w:color w:val="000000" w:themeColor="text1"/>
          <w:szCs w:val="24"/>
          <w:lang w:val="en-GB"/>
        </w:rPr>
        <w:fldChar w:fldCharType="separate"/>
      </w:r>
      <w:r w:rsidRPr="002E5DBE">
        <w:rPr>
          <w:color w:val="000000" w:themeColor="text1"/>
          <w:lang w:val="en-US"/>
        </w:rPr>
        <w:t>(Hanć &amp; Cortese, 2018)</w:t>
      </w:r>
      <w:r w:rsidRPr="002E5DBE">
        <w:rPr>
          <w:color w:val="000000" w:themeColor="text1"/>
          <w:szCs w:val="24"/>
          <w:lang w:val="en-GB"/>
        </w:rPr>
        <w:fldChar w:fldCharType="end"/>
      </w:r>
      <w:r w:rsidRPr="002E5DBE">
        <w:rPr>
          <w:color w:val="000000" w:themeColor="text1"/>
          <w:szCs w:val="24"/>
          <w:lang w:val="en-GB"/>
        </w:rPr>
        <w:t xml:space="preserve">, the proposed mechanism underlying the association between obesity and ADHD include genetic factors, fetal programming, </w:t>
      </w:r>
      <w:r w:rsidRPr="002E5DBE">
        <w:rPr>
          <w:bCs/>
          <w:color w:val="000000" w:themeColor="text1"/>
          <w:szCs w:val="24"/>
          <w:lang w:val="en-US"/>
        </w:rPr>
        <w:t xml:space="preserve">executive dysfunctions, psychosocial stress, factors directly related to energy balance, and sleep patterns alterations. Our study allowed testing some of these </w:t>
      </w:r>
      <w:r w:rsidRPr="002E5DBE">
        <w:rPr>
          <w:bCs/>
          <w:strike/>
          <w:color w:val="000000" w:themeColor="text1"/>
          <w:szCs w:val="24"/>
          <w:lang w:val="en-US"/>
        </w:rPr>
        <w:t>hypothesis</w:t>
      </w:r>
      <w:r w:rsidRPr="002E5DBE">
        <w:rPr>
          <w:bCs/>
          <w:color w:val="000000" w:themeColor="text1"/>
          <w:szCs w:val="24"/>
          <w:lang w:val="en-US"/>
        </w:rPr>
        <w:t xml:space="preserve"> associations, including </w:t>
      </w:r>
      <w:r w:rsidRPr="002E5DBE">
        <w:rPr>
          <w:color w:val="000000" w:themeColor="text1"/>
          <w:szCs w:val="24"/>
          <w:lang w:val="en-GB"/>
        </w:rPr>
        <w:t xml:space="preserve">the notion that the ADHD-related impulsivity and the ADHD-related inattention may lead to obesity via dysregulated eating patterns (factors related to energy inbalance). To our knowledge, no study investigated the prevalence of food addiction in patients diagnosed with adult ADHD. Studies on the association between ADHD and obesity have been conducted more frequently in children than in adults </w:t>
      </w:r>
      <w:r w:rsidRPr="002E5DBE">
        <w:rPr>
          <w:color w:val="000000" w:themeColor="text1"/>
          <w:szCs w:val="24"/>
          <w:lang w:val="en-GB"/>
        </w:rPr>
        <w:fldChar w:fldCharType="begin"/>
      </w:r>
      <w:r w:rsidRPr="002E5DBE">
        <w:rPr>
          <w:color w:val="000000" w:themeColor="text1"/>
          <w:szCs w:val="24"/>
          <w:lang w:val="en-GB"/>
        </w:rPr>
        <w:instrText xml:space="preserve"> ADDIN ZOTERO_ITEM CSL_CITATION {"citationID":"a5cmijp1cr","properties":{"formattedCitation":"(Cortese et al., 2016)","plainCitation":"(Cortese et al., 2016)","noteIndex":0},"citationItems":[{"id":100,"uris":["http://zotero.org/users/158295/items/BDF7GWHD"],"uri":["http://zotero.org/users/158295/items/BDF7GWHD"],"itemData":{"id":100,"type":"article-journal","title":"Association Between ADHD and Obesity: A Systematic Review and Meta-Analysis","container-title":"American Journal of Psychiatry","page":"34-43","volume":"173","issue":"1","source":"Google Scholar","shortTitle":"Association Between ADHD and Obesity","author":[{"family":"Cortese","given":"Samuele"},{"family":"Moreira-Maia","given":"Carlos Renato"},{"family":"St. Fleur","given":"Diane"},{"family":"Morcillo-Peñalver","given":"Carmen"},{"family":"Rohde","given":"Luis Augusto"},{"family":"Faraone","given":"Stephen V."}],"issued":{"date-parts":[["2016"]]}}}],"schema":"https://github.com/citation-style-language/schema/raw/master/csl-citation.json"} </w:instrText>
      </w:r>
      <w:r w:rsidRPr="002E5DBE">
        <w:rPr>
          <w:color w:val="000000" w:themeColor="text1"/>
          <w:szCs w:val="24"/>
          <w:lang w:val="en-GB"/>
        </w:rPr>
        <w:fldChar w:fldCharType="separate"/>
      </w:r>
      <w:r w:rsidRPr="002E5DBE">
        <w:rPr>
          <w:noProof/>
          <w:color w:val="000000" w:themeColor="text1"/>
          <w:szCs w:val="24"/>
          <w:lang w:val="en-GB"/>
        </w:rPr>
        <w:t>(Cortese et al., 2016)</w:t>
      </w:r>
      <w:r w:rsidRPr="002E5DBE">
        <w:rPr>
          <w:color w:val="000000" w:themeColor="text1"/>
          <w:szCs w:val="24"/>
          <w:lang w:val="en-GB"/>
        </w:rPr>
        <w:fldChar w:fldCharType="end"/>
      </w:r>
      <w:r w:rsidRPr="002E5DBE">
        <w:rPr>
          <w:color w:val="000000" w:themeColor="text1"/>
          <w:szCs w:val="24"/>
          <w:lang w:val="en-GB"/>
        </w:rPr>
        <w:t xml:space="preserve">. Studies in children/adolescents found a significant association between ADHD and binge eating, as well as loss of control over eating </w:t>
      </w:r>
      <w:r w:rsidRPr="002E5DBE">
        <w:rPr>
          <w:bCs/>
          <w:color w:val="000000" w:themeColor="text1"/>
          <w:szCs w:val="24"/>
        </w:rPr>
        <w:fldChar w:fldCharType="begin"/>
      </w:r>
      <w:r w:rsidRPr="002E5DBE">
        <w:rPr>
          <w:bCs/>
          <w:color w:val="000000" w:themeColor="text1"/>
          <w:szCs w:val="24"/>
          <w:lang w:val="en-US"/>
        </w:rPr>
        <w:instrText xml:space="preserve"> ADDIN ZOTERO_ITEM CSL_CITATION {"citationID":"MYYXAqoZ","properties":{"formattedCitation":"(Hilbert et al., 2018; Nazar, Bernardes, et al., 2016)","plainCitation":"(Hilbert et al., 2018; Nazar, Bernardes, et al., 2016)","noteIndex":0},"citationItems":[{"id":95,"uris":["http://zotero.org/users/158295/items/EX7QNBVH"],"uri":["http://zotero.org/users/158295/items/EX7QNBVH"],"itemData":{"id":95,"type":"article-journal","title":"Cue reactivity, habituation, and eating in the absence of hunger in children with loss of control eating and attention-deficit/hyperactivity disorder","container-title":"The International Journal of Eating Disorders","page":"223-232","volume":"51","source":"PubMed","abstract":"OBJECTIVE: Childhood loss of control (LOC) eating and attention-deficit/hyperactivity disorder (ADHD) are highly comorbid conditions and present with disordered eating behaviors, such as overeating. This study sought to delineate shared and specific abnormalities in physiological, cognitive-motivational, and behavioral components of food-specific impulsivity in children with LOC eating and ADHD. Specifically, children's reactivity and habituation to food and eating in the absence of hunger were examined.\nMETHODS: Within this community-based study, four groups of 8-13-year-old children with LOC eating (n = 24), ADHD (n = 32), comorbid LOC eating/ADHD (n = 9), and matched controls (n = 34) received a standard laboratory test meal to establish satiety and were then exposed to their favorite snack food in a cue exposure/reactivity trial, while salivation and desire to eat were repeatedly assessed. Subsequently, they were offered a variety of snack foods ad libitum.\nRESULTS: Children with LOC eating, ADHD, and LOC/ADHD did not differ from controls in salivary reactivity and habituation to food cues. Children with LOC eating and ADHD showed greater cue reactivity of the desire to eat than controls, but groups did not differ in its longer-term increments. At free access, only children with LOC/ADHD consumed significantly more energy than controls. Longer-term increments of desire to eat predicted greater energy intake beyond LOC/ADHD group status.\nDISCUSSION: Desire to eat among children with comorbid LOC eating and ADHD was associated with overeating in the absence of hunger, which may contribute to excess weight gain. Delineation of the specific features of childhood LOC eating versus ADHD warrants further study.","DOI":"10.1002/eat.22821","ISSN":"1098-108X","note":"PMID: 29341214","journalAbbreviation":"Int J Eat Disord","language":"eng","author":[{"family":"Hilbert","given":"Anja"},{"family":"Kurz","given":"Susanne"},{"family":"Dremmel","given":"Daniela"},{"family":"Weihrauch Blüher","given":"Susann"},{"family":"Munsch","given":"Simone"},{"family":"Schmidt","given":"Ricarda"}],"issued":{"date-parts":[["2018",1,17]]}}},{"id":92,"uris":["http://zotero.org/users/158295/items/XCIW4XLU"],"uri":["http://zotero.org/users/158295/items/XCIW4XLU"],"itemData":{"id":92,"type":"article-journal","title":"The risk of eating disorders comorbid with attention-deficit/hyperactivity disorder: A systematic review and meta-analysis","container-title":"The International Journal of Eating Disorders","page":"1045-1057","volume":"49","issue":"12","source":"PubMed","abstract":"OBJECTIVE: There has been interest in whether people with Attention-Deficit/Hyperactivity Disorder (ADHD) are at higher risk of developing an Eating Disorder (ED). The aim of this study was estimate the size of this association with a meta-analysis of studies.\nMETHODS: We retrieved studies following PRISMA guidelines from a broad range of databases.\nRESULTS: Twelve studies fitted our primary aim in investigating ED in ADHD populations (ADHD = 4,013/Controls = 29,404), and five exploring ADHD in ED populations (ED = 1,044/Controls = 11,292). The pooled odds ratio of diagnosing any ED in ADHD was increased significantly, 3.82 (95% CI:2.34-6.24). A similar level of risk was found across all ED syndromes [Anorexia Nervosa = 4.28 (95% CI:2.24-8.16); Bulimia Nervosa = 5.71 (95% CI: 3.56-9.16) and Binge Eating Disorder = 4.13 (95% CI:3-5.67)]. The risk was significantly higher if ADHD was diagnosed using a clinical interview [5.89 (95% CI:4.32-8.04)] rather than a self-report instrument [2.23 (95% CI:1.23-4.03)]. The pooled odds ratio of diagnosing ADHD in participants with ED was significantly increased, 2.57 (95% CI:1.30-5.11). Subgroup analysis of cohorts with binge eating only yielded a risk of 5.77 (95% CI:2.35-14.18). None of the variables examined in meta-regression procedures explained the variance in effect size between studies.\nDISCUSSION: People with ADHD have a higher risk of comorbidity with an ED and people with an ED also have higher levels of comorbidity with ADHD. Future studies should address if patients with this comorbidity have a different prognosis, course and treatment response when compared to patients with either disorder alone.\nRESUMEN OBJETIVO: Ha habido interés en saber si la gente con Trastorno por Déficit de Atención e Hiperactividad (TDAH) están en mayor riesgo de desarrollar un Trastorno de la Conducta Alimentaria (TCA). El objetivo de este estudio fue estimar el tamaño de esta asociación con un meta-análisis de los estudios. Métodos: Recuperamos estudios de una amplia gama base de datos,  que siguen los lineamientos PRISMA. Resultados: Doce estudios encajaron con nuestro objetivo primario de investigar los TCA en poblaciones con TDAH (TDAH = 4,013/Controles = 29,404), y 5 exploraron TDAH en poblaciones con TCA (TCA = 1,044/Controles = 11,292). El odds ratio (OR) agrupado de diagnosticar cualquier TCA en el TDAH se incrementó significativamente, 3.82 (95% CI:2.34-6.24). Un nivel de riesgo similar fue encontrado en todos los síndromes de TCA [Anorexia Nervosa = 4.28 (95% CI:2.24-8.16); Bulimia Nervosa = 5.71 (95% CI:3.56-9.16) y Trastorno por Atracón = 4.13 (95% CI: 3-5.67)]. El riesgo fue significativamente mayor si el TDAH fue diagnosticado utilizando una entrevista clínica [5.89 (95% CI:4.32-8.04)] en lugar de un instrumento de auto-reporte [2.23 (95% CI:1.23-4.03)]. El odds ratio (OR) agrupado de diagnosticar TDAH en participantes con TCA fue significativamente incrementado, 2.57 (95% CI:1.30-5.11). El análisis de los subgrupos de cohort con atracones solamente produjo un riesgo de 5.77 (95% CI:2.35-14.18). Ninguna de las variables examinadas en los procedimientos de meta-regresión explicaron la varianza en el tamaño del efecto entre los estudios. Discusión: La gente con TDAH tiene un mayor riesgo de comorbilidad con un TCA y la gente con un TCA también tiene niveles altos de comorbilidad con TDAH. Los estudios futuros deberán abordar si los pacientes con esta comorbilidad tienen diferente pronóstico, curso y respuesta a tratamiento cuando son comparados con pacientes que solamente tienen uno de los trastornos.  © 2016 Wiley Periodicals, Inc. (Int J Eat Disord 2016) © 2016 Wiley Periodicals, Inc. (Int J Eat Disord 2016; 49:1045-1057).","DOI":"10.1002/eat.22643","ISSN":"1098-108X","note":"PMID: 27859581","shortTitle":"The risk of eating disorders comorbid with attention-deficit/hyperactivity disorder","journalAbbreviation":"Int J Eat Disord","language":"eng","author":[{"family":"Nazar","given":"Bruno Palazzo"},{"family":"Bernardes","given":"Camila"},{"family":"Peachey","given":"Gemma"},{"family":"Sergeant","given":"Joseph"},{"family":"Mattos","given":"Paulo"},{"family":"Treasure","given":"Janet"}],"issued":{"date-parts":[["2016",12]]}}}],"schema":"https://github.com/citation-style-language/schema/raw/master/csl-citation.json"} </w:instrText>
      </w:r>
      <w:r w:rsidRPr="002E5DBE">
        <w:rPr>
          <w:bCs/>
          <w:color w:val="000000" w:themeColor="text1"/>
          <w:szCs w:val="24"/>
        </w:rPr>
        <w:fldChar w:fldCharType="separate"/>
      </w:r>
      <w:r w:rsidRPr="002E5DBE">
        <w:rPr>
          <w:bCs/>
          <w:noProof/>
          <w:color w:val="000000" w:themeColor="text1"/>
          <w:szCs w:val="24"/>
          <w:lang w:val="en-US"/>
        </w:rPr>
        <w:t>(Hilbert et al., 2018; Nazar, Bernardes, et al., 2016)</w:t>
      </w:r>
      <w:r w:rsidRPr="002E5DBE">
        <w:rPr>
          <w:bCs/>
          <w:color w:val="000000" w:themeColor="text1"/>
          <w:szCs w:val="24"/>
        </w:rPr>
        <w:fldChar w:fldCharType="end"/>
      </w:r>
      <w:r w:rsidRPr="002E5DBE">
        <w:rPr>
          <w:color w:val="000000" w:themeColor="text1"/>
          <w:szCs w:val="24"/>
          <w:lang w:val="en-GB"/>
        </w:rPr>
        <w:t xml:space="preserve">. Studies in adults showed that ADHD was related to binge eating </w:t>
      </w:r>
      <w:r w:rsidRPr="002E5DBE">
        <w:rPr>
          <w:color w:val="000000" w:themeColor="text1"/>
          <w:szCs w:val="24"/>
          <w:lang w:val="en-GB"/>
        </w:rPr>
        <w:fldChar w:fldCharType="begin"/>
      </w:r>
      <w:r w:rsidRPr="002E5DBE">
        <w:rPr>
          <w:color w:val="000000" w:themeColor="text1"/>
          <w:szCs w:val="24"/>
          <w:lang w:val="en-GB"/>
        </w:rPr>
        <w:instrText xml:space="preserve"> ADDIN ZOTERO_ITEM CSL_CITATION {"citationID":"a1m5vh1g44i","properties":{"formattedCitation":"(Alfonsson et al., 2013; Brewerton &amp; Duncan, 2016; Nazar, de Sousa Pinna, et al., 2016)","plainCitation":"(Alfonsson et al., 2013; Brewerton &amp; Duncan, 2016; Nazar, de Sousa Pinna, et al., 2016)","noteIndex":0},"citationItems":[{"id":91,"uris":["http://zotero.org/users/158295/items/X6KKFBGT"],"uri":["http://zotero.org/users/158295/items/X6KKFBGT"],"itemData":{"id":91,"type":"article-journal","title":"Self-reported symptoms of adult attention deficit hyperactivity disorder among obese patients seeking bariatric surgery and its relation to alcohol consumption, disordered eating and gender","container-title":"Clinical Obesity","page":"124-131","volume":"3","issue":"5","source":"PubMed","abstract":"WHAT IS ALREADY KNOWN ABOUT THIS SUBJECT: Symptoms of adult attention deficit hyperactivity disorder (ADHD) are common among people with obesity. Symptoms of ADHD are associated with other impulsive behaviours. Impulsivity can manifest differently in women and men.\nWHAT THIS STUDY ADDS: The prevalence of ADHD symptoms was equal in both sexes in this patient group. ADHD symptoms were associated with hazardous alcohol consumption in men but not in women. It may be important to investigate several comorbid conditions simultaneously instead of a single diagnosis. Eating disorders and adult attention deficit hyperactivity disorder (ADHD), both characterized by deficits in impulse control, are common among bariatric surgery patients. Previous studies in other groups have found gender differences in how symptoms of ADHD and eating disorders manifest as women show more disordered eating and men show more risk consumption of alcohol. In the present study, the association between symptoms of adult ADHD, eating disorders and hazardous alcohol consumption was investigated, while considering gender differences. Self-report questionnaires were obtained from 276 bariatric surgery patients 3-6 months before surgery. The prevalence rates of adult ADHD and binge eating disorder (BED) were 8.6% and 6.3%, respectively, with no evidence of gender difference in the prevalence rates. Hazardous alcohol consumption was reported by a significantly larger portion of men (16.9%) than women (8.6%). There was an association between adult ADHD and both BED and hazardous alcohol consumption. However, symptoms of adult ADHD were associated with hazardous alcohol consumption in men but not in women. Our results suggest gender differences in hazardous alcohol consumption and self-reported symptoms of disordered eating despite similar prevalence rate of BED, but no gender difference in symptoms of adult ADHD. Finally, as the associations between these variables seem to be different in women and men, future studies need to investigate potential gender-specific functional and temporal relations between these variables.","DOI":"10.1111/cob.12025","ISSN":"1758-8111","note":"PMID: 25586627","journalAbbreviation":"Clin Obes","language":"eng","author":[{"family":"Alfonsson","given":"S."},{"family":"Parling","given":"T."},{"family":"Ghaderi","given":"A."}],"issued":{"date-parts":[["2013",10]]}}},{"id":94,"uris":["http://zotero.org/users/158295/items/A63TD6SB"],"uri":["http://zotero.org/users/158295/items/A63TD6SB"],"itemData":{"id":94,"type":"article-journal","title":"Associations between Attention Deficit Hyperactivity Disorder and Eating Disorders by Gender: Results from the National Comorbidity Survey Replication","container-title":"European Eating Disorders Review","page":"536-540","volume":"24","issue":"6","source":"PubMed","abstract":"Few studies have assessed the association between attention-deficit hyperactivity disorder (ADHD) and eating disorders (ED) separately in men and women, especially in representative samples. Using data from the National Comorbidity Survey Replication, lifetime and past 12-month prevalence of Diagnostic and Statistical Manual of Mental Disorders IV, ADHD was compared in men and women with and without diagnoses of Diagnostic and Statistical Manual of Mental Disorders IV ED and any binge eating (BE) using logistic regression models adjusted for gender and age. In both sexes, those with lifetime and past 12-month BE and binge eating disorder had significantly higher prevalence of ADHD than those without BE and binge eating disorder, respectively. Women with lifetime and past 12-month bulimia nervosa and lifetime anorexia nervosa also had significantly higher prevalence of ADHD compared with women without these diagnoses. Given that ADHD invariably began earlier than the ED, ADHD may be an important risk factor for subsequent BE and related ED, and there may be opportunities for intervention among youth with ADHD. Copyright © 2016 John Wiley &amp; Sons, Ltd and Eating Disorders Association.","DOI":"10.1002/erv.2468","ISSN":"1099-0968","note":"PMID: 27480884","shortTitle":"Associations between Attention Deficit Hyperactivity Disorder and Eating Disorders by Gender","journalAbbreviation":"Eur Eat Disord Rev","language":"eng","author":[{"family":"Brewerton","given":"Timothy D."},{"family":"Duncan","given":"Alexis E."}],"issued":{"date-parts":[["2016",11]]}}},{"id":89,"uris":["http://zotero.org/users/158295/items/VWMUXVHN"],"uri":["http://zotero.org/users/158295/items/VWMUXVHN"],"itemData":{"id":89,"type":"article-journal","title":"ADHD Rate in Obese Women With Binge Eating and Bulimic Behaviors From a Weight-Loss Clinic","container-title":"Journal of Attention Disorders","page":"610-616","volume":"20","issue":"7","source":"PubMed","abstract":"OBJECTIVE: Few studies have demonstrated a possible association between ADHD and obesity in adults. The aim of this study was to investigate the prevalence of ADHD in a sample of obese women seeking treatment, and its relations with binge eating and bulimic behaviors.\nMETHOD: We performed a cross-sectional study in a clinical sample of one hundred fifty-five women, with a mean age of 38.9 (+10.7) years and a mean body mass index (BMI) of 39.2 (+5.29). Participants were evaluated with semistructured interviews and completed self-report psychiatric rating scales.\nRESULTS: The rate of ADHD in the sample was of 28.3%. The presence of ADHD was significantly correlated with more severe binge eating, bulimic behaviors, and depressive symptomatology.\nCONCLUSION: Similar to previous studies, a higher than expected rate of ADHD was observed among obese women. ADHD in obese individuals may be a risk factor for greater severity of disordered eating patterns.","DOI":"10.1177/1087054712455503","ISSN":"1557-1246","note":"PMID: 22930790","journalAbbreviation":"J Atten Disord","language":"eng","author":[{"family":"Nazar","given":"Bruno Palazzo"},{"family":"Sousa Pinna","given":"Camilla Moreira","non-dropping-particle":"de"},{"family":"Suwwan","given":"Raphael"},{"family":"Duchesne","given":"Monica"},{"family":"Freitas","given":"Silvia Regina"},{"family":"Sergeant","given":"Joseph"},{"family":"Mattos","given":"Paulo"}],"issued":{"date-parts":[["2016"]]}}}],"schema":"https://github.com/citation-style-language/schema/raw/master/csl-citation.json"} </w:instrText>
      </w:r>
      <w:r w:rsidRPr="002E5DBE">
        <w:rPr>
          <w:color w:val="000000" w:themeColor="text1"/>
          <w:szCs w:val="24"/>
          <w:lang w:val="en-GB"/>
        </w:rPr>
        <w:fldChar w:fldCharType="separate"/>
      </w:r>
      <w:r w:rsidRPr="002E5DBE">
        <w:rPr>
          <w:color w:val="000000" w:themeColor="text1"/>
          <w:lang w:val="en-US"/>
        </w:rPr>
        <w:t>(Alfonsson et al., 2013; Brewerton &amp; Duncan, 2016; Nazar, de Sousa Pinna, et al., 2016)</w:t>
      </w:r>
      <w:r w:rsidRPr="002E5DBE">
        <w:rPr>
          <w:color w:val="000000" w:themeColor="text1"/>
          <w:szCs w:val="24"/>
          <w:lang w:val="en-GB"/>
        </w:rPr>
        <w:fldChar w:fldCharType="end"/>
      </w:r>
      <w:r w:rsidRPr="002E5DBE">
        <w:rPr>
          <w:color w:val="000000" w:themeColor="text1"/>
          <w:szCs w:val="24"/>
          <w:lang w:val="en-GB"/>
        </w:rPr>
        <w:t xml:space="preserve">, but the majority assessed ADHD using self-administered questionnaires rather than a clinical interview. To our knowledge, the study assessing eating behaviors in adults with ADHD using a clinical interview is the one by Nazar et al. </w:t>
      </w:r>
      <w:r w:rsidRPr="002E5DBE">
        <w:rPr>
          <w:color w:val="000000" w:themeColor="text1"/>
          <w:szCs w:val="24"/>
          <w:lang w:val="en-GB"/>
        </w:rPr>
        <w:fldChar w:fldCharType="begin"/>
      </w:r>
      <w:r w:rsidRPr="002E5DBE">
        <w:rPr>
          <w:color w:val="000000" w:themeColor="text1"/>
          <w:szCs w:val="24"/>
          <w:lang w:val="en-GB"/>
        </w:rPr>
        <w:instrText xml:space="preserve"> ADDIN ZOTERO_ITEM CSL_CITATION {"citationID":"a14h6fmhjed","properties":{"formattedCitation":"(Nazar et al., 2016b)","plainCitation":"(Nazar et al., 2016b)","dontUpdate":true,"noteIndex":0},"citationItems":[{"id":89,"uris":["http://zotero.org/users/158295/items/VWMUXVHN"],"uri":["http://zotero.org/users/158295/items/VWMUXVHN"],"itemData":{"id":89,"type":"article-journal","title":"ADHD Rate in Obese Women With Binge Eating and Bulimic Behaviors From a Weight-Loss Clinic","container-title":"Journal of Attention Disorders","page":"610-616","volume":"20","issue":"7","source":"PubMed","abstract":"OBJECTIVE: Few studies have demonstrated a possible association between ADHD and obesity in adults. The aim of this study was to investigate the prevalence of ADHD in a sample of obese women seeking treatment, and its relations with binge eating and bulimic behaviors.\nMETHOD: We performed a cross-sectional study in a clinical sample of one hundred fifty-five women, with a mean age of 38.9 (+10.7) years and a mean body mass index (BMI) of 39.2 (+5.29). Participants were evaluated with semistructured interviews and completed self-report psychiatric rating scales.\nRESULTS: The rate of ADHD in the sample was of 28.3%. The presence of ADHD was significantly correlated with more severe binge eating, bulimic behaviors, and depressive symptomatology.\nCONCLUSION: Similar to previous studies, a higher than expected rate of ADHD was observed among obese women. ADHD in obese individuals may be a risk factor for greater severity of disordered eating patterns.","DOI":"10.1177/1087054712455503","ISSN":"1557-1246","note":"PMID: 22930790","journalAbbreviation":"J Atten Disord","language":"eng","author":[{"family":"Nazar","given":"Bruno Palazzo"},{"family":"Sousa Pinna","given":"Camilla Moreira","non-dropping-particle":"de"},{"family":"Suwwan","given":"Raphael"},{"family":"Duchesne","given":"Monica"},{"family":"Freitas","given":"Silvia Regina"},{"family":"Sergeant","given":"Joseph"},{"family":"Mattos","given":"Paulo"}],"issued":{"date-parts":[["2016"]]}}}],"schema":"https://github.com/citation-style-language/schema/raw/master/csl-citation.json"} </w:instrText>
      </w:r>
      <w:r w:rsidRPr="002E5DBE">
        <w:rPr>
          <w:color w:val="000000" w:themeColor="text1"/>
          <w:szCs w:val="24"/>
          <w:lang w:val="en-GB"/>
        </w:rPr>
        <w:fldChar w:fldCharType="separate"/>
      </w:r>
      <w:r w:rsidRPr="002E5DBE">
        <w:rPr>
          <w:noProof/>
          <w:color w:val="000000" w:themeColor="text1"/>
          <w:szCs w:val="24"/>
          <w:lang w:val="en-GB"/>
        </w:rPr>
        <w:t>(2016)</w:t>
      </w:r>
      <w:r w:rsidRPr="002E5DBE">
        <w:rPr>
          <w:color w:val="000000" w:themeColor="text1"/>
          <w:szCs w:val="24"/>
          <w:lang w:val="en-GB"/>
        </w:rPr>
        <w:fldChar w:fldCharType="end"/>
      </w:r>
      <w:r w:rsidRPr="002E5DBE">
        <w:rPr>
          <w:color w:val="000000" w:themeColor="text1"/>
          <w:szCs w:val="24"/>
          <w:lang w:val="en-GB"/>
        </w:rPr>
        <w:t xml:space="preserve">. Interestingly, in our study, ADHD was associated with both food addiction symptoms and binge eating score. Given that there was no strict overlap between binge eating </w:t>
      </w:r>
      <w:r w:rsidRPr="002E5DBE">
        <w:rPr>
          <w:color w:val="000000" w:themeColor="text1"/>
          <w:szCs w:val="24"/>
          <w:lang w:val="en-GB"/>
        </w:rPr>
        <w:lastRenderedPageBreak/>
        <w:t xml:space="preserve">and food addiction, we can assume that these two measures may </w:t>
      </w:r>
      <w:r w:rsidRPr="002E5DBE">
        <w:rPr>
          <w:bCs/>
          <w:color w:val="000000" w:themeColor="text1"/>
          <w:szCs w:val="24"/>
          <w:lang w:val="en-US"/>
        </w:rPr>
        <w:t>identify different sub-populations of ADHD patients at-risk for with obesity</w:t>
      </w:r>
      <w:r w:rsidRPr="002E5DBE">
        <w:rPr>
          <w:color w:val="000000" w:themeColor="text1"/>
          <w:szCs w:val="24"/>
          <w:lang w:val="en-GB"/>
        </w:rPr>
        <w:t>. Future research should determine the added value of food addiction over binge eating alone</w:t>
      </w:r>
      <w:r w:rsidR="006E420C" w:rsidRPr="002E5DBE">
        <w:rPr>
          <w:bCs/>
          <w:color w:val="000000" w:themeColor="text1"/>
          <w:szCs w:val="24"/>
          <w:lang w:val="en-US"/>
        </w:rPr>
        <w:t xml:space="preserve">. </w:t>
      </w:r>
      <w:r w:rsidRPr="002E5DBE">
        <w:rPr>
          <w:color w:val="000000" w:themeColor="text1"/>
          <w:szCs w:val="24"/>
          <w:lang w:val="en-GB"/>
        </w:rPr>
        <w:t xml:space="preserve">Finally, we found that food addiction and binge eating were more strongly associated with adult ADHD than childhood ADHD, which lends support to the notion that remitted ADHD is associated with a lower risk of food addiction and to better outcome. To our knowledge, this has not been reported in previous research.  </w:t>
      </w:r>
    </w:p>
    <w:p w:rsidR="00D13D04" w:rsidRPr="002E5DBE" w:rsidRDefault="00D13D04" w:rsidP="00D13D04">
      <w:pPr>
        <w:spacing w:line="480" w:lineRule="auto"/>
        <w:rPr>
          <w:color w:val="000000" w:themeColor="text1"/>
          <w:szCs w:val="24"/>
          <w:lang w:val="en-GB"/>
        </w:rPr>
      </w:pPr>
      <w:r w:rsidRPr="002E5DBE">
        <w:rPr>
          <w:color w:val="000000" w:themeColor="text1"/>
          <w:szCs w:val="24"/>
          <w:lang w:val="en-GB"/>
        </w:rPr>
        <w:tab/>
        <w:t>Our study also allowed testing another mechanism underlying the association between obesity and ADHD:</w:t>
      </w:r>
      <w:r w:rsidRPr="002E5DBE">
        <w:rPr>
          <w:bCs/>
          <w:color w:val="000000" w:themeColor="text1"/>
          <w:szCs w:val="24"/>
          <w:lang w:val="en-US"/>
        </w:rPr>
        <w:t xml:space="preserve"> </w:t>
      </w:r>
      <w:r w:rsidRPr="002E5DBE">
        <w:rPr>
          <w:color w:val="000000" w:themeColor="text1"/>
          <w:szCs w:val="24"/>
          <w:lang w:val="en-GB"/>
        </w:rPr>
        <w:t xml:space="preserve">obesity and/or the factors associated with it may manifest as ADHD-like symptoms. Although one previous study found no association between adult ADHD symptoms and sleep apnea syndrome </w:t>
      </w:r>
      <w:r w:rsidRPr="002E5DBE">
        <w:rPr>
          <w:color w:val="000000" w:themeColor="text1"/>
          <w:szCs w:val="24"/>
          <w:lang w:val="en-GB"/>
        </w:rPr>
        <w:fldChar w:fldCharType="begin"/>
      </w:r>
      <w:r w:rsidRPr="002E5DBE">
        <w:rPr>
          <w:color w:val="000000" w:themeColor="text1"/>
          <w:szCs w:val="24"/>
          <w:lang w:val="en-GB"/>
        </w:rPr>
        <w:instrText xml:space="preserve"> ADDIN ZOTERO_ITEM CSL_CITATION {"citationID":"a1q3mdviab4","properties":{"formattedCitation":"(O\\uc0\\u287{}uzt\\uc0\\u252{}rk, Ekici, \\uc0\\u199{}imen, Ekici, &amp; Senturk, 2013)","plainCitation":"(Oğuztürk, Ekici, Çimen, Ekici, &amp; Senturk, 2013)","noteIndex":0},"citationItems":[{"id":86,"uris":["http://zotero.org/users/158295/items/YHZMZMGS"],"uri":["http://zotero.org/users/158295/items/YHZMZMGS"],"itemData":{"id":86,"type":"article-journal","title":"Attention Deficit/Hyperactivity Disorder in Adults with Sleep Apnea","container-title":"Journal of Clinical Psychology in Medical Settings","page":"234-239","volume":"20","issue":"2","source":"PubMed Central","abstract":"AAttention deficit hyperactivity disorder (ADHD) is a common childhood illness. In some patients, this illness may persist into adulthood and an association between ADHD and Obstructive Sleep Apnea (OSA) has been found in childhood. However, it is unclear how OSA and ADHD coincide in adulthood. Therefore, to explore the relationship between OSA and adult ADHD the current investigation utilized a clinically-based cross-sectional survey. Subjects consisted of 81 treatment-naïve OSA patients and 32 controls. Measures included each patient completed a questionnaire regarding sleep, Adult ADHD scale. Clinical information, body mass index, 36-item Short Form Health Survey (SF-36), Epworth Sleepiness Scale (ESS), Hospital Anxiety and Depression Scale, and polysomnography.The subjects with Apnea-Hypopnea Index (AHI) ≥ 5 events/h were defined as patients with OSA. The control group was accepted as individuals with AHI &gt; 0 events/h. The prevalence of adult ADHD was not different between the patients with OSA and the control group [(7.4 % (6/75) vs. 6.3 % (2/30), p = 0.8, respectively]. OSA patients with ADHD, as compared with those without, had higher anxiety scores and poorer physical component scores of quality of life and higher ESS scores. ADHD scores in patients with OSA were associated with anxiety and depression scores and SF36 physical and mental component scores in bivariate analyses. Thus, in our sample ADHD was not a frequent illness in adult patients with OSA. However, in patients with OSA and ADHD higher levels of anxiety and daytime sleepiness and poorer quality of life was found.","DOI":"10.1007/s10880-012-9331-2","ISSN":"1068-9583","note":"PMID: 23179074\nPMCID: PMC3676641","journalAbbreviation":"J Clin Psychol Med Settings","author":[{"family":"Oğuztürk","given":"Ömer"},{"family":"Ekici","given":"Mehmet"},{"family":"Çimen","given":"Dilay"},{"family":"Ekici","given":"Aydanur"},{"family":"Senturk","given":"Erol"}],"issued":{"date-parts":[["2013",6]]}}}],"schema":"https://github.com/citation-style-language/schema/raw/master/csl-citation.json"} </w:instrText>
      </w:r>
      <w:r w:rsidRPr="002E5DBE">
        <w:rPr>
          <w:color w:val="000000" w:themeColor="text1"/>
          <w:szCs w:val="24"/>
          <w:lang w:val="en-GB"/>
        </w:rPr>
        <w:fldChar w:fldCharType="separate"/>
      </w:r>
      <w:r w:rsidRPr="002E5DBE">
        <w:rPr>
          <w:color w:val="000000" w:themeColor="text1"/>
          <w:lang w:val="en-US"/>
        </w:rPr>
        <w:t>(Oğuztürk, Ekici, Çimen, Ekici, &amp; Senturk, 2013)</w:t>
      </w:r>
      <w:r w:rsidRPr="002E5DBE">
        <w:rPr>
          <w:color w:val="000000" w:themeColor="text1"/>
          <w:szCs w:val="24"/>
          <w:lang w:val="en-GB"/>
        </w:rPr>
        <w:fldChar w:fldCharType="end"/>
      </w:r>
      <w:r w:rsidRPr="002E5DBE">
        <w:rPr>
          <w:color w:val="000000" w:themeColor="text1"/>
          <w:szCs w:val="24"/>
          <w:lang w:val="en-GB"/>
        </w:rPr>
        <w:t xml:space="preserve">, there are no studies assessing ADHD using a clinical interview rather than a self-report questionnaire. Filling this gap, our study found no evidence for an association between sleep apnea syndrome and ADHD. </w:t>
      </w:r>
    </w:p>
    <w:p w:rsidR="00D13D04" w:rsidRPr="002E5DBE" w:rsidRDefault="00D13D04" w:rsidP="00D13D04">
      <w:pPr>
        <w:tabs>
          <w:tab w:val="left" w:pos="0"/>
        </w:tabs>
        <w:spacing w:line="480" w:lineRule="auto"/>
        <w:rPr>
          <w:color w:val="000000" w:themeColor="text1"/>
          <w:szCs w:val="24"/>
          <w:lang w:val="en-GB"/>
        </w:rPr>
      </w:pPr>
      <w:r w:rsidRPr="002E5DBE">
        <w:rPr>
          <w:color w:val="000000" w:themeColor="text1"/>
          <w:szCs w:val="24"/>
          <w:lang w:val="en-GB"/>
        </w:rPr>
        <w:tab/>
        <w:t xml:space="preserve">Our data also confirm that adult ADHD is highly prevalent in obese patients, and that these disorders are highly comorbid. The mean prevalence of adult ADHD was 26.7%, which is slightly higher than expected according to Cortese et al. meta-analysis </w:t>
      </w:r>
      <w:r w:rsidRPr="002E5DBE">
        <w:rPr>
          <w:color w:val="000000" w:themeColor="text1"/>
          <w:szCs w:val="24"/>
          <w:lang w:val="en-GB"/>
        </w:rPr>
        <w:fldChar w:fldCharType="begin"/>
      </w:r>
      <w:r w:rsidRPr="002E5DBE">
        <w:rPr>
          <w:color w:val="000000" w:themeColor="text1"/>
          <w:szCs w:val="24"/>
          <w:lang w:val="en-GB"/>
        </w:rPr>
        <w:instrText xml:space="preserve"> ADDIN ZOTERO_ITEM CSL_CITATION {"citationID":"a1ni1en4i5l","properties":{"formattedCitation":"(Cortese et al., 2016)","plainCitation":"(Cortese et al., 2016)","noteIndex":0},"citationItems":[{"id":100,"uris":["http://zotero.org/users/158295/items/BDF7GWHD"],"uri":["http://zotero.org/users/158295/items/BDF7GWHD"],"itemData":{"id":100,"type":"article-journal","title":"Association Between ADHD and Obesity: A Systematic Review and Meta-Analysis","container-title":"American Journal of Psychiatry","page":"34-43","volume":"173","issue":"1","source":"Google Scholar","shortTitle":"Association Between ADHD and Obesity","author":[{"family":"Cortese","given":"Samuele"},{"family":"Moreira-Maia","given":"Carlos Renato"},{"family":"St. Fleur","given":"Diane"},{"family":"Morcillo-Peñalver","given":"Carmen"},{"family":"Rohde","given":"Luis Augusto"},{"family":"Faraone","given":"Stephen V."}],"issued":{"date-parts":[["2016"]]}}}],"schema":"https://github.com/citation-style-language/schema/raw/master/csl-citation.json"} </w:instrText>
      </w:r>
      <w:r w:rsidRPr="002E5DBE">
        <w:rPr>
          <w:color w:val="000000" w:themeColor="text1"/>
          <w:szCs w:val="24"/>
          <w:lang w:val="en-GB"/>
        </w:rPr>
        <w:fldChar w:fldCharType="separate"/>
      </w:r>
      <w:r w:rsidRPr="002E5DBE">
        <w:rPr>
          <w:noProof/>
          <w:color w:val="000000" w:themeColor="text1"/>
          <w:szCs w:val="24"/>
          <w:lang w:val="en-GB"/>
        </w:rPr>
        <w:t>(Cortese et al., 2016)</w:t>
      </w:r>
      <w:r w:rsidRPr="002E5DBE">
        <w:rPr>
          <w:color w:val="000000" w:themeColor="text1"/>
          <w:szCs w:val="24"/>
          <w:lang w:val="en-GB"/>
        </w:rPr>
        <w:fldChar w:fldCharType="end"/>
      </w:r>
      <w:r w:rsidRPr="002E5DBE">
        <w:rPr>
          <w:color w:val="000000" w:themeColor="text1"/>
          <w:szCs w:val="24"/>
          <w:lang w:val="en-GB"/>
        </w:rPr>
        <w:t xml:space="preserve">. Indeed, it should be noted that the meta-analysis by </w:t>
      </w:r>
      <w:r w:rsidRPr="002E5DBE">
        <w:rPr>
          <w:noProof/>
          <w:color w:val="000000" w:themeColor="text1"/>
          <w:szCs w:val="24"/>
          <w:lang w:val="en-GB"/>
        </w:rPr>
        <w:t>Cortese et al.</w:t>
      </w:r>
      <w:r w:rsidRPr="002E5DBE">
        <w:rPr>
          <w:color w:val="000000" w:themeColor="text1"/>
          <w:szCs w:val="24"/>
          <w:lang w:val="en-GB"/>
        </w:rPr>
        <w:t xml:space="preserve"> excluded studies based on morbid obese seen in bariatric clinics, to avoid inflating the estimated prevalence of ADHD. Our study population, constituted of severely obese patients, could explain this higher prevalence rate and our results are in line with those reported in a bariatric sample by Altfas, which indeed found a prevalence rate of 27.4% in obese patients, but 42.6% in morbidly obese patients (BMI </w:t>
      </w:r>
      <w:r w:rsidRPr="002E5DBE">
        <w:rPr>
          <w:bCs/>
          <w:color w:val="000000" w:themeColor="text1"/>
          <w:szCs w:val="24"/>
          <w:lang w:val="en-US"/>
        </w:rPr>
        <w:t>≥ 40 kg/m</w:t>
      </w:r>
      <w:r w:rsidRPr="002E5DBE">
        <w:rPr>
          <w:bCs/>
          <w:color w:val="000000" w:themeColor="text1"/>
          <w:szCs w:val="24"/>
          <w:vertAlign w:val="superscript"/>
          <w:lang w:val="en-US"/>
        </w:rPr>
        <w:t>2</w:t>
      </w:r>
      <w:r w:rsidRPr="002E5DBE">
        <w:rPr>
          <w:bCs/>
          <w:color w:val="000000" w:themeColor="text1"/>
          <w:szCs w:val="24"/>
          <w:lang w:val="en-US"/>
        </w:rPr>
        <w:t>)</w:t>
      </w:r>
      <w:r w:rsidRPr="002E5DBE">
        <w:rPr>
          <w:color w:val="000000" w:themeColor="text1"/>
          <w:szCs w:val="24"/>
          <w:lang w:val="en-GB"/>
        </w:rPr>
        <w:t xml:space="preserve"> </w:t>
      </w:r>
      <w:r w:rsidRPr="002E5DBE">
        <w:rPr>
          <w:color w:val="000000" w:themeColor="text1"/>
          <w:szCs w:val="24"/>
          <w:lang w:val="en-GB"/>
        </w:rPr>
        <w:fldChar w:fldCharType="begin"/>
      </w:r>
      <w:r w:rsidRPr="002E5DBE">
        <w:rPr>
          <w:color w:val="000000" w:themeColor="text1"/>
          <w:szCs w:val="24"/>
          <w:lang w:val="en-GB"/>
        </w:rPr>
        <w:instrText xml:space="preserve"> ADDIN ZOTERO_ITEM CSL_CITATION {"citationID":"a2pvo384poo","properties":{"formattedCitation":"(Altfas, 2002)","plainCitation":"(Altfas, 2002)","noteIndex":0},"citationItems":[{"id":1288,"uris":["http://zotero.org/users/158295/items/B29ZA9QX"],"uri":["http://zotero.org/users/158295/items/B29ZA9QX"],"itemData":{"id":1288,"type":"article-journal","title":"Prevalence of attention deficit/hyperactivity disorder among adults in obesity treatment","container-title":"BMC psychiatry","page":"1-9","volume":"2","source":"NCBI PubMed","abstract":"BACKGROUND: Bariatric patients showing poor \"focus\" during treatment more often failed to lose weight or maintain reduced weight. Evaluation of these patients identified a number having attention deficit/hyperactivity disorder (ADHD), evidently a potent factor limiting successful weight control. After searches found no published reports describing comorbid ADHD and obesity, this report was conceived to begin exploring the prevalence and characteristics of these patients.\nMETHOD: Clinical records of 215 patients receiving obesity treatment during 2000 were reviewed. Data collected and analyzed included age, sex, beginning and ending body mass index (BMI), number of clinic visits, months of treatment, and diagnostic category (ADHD, some ADHD symptoms, non-ADHD). DSM-IV criteria were used, except age of onset was modified to &lt;= 12 years.\nRESULTS: Whole sample ADHD prevalence was 27.4% (CI:21.1,32.9), but 42.6% (CI: 36.3% to 48.9%) for BMI &gt;= 40. Mean weight loss among obese patients with ADHD (OB+ADHD) was 2.6 BMI (kg/m2) vs. 4.0 for non-ADHD (NAD) (p &lt; 0.002). For BMI &gt;= 40, OB+ADHD had BMI loss 2.9 vs. 7.0 (NAD) (p &lt; 0.004). OB+ADHD had more clinic visits, with a trend toward longer treatment duration.\nCONCLUSIONS: ADHD was highly prevalent among obese patients and highest in those with extreme obesity. Comorbid obesity and ADHD symptoms rendered treatment less successful compared to NAD counterparts. Reasons for the comorbidity are unknown, but may involve brain dopamine or insulin receptor activity. If replicated in further studies, these findings have important implications for treatment of severe and extreme obesity.","ISSN":"1471-244X","note":"PMID: 12227832 \nPMCID: PMC130024","journalAbbreviation":"BMC Psychiatry","language":"eng","author":[{"family":"Altfas","given":"Jules R."}],"issued":{"date-parts":[["2002",9,13]]}}}],"schema":"https://github.com/citation-style-language/schema/raw/master/csl-citation.json"} </w:instrText>
      </w:r>
      <w:r w:rsidRPr="002E5DBE">
        <w:rPr>
          <w:color w:val="000000" w:themeColor="text1"/>
          <w:szCs w:val="24"/>
          <w:lang w:val="en-GB"/>
        </w:rPr>
        <w:fldChar w:fldCharType="separate"/>
      </w:r>
      <w:r w:rsidRPr="002E5DBE">
        <w:rPr>
          <w:noProof/>
          <w:color w:val="000000" w:themeColor="text1"/>
          <w:szCs w:val="24"/>
          <w:lang w:val="en-GB"/>
        </w:rPr>
        <w:t>(Altfas, 2002)</w:t>
      </w:r>
      <w:r w:rsidRPr="002E5DBE">
        <w:rPr>
          <w:color w:val="000000" w:themeColor="text1"/>
          <w:szCs w:val="24"/>
          <w:lang w:val="en-GB"/>
        </w:rPr>
        <w:fldChar w:fldCharType="end"/>
      </w:r>
      <w:r w:rsidRPr="002E5DBE">
        <w:rPr>
          <w:color w:val="000000" w:themeColor="text1"/>
          <w:szCs w:val="24"/>
          <w:lang w:val="en-GB"/>
        </w:rPr>
        <w:t xml:space="preserve">. Mean age of onset of obesity was lower (although not significantly), in adult ADHD than non-ADHD patients (14.9 vs. 18.9 years), and lower in adult ADHD than childhood ADHD (14.9 years vs. 15.9 years). In addition, mean age of onset </w:t>
      </w:r>
      <w:r w:rsidRPr="002E5DBE">
        <w:rPr>
          <w:color w:val="000000" w:themeColor="text1"/>
          <w:szCs w:val="24"/>
          <w:lang w:val="en-GB"/>
        </w:rPr>
        <w:lastRenderedPageBreak/>
        <w:t xml:space="preserve">of ADHD (before 12 years) preceded mean age of onset of obesity (14.9 years). Although one can assume that ADHD patients may represent, when untreated, a specific population with a higher risk of obesity and for an earlier obesity </w:t>
      </w:r>
      <w:r w:rsidRPr="002E5DBE">
        <w:rPr>
          <w:color w:val="000000" w:themeColor="text1"/>
          <w:szCs w:val="24"/>
          <w:lang w:val="en-GB"/>
        </w:rPr>
        <w:fldChar w:fldCharType="begin"/>
      </w:r>
      <w:r w:rsidRPr="002E5DBE">
        <w:rPr>
          <w:color w:val="000000" w:themeColor="text1"/>
          <w:szCs w:val="24"/>
          <w:lang w:val="en-GB"/>
        </w:rPr>
        <w:instrText xml:space="preserve"> ADDIN ZOTERO_ITEM CSL_CITATION {"citationID":"a14khqa0sau","properties":{"formattedCitation":"(B. S. Schwartz et al., 2014)","plainCitation":"(B. S. Schwartz et al., 2014)","noteIndex":0},"citationItems":[{"id":1168,"uris":["http://zotero.org/users/158295/items/URK54AG8"],"uri":["http://zotero.org/users/158295/items/URK54AG8"],"itemData":{"id":1168,"type":"article-journal","title":"Attention deficit disorder, stimulant use, and childhood body mass index trajectory","container-title":"Pediatrics","page":"668-676","volume":"133","issue":"4","source":"NCBI PubMed","abstract":"BACKGROUND: Childhood attention-deficit/hyperactivity disorder (ADHD) has been associated with childhood and adult obesity, and stimulant use with delayed childhood growth, but the independent influences are unclear. No longitudinal studies have examined associations of ADHD diagnosis and stimulant use on BMI trajectories throughout childhood and adolescence.\nMETHODS: We used longitudinal electronic health record data from the Geisinger Health System on 163,820 children ages 3 to 18 years in Pennsylvania. Random effects linear regression models were used to model BMI trajectories with increasing age in relation to ADHD diagnosis, age at first stimulant use, and stimulant use duration, while controlling for confounding variables.\nRESULTS: Mean (SD) age at first BMI was 8.9 (5.0) years, and children provided a mean (SD) of 3.2 (2.4) annual BMI measurements. On average, BMI trajectories showed a curvilinear relation with age. There were consistent associations of unmedicated ADHD with higher BMIs during childhood compared with those without ADHD or stimulants. Younger age at first stimulant use and longer duration of stimulant use were each associated with slower BMI growth earlier in childhood but a more rapid rebound to higher BMIs in late adolescence.\nCONCLUSIONS: The study provides the first longitudinal evidence that ADHD during childhood not treated with stimulants was associated with higher childhood BMIs. In contrast, ADHD treated with stimulants was associated with slower early BMI growth but a rebound later in adolescence to levels above children without a history of ADHD or stimulant use. The findings have important clinical and neurobiological implications.","DOI":"10.1542/peds.2013-3427","ISSN":"1098-4275","note":"PMID: 24639278 \nPMCID: PMC3966507","journalAbbreviation":"Pediatrics","language":"eng","author":[{"family":"Schwartz","given":"Brian S."},{"family":"Bailey-Davis","given":"Lisa"},{"family":"Bandeen-Roche","given":"Karen"},{"family":"Pollak","given":"Jonathan"},{"family":"Hirsch","given":"Annemarie G."},{"family":"Nau","given":"Claudia"},{"family":"Liu","given":"Ann Y."},{"family":"Glass","given":"Thomas A."}],"issued":{"date-parts":[["2014",4]]}}}],"schema":"https://github.com/citation-style-language/schema/raw/master/csl-citation.json"} </w:instrText>
      </w:r>
      <w:r w:rsidRPr="002E5DBE">
        <w:rPr>
          <w:color w:val="000000" w:themeColor="text1"/>
          <w:szCs w:val="24"/>
          <w:lang w:val="en-GB"/>
        </w:rPr>
        <w:fldChar w:fldCharType="separate"/>
      </w:r>
      <w:r w:rsidRPr="002E5DBE">
        <w:rPr>
          <w:noProof/>
          <w:color w:val="000000" w:themeColor="text1"/>
          <w:szCs w:val="24"/>
          <w:lang w:val="en-GB"/>
        </w:rPr>
        <w:t>(B. S. Schwartz et al., 2014)</w:t>
      </w:r>
      <w:r w:rsidRPr="002E5DBE">
        <w:rPr>
          <w:color w:val="000000" w:themeColor="text1"/>
          <w:szCs w:val="24"/>
          <w:lang w:val="en-GB"/>
        </w:rPr>
        <w:fldChar w:fldCharType="end"/>
      </w:r>
      <w:r w:rsidRPr="002E5DBE">
        <w:rPr>
          <w:color w:val="000000" w:themeColor="text1"/>
          <w:szCs w:val="24"/>
          <w:lang w:val="en-GB"/>
        </w:rPr>
        <w:t>, our results failed to demonstrate such an association, probably because of lack of statistical power and/or because of our sample included only severely obese patients.</w:t>
      </w:r>
    </w:p>
    <w:p w:rsidR="00D13D04" w:rsidRPr="002E5DBE" w:rsidRDefault="00D13D04" w:rsidP="00D13D04">
      <w:pPr>
        <w:spacing w:line="480" w:lineRule="auto"/>
        <w:rPr>
          <w:color w:val="000000" w:themeColor="text1"/>
          <w:szCs w:val="24"/>
          <w:lang w:val="en-GB"/>
        </w:rPr>
      </w:pPr>
      <w:r w:rsidRPr="002E5DBE">
        <w:rPr>
          <w:color w:val="000000" w:themeColor="text1"/>
          <w:szCs w:val="24"/>
          <w:lang w:val="en-GB"/>
        </w:rPr>
        <w:tab/>
        <w:t xml:space="preserve">Our results should be seen in the light of study strengths and limitations. One of our study’s strength includes the use of a clinical interview rather than self-administered questionnaires: we used the DIVA 2.0, which is a reliable tool for assessing and diagnosing adult ADHD </w:t>
      </w:r>
      <w:r w:rsidRPr="002E5DBE">
        <w:rPr>
          <w:color w:val="000000" w:themeColor="text1"/>
          <w:szCs w:val="24"/>
          <w:lang w:val="en-GB"/>
        </w:rPr>
        <w:fldChar w:fldCharType="begin"/>
      </w:r>
      <w:r w:rsidRPr="002E5DBE">
        <w:rPr>
          <w:color w:val="000000" w:themeColor="text1"/>
          <w:szCs w:val="24"/>
          <w:lang w:val="en-GB"/>
        </w:rPr>
        <w:instrText xml:space="preserve"> ADDIN ZOTERO_ITEM CSL_CITATION {"citationID":"5jC2CaX2","properties":{"formattedCitation":"(Ramos-Quiroga et al., 2016)","plainCitation":"(Ramos-Quiroga et al., 2016)","noteIndex":0},"citationItems":[{"id":1735,"uris":["http://zotero.org/users/158295/items/4LNJZRPU"],"uri":["http://zotero.org/users/158295/items/4LNJZRPU"],"itemData":{"id":1735,"type":"article-journal","title":"Criteria and Concurrent Validity of DIVA 2.0: A Semi-Structured Diagnostic Interview for Adult ADHD","container-title":"Journal of Attention Disorders","source":"PubMed","abstract":"OBJECTIVE: The aim of this study was to assess for the first time the criterion validity of the semi-structured Diagnostic Interview for ADHD in adults (DIVA 2.0), and its concurrent validity in comparison with the Conners' Adult ADHD Diagnostic Interview for DSM-IV (CAADID) and other ADHD severity scales, following the Diagnostic and Statistical Manual of Mental Disorders (4th ed.; DSM-IV) criteria.\nMETHOD: A transversal study was performed on 40 out-patients with ADHD to check the criteria and concurrent validity of the DIVA 2.0 compared with the CAADID.\nRESULTS: The DIVA 2.0 interview showed a diagnostic accuracy of 100% when compared with the diagnoses obtained with the CAADID interview. The concurrent validity demonstrated good correlations with three self-reported rating scales: the Wender Utah Rating Scale (WURS; r = .544, p &lt; .0001), the ADHD-Rating Scale (r = .720, p &lt; .0001), and Sheehan's Dysfunction Inventory (r = .674, p &lt; .0001).\nCONCLUSION: The DIVA 2.0 is a reliable tool for assessing and diagnosing Adult ADHD and is the only one that offers free online access for clinical and research purposes.","DOI":"10.1177/1087054716646451","ISSN":"1557-1246","note":"PMID: 27125994","shortTitle":"Criteria and Concurrent Validity of DIVA 2.0","journalAbbreviation":"J Atten Disord","language":"eng","author":[{"family":"Ramos-Quiroga","given":"Josep Antoni"},{"family":"Nasillo","given":"Viviana"},{"family":"Richarte","given":"Vanesa"},{"family":"Corrales","given":"Montserrat"},{"family":"Palma","given":"Felipe"},{"family":"Ibáñez","given":"Pol"},{"family":"Michelsen","given":"Marieke"},{"family":"Van de Glind","given":"Geurt"},{"family":"Casas","given":"Miquel"},{"family":"Kooij","given":"J. J. Sandra"}],"issued":{"date-parts":[["2016",4,28]]}}}],"schema":"https://github.com/citation-style-language/schema/raw/master/csl-citation.json"} </w:instrText>
      </w:r>
      <w:r w:rsidRPr="002E5DBE">
        <w:rPr>
          <w:color w:val="000000" w:themeColor="text1"/>
          <w:szCs w:val="24"/>
          <w:lang w:val="en-GB"/>
        </w:rPr>
        <w:fldChar w:fldCharType="separate"/>
      </w:r>
      <w:r w:rsidRPr="002E5DBE">
        <w:rPr>
          <w:noProof/>
          <w:color w:val="000000" w:themeColor="text1"/>
          <w:szCs w:val="24"/>
          <w:lang w:val="en-GB"/>
        </w:rPr>
        <w:t>(Ramos-Quiroga et al., 2016)</w:t>
      </w:r>
      <w:r w:rsidRPr="002E5DBE">
        <w:rPr>
          <w:color w:val="000000" w:themeColor="text1"/>
          <w:szCs w:val="24"/>
          <w:lang w:val="en-GB"/>
        </w:rPr>
        <w:fldChar w:fldCharType="end"/>
      </w:r>
      <w:r w:rsidRPr="002E5DBE">
        <w:rPr>
          <w:color w:val="000000" w:themeColor="text1"/>
          <w:szCs w:val="24"/>
          <w:lang w:val="en-GB"/>
        </w:rPr>
        <w:t xml:space="preserve">. Many researches in adults used self-administered questionnaires to assess ADHD instead of clinical interview, and this tends to overestimate the prevalence rate for childhood and adult ADHD, as well as late-onset ADHD, with many false positives. Other strengths were the assessment of both childhood and adult ADHD diagnoses, the assessment of both binge eating and food addiction (that are two different and complementary measures of eating behaviour), and the use of the YFAS 2.0 that is based on the extrapolation of the most recent DSM-5 criteria for addictive disorders. </w:t>
      </w:r>
    </w:p>
    <w:p w:rsidR="00D13D04" w:rsidRPr="002E5DBE" w:rsidRDefault="00D13D04" w:rsidP="00D13D04">
      <w:pPr>
        <w:spacing w:line="480" w:lineRule="auto"/>
        <w:ind w:firstLine="708"/>
        <w:rPr>
          <w:color w:val="000000" w:themeColor="text1"/>
          <w:szCs w:val="24"/>
          <w:lang w:val="en-GB"/>
        </w:rPr>
      </w:pPr>
      <w:r w:rsidRPr="002E5DBE">
        <w:rPr>
          <w:color w:val="000000" w:themeColor="text1"/>
          <w:szCs w:val="24"/>
          <w:lang w:val="en-GB"/>
        </w:rPr>
        <w:t>Our study has also some limitations. Our sample was relatively small, include</w:t>
      </w:r>
      <w:r w:rsidR="006E420C" w:rsidRPr="002E5DBE">
        <w:rPr>
          <w:color w:val="000000" w:themeColor="text1"/>
          <w:szCs w:val="24"/>
          <w:lang w:val="en-GB"/>
        </w:rPr>
        <w:t xml:space="preserve">d </w:t>
      </w:r>
      <w:r w:rsidRPr="002E5DBE">
        <w:rPr>
          <w:color w:val="000000" w:themeColor="text1"/>
          <w:szCs w:val="24"/>
          <w:lang w:val="en-GB"/>
        </w:rPr>
        <w:t xml:space="preserve">obese patients who consulted for obesity, and completers were slightly younger than non-completers, although not different in terms of gender or current BMI. Future studies should be conducted in patients with less severe obesity (i.e., non-seeking obese patients) to determine whether we could generalize our results to the overall population of either obese and/or ADHD patients. In the current international diagnostic classifications, food addiction is not recognized as a standalone disorder, and some authors have questioned the validity of the concept and/or of its assessment, as it is currently assessed </w:t>
      </w:r>
      <w:r w:rsidRPr="002E5DBE">
        <w:rPr>
          <w:color w:val="000000" w:themeColor="text1"/>
          <w:szCs w:val="24"/>
          <w:lang w:val="en-GB"/>
        </w:rPr>
        <w:fldChar w:fldCharType="begin"/>
      </w:r>
      <w:r w:rsidRPr="002E5DBE">
        <w:rPr>
          <w:color w:val="000000" w:themeColor="text1"/>
          <w:szCs w:val="24"/>
          <w:lang w:val="en-GB"/>
        </w:rPr>
        <w:instrText xml:space="preserve"> ADDIN ZOTERO_ITEM CSL_CITATION {"citationID":"xDh9ZEKQ","properties":{"formattedCitation":"(Ziauddeen &amp; Fletcher, 2013)","plainCitation":"(Ziauddeen &amp; Fletcher, 2013)","noteIndex":0},"citationItems":[{"id":1405,"uris":["http://zotero.org/users/158295/items/94PAQ3RI"],"uri":["http://zotero.org/users/158295/items/94PAQ3RI"],"itemData":{"id":1405,"type":"article-journal","title":"Is food addiction a valid and useful concept?","container-title":"Obesity Reviews","page":"19-28","volume":"14","issue":"1","source":"Wiley Online Library","abstract":"In this paper, we consider the concept of food addiction from a clinical and neuroscientific perspective. Food addiction has an established and growing currency in the context of models of overeating and obesity, and its acceptance shapes debate and research. However, we argue that the evidence for its existence in humans is actually rather limited and, in addition, there are fundamental theoretical difficulties that require consideration. We therefore review food addiction as a phenotypic description, one that is based on overlap between certain eating behaviours and substance dependence. To begin, we consider limitations in the general application of this concept to obesity. We share the widely held view that such a broad perspective is not sustainable and consider a more focused view: that it underlies particular eating patterns, notably binge eating. However, even with this more specific focus, there are still problems. Validation of food addiction at the neurobiological level is absolutely critical, but there are inconsistencies in the evidence from humans suggesting that caution should be exercised in accepting food addiction as a valid concept. We argue the current evidence is preliminary and suggest directions for future work that may provide more useful tests of the concept.","DOI":"10.1111/j.1467-789X.2012.01046.x","ISSN":"1467-789X","journalAbbreviation":"Obes Rev","language":"en","author":[{"family":"Ziauddeen","given":"H."},{"family":"Fletcher","given":"P. C."}],"issued":{"date-parts":[["2013"]]}}}],"schema":"https://github.com/citation-style-language/schema/raw/master/csl-citation.json"} </w:instrText>
      </w:r>
      <w:r w:rsidRPr="002E5DBE">
        <w:rPr>
          <w:color w:val="000000" w:themeColor="text1"/>
          <w:szCs w:val="24"/>
          <w:lang w:val="en-GB"/>
        </w:rPr>
        <w:fldChar w:fldCharType="separate"/>
      </w:r>
      <w:r w:rsidRPr="002E5DBE">
        <w:rPr>
          <w:noProof/>
          <w:color w:val="000000" w:themeColor="text1"/>
          <w:szCs w:val="24"/>
          <w:lang w:val="en-GB"/>
        </w:rPr>
        <w:t>(Ziauddeen &amp; Fletcher, 2013)</w:t>
      </w:r>
      <w:r w:rsidRPr="002E5DBE">
        <w:rPr>
          <w:color w:val="000000" w:themeColor="text1"/>
          <w:szCs w:val="24"/>
          <w:lang w:val="en-GB"/>
        </w:rPr>
        <w:fldChar w:fldCharType="end"/>
      </w:r>
      <w:r w:rsidRPr="002E5DBE">
        <w:rPr>
          <w:color w:val="000000" w:themeColor="text1"/>
          <w:szCs w:val="24"/>
          <w:lang w:val="en-GB"/>
        </w:rPr>
        <w:t xml:space="preserve">. Results from the YFAS have been found to correlate highly with other measures of disordered eating, and future studies should determine whether high scores are a marker of disordered eating problems generally or </w:t>
      </w:r>
      <w:r w:rsidRPr="002E5DBE">
        <w:rPr>
          <w:color w:val="000000" w:themeColor="text1"/>
          <w:szCs w:val="24"/>
          <w:lang w:val="en-GB"/>
        </w:rPr>
        <w:lastRenderedPageBreak/>
        <w:t xml:space="preserve">a specific assessment of “food addiction” </w:t>
      </w:r>
      <w:r w:rsidRPr="002E5DBE">
        <w:rPr>
          <w:color w:val="000000" w:themeColor="text1"/>
          <w:szCs w:val="24"/>
          <w:lang w:val="en-GB"/>
        </w:rPr>
        <w:fldChar w:fldCharType="begin"/>
      </w:r>
      <w:r w:rsidRPr="002E5DBE">
        <w:rPr>
          <w:color w:val="000000" w:themeColor="text1"/>
          <w:szCs w:val="24"/>
          <w:lang w:val="en-GB"/>
        </w:rPr>
        <w:instrText xml:space="preserve"> ADDIN ZOTERO_ITEM CSL_CITATION {"citationID":"TNDuqUeX","properties":{"formattedCitation":"(Price, Higgs, &amp; Lee, 2015)","plainCitation":"(Price, Higgs, &amp; Lee, 2015)","noteIndex":0},"citationItems":[{"id":6009,"uris":["http://zotero.org/users/158295/items/FREBFRNN"],"uri":["http://zotero.org/users/158295/items/FREBFRNN"],"itemData":{"id":6009,"type":"article-journal","title":"Self-reported eating traits: Underlying components of food responsivity and dietary restriction are positively related to BMI.","container-title":"Appetite","page":"203","volume":"95","source":"Google Scholar","shortTitle":"Self-reported eating traits","author":[{"family":"Price","given":"M."},{"family":"Higgs","given":"S."},{"family":"Lee","given":"M."}],"issued":{"date-parts":[["2015"]]}}}],"schema":"https://github.com/citation-style-language/schema/raw/master/csl-citation.json"} </w:instrText>
      </w:r>
      <w:r w:rsidRPr="002E5DBE">
        <w:rPr>
          <w:color w:val="000000" w:themeColor="text1"/>
          <w:szCs w:val="24"/>
          <w:lang w:val="en-GB"/>
        </w:rPr>
        <w:fldChar w:fldCharType="separate"/>
      </w:r>
      <w:r w:rsidRPr="002E5DBE">
        <w:rPr>
          <w:noProof/>
          <w:color w:val="000000" w:themeColor="text1"/>
          <w:szCs w:val="24"/>
          <w:lang w:val="en-GB"/>
        </w:rPr>
        <w:t>(Price, Higgs, &amp; Lee, 2015)</w:t>
      </w:r>
      <w:r w:rsidRPr="002E5DBE">
        <w:rPr>
          <w:color w:val="000000" w:themeColor="text1"/>
          <w:szCs w:val="24"/>
          <w:lang w:val="en-GB"/>
        </w:rPr>
        <w:fldChar w:fldCharType="end"/>
      </w:r>
      <w:r w:rsidRPr="002E5DBE">
        <w:rPr>
          <w:color w:val="000000" w:themeColor="text1"/>
          <w:szCs w:val="24"/>
          <w:lang w:val="en-GB"/>
        </w:rPr>
        <w:t xml:space="preserve">. Before potentially considering it as a standalone disorder, future studies should also determine the added value of food addiction over binge eating alone. Another important point is the need to account for psychiatric disorders because they could mediate the association between ADHD symptomatology and food addiction/binge eating </w:t>
      </w:r>
      <w:r w:rsidRPr="002E5DBE">
        <w:rPr>
          <w:color w:val="000000" w:themeColor="text1"/>
          <w:szCs w:val="24"/>
          <w:lang w:val="en-GB"/>
        </w:rPr>
        <w:fldChar w:fldCharType="begin"/>
      </w:r>
      <w:r w:rsidRPr="002E5DBE">
        <w:rPr>
          <w:color w:val="000000" w:themeColor="text1"/>
          <w:szCs w:val="24"/>
          <w:lang w:val="en-GB"/>
        </w:rPr>
        <w:instrText xml:space="preserve"> ADDIN ZOTERO_ITEM CSL_CITATION {"citationID":"2etHjqwc","properties":{"formattedCitation":"(Kaisari, Dourish, Rotshtein, &amp; Higgs, 2018)","plainCitation":"(Kaisari, Dourish, Rotshtein, &amp; Higgs, 2018)","noteIndex":0},"citationItems":[{"id":6004,"uris":["http://zotero.org/users/158295/items/95QEWH8B"],"uri":["http://zotero.org/users/158295/items/95QEWH8B"],"itemData":{"id":6004,"type":"article-journal","title":"Associations Between Core Symptoms of Attention Deficit Hyperactivity Disorder and Both Binge and Restrictive Eating","container-title":"Frontiers in Psychiatry","volume":"9","source":"Frontiers","abstract":"INTRODUCTION: It is unclear whether core symptoms of ADHD relate to specific types of disordered eating and little is known about the mediating mechanisms. We investigated associations between core symptoms of ADHD and binge/disinhibited eating and restrictive eating behaviour and assessed whether negative mood and/or deficits in awareness and reliance on internal hunger/satiety cues mediate these relationships. METHODS: In two independent studies, we used a dimensional approach to study ADHD and disordered eating. In Study 1, a community-based sample of 237 adults (72.6% female, 18-60 years [M = 26.8, SE = 0.6]) completed an online questionnaire, assessing eating attitudes/behaviours, negative mood, awareness and reliance on internal hunger/satiety cues and ADHD symptomatology. In Study 2, 142 students (80.3% female, 18-32 years [M = 19.3, SE = 0.1]) were recruited to complete the same questionnaires and complete tasks assessing interoceptive sensitivity and impulsivity in the laboratory. RESULTS: In each study, core symptoms of ADHD correlated positively with both binge/disinhibited and restrictive eating and negative mood mediated the relationships. Deficits in awareness and reliance on internal hunger/satiety signals also mediated the association between inattentive symptoms of ADHD and disordered eating, especially binge/disinhibited eating. The results from both studies demonstrated that inattentive symptoms of ADHD were also directly related to binge/disinhibited eating behaviour, while accounting for the indirect pathways of association via negative mood and awareness and reliance on internal hunger/satiety signals. CONCLUSION: This research provides evidence that core symptoms of ADHD are associated with both binge/disinhibited eating and restrictive eating behaviour. Further investigation of the role of inattentive symptoms of ADHD in disordered eating may be helpful in developing novel treatments for both ADHD and binge eating.","URL":"https://www.frontiersin.org/articles/10.3389/fpsyt.2018.00103/full","DOI":"10.3389/fpsyt.2018.00103","ISSN":"1664-0640","journalAbbreviation":"Front. Psychiatry","language":"English","author":[{"family":"Kaisari","given":"Panagiota"},{"family":"Dourish","given":"Colin T."},{"family":"Rotshtein","given":"Pia"},{"family":"Higgs","given":"Suzanne"}],"issued":{"date-parts":[["2018"]]},"accessed":{"date-parts":[["2018",10,22]]}}}],"schema":"https://github.com/citation-style-language/schema/raw/master/csl-citation.json"} </w:instrText>
      </w:r>
      <w:r w:rsidRPr="002E5DBE">
        <w:rPr>
          <w:color w:val="000000" w:themeColor="text1"/>
          <w:szCs w:val="24"/>
          <w:lang w:val="en-GB"/>
        </w:rPr>
        <w:fldChar w:fldCharType="separate"/>
      </w:r>
      <w:r w:rsidRPr="002E5DBE">
        <w:rPr>
          <w:noProof/>
          <w:color w:val="000000" w:themeColor="text1"/>
          <w:szCs w:val="24"/>
          <w:lang w:val="en-GB"/>
        </w:rPr>
        <w:t>(Kaisari, Dourish, Rotshtein, &amp; Higgs, 2018)</w:t>
      </w:r>
      <w:r w:rsidRPr="002E5DBE">
        <w:rPr>
          <w:color w:val="000000" w:themeColor="text1"/>
          <w:szCs w:val="24"/>
          <w:lang w:val="en-GB"/>
        </w:rPr>
        <w:fldChar w:fldCharType="end"/>
      </w:r>
      <w:r w:rsidRPr="002E5DBE">
        <w:rPr>
          <w:color w:val="000000" w:themeColor="text1"/>
          <w:szCs w:val="24"/>
          <w:lang w:val="en-GB"/>
        </w:rPr>
        <w:t>: future</w:t>
      </w:r>
      <w:r w:rsidRPr="002E5DBE">
        <w:rPr>
          <w:color w:val="000000" w:themeColor="text1"/>
          <w:lang w:val="en-GB"/>
        </w:rPr>
        <w:t xml:space="preserve"> studies should assess both ADHD and other psychiatric disorders using clinical interviews</w:t>
      </w:r>
      <w:r w:rsidRPr="002E5DBE">
        <w:rPr>
          <w:i/>
          <w:color w:val="000000" w:themeColor="text1"/>
          <w:lang w:val="en-GB"/>
        </w:rPr>
        <w:t>.</w:t>
      </w:r>
      <w:r w:rsidRPr="002E5DBE">
        <w:rPr>
          <w:i/>
          <w:color w:val="000000" w:themeColor="text1"/>
          <w:szCs w:val="24"/>
          <w:lang w:val="en-GB"/>
        </w:rPr>
        <w:t xml:space="preserve"> </w:t>
      </w:r>
      <w:r w:rsidRPr="002E5DBE">
        <w:rPr>
          <w:color w:val="000000" w:themeColor="text1"/>
          <w:szCs w:val="24"/>
          <w:lang w:val="en-GB"/>
        </w:rPr>
        <w:t>We diagnosed sleep apnea syndrome using a clinical approach, and this may have lowered prevalence for sleep apnea syndrome when compared to polysomnography, which is the gold standard; our results should be confirmed using polysomnography to assess sleep apnea syndrome</w:t>
      </w:r>
      <w:r w:rsidRPr="002E5DBE">
        <w:rPr>
          <w:i/>
          <w:color w:val="000000" w:themeColor="text1"/>
          <w:szCs w:val="24"/>
          <w:lang w:val="en-US"/>
        </w:rPr>
        <w:t xml:space="preserve">. </w:t>
      </w:r>
      <w:r w:rsidRPr="002E5DBE">
        <w:rPr>
          <w:color w:val="000000" w:themeColor="text1"/>
          <w:szCs w:val="24"/>
          <w:lang w:val="en-GB"/>
        </w:rPr>
        <w:t xml:space="preserve">Additionally, the cross-sectional design of our study precludes us from inferring a causal relationship between ADHD and obesity, but chronology of both disorders suggests that ADHD may precede obesity rather than the opposite. Finally, to demonstrate the validity of our theoretical model (i.e., food addiction may explain the transition between ADHD and obesity), one should first demonstrate using a longitudinal design that children with ADHD have a higher risk of food addiction and obesity than children without ADHD, and that treatment for childhood or adult ADHD would prevent obesity or delay its age of onset.  </w:t>
      </w:r>
    </w:p>
    <w:p w:rsidR="00D13D04" w:rsidRPr="002E5DBE" w:rsidRDefault="00D13D04" w:rsidP="00D13D04">
      <w:pPr>
        <w:spacing w:line="480" w:lineRule="auto"/>
        <w:ind w:firstLine="708"/>
        <w:rPr>
          <w:color w:val="000000" w:themeColor="text1"/>
          <w:szCs w:val="24"/>
          <w:lang w:val="en-GB"/>
        </w:rPr>
      </w:pPr>
      <w:r w:rsidRPr="002E5DBE">
        <w:rPr>
          <w:color w:val="000000" w:themeColor="text1"/>
          <w:szCs w:val="24"/>
          <w:lang w:val="en-GB"/>
        </w:rPr>
        <w:t>Despite these limitations, this study has important practical implications. First, obese patients diagnosed with food addiction should be systematically screened for a comorbid ADHD,</w:t>
      </w:r>
      <w:r w:rsidRPr="002E5DBE">
        <w:rPr>
          <w:bCs/>
          <w:color w:val="000000" w:themeColor="text1"/>
          <w:szCs w:val="24"/>
          <w:lang w:val="en-US"/>
        </w:rPr>
        <w:t xml:space="preserve"> </w:t>
      </w:r>
      <w:r w:rsidRPr="002E5DBE">
        <w:rPr>
          <w:color w:val="000000" w:themeColor="text1"/>
          <w:szCs w:val="24"/>
          <w:lang w:val="en-US"/>
        </w:rPr>
        <w:t>notably because such a dual diagnosis implies a more complex care plan.</w:t>
      </w:r>
      <w:r w:rsidRPr="002E5DBE">
        <w:rPr>
          <w:color w:val="000000" w:themeColor="text1"/>
          <w:szCs w:val="24"/>
          <w:lang w:val="en-GB"/>
        </w:rPr>
        <w:t xml:space="preserve"> Screening and diagnosing ADHD in adults is a challenging area, as already stated in other populations </w:t>
      </w:r>
      <w:r w:rsidRPr="002E5DBE">
        <w:rPr>
          <w:color w:val="000000" w:themeColor="text1"/>
          <w:szCs w:val="24"/>
          <w:lang w:val="en-GB"/>
        </w:rPr>
        <w:fldChar w:fldCharType="begin"/>
      </w:r>
      <w:r w:rsidRPr="002E5DBE">
        <w:rPr>
          <w:color w:val="000000" w:themeColor="text1"/>
          <w:szCs w:val="24"/>
          <w:lang w:val="en-GB"/>
        </w:rPr>
        <w:instrText xml:space="preserve"> ADDIN ZOTERO_ITEM CSL_CITATION {"citationID":"ul3abdc0","properties":{"formattedCitation":"(Grall-Bronnec et al., 2011; S. J. J. Kooij et al., 2010)","plainCitation":"(Grall-Bronnec et al., 2011; S. J. J. Kooij et al., 2010)","noteIndex":0},"citationItems":[{"id":1773,"uris":["http://zotero.org/users/158295/items/5JVR6QDL"],"uri":["http://zotero.org/users/158295/items/5JVR6QDL"],"itemData":{"id":1773,"type":"article-journal","title":"Attention deficit hyperactivity disorder among pathological and at-risk gamblers seeking treatment: a hidden disorder","container-title":"European Addiction Research","page":"231-240","volume":"17","issue":"5","source":"PubMed","abstract":"BACKGROUND: The links between attention deficit hyperactivity disorder (ADHD) and substance use disorders have been the subject of numerous papers. Few studies, however, have focused specifically on the relationship between ADHD and behavioural addictions. The aim of this study was to (i) examine the frequency of pathological and at-risk gamblers having a previous history of ADHD; (ii) give details of the characteristics of this association, and (iii) identify risk factors for a history of ADHD.\nMETHODS: 84 pathological and at-risk gamblers were assessed about socio-demographic, gambling and clinical characteristics.\nRESULTS: Over 25% of the subjects had a history of ADHD. They were characterized as having more severe gambling problems and a higher level of gambling-related cognitions, a higher frequency of psychiatric comorbidities and an elevated risk of suicide. Finally, they differed in their level and type of impulsivity. Among pathological and at-risk gamblers, a high level of impulsivity, or a history of anxiety disorders, constitute risk factors for a comorbidity with ADHD.\nCONCLUSION: The association 'ADHD-problem gambling' therefore appears to be not only frequent, but also linked to factors that are known to worsen the prognosis. Researching this relationship is therefore important to adapt strategies for effective future therapy.","DOI":"10.1159/000328628","ISSN"</w:instrText>
      </w:r>
      <w:r w:rsidRPr="002E5DBE">
        <w:rPr>
          <w:color w:val="000000" w:themeColor="text1"/>
          <w:szCs w:val="24"/>
          <w:lang w:val="en-US"/>
        </w:rPr>
        <w:instrText xml:space="preserve">:"1421-9891","note":"PMID: 21654176","shortTitle":"Attention deficit hyperactivity disorder among pathological and at-risk gamblers seeking treatment","journalAbbreviation":"Eur Addict Res","language":"eng","author":[{"family":"Grall-Bronnec","given":"M"},{"family":"Wainstein","given":"Laura"},{"family":"Augy","given":"Jennyfer"},{"family":"Bouju","given":"Gaëlle"},{"family":"Feuillet","given":"Fanny"},{"family":"Vénisse","given":"Jean-Luc"},{"family":"Sébille-Rivain","given":"Véronique"}],"issued":{"date-parts":[["2011"]]}}},{"id":3786,"uris":["http://zotero.org/groups/148846/items/NASNXBJV"],"uri":["http://zotero.org/groups/148846/items/NASNXBJV"],"itemData":{"id":3786,"type":"article-journal","title":"European consensus statement on diagnosis and treatment of adult ADHD: The European Network Adult ADHD","container-title":"BMC Psychiatry","page":"67","volume":"10","issue":"1","source":"Google Scholar","shortTitle":"European consensus statement on diagnosis and treatment of adult ADHD","author":[{"family":"Kooij","given":"S. J. J."},{"family":"Bejerot","given":"S."},{"family":"Blackwell","given":"A."},{"family":"Caci","given":"H."},{"family":"Casas-Brugué","given":"M."},{"family":"Carpentier","given":"P. J."},{"family":"Edvinsson","given":"D."},{"family":"Fayyad","given":"J."},{"family":"Foeken","given":"K."},{"family":"Fitzgerald","given":"M."}],"issued":{"date-parts":[["2010"]]}}}],"schema":"https://github.com/citation-style-language/schema/raw/master/csl-citation.json"} </w:instrText>
      </w:r>
      <w:r w:rsidRPr="002E5DBE">
        <w:rPr>
          <w:color w:val="000000" w:themeColor="text1"/>
          <w:szCs w:val="24"/>
          <w:lang w:val="en-GB"/>
        </w:rPr>
        <w:fldChar w:fldCharType="separate"/>
      </w:r>
      <w:r w:rsidRPr="002E5DBE">
        <w:rPr>
          <w:noProof/>
          <w:color w:val="000000" w:themeColor="text1"/>
          <w:szCs w:val="24"/>
          <w:lang w:val="en-US"/>
        </w:rPr>
        <w:t>(Grall-Bronnec et al., 2011; Kooij et al., 2010)</w:t>
      </w:r>
      <w:r w:rsidRPr="002E5DBE">
        <w:rPr>
          <w:color w:val="000000" w:themeColor="text1"/>
          <w:szCs w:val="24"/>
          <w:lang w:val="en-GB"/>
        </w:rPr>
        <w:fldChar w:fldCharType="end"/>
      </w:r>
      <w:r w:rsidRPr="002E5DBE">
        <w:rPr>
          <w:color w:val="000000" w:themeColor="text1"/>
          <w:szCs w:val="24"/>
          <w:lang w:val="en-US"/>
        </w:rPr>
        <w:t xml:space="preserve">. Self-reported impulsivity </w:t>
      </w:r>
      <w:r w:rsidRPr="002E5DBE">
        <w:rPr>
          <w:color w:val="000000" w:themeColor="text1"/>
          <w:szCs w:val="24"/>
          <w:lang w:val="en-GB"/>
        </w:rPr>
        <w:t xml:space="preserve">is positively associated with BMI </w:t>
      </w:r>
      <w:r w:rsidRPr="002E5DBE">
        <w:rPr>
          <w:color w:val="000000" w:themeColor="text1"/>
          <w:szCs w:val="24"/>
          <w:lang w:val="en-GB"/>
        </w:rPr>
        <w:fldChar w:fldCharType="begin"/>
      </w:r>
      <w:r w:rsidRPr="002E5DBE">
        <w:rPr>
          <w:color w:val="000000" w:themeColor="text1"/>
          <w:szCs w:val="24"/>
          <w:lang w:val="en-GB"/>
        </w:rPr>
        <w:instrText xml:space="preserve"> ADDIN ZOTERO_ITEM CSL_CITATION {"citationID":"a1injpeec0n","properties":{"formattedCitation":"(Emery &amp; Levine, 2017)","plainCitation":"(Emery &amp; Levine, 2017)","noteIndex":0},"citationItems":[{"id":82,"uris":["http://zotero.org/users/158295/items/J3HTY5PC"],"uri":["http://zotero.org/users/158295/items/J3HTY5PC"],"itemData":{"id":82,"type":"article-journal","title":"Questionnaire and behavioral task measures of impulsivity are differentially associated with body mass index: A comprehensive meta-analysis","container-title":"Psychological Bulletin","page":"868-902","volume":"143","issue":"8","source":"PubMed","abstract":"Although impulsivity has been implicated in the development and maintenance of obesity, evidence linking impulsivity to obesity has been mixed. These mixed findings may be related to differences in the type of impulsivity measures used and the varied domains of impulsivity assessed by each measure. The present meta-analysis aimed to examine the impact of measurement selection on the relationship between impulsivity and body mass index (BMI). A total of 142 articles met inclusion criteria and were comprised of 315,818 participants. Effect sizes consisted of Fisher's z-transformed correlation coefficients, which were weighted by the inverse variance to establish the grand mean estimate of the relationship between impulsivity and BMI. Overall weighted mean effect sizes also were computed for each type and domain of impulsivity measure. Moderator analyses were conducted using a mixed-effects approach to determine if the relationship between impulsivity and BMI varied between the types of impulsivity measures used. On average, participants were 32.25 (SD = 12.41) years of age, with a BMI of 26.63 (SD = 5.73) kg/m2. The overall relationship between impulsivity and BMI was small but significant (r = .07). Behavioral task measures of impulsivity produced significantly larger effect sizes (r = .10) than did questionnaire measures of impulsivity (r = .05). Domains of impulsivity that assessed disinhibited behaviors (r = .10), attentional deficits (r = .11), impulsive decision-making (r = .10), and cognitive inflexibility (r = .17) produced significant effect sizes. These meta-analytic findings demonstrate that impulsivity is positively associated with BMI and further document that this association varies by the type of impulsivity measure used and the domain of impulsivity assessed. (PsycINFO Database Record","DOI":"10.1037/bul0000105","ISSN":"1939-1455","note":"PMID: 28493725","shortTitle":"Questionnaire and behavioral task measures of impulsivity are differentially associated with body mass index","journalAbbreviation":"Psychol Bull","language":"eng","author":[{"family":"Emery","given":"Rebecca L."},{"family":"Levine","given":"Michele D."}],"issued":{"date-parts":[["2017",8]]}}}],"schema":"https://github.com/citation-style-language/schema/raw/master/csl-citation.json"} </w:instrText>
      </w:r>
      <w:r w:rsidRPr="002E5DBE">
        <w:rPr>
          <w:color w:val="000000" w:themeColor="text1"/>
          <w:szCs w:val="24"/>
          <w:lang w:val="en-GB"/>
        </w:rPr>
        <w:fldChar w:fldCharType="separate"/>
      </w:r>
      <w:r w:rsidRPr="002E5DBE">
        <w:rPr>
          <w:noProof/>
          <w:color w:val="000000" w:themeColor="text1"/>
          <w:szCs w:val="24"/>
          <w:lang w:val="en-GB"/>
        </w:rPr>
        <w:t>(Emery &amp; Levine, 2017)</w:t>
      </w:r>
      <w:r w:rsidRPr="002E5DBE">
        <w:rPr>
          <w:color w:val="000000" w:themeColor="text1"/>
          <w:szCs w:val="24"/>
          <w:lang w:val="en-GB"/>
        </w:rPr>
        <w:fldChar w:fldCharType="end"/>
      </w:r>
      <w:r w:rsidRPr="002E5DBE">
        <w:rPr>
          <w:color w:val="000000" w:themeColor="text1"/>
          <w:szCs w:val="24"/>
          <w:lang w:val="en-GB"/>
        </w:rPr>
        <w:t xml:space="preserve">, and thus higher in obese patients (especially those with food addiction; </w:t>
      </w:r>
      <w:r w:rsidRPr="002E5DBE">
        <w:rPr>
          <w:color w:val="000000" w:themeColor="text1"/>
          <w:szCs w:val="24"/>
          <w:lang w:val="en-GB"/>
        </w:rPr>
        <w:fldChar w:fldCharType="begin"/>
      </w:r>
      <w:r w:rsidRPr="002E5DBE">
        <w:rPr>
          <w:color w:val="000000" w:themeColor="text1"/>
          <w:szCs w:val="24"/>
          <w:lang w:val="en-GB"/>
        </w:rPr>
        <w:instrText xml:space="preserve"> ADDIN ZOTERO_ITEM CSL_CITATION {"citationID":"XziXDrzi","properties":{"formattedCitation":"(Ouellette et al., 2017)","plainCitation":"(Ouellette et al., 2017)","noteIndex":0},"citationItems":[{"id":1756,"uris":["http://zotero.org/users/158295/items/H7ZYBWSV"],"uri":["http://zotero.org/users/158295/items/H7ZYBWSV"],"itemData":{"id":1756,"type":"article-journal","title":"An examination of the mechanisms and personality traits underlying food addiction among individuals with severe obesity awaiting bariatric surgery.","container-title":"Eating and Weight Disorders","page":"633-640","volume":"22","issue":"4","source":"Google Scholar","author":[{"family":"Ouellette","given":"A. S."},{"family":"Rodrigue","given":"C."},{"family":"Lemieux","given":"S."},{"family":"Tchernof","given":"A."},{"family":"Biertho","given":"L."},{"family":"Bégin","given":"C."}],"issued":{"date-parts":[["2017"]]}}}],"schema":"https://github.com/citation-style-language/schema/raw/master/csl-citation.json"} </w:instrText>
      </w:r>
      <w:r w:rsidRPr="002E5DBE">
        <w:rPr>
          <w:color w:val="000000" w:themeColor="text1"/>
          <w:szCs w:val="24"/>
          <w:lang w:val="en-GB"/>
        </w:rPr>
        <w:fldChar w:fldCharType="separate"/>
      </w:r>
      <w:r w:rsidRPr="002E5DBE">
        <w:rPr>
          <w:noProof/>
          <w:color w:val="000000" w:themeColor="text1"/>
          <w:szCs w:val="24"/>
          <w:lang w:val="en-GB"/>
        </w:rPr>
        <w:t>Ouellette et al., 2017)</w:t>
      </w:r>
      <w:r w:rsidRPr="002E5DBE">
        <w:rPr>
          <w:color w:val="000000" w:themeColor="text1"/>
          <w:szCs w:val="24"/>
          <w:lang w:val="en-GB"/>
        </w:rPr>
        <w:fldChar w:fldCharType="end"/>
      </w:r>
      <w:r w:rsidRPr="002E5DBE">
        <w:rPr>
          <w:color w:val="000000" w:themeColor="text1"/>
          <w:szCs w:val="24"/>
          <w:lang w:val="en-GB"/>
        </w:rPr>
        <w:t xml:space="preserve">, and it is not always easy to disentangle between ADHD impulsive-hyperactivity symptoms and overall impulsivity symptoms (as would assess a self-administered questionnaire) without a specific training in ADHD. However, </w:t>
      </w:r>
      <w:r w:rsidRPr="002E5DBE">
        <w:rPr>
          <w:color w:val="000000" w:themeColor="text1"/>
          <w:szCs w:val="24"/>
          <w:lang w:val="en-GB"/>
        </w:rPr>
        <w:lastRenderedPageBreak/>
        <w:t xml:space="preserve">use a semi-structured interview enables a robust ADHD assessment. Another practical implication of our study is that obese patients with ADHD should be systematically screened for food addiction in addition to binge eating. Child and adolescent psychiatrists should systematically bear in mind that their patients with childhood ADHD might be at greater risk for later food addiction, even when ADHD remits, and clinicians should systematically follow up their patient’s eating behaviour over a long-term period. Since ADHD children treated with stimulants had slower early BMI growth that non treated ADHD children </w:t>
      </w:r>
      <w:r w:rsidRPr="002E5DBE">
        <w:rPr>
          <w:color w:val="000000" w:themeColor="text1"/>
          <w:szCs w:val="24"/>
          <w:lang w:val="en-GB"/>
        </w:rPr>
        <w:fldChar w:fldCharType="begin"/>
      </w:r>
      <w:r w:rsidRPr="002E5DBE">
        <w:rPr>
          <w:color w:val="000000" w:themeColor="text1"/>
          <w:szCs w:val="24"/>
          <w:lang w:val="en-GB"/>
        </w:rPr>
        <w:instrText xml:space="preserve"> ADDIN ZOTERO_ITEM CSL_CITATION {"citationID":"19ep40t7sd","properties":{"formattedCitation":"(B. S. Schwartz et al., 2014)","plainCitation":"(B. S. Schwartz et al., 2014)","noteIndex":0},"citationItems":[{"id":1168,"uris":["http://zotero.org/users/158295/items/URK54AG8"],"uri":["http://zotero.org/users/158295/items/URK54AG8"],"itemData":{"id":1168,"type":"article-journal","title":"Attention deficit disorder, stimulant use, and childhood body mass index trajectory","container-title":"Pediatrics","page":"668-676","volume":"133","issue":"4","source":"NCBI PubMed","abstract":"BACKGROUND: Childhood attention-deficit/hyperactivity disorder (ADHD) has been associated with childhood and adult obesity, and stimulant use with delayed childhood growth, but the independent influences are unclear. No longitudinal studies have examined associations of ADHD diagnosis and stimulant use on BMI trajectories throughout childhood and adolescence.\nMETHODS: We used longitudinal electronic health record data from the Geisinger Health System on 163,820 children ages 3 to 18 years in Pennsylvania. Random effects linear regression models were used to model BMI trajectories with increasing age in relation to ADHD diagnosis, age at first stimulant use, and stimulant use duration, while controlling for confounding variables.\nRESULTS: Mean (SD) age at first BMI was 8.9 (5.0) years, and children provided a mean (SD) of 3.2 (2.4) annual BMI measurements. On average, BMI trajectories showed a curvilinear relation with age. There were consistent associations of unmedicated ADHD with higher BMIs during childhood compared with those without ADHD or stimulants. Younger age at first stimulant use and longer duration of stimulant use were each associated with slower BMI growth earlier in childhood but a more rapid rebound to higher BMIs in late adolescence.\nCONCLUSIONS: The study provides the first longitudinal evidence that ADHD during childhood not treated with stimulants was associated with higher childhood BMIs. In contrast, ADHD treated with stimulants was associated with slower early BMI growth but a rebound later in adolescence to levels above children without a history of ADHD or stimulant use. The findings have important clinical and neurobiological implications.","DOI":"10.1542/peds.2013-3427","ISSN":"1098-4275","note":"PMID: 24639278 \nPMCID: PMC3966507","journalAbbreviation":"Pediatrics","language":"eng","author":[{"family":"Schwartz","given":"Brian S."},{"family":"Bailey-Davis","given":"Lisa"},{"family":"Bandeen-Roche","given":"Karen"},{"family":"Pollak","given":"Jonathan"},{"family":"Hirsch","given":"Annemarie G."},{"family":"Nau","given":"Claudia"},{"family":"Liu","given":"Ann Y."},{"family":"Glass","given":"Thomas A."}],"issued":{"date-parts":[["2014",4]]}}}],"schema":"https://github.com/citation-style-language/schema/raw/master/csl-citation.json"} </w:instrText>
      </w:r>
      <w:r w:rsidRPr="002E5DBE">
        <w:rPr>
          <w:color w:val="000000" w:themeColor="text1"/>
          <w:szCs w:val="24"/>
          <w:lang w:val="en-GB"/>
        </w:rPr>
        <w:fldChar w:fldCharType="separate"/>
      </w:r>
      <w:r w:rsidRPr="002E5DBE">
        <w:rPr>
          <w:color w:val="000000" w:themeColor="text1"/>
          <w:szCs w:val="24"/>
          <w:lang w:val="en-US"/>
        </w:rPr>
        <w:t>(B. S. Schwartz et al., 2014)</w:t>
      </w:r>
      <w:r w:rsidRPr="002E5DBE">
        <w:rPr>
          <w:color w:val="000000" w:themeColor="text1"/>
          <w:szCs w:val="24"/>
          <w:lang w:val="en-GB"/>
        </w:rPr>
        <w:fldChar w:fldCharType="end"/>
      </w:r>
      <w:r w:rsidRPr="002E5DBE">
        <w:rPr>
          <w:color w:val="000000" w:themeColor="text1"/>
          <w:szCs w:val="24"/>
          <w:lang w:val="en-GB"/>
        </w:rPr>
        <w:t xml:space="preserve">, we might assume that adequate treatment for ADHD in childhood might prevent weight gain in adulthood. Future studies should determine whether children with persistent ADHD and adequate psychosocial and pharmacological management may develop a lower risk for obesity in adulthood.    </w:t>
      </w:r>
    </w:p>
    <w:p w:rsidR="00D13D04" w:rsidRPr="002E5DBE" w:rsidRDefault="00D13D04" w:rsidP="00D13D04">
      <w:pPr>
        <w:spacing w:line="480" w:lineRule="auto"/>
        <w:rPr>
          <w:color w:val="000000" w:themeColor="text1"/>
          <w:szCs w:val="24"/>
          <w:lang w:val="en-GB"/>
        </w:rPr>
        <w:sectPr w:rsidR="00D13D04" w:rsidRPr="002E5DBE" w:rsidSect="00D13D04">
          <w:pgSz w:w="11900" w:h="16840"/>
          <w:pgMar w:top="1417" w:right="1417" w:bottom="1417" w:left="1417" w:header="708" w:footer="708" w:gutter="0"/>
          <w:cols w:space="708"/>
          <w:docGrid w:linePitch="360"/>
        </w:sectPr>
      </w:pPr>
      <w:r w:rsidRPr="002E5DBE">
        <w:rPr>
          <w:color w:val="000000" w:themeColor="text1"/>
          <w:szCs w:val="24"/>
          <w:lang w:val="en-GB"/>
        </w:rPr>
        <w:tab/>
        <w:t xml:space="preserve"> In conclusion, we found evidence that obese patients with a diagnosis of adult ADHD have higher risk for food addiction and binge eating than patients without ADHD. Food addiction and binge eating may be important variables implicated in the association between ADHD and obesity. Future longitudinal studies should determine whether food addiction and/or binge eating could best explain the over-representation of obesity in ADHD patients. Such longitudinal studies should also assess whether an adequate and early management of ADHD could prevent obesity or delay the onset of obesity in these patients, paving the way for evidence-based therapeutic interventions for these patients.</w:t>
      </w:r>
    </w:p>
    <w:p w:rsidR="00D13D04" w:rsidRPr="002E5DBE" w:rsidRDefault="00D13D04" w:rsidP="00D13D04">
      <w:pPr>
        <w:spacing w:line="480" w:lineRule="auto"/>
        <w:outlineLvl w:val="0"/>
        <w:rPr>
          <w:b/>
          <w:bCs/>
          <w:color w:val="000000" w:themeColor="text1"/>
          <w:szCs w:val="24"/>
          <w:lang w:val="en-GB"/>
        </w:rPr>
      </w:pPr>
      <w:r w:rsidRPr="002E5DBE">
        <w:rPr>
          <w:b/>
          <w:bCs/>
          <w:color w:val="000000" w:themeColor="text1"/>
          <w:szCs w:val="24"/>
          <w:lang w:val="en-GB"/>
        </w:rPr>
        <w:lastRenderedPageBreak/>
        <w:t xml:space="preserve">Research data: </w:t>
      </w:r>
      <w:r w:rsidRPr="002E5DBE">
        <w:rPr>
          <w:bCs/>
          <w:color w:val="000000" w:themeColor="text1"/>
          <w:szCs w:val="24"/>
          <w:lang w:val="en-GB"/>
        </w:rPr>
        <w:t>All the data are available on request</w:t>
      </w:r>
    </w:p>
    <w:p w:rsidR="00D13D04" w:rsidRPr="002E5DBE" w:rsidRDefault="00D13D04" w:rsidP="00D13D04">
      <w:pPr>
        <w:spacing w:line="480" w:lineRule="auto"/>
        <w:rPr>
          <w:b/>
          <w:bCs/>
          <w:color w:val="000000" w:themeColor="text1"/>
          <w:lang w:val="en-US"/>
        </w:rPr>
      </w:pPr>
    </w:p>
    <w:p w:rsidR="00D13D04" w:rsidRPr="002E5DBE" w:rsidRDefault="00D13D04" w:rsidP="00D13D04">
      <w:pPr>
        <w:spacing w:line="480" w:lineRule="auto"/>
        <w:rPr>
          <w:bCs/>
          <w:color w:val="000000" w:themeColor="text1"/>
          <w:lang w:val="en-US"/>
        </w:rPr>
      </w:pPr>
      <w:r w:rsidRPr="002E5DBE">
        <w:rPr>
          <w:b/>
          <w:bCs/>
          <w:color w:val="000000" w:themeColor="text1"/>
          <w:lang w:val="en-US"/>
        </w:rPr>
        <w:t>Acknowledgments:</w:t>
      </w:r>
      <w:r w:rsidRPr="002E5DBE">
        <w:rPr>
          <w:bCs/>
          <w:color w:val="000000" w:themeColor="text1"/>
          <w:lang w:val="en-US"/>
        </w:rPr>
        <w:t xml:space="preserve"> We thank the patients who participated to this study.</w:t>
      </w:r>
    </w:p>
    <w:p w:rsidR="00D13D04" w:rsidRPr="002E5DBE" w:rsidRDefault="00D13D04" w:rsidP="00D13D04">
      <w:pPr>
        <w:spacing w:line="480" w:lineRule="auto"/>
        <w:outlineLvl w:val="0"/>
        <w:rPr>
          <w:b/>
          <w:bCs/>
          <w:color w:val="000000" w:themeColor="text1"/>
          <w:lang w:val="en-GB"/>
        </w:rPr>
      </w:pPr>
    </w:p>
    <w:p w:rsidR="00D13D04" w:rsidRPr="002E5DBE" w:rsidRDefault="00D13D04" w:rsidP="00D13D04">
      <w:pPr>
        <w:spacing w:line="480" w:lineRule="auto"/>
        <w:outlineLvl w:val="0"/>
        <w:rPr>
          <w:b/>
          <w:bCs/>
          <w:color w:val="000000" w:themeColor="text1"/>
          <w:lang w:val="en-GB"/>
        </w:rPr>
      </w:pPr>
      <w:r w:rsidRPr="002E5DBE">
        <w:rPr>
          <w:b/>
          <w:bCs/>
          <w:color w:val="000000" w:themeColor="text1"/>
          <w:lang w:val="en-GB"/>
        </w:rPr>
        <w:t xml:space="preserve">The authors’ contribution: </w:t>
      </w:r>
    </w:p>
    <w:p w:rsidR="00D13D04" w:rsidRPr="002E5DBE" w:rsidRDefault="00D13D04" w:rsidP="00D13D04">
      <w:pPr>
        <w:spacing w:line="480" w:lineRule="auto"/>
        <w:outlineLvl w:val="0"/>
        <w:rPr>
          <w:bCs/>
          <w:color w:val="000000" w:themeColor="text1"/>
          <w:lang w:val="en-GB"/>
        </w:rPr>
      </w:pPr>
      <w:r w:rsidRPr="002E5DBE">
        <w:rPr>
          <w:bCs/>
          <w:color w:val="000000" w:themeColor="text1"/>
          <w:lang w:val="en-GB"/>
        </w:rPr>
        <w:t>Study design: PB, JF, NB</w:t>
      </w:r>
    </w:p>
    <w:p w:rsidR="00D13D04" w:rsidRPr="002E5DBE" w:rsidRDefault="00D13D04" w:rsidP="00D13D04">
      <w:pPr>
        <w:spacing w:line="480" w:lineRule="auto"/>
        <w:rPr>
          <w:bCs/>
          <w:color w:val="000000" w:themeColor="text1"/>
          <w:lang w:val="en-GB"/>
        </w:rPr>
      </w:pPr>
      <w:r w:rsidRPr="002E5DBE">
        <w:rPr>
          <w:bCs/>
          <w:color w:val="000000" w:themeColor="text1"/>
          <w:lang w:val="en-GB"/>
        </w:rPr>
        <w:t>Analysis: PB</w:t>
      </w:r>
    </w:p>
    <w:p w:rsidR="00D13D04" w:rsidRPr="002E5DBE" w:rsidRDefault="00D13D04" w:rsidP="00D13D04">
      <w:pPr>
        <w:spacing w:line="480" w:lineRule="auto"/>
        <w:rPr>
          <w:bCs/>
          <w:color w:val="000000" w:themeColor="text1"/>
          <w:lang w:val="en-GB"/>
        </w:rPr>
      </w:pPr>
      <w:r w:rsidRPr="002E5DBE">
        <w:rPr>
          <w:bCs/>
          <w:color w:val="000000" w:themeColor="text1"/>
          <w:lang w:val="en-GB"/>
        </w:rPr>
        <w:t>Writing the manuscript: PB, JF, PM, AdL, RH, PHD, SC, NB</w:t>
      </w:r>
    </w:p>
    <w:p w:rsidR="00D13D04" w:rsidRPr="002E5DBE" w:rsidRDefault="00D13D04" w:rsidP="00D13D04">
      <w:pPr>
        <w:spacing w:line="480" w:lineRule="auto"/>
        <w:rPr>
          <w:bCs/>
          <w:color w:val="000000" w:themeColor="text1"/>
          <w:lang w:val="en-GB"/>
        </w:rPr>
      </w:pPr>
      <w:r w:rsidRPr="002E5DBE">
        <w:rPr>
          <w:bCs/>
          <w:color w:val="000000" w:themeColor="text1"/>
          <w:lang w:val="en-GB"/>
        </w:rPr>
        <w:t xml:space="preserve">All authors have approved the final article. </w:t>
      </w:r>
    </w:p>
    <w:p w:rsidR="00D13D04" w:rsidRPr="002E5DBE" w:rsidRDefault="00D13D04" w:rsidP="00D13D04">
      <w:pPr>
        <w:spacing w:line="480" w:lineRule="auto"/>
        <w:rPr>
          <w:bCs/>
          <w:color w:val="000000" w:themeColor="text1"/>
          <w:lang w:val="en-GB"/>
        </w:rPr>
      </w:pPr>
    </w:p>
    <w:p w:rsidR="00D13D04" w:rsidRPr="002E5DBE" w:rsidRDefault="00D13D04" w:rsidP="00D13D04">
      <w:pPr>
        <w:spacing w:line="480" w:lineRule="auto"/>
        <w:rPr>
          <w:bCs/>
          <w:color w:val="000000" w:themeColor="text1"/>
          <w:lang w:val="en-GB"/>
        </w:rPr>
      </w:pPr>
      <w:r w:rsidRPr="002E5DBE">
        <w:rPr>
          <w:b/>
          <w:color w:val="000000" w:themeColor="text1"/>
          <w:lang w:val="en-GB"/>
        </w:rPr>
        <w:t>Role of the funding source:</w:t>
      </w:r>
      <w:r w:rsidRPr="002E5DBE">
        <w:rPr>
          <w:bCs/>
          <w:color w:val="000000" w:themeColor="text1"/>
          <w:lang w:val="en-GB"/>
        </w:rPr>
        <w:t xml:space="preserve"> This study was conducted without specific funding. </w:t>
      </w:r>
    </w:p>
    <w:p w:rsidR="00D13D04" w:rsidRPr="002E5DBE" w:rsidRDefault="00D13D04" w:rsidP="00D13D04">
      <w:pPr>
        <w:rPr>
          <w:color w:val="000000" w:themeColor="text1"/>
          <w:sz w:val="36"/>
          <w:lang w:val="en-GB"/>
        </w:rPr>
      </w:pPr>
    </w:p>
    <w:p w:rsidR="00D13D04" w:rsidRPr="002E5DBE" w:rsidRDefault="00D13D04" w:rsidP="00D13D04">
      <w:pPr>
        <w:spacing w:line="480" w:lineRule="auto"/>
        <w:outlineLvl w:val="0"/>
        <w:rPr>
          <w:b/>
          <w:bCs/>
          <w:color w:val="000000" w:themeColor="text1"/>
          <w:szCs w:val="24"/>
          <w:lang w:val="en-GB"/>
        </w:rPr>
      </w:pPr>
      <w:r w:rsidRPr="002E5DBE">
        <w:rPr>
          <w:b/>
          <w:bCs/>
          <w:color w:val="000000" w:themeColor="text1"/>
          <w:szCs w:val="24"/>
          <w:lang w:val="en-GB"/>
        </w:rPr>
        <w:t>Declaration of interest:</w:t>
      </w:r>
    </w:p>
    <w:p w:rsidR="00D13D04" w:rsidRPr="002E5DBE" w:rsidRDefault="00D13D04" w:rsidP="00D13D04">
      <w:pPr>
        <w:pStyle w:val="NormalWeb"/>
        <w:spacing w:line="480" w:lineRule="auto"/>
        <w:jc w:val="both"/>
        <w:rPr>
          <w:rFonts w:ascii="Times New Roman" w:eastAsia="MS Minngs" w:hAnsi="Times New Roman"/>
          <w:bCs/>
          <w:color w:val="000000" w:themeColor="text1"/>
          <w:lang w:val="en-GB" w:eastAsia="en-US"/>
        </w:rPr>
      </w:pPr>
      <w:r w:rsidRPr="002E5DBE">
        <w:rPr>
          <w:rFonts w:ascii="Times New Roman" w:eastAsia="MS Minngs" w:hAnsi="Times New Roman"/>
          <w:bCs/>
          <w:color w:val="000000" w:themeColor="text1"/>
          <w:lang w:val="en-GB" w:eastAsia="en-US"/>
        </w:rPr>
        <w:t>PB received financial support from Astra Zeneca (2014), DNA Pharma (2014), Lundbeck (2012 to 2014), and Roche (2012), outside the submitted work. NB received financial support from AstraZeneca (2010), DNA Pharma (2014) and Lundbeck (2013), outside the submitted work. SC</w:t>
      </w:r>
      <w:r w:rsidRPr="002E5DBE">
        <w:rPr>
          <w:rFonts w:ascii="Times New Roman" w:eastAsia="MS Minngs" w:hAnsi="Times New Roman" w:hint="eastAsia"/>
          <w:bCs/>
          <w:color w:val="000000" w:themeColor="text1"/>
          <w:lang w:val="en-GB" w:eastAsia="en-US"/>
        </w:rPr>
        <w:t> </w:t>
      </w:r>
      <w:r w:rsidRPr="002E5DBE">
        <w:rPr>
          <w:rFonts w:ascii="Times New Roman" w:eastAsia="MS Minngs" w:hAnsi="Times New Roman"/>
          <w:bCs/>
          <w:color w:val="000000" w:themeColor="text1"/>
          <w:lang w:val="en-GB" w:eastAsia="en-US"/>
        </w:rPr>
        <w:t xml:space="preserve"> declares reimbursement for travel and accommodation expenses from the Association for Child and Adolescent Central Health (ACAMH) in relation to lectures delivered for ACAMH, and from Healthcare Convention for educational activity on ADHD. JF, PM, ADL, RH, PHD: none.</w:t>
      </w:r>
    </w:p>
    <w:p w:rsidR="00D13D04" w:rsidRPr="002E5DBE" w:rsidRDefault="00D13D04" w:rsidP="00D13D04">
      <w:pPr>
        <w:spacing w:line="480" w:lineRule="auto"/>
        <w:rPr>
          <w:bCs/>
          <w:color w:val="000000" w:themeColor="text1"/>
          <w:lang w:val="en-GB"/>
        </w:rPr>
      </w:pPr>
    </w:p>
    <w:p w:rsidR="00D13D04" w:rsidRPr="002E5DBE" w:rsidRDefault="00D13D04" w:rsidP="00D13D04">
      <w:pPr>
        <w:rPr>
          <w:color w:val="000000" w:themeColor="text1"/>
          <w:sz w:val="36"/>
          <w:lang w:val="en-US"/>
        </w:rPr>
      </w:pPr>
    </w:p>
    <w:p w:rsidR="00D13D04" w:rsidRPr="002E5DBE" w:rsidRDefault="00D13D04" w:rsidP="00D13D04">
      <w:pPr>
        <w:spacing w:line="480" w:lineRule="auto"/>
        <w:rPr>
          <w:b/>
          <w:bCs/>
          <w:color w:val="000000" w:themeColor="text1"/>
          <w:szCs w:val="24"/>
          <w:lang w:val="en-US"/>
        </w:rPr>
        <w:sectPr w:rsidR="00D13D04" w:rsidRPr="002E5DBE" w:rsidSect="00D13D04">
          <w:pgSz w:w="11900" w:h="16840"/>
          <w:pgMar w:top="1417" w:right="1417" w:bottom="1417" w:left="1417" w:header="708" w:footer="708" w:gutter="0"/>
          <w:cols w:space="708"/>
          <w:docGrid w:linePitch="360"/>
        </w:sectPr>
      </w:pPr>
    </w:p>
    <w:p w:rsidR="00D13D04" w:rsidRPr="002E5DBE" w:rsidRDefault="00D13D04" w:rsidP="00D13D04">
      <w:pPr>
        <w:pStyle w:val="Bibliographie3"/>
        <w:rPr>
          <w:b/>
          <w:color w:val="000000" w:themeColor="text1"/>
        </w:rPr>
      </w:pPr>
      <w:r w:rsidRPr="002E5DBE">
        <w:rPr>
          <w:b/>
          <w:color w:val="000000" w:themeColor="text1"/>
        </w:rPr>
        <w:lastRenderedPageBreak/>
        <w:t>References</w:t>
      </w:r>
    </w:p>
    <w:p w:rsidR="00D13D04" w:rsidRPr="002E5DBE" w:rsidRDefault="00D13D04" w:rsidP="00D13D04">
      <w:pPr>
        <w:pStyle w:val="Bibliographie3"/>
        <w:spacing w:line="360" w:lineRule="auto"/>
        <w:ind w:left="709" w:hanging="709"/>
        <w:rPr>
          <w:color w:val="000000" w:themeColor="text1"/>
        </w:rPr>
      </w:pPr>
      <w:r w:rsidRPr="002E5DBE">
        <w:rPr>
          <w:b/>
          <w:color w:val="000000" w:themeColor="text1"/>
        </w:rPr>
        <w:fldChar w:fldCharType="begin"/>
      </w:r>
      <w:r w:rsidRPr="002E5DBE">
        <w:rPr>
          <w:b/>
          <w:color w:val="000000" w:themeColor="text1"/>
          <w:lang w:val="en-US"/>
        </w:rPr>
        <w:instrText xml:space="preserve"> ADDIN ZOTERO_BIBL {"uncited":[],"omitted":[],"custom":[]} CSL_BIBLIOGRAPHY </w:instrText>
      </w:r>
      <w:r w:rsidRPr="002E5DBE">
        <w:rPr>
          <w:b/>
          <w:color w:val="000000" w:themeColor="text1"/>
        </w:rPr>
        <w:fldChar w:fldCharType="separate"/>
      </w:r>
      <w:r w:rsidRPr="002E5DBE">
        <w:rPr>
          <w:color w:val="000000" w:themeColor="text1"/>
        </w:rPr>
        <w:t xml:space="preserve">Alfonsson, S., Parling, T., &amp; Ghaderi, A. (2013). Self-reported symptoms of adult attention deficit hyperactivity disorder among obese patients seeking bariatric surgery and its relation to alcohol consumption, disordered eating and gender. </w:t>
      </w:r>
      <w:r w:rsidRPr="002E5DBE">
        <w:rPr>
          <w:i/>
          <w:iCs/>
          <w:color w:val="000000" w:themeColor="text1"/>
        </w:rPr>
        <w:t>Clinical Obesity</w:t>
      </w:r>
      <w:r w:rsidRPr="002E5DBE">
        <w:rPr>
          <w:color w:val="000000" w:themeColor="text1"/>
        </w:rPr>
        <w:t xml:space="preserve">, </w:t>
      </w:r>
      <w:r w:rsidRPr="002E5DBE">
        <w:rPr>
          <w:i/>
          <w:iCs/>
          <w:color w:val="000000" w:themeColor="text1"/>
        </w:rPr>
        <w:t>3</w:t>
      </w:r>
      <w:r w:rsidRPr="002E5DBE">
        <w:rPr>
          <w:color w:val="000000" w:themeColor="text1"/>
        </w:rPr>
        <w:t>(5), 124–131. https://doi.org/10.1111/cob.12025</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Altfas, J. R. (2002). Prevalence of attention deficit/hyperactivity disorder among adults in obesity treatment. </w:t>
      </w:r>
      <w:r w:rsidRPr="002E5DBE">
        <w:rPr>
          <w:i/>
          <w:iCs/>
          <w:color w:val="000000" w:themeColor="text1"/>
        </w:rPr>
        <w:t>BMC Psychiatry</w:t>
      </w:r>
      <w:r w:rsidRPr="002E5DBE">
        <w:rPr>
          <w:color w:val="000000" w:themeColor="text1"/>
        </w:rPr>
        <w:t xml:space="preserve">, </w:t>
      </w:r>
      <w:r w:rsidRPr="002E5DBE">
        <w:rPr>
          <w:i/>
          <w:iCs/>
          <w:color w:val="000000" w:themeColor="text1"/>
        </w:rPr>
        <w:t>2</w:t>
      </w:r>
      <w:r w:rsidRPr="002E5DBE">
        <w:rPr>
          <w:color w:val="000000" w:themeColor="text1"/>
        </w:rPr>
        <w:t>, 1–9.</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American Psychiatric Association. (2013). </w:t>
      </w:r>
      <w:r w:rsidRPr="002E5DBE">
        <w:rPr>
          <w:i/>
          <w:iCs/>
          <w:color w:val="000000" w:themeColor="text1"/>
        </w:rPr>
        <w:t>Diagnostic and statistical manual of mental disorders (5th ed.)</w:t>
      </w:r>
      <w:r w:rsidRPr="002E5DBE">
        <w:rPr>
          <w:color w:val="000000" w:themeColor="text1"/>
        </w:rPr>
        <w:t>. Arlington, VA: American Psychiatric Publishing, Inc.</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Brewerton, T. D., &amp; Duncan, A. E. (2016). Associations between Attention Deficit Hyperactivity Disorder and Eating Disorders by Gender: Results from the National Comorbidity Survey Replication. </w:t>
      </w:r>
      <w:r w:rsidRPr="002E5DBE">
        <w:rPr>
          <w:i/>
          <w:iCs/>
          <w:color w:val="000000" w:themeColor="text1"/>
        </w:rPr>
        <w:t>European Eating Disorders Review</w:t>
      </w:r>
      <w:r w:rsidRPr="002E5DBE">
        <w:rPr>
          <w:color w:val="000000" w:themeColor="text1"/>
        </w:rPr>
        <w:t xml:space="preserve">, </w:t>
      </w:r>
      <w:r w:rsidRPr="002E5DBE">
        <w:rPr>
          <w:i/>
          <w:iCs/>
          <w:color w:val="000000" w:themeColor="text1"/>
        </w:rPr>
        <w:t>24</w:t>
      </w:r>
      <w:r w:rsidRPr="002E5DBE">
        <w:rPr>
          <w:color w:val="000000" w:themeColor="text1"/>
        </w:rPr>
        <w:t>(6), 536–540. https://doi.org/10.1002/erv.2468</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Brunault, P., Courtois, R., Gearhardt, A., Gaillard, P., Journiac, K., Cathelain, S., … Ballon, N. (2017). Validation of the French version of the DSM-5 Yale Food Addiction Scale (YFAS 2.0) in a nonclinical sample. </w:t>
      </w:r>
      <w:r w:rsidRPr="002E5DBE">
        <w:rPr>
          <w:i/>
          <w:iCs/>
          <w:color w:val="000000" w:themeColor="text1"/>
        </w:rPr>
        <w:t>Canadian Journal of Psychiatry</w:t>
      </w:r>
      <w:r w:rsidRPr="002E5DBE">
        <w:rPr>
          <w:color w:val="000000" w:themeColor="text1"/>
        </w:rPr>
        <w:t xml:space="preserve">, </w:t>
      </w:r>
      <w:r w:rsidRPr="002E5DBE">
        <w:rPr>
          <w:i/>
          <w:iCs/>
          <w:color w:val="000000" w:themeColor="text1"/>
        </w:rPr>
        <w:t>62</w:t>
      </w:r>
      <w:r w:rsidRPr="002E5DBE">
        <w:rPr>
          <w:color w:val="000000" w:themeColor="text1"/>
        </w:rPr>
        <w:t>, 199–210.</w:t>
      </w:r>
    </w:p>
    <w:p w:rsidR="00D13D04" w:rsidRPr="002E5DBE" w:rsidRDefault="00D13D04" w:rsidP="00D13D04">
      <w:pPr>
        <w:pStyle w:val="Bibliographie3"/>
        <w:spacing w:line="360" w:lineRule="auto"/>
        <w:ind w:left="709" w:hanging="709"/>
        <w:rPr>
          <w:color w:val="000000" w:themeColor="text1"/>
          <w:lang w:val="fr-FR"/>
        </w:rPr>
      </w:pPr>
      <w:r w:rsidRPr="002E5DBE">
        <w:rPr>
          <w:color w:val="000000" w:themeColor="text1"/>
        </w:rPr>
        <w:t xml:space="preserve">Brunault, P., Gaillard, P., Ballon, N., Couet, C., Isnard, P., Cook, S., … </w:t>
      </w:r>
      <w:r w:rsidRPr="002E5DBE">
        <w:rPr>
          <w:color w:val="000000" w:themeColor="text1"/>
          <w:lang w:val="fr-FR"/>
        </w:rPr>
        <w:t xml:space="preserve">Courtois, R. (2016). Validation de la version française de la Binge Eating Scale : étude de sa structure factorielle, de sa consistance interne et de sa validité de construit en population clinique et non clinique. </w:t>
      </w:r>
      <w:r w:rsidRPr="002E5DBE">
        <w:rPr>
          <w:i/>
          <w:iCs/>
          <w:color w:val="000000" w:themeColor="text1"/>
          <w:lang w:val="fr-FR"/>
        </w:rPr>
        <w:t>Encéphale</w:t>
      </w:r>
      <w:r w:rsidRPr="002E5DBE">
        <w:rPr>
          <w:color w:val="000000" w:themeColor="text1"/>
          <w:lang w:val="fr-FR"/>
        </w:rPr>
        <w:t xml:space="preserve">, </w:t>
      </w:r>
      <w:r w:rsidRPr="002E5DBE">
        <w:rPr>
          <w:i/>
          <w:iCs/>
          <w:color w:val="000000" w:themeColor="text1"/>
          <w:lang w:val="fr-FR"/>
        </w:rPr>
        <w:t>42</w:t>
      </w:r>
      <w:r w:rsidRPr="002E5DBE">
        <w:rPr>
          <w:color w:val="000000" w:themeColor="text1"/>
          <w:lang w:val="fr-FR"/>
        </w:rPr>
        <w:t>(5), 426–433.</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lang w:val="fr-FR"/>
        </w:rPr>
        <w:t xml:space="preserve">Contreras-Rodríguez, O., Martín-Pérez, C., Vilar-López, R., &amp; Verdejo-Garcia, A. (2017). </w:t>
      </w:r>
      <w:r w:rsidRPr="002E5DBE">
        <w:rPr>
          <w:color w:val="000000" w:themeColor="text1"/>
        </w:rPr>
        <w:t xml:space="preserve">Ventral and Dorsal Striatum Networks in Obesity: Link to Food Craving and Weight Gain. </w:t>
      </w:r>
      <w:r w:rsidRPr="002E5DBE">
        <w:rPr>
          <w:i/>
          <w:iCs/>
          <w:color w:val="000000" w:themeColor="text1"/>
        </w:rPr>
        <w:t>Biological Psychiatry</w:t>
      </w:r>
      <w:r w:rsidRPr="002E5DBE">
        <w:rPr>
          <w:color w:val="000000" w:themeColor="text1"/>
        </w:rPr>
        <w:t xml:space="preserve">, </w:t>
      </w:r>
      <w:r w:rsidRPr="002E5DBE">
        <w:rPr>
          <w:i/>
          <w:iCs/>
          <w:color w:val="000000" w:themeColor="text1"/>
        </w:rPr>
        <w:t>81</w:t>
      </w:r>
      <w:r w:rsidRPr="002E5DBE">
        <w:rPr>
          <w:color w:val="000000" w:themeColor="text1"/>
        </w:rPr>
        <w:t>(9), 789–796. https://doi.org/10.1016/j.biopsych.2015.11.020</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Cortese, S., &amp; Castellanos, F. X. (2014). The relationship between ADHD and obesity: implications for therapy. </w:t>
      </w:r>
      <w:r w:rsidRPr="002E5DBE">
        <w:rPr>
          <w:i/>
          <w:iCs/>
          <w:color w:val="000000" w:themeColor="text1"/>
        </w:rPr>
        <w:t>Expert Review of Neurotherapeutics</w:t>
      </w:r>
      <w:r w:rsidRPr="002E5DBE">
        <w:rPr>
          <w:color w:val="000000" w:themeColor="text1"/>
        </w:rPr>
        <w:t xml:space="preserve">, </w:t>
      </w:r>
      <w:r w:rsidRPr="002E5DBE">
        <w:rPr>
          <w:i/>
          <w:iCs/>
          <w:color w:val="000000" w:themeColor="text1"/>
        </w:rPr>
        <w:t>14</w:t>
      </w:r>
      <w:r w:rsidRPr="002E5DBE">
        <w:rPr>
          <w:color w:val="000000" w:themeColor="text1"/>
        </w:rPr>
        <w:t>(5), 473–479. https://doi.org/10.1586/14737175.2014.904748</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Cortese, S., Moreira-Maia, C. R., St. Fleur, D., Morcillo-Peñalver, C., Rohde, L. A., &amp; Faraone, S. V. (2016). Association Between ADHD and Obesity: A Systematic Review and Meta-Analysis. </w:t>
      </w:r>
      <w:r w:rsidRPr="002E5DBE">
        <w:rPr>
          <w:i/>
          <w:iCs/>
          <w:color w:val="000000" w:themeColor="text1"/>
        </w:rPr>
        <w:t>American Journal of Psychiatry</w:t>
      </w:r>
      <w:r w:rsidRPr="002E5DBE">
        <w:rPr>
          <w:color w:val="000000" w:themeColor="text1"/>
        </w:rPr>
        <w:t xml:space="preserve">, </w:t>
      </w:r>
      <w:r w:rsidRPr="002E5DBE">
        <w:rPr>
          <w:i/>
          <w:iCs/>
          <w:color w:val="000000" w:themeColor="text1"/>
        </w:rPr>
        <w:t>173</w:t>
      </w:r>
      <w:r w:rsidRPr="002E5DBE">
        <w:rPr>
          <w:color w:val="000000" w:themeColor="text1"/>
        </w:rPr>
        <w:t>(1), 34–43.</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Cortese, S., Ramos Olazagasti, M. A., Klein, R. G., Castellanos, F. X., Proal, E., &amp; Mannuzza, S. (2013). Obesity in Men With Childhood ADHD: A 33-Year Controlled, Prospective, Follow-up Study. </w:t>
      </w:r>
      <w:r w:rsidRPr="002E5DBE">
        <w:rPr>
          <w:i/>
          <w:iCs/>
          <w:color w:val="000000" w:themeColor="text1"/>
        </w:rPr>
        <w:t>Pediatrics</w:t>
      </w:r>
      <w:r w:rsidRPr="002E5DBE">
        <w:rPr>
          <w:color w:val="000000" w:themeColor="text1"/>
        </w:rPr>
        <w:t xml:space="preserve">, </w:t>
      </w:r>
      <w:r w:rsidRPr="002E5DBE">
        <w:rPr>
          <w:i/>
          <w:iCs/>
          <w:color w:val="000000" w:themeColor="text1"/>
        </w:rPr>
        <w:t>131</w:t>
      </w:r>
      <w:r w:rsidRPr="002E5DBE">
        <w:rPr>
          <w:color w:val="000000" w:themeColor="text1"/>
        </w:rPr>
        <w:t>, e1731-8. https://doi.org/10.1542/peds.2012-0540</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lastRenderedPageBreak/>
        <w:t xml:space="preserve">Cortese, S., &amp; Vincenzi, B. (2012). Obesity and ADHD: Clinical and Neurobiological Implications. </w:t>
      </w:r>
      <w:r w:rsidRPr="002E5DBE">
        <w:rPr>
          <w:i/>
          <w:iCs/>
          <w:color w:val="000000" w:themeColor="text1"/>
        </w:rPr>
        <w:t>Current Topics in Behavioral Neurosciences</w:t>
      </w:r>
      <w:r w:rsidRPr="002E5DBE">
        <w:rPr>
          <w:color w:val="000000" w:themeColor="text1"/>
        </w:rPr>
        <w:t xml:space="preserve">, </w:t>
      </w:r>
      <w:r w:rsidRPr="002E5DBE">
        <w:rPr>
          <w:i/>
          <w:iCs/>
          <w:color w:val="000000" w:themeColor="text1"/>
        </w:rPr>
        <w:t>9</w:t>
      </w:r>
      <w:r w:rsidRPr="002E5DBE">
        <w:rPr>
          <w:color w:val="000000" w:themeColor="text1"/>
        </w:rPr>
        <w:t>, 199–218. https://doi.org/10.1007/7854_2011_154</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Davis, C., &amp; Carter, J. C. (2009). Compulsive overeating as an addiction disorder. A review of theory and evidence. </w:t>
      </w:r>
      <w:r w:rsidRPr="002E5DBE">
        <w:rPr>
          <w:i/>
          <w:iCs/>
          <w:color w:val="000000" w:themeColor="text1"/>
        </w:rPr>
        <w:t>Appetite</w:t>
      </w:r>
      <w:r w:rsidRPr="002E5DBE">
        <w:rPr>
          <w:color w:val="000000" w:themeColor="text1"/>
        </w:rPr>
        <w:t xml:space="preserve">, </w:t>
      </w:r>
      <w:r w:rsidRPr="002E5DBE">
        <w:rPr>
          <w:i/>
          <w:iCs/>
          <w:color w:val="000000" w:themeColor="text1"/>
        </w:rPr>
        <w:t>53</w:t>
      </w:r>
      <w:r w:rsidRPr="002E5DBE">
        <w:rPr>
          <w:color w:val="000000" w:themeColor="text1"/>
        </w:rPr>
        <w:t>(1), 1–8. https://doi.org/10.1016/j.appet.2009.05.018</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Emery, R. L., &amp; Levine, M. D. (2017). Questionnaire and behavioral task measures of impulsivity are differentially associated with body mass index: A comprehensive meta-analysis. </w:t>
      </w:r>
      <w:r w:rsidRPr="002E5DBE">
        <w:rPr>
          <w:i/>
          <w:iCs/>
          <w:color w:val="000000" w:themeColor="text1"/>
        </w:rPr>
        <w:t>Psychological Bulletin</w:t>
      </w:r>
      <w:r w:rsidRPr="002E5DBE">
        <w:rPr>
          <w:color w:val="000000" w:themeColor="text1"/>
        </w:rPr>
        <w:t xml:space="preserve">, </w:t>
      </w:r>
      <w:r w:rsidRPr="002E5DBE">
        <w:rPr>
          <w:i/>
          <w:iCs/>
          <w:color w:val="000000" w:themeColor="text1"/>
        </w:rPr>
        <w:t>143</w:t>
      </w:r>
      <w:r w:rsidRPr="002E5DBE">
        <w:rPr>
          <w:color w:val="000000" w:themeColor="text1"/>
        </w:rPr>
        <w:t>(8), 868–902. https://doi.org/10.1037/bul0000105</w:t>
      </w:r>
    </w:p>
    <w:p w:rsidR="00D13D04" w:rsidRPr="002E5DBE" w:rsidRDefault="00D13D04" w:rsidP="00D13D04">
      <w:pPr>
        <w:pStyle w:val="Bibliographie3"/>
        <w:spacing w:line="360" w:lineRule="auto"/>
        <w:ind w:left="709" w:hanging="709"/>
        <w:rPr>
          <w:color w:val="000000" w:themeColor="text1"/>
          <w:lang w:val="fr-FR"/>
        </w:rPr>
      </w:pPr>
      <w:r w:rsidRPr="002E5DBE">
        <w:rPr>
          <w:color w:val="000000" w:themeColor="text1"/>
        </w:rPr>
        <w:t xml:space="preserve">Faraone, S. V., Biederman, J., &amp; Mick, E. (2006). The age-dependent decline of attention deficit hyperactivity disorder: a meta-analysis of follow-up studies. </w:t>
      </w:r>
      <w:r w:rsidRPr="002E5DBE">
        <w:rPr>
          <w:i/>
          <w:iCs/>
          <w:color w:val="000000" w:themeColor="text1"/>
          <w:lang w:val="fr-FR"/>
        </w:rPr>
        <w:t>Psychological Medicine</w:t>
      </w:r>
      <w:r w:rsidRPr="002E5DBE">
        <w:rPr>
          <w:color w:val="000000" w:themeColor="text1"/>
          <w:lang w:val="fr-FR"/>
        </w:rPr>
        <w:t xml:space="preserve">, </w:t>
      </w:r>
      <w:r w:rsidRPr="002E5DBE">
        <w:rPr>
          <w:i/>
          <w:iCs/>
          <w:color w:val="000000" w:themeColor="text1"/>
          <w:lang w:val="fr-FR"/>
        </w:rPr>
        <w:t>36</w:t>
      </w:r>
      <w:r w:rsidRPr="002E5DBE">
        <w:rPr>
          <w:color w:val="000000" w:themeColor="text1"/>
          <w:lang w:val="fr-FR"/>
        </w:rPr>
        <w:t>(2), 159–165. https://doi.org/10.1017/S003329170500471X</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lang w:val="fr-FR"/>
        </w:rPr>
        <w:t xml:space="preserve">Fatséas, M., Alexandre, J.-M., Vénisse, J.-L., Romo, L., Valleur, M., Magalon, D., … </w:t>
      </w:r>
      <w:r w:rsidRPr="002E5DBE">
        <w:rPr>
          <w:color w:val="000000" w:themeColor="text1"/>
        </w:rPr>
        <w:t xml:space="preserve">Grall-Bronnec, M. (2016). Gambling behaviors and psychopathology related to Attention-Deficit/Hyperactivity Disorder (ADHD) in problem and non-problem adult gamblers. </w:t>
      </w:r>
      <w:r w:rsidRPr="002E5DBE">
        <w:rPr>
          <w:i/>
          <w:iCs/>
          <w:color w:val="000000" w:themeColor="text1"/>
        </w:rPr>
        <w:t>Psychiatry Research</w:t>
      </w:r>
      <w:r w:rsidRPr="002E5DBE">
        <w:rPr>
          <w:color w:val="000000" w:themeColor="text1"/>
        </w:rPr>
        <w:t xml:space="preserve">, </w:t>
      </w:r>
      <w:r w:rsidRPr="002E5DBE">
        <w:rPr>
          <w:i/>
          <w:iCs/>
          <w:color w:val="000000" w:themeColor="text1"/>
        </w:rPr>
        <w:t>239</w:t>
      </w:r>
      <w:r w:rsidRPr="002E5DBE">
        <w:rPr>
          <w:color w:val="000000" w:themeColor="text1"/>
        </w:rPr>
        <w:t>, 232–238. https://doi.org/10.1016/j.psychres.2016.03.028</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Gearhardt, A.N., Corbin, W. R., &amp; Brownell, K. D. (2016). Development of the Yale Food Addiction Scale Version 2.0. </w:t>
      </w:r>
      <w:r w:rsidRPr="002E5DBE">
        <w:rPr>
          <w:i/>
          <w:iCs/>
          <w:color w:val="000000" w:themeColor="text1"/>
        </w:rPr>
        <w:t>Psychology of Addictive Behaviors</w:t>
      </w:r>
      <w:r w:rsidRPr="002E5DBE">
        <w:rPr>
          <w:color w:val="000000" w:themeColor="text1"/>
        </w:rPr>
        <w:t xml:space="preserve">, </w:t>
      </w:r>
      <w:r w:rsidRPr="002E5DBE">
        <w:rPr>
          <w:i/>
          <w:iCs/>
          <w:color w:val="000000" w:themeColor="text1"/>
        </w:rPr>
        <w:t>30</w:t>
      </w:r>
      <w:r w:rsidRPr="002E5DBE">
        <w:rPr>
          <w:color w:val="000000" w:themeColor="text1"/>
        </w:rPr>
        <w:t>(1), 113–121. https://doi.org/10.1037/adb0000136</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Gearhardt, Ashley N., Corbin, W. R., &amp; Brownell, K. D. (2009a). Food addiction: an examination of the diagnostic criteria for dependence. </w:t>
      </w:r>
      <w:r w:rsidRPr="002E5DBE">
        <w:rPr>
          <w:i/>
          <w:iCs/>
          <w:color w:val="000000" w:themeColor="text1"/>
        </w:rPr>
        <w:t>Journal of Addiction Medicine</w:t>
      </w:r>
      <w:r w:rsidRPr="002E5DBE">
        <w:rPr>
          <w:color w:val="000000" w:themeColor="text1"/>
        </w:rPr>
        <w:t xml:space="preserve">, </w:t>
      </w:r>
      <w:r w:rsidRPr="002E5DBE">
        <w:rPr>
          <w:i/>
          <w:iCs/>
          <w:color w:val="000000" w:themeColor="text1"/>
        </w:rPr>
        <w:t>3</w:t>
      </w:r>
      <w:r w:rsidRPr="002E5DBE">
        <w:rPr>
          <w:color w:val="000000" w:themeColor="text1"/>
        </w:rPr>
        <w:t>(1), 1–7.</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Gearhardt, Ashley N., Corbin, W. R., &amp; Brownell, K. D. (2009b). Preliminary validation of the Yale Food Addiction Scale. </w:t>
      </w:r>
      <w:r w:rsidRPr="002E5DBE">
        <w:rPr>
          <w:i/>
          <w:iCs/>
          <w:color w:val="000000" w:themeColor="text1"/>
        </w:rPr>
        <w:t>Appetite</w:t>
      </w:r>
      <w:r w:rsidRPr="002E5DBE">
        <w:rPr>
          <w:color w:val="000000" w:themeColor="text1"/>
        </w:rPr>
        <w:t xml:space="preserve">, </w:t>
      </w:r>
      <w:r w:rsidRPr="002E5DBE">
        <w:rPr>
          <w:i/>
          <w:iCs/>
          <w:color w:val="000000" w:themeColor="text1"/>
        </w:rPr>
        <w:t>52</w:t>
      </w:r>
      <w:r w:rsidRPr="002E5DBE">
        <w:rPr>
          <w:color w:val="000000" w:themeColor="text1"/>
        </w:rPr>
        <w:t>(2), 430–436. https://doi.org/10.1016/j.appet.2008.12.003</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Gearhardt, Ashley N., Corbin, W. R., &amp; Brownell, K. D. (2016). Development of the Yale Food Addiction Scale Version 2.0. </w:t>
      </w:r>
      <w:r w:rsidRPr="002E5DBE">
        <w:rPr>
          <w:i/>
          <w:iCs/>
          <w:color w:val="000000" w:themeColor="text1"/>
        </w:rPr>
        <w:t>Psychology of Addictive Behaviors</w:t>
      </w:r>
      <w:r w:rsidRPr="002E5DBE">
        <w:rPr>
          <w:color w:val="000000" w:themeColor="text1"/>
        </w:rPr>
        <w:t xml:space="preserve">, </w:t>
      </w:r>
      <w:r w:rsidRPr="002E5DBE">
        <w:rPr>
          <w:i/>
          <w:iCs/>
          <w:color w:val="000000" w:themeColor="text1"/>
        </w:rPr>
        <w:t>30</w:t>
      </w:r>
      <w:r w:rsidRPr="002E5DBE">
        <w:rPr>
          <w:color w:val="000000" w:themeColor="text1"/>
        </w:rPr>
        <w:t>(1), 113–121. https://doi.org/10.1037/adb0000136</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Gormally, J., Black, S., Daston, S., &amp; Rardin, D. (1982). The assessment of binge eating severity among obese persons. </w:t>
      </w:r>
      <w:r w:rsidRPr="002E5DBE">
        <w:rPr>
          <w:i/>
          <w:iCs/>
          <w:color w:val="000000" w:themeColor="text1"/>
        </w:rPr>
        <w:t>Addictive Behaviors</w:t>
      </w:r>
      <w:r w:rsidRPr="002E5DBE">
        <w:rPr>
          <w:color w:val="000000" w:themeColor="text1"/>
        </w:rPr>
        <w:t xml:space="preserve">, </w:t>
      </w:r>
      <w:r w:rsidRPr="002E5DBE">
        <w:rPr>
          <w:i/>
          <w:iCs/>
          <w:color w:val="000000" w:themeColor="text1"/>
        </w:rPr>
        <w:t>7</w:t>
      </w:r>
      <w:r w:rsidRPr="002E5DBE">
        <w:rPr>
          <w:color w:val="000000" w:themeColor="text1"/>
        </w:rPr>
        <w:t>(1), 47–55.</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Grall-Bronnec, M., Wainstein, L., Augy, J., Bouju, G., Feuillet, F., Vénisse, J.-L., &amp; Sébille-Rivain, V. (2011). Attention deficit hyperactivity disorder among pathological and at-risk gamblers seeking treatment: a hidden disorder. </w:t>
      </w:r>
      <w:r w:rsidRPr="002E5DBE">
        <w:rPr>
          <w:i/>
          <w:iCs/>
          <w:color w:val="000000" w:themeColor="text1"/>
        </w:rPr>
        <w:t>European Addiction Research</w:t>
      </w:r>
      <w:r w:rsidRPr="002E5DBE">
        <w:rPr>
          <w:color w:val="000000" w:themeColor="text1"/>
        </w:rPr>
        <w:t xml:space="preserve">, </w:t>
      </w:r>
      <w:r w:rsidRPr="002E5DBE">
        <w:rPr>
          <w:i/>
          <w:iCs/>
          <w:color w:val="000000" w:themeColor="text1"/>
        </w:rPr>
        <w:t>17</w:t>
      </w:r>
      <w:r w:rsidRPr="002E5DBE">
        <w:rPr>
          <w:color w:val="000000" w:themeColor="text1"/>
        </w:rPr>
        <w:t>(5), 231–240. https://doi.org/10.1159/000328628</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lastRenderedPageBreak/>
        <w:t xml:space="preserve">Hanć, T., &amp; Cortese, S. (2018). Attention deficit/hyperactivity-disorder and obesity: A review and model of current hypotheses explaining their comorbidity. </w:t>
      </w:r>
      <w:r w:rsidRPr="002E5DBE">
        <w:rPr>
          <w:i/>
          <w:iCs/>
          <w:color w:val="000000" w:themeColor="text1"/>
        </w:rPr>
        <w:t>Neuroscience &amp; Biobehavioral Reviews</w:t>
      </w:r>
      <w:r w:rsidRPr="002E5DBE">
        <w:rPr>
          <w:color w:val="000000" w:themeColor="text1"/>
        </w:rPr>
        <w:t xml:space="preserve">, </w:t>
      </w:r>
      <w:r w:rsidRPr="002E5DBE">
        <w:rPr>
          <w:i/>
          <w:iCs/>
          <w:color w:val="000000" w:themeColor="text1"/>
        </w:rPr>
        <w:t>92</w:t>
      </w:r>
      <w:r w:rsidRPr="002E5DBE">
        <w:rPr>
          <w:color w:val="000000" w:themeColor="text1"/>
        </w:rPr>
        <w:t>, 16–28. https://doi.org/10.1016/j.neubiorev.2018.05.017</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Hilbert, A., Kurz, S., Dremmel, D., Weihrauch Blüher, S., Munsch, S., &amp; Schmidt, R. (2018). Cue reactivity, habituation, and eating in the absence of hunger in children with loss of control eating and attention-deficit/hyperactivity disorder. </w:t>
      </w:r>
      <w:r w:rsidRPr="002E5DBE">
        <w:rPr>
          <w:i/>
          <w:iCs/>
          <w:color w:val="000000" w:themeColor="text1"/>
        </w:rPr>
        <w:t>The International Journal of Eating Disorders</w:t>
      </w:r>
      <w:r w:rsidRPr="002E5DBE">
        <w:rPr>
          <w:color w:val="000000" w:themeColor="text1"/>
        </w:rPr>
        <w:t xml:space="preserve">, </w:t>
      </w:r>
      <w:r w:rsidRPr="002E5DBE">
        <w:rPr>
          <w:i/>
          <w:iCs/>
          <w:color w:val="000000" w:themeColor="text1"/>
        </w:rPr>
        <w:t>51</w:t>
      </w:r>
      <w:r w:rsidRPr="002E5DBE">
        <w:rPr>
          <w:color w:val="000000" w:themeColor="text1"/>
        </w:rPr>
        <w:t>, 223–232. https://doi.org/10.1002/eat.22821</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Hill, J. C., &amp; Schoener, E. P. (1996). Age-dependent decline of attention deficit hyperactivity disorder. </w:t>
      </w:r>
      <w:r w:rsidRPr="002E5DBE">
        <w:rPr>
          <w:i/>
          <w:iCs/>
          <w:color w:val="000000" w:themeColor="text1"/>
        </w:rPr>
        <w:t>The American Journal of Psychiatry</w:t>
      </w:r>
      <w:r w:rsidRPr="002E5DBE">
        <w:rPr>
          <w:color w:val="000000" w:themeColor="text1"/>
        </w:rPr>
        <w:t xml:space="preserve">, </w:t>
      </w:r>
      <w:r w:rsidRPr="002E5DBE">
        <w:rPr>
          <w:i/>
          <w:iCs/>
          <w:color w:val="000000" w:themeColor="text1"/>
        </w:rPr>
        <w:t>153</w:t>
      </w:r>
      <w:r w:rsidRPr="002E5DBE">
        <w:rPr>
          <w:color w:val="000000" w:themeColor="text1"/>
        </w:rPr>
        <w:t>, 1143–1146. http://dx.doi.org/10.1176/ajp.153.9.1143</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Instanes, J. T., Klungsøyr, K., Halmøy, A., Fasmer, O. B., &amp; Haavik, J. (2018). Adult ADHD and Comorbid Somatic Disease: A Systematic Literature Review. </w:t>
      </w:r>
      <w:r w:rsidRPr="002E5DBE">
        <w:rPr>
          <w:i/>
          <w:iCs/>
          <w:color w:val="000000" w:themeColor="text1"/>
        </w:rPr>
        <w:t>Journal of Attention Disorders</w:t>
      </w:r>
      <w:r w:rsidRPr="002E5DBE">
        <w:rPr>
          <w:color w:val="000000" w:themeColor="text1"/>
        </w:rPr>
        <w:t xml:space="preserve">, </w:t>
      </w:r>
      <w:r w:rsidRPr="002E5DBE">
        <w:rPr>
          <w:i/>
          <w:iCs/>
          <w:color w:val="000000" w:themeColor="text1"/>
        </w:rPr>
        <w:t>22</w:t>
      </w:r>
      <w:r w:rsidRPr="002E5DBE">
        <w:rPr>
          <w:color w:val="000000" w:themeColor="text1"/>
        </w:rPr>
        <w:t>(3), 203–228. https://doi.org/10.1177/1087054716669589</w:t>
      </w:r>
    </w:p>
    <w:p w:rsidR="00D13D04" w:rsidRPr="002E5DBE" w:rsidRDefault="00D13D04" w:rsidP="00D13D04">
      <w:pPr>
        <w:pStyle w:val="Bibliographie1"/>
        <w:spacing w:line="360" w:lineRule="auto"/>
        <w:ind w:left="709" w:hanging="709"/>
        <w:rPr>
          <w:color w:val="000000" w:themeColor="text1"/>
          <w:lang w:val="en-US"/>
        </w:rPr>
      </w:pPr>
      <w:r w:rsidRPr="002E5DBE">
        <w:rPr>
          <w:color w:val="000000" w:themeColor="text1"/>
          <w:lang w:val="en-US"/>
        </w:rPr>
        <w:t xml:space="preserve">Kaisari, P., Dourish, C. T., Rotshtein, P., &amp; Higgs, S. (2018). Associations Between Core Symptoms of Attention Deficit Hyperactivity Disorder and Both Binge and Restrictive Eating. </w:t>
      </w:r>
      <w:r w:rsidRPr="002E5DBE">
        <w:rPr>
          <w:i/>
          <w:iCs/>
          <w:color w:val="000000" w:themeColor="text1"/>
          <w:lang w:val="en-US"/>
        </w:rPr>
        <w:t>Frontiers in Psychiatry</w:t>
      </w:r>
      <w:r w:rsidRPr="002E5DBE">
        <w:rPr>
          <w:color w:val="000000" w:themeColor="text1"/>
          <w:lang w:val="en-US"/>
        </w:rPr>
        <w:t xml:space="preserve">, </w:t>
      </w:r>
      <w:r w:rsidRPr="002E5DBE">
        <w:rPr>
          <w:i/>
          <w:iCs/>
          <w:color w:val="000000" w:themeColor="text1"/>
          <w:lang w:val="en-US"/>
        </w:rPr>
        <w:t>9</w:t>
      </w:r>
      <w:r w:rsidRPr="002E5DBE">
        <w:rPr>
          <w:color w:val="000000" w:themeColor="text1"/>
          <w:lang w:val="en-US"/>
        </w:rPr>
        <w:t>. https://doi.org/10.3389/fpsyt.2018.00103</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Kessler, R. C., Adler, L., Barkley, R., Biederman, J., Conners, C. K., Demler, O., … Secnik, K. (2006). The prevalence and correlates of adult ADHD in the United States: results from the National Comorbidity Survey Replication. </w:t>
      </w:r>
      <w:r w:rsidRPr="002E5DBE">
        <w:rPr>
          <w:i/>
          <w:iCs/>
          <w:color w:val="000000" w:themeColor="text1"/>
        </w:rPr>
        <w:t>The American Journal of Psychiatry</w:t>
      </w:r>
      <w:r w:rsidRPr="002E5DBE">
        <w:rPr>
          <w:color w:val="000000" w:themeColor="text1"/>
        </w:rPr>
        <w:t xml:space="preserve">, </w:t>
      </w:r>
      <w:r w:rsidRPr="002E5DBE">
        <w:rPr>
          <w:i/>
          <w:iCs/>
          <w:color w:val="000000" w:themeColor="text1"/>
        </w:rPr>
        <w:t>163</w:t>
      </w:r>
      <w:r w:rsidRPr="002E5DBE">
        <w:rPr>
          <w:color w:val="000000" w:themeColor="text1"/>
        </w:rPr>
        <w:t>(4), 716-723.</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Kooij, S. J. J., Bejerot, S., Blackwell, A., Caci, H., Casas-Brugué, M., Carpentier, P. J., … Fitzgerald, M. (2010). European consensus statement on diagnosis and treatment of adult ADHD: The European Network Adult ADHD. </w:t>
      </w:r>
      <w:r w:rsidRPr="002E5DBE">
        <w:rPr>
          <w:i/>
          <w:iCs/>
          <w:color w:val="000000" w:themeColor="text1"/>
        </w:rPr>
        <w:t>BMC Psychiatry</w:t>
      </w:r>
      <w:r w:rsidRPr="002E5DBE">
        <w:rPr>
          <w:color w:val="000000" w:themeColor="text1"/>
        </w:rPr>
        <w:t xml:space="preserve">, </w:t>
      </w:r>
      <w:r w:rsidRPr="002E5DBE">
        <w:rPr>
          <w:i/>
          <w:iCs/>
          <w:color w:val="000000" w:themeColor="text1"/>
        </w:rPr>
        <w:t>10</w:t>
      </w:r>
      <w:r w:rsidRPr="002E5DBE">
        <w:rPr>
          <w:color w:val="000000" w:themeColor="text1"/>
        </w:rPr>
        <w:t>(1), 67.</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Kooij, S. J. J., &amp; Francken, M. H. (2010). Diagnostic Interview for ADHD in Adults Version 2.0 (DIVA 2.0)[Dutch: Diagnostisch Interview voor ADHD bij volwassenen]. </w:t>
      </w:r>
      <w:r w:rsidRPr="002E5DBE">
        <w:rPr>
          <w:i/>
          <w:iCs/>
          <w:color w:val="000000" w:themeColor="text1"/>
        </w:rPr>
        <w:t>DIVA Foundation, The Hague, the Netherlands</w:t>
      </w:r>
      <w:r w:rsidRPr="002E5DBE">
        <w:rPr>
          <w:color w:val="000000" w:themeColor="text1"/>
        </w:rPr>
        <w:t>.</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Luo, S. X., &amp; Levin, F. R. (2017). Towards Precision Addiction Treatment: New Findings in Co-morbid Substance Use and Attention-Deficit Hyperactivity Disorders. </w:t>
      </w:r>
      <w:r w:rsidRPr="002E5DBE">
        <w:rPr>
          <w:i/>
          <w:iCs/>
          <w:color w:val="000000" w:themeColor="text1"/>
        </w:rPr>
        <w:t>Current Psychiatry Reports</w:t>
      </w:r>
      <w:r w:rsidRPr="002E5DBE">
        <w:rPr>
          <w:color w:val="000000" w:themeColor="text1"/>
        </w:rPr>
        <w:t xml:space="preserve">, </w:t>
      </w:r>
      <w:r w:rsidRPr="002E5DBE">
        <w:rPr>
          <w:i/>
          <w:iCs/>
          <w:color w:val="000000" w:themeColor="text1"/>
        </w:rPr>
        <w:t>19</w:t>
      </w:r>
      <w:r w:rsidRPr="002E5DBE">
        <w:rPr>
          <w:color w:val="000000" w:themeColor="text1"/>
        </w:rPr>
        <w:t>(3), 14. https://doi.org/10.1007/s11920-017-0769-7</w:t>
      </w:r>
    </w:p>
    <w:p w:rsidR="00D13D04" w:rsidRPr="002E5DBE" w:rsidRDefault="00D13D04" w:rsidP="00D13D04">
      <w:pPr>
        <w:pStyle w:val="Bibliographie3"/>
        <w:spacing w:line="360" w:lineRule="auto"/>
        <w:ind w:left="709" w:hanging="709"/>
        <w:rPr>
          <w:color w:val="000000" w:themeColor="text1"/>
          <w:lang w:val="fr-FR"/>
        </w:rPr>
      </w:pPr>
      <w:r w:rsidRPr="002E5DBE">
        <w:rPr>
          <w:color w:val="000000" w:themeColor="text1"/>
        </w:rPr>
        <w:t xml:space="preserve">Meule, A., Müller, A., Gearhardt, A. N., &amp; Blechert, J. (2017). German version of the Yale Food Addiction Scale 2.0: Prevalence and correlates of “food addiction” in students and obese individuals. </w:t>
      </w:r>
      <w:r w:rsidRPr="002E5DBE">
        <w:rPr>
          <w:i/>
          <w:iCs/>
          <w:color w:val="000000" w:themeColor="text1"/>
          <w:lang w:val="fr-FR"/>
        </w:rPr>
        <w:t>Appetite</w:t>
      </w:r>
      <w:r w:rsidRPr="002E5DBE">
        <w:rPr>
          <w:color w:val="000000" w:themeColor="text1"/>
          <w:lang w:val="fr-FR"/>
        </w:rPr>
        <w:t xml:space="preserve">, </w:t>
      </w:r>
      <w:r w:rsidRPr="002E5DBE">
        <w:rPr>
          <w:i/>
          <w:iCs/>
          <w:color w:val="000000" w:themeColor="text1"/>
          <w:lang w:val="fr-FR"/>
        </w:rPr>
        <w:t>115</w:t>
      </w:r>
      <w:r w:rsidRPr="002E5DBE">
        <w:rPr>
          <w:color w:val="000000" w:themeColor="text1"/>
          <w:lang w:val="fr-FR"/>
        </w:rPr>
        <w:t>, 54–61. https://doi.org/10.1016/j.appet.2016.10.003.</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lang w:val="fr-FR"/>
        </w:rPr>
        <w:lastRenderedPageBreak/>
        <w:t xml:space="preserve">Michielsen, M., Semeijn, E., Comijs, H. C., van de Ven, P., Beekman, A. T., Deeg, D. J., &amp; Kooij, J. S. (2012). </w:t>
      </w:r>
      <w:r w:rsidRPr="002E5DBE">
        <w:rPr>
          <w:color w:val="000000" w:themeColor="text1"/>
        </w:rPr>
        <w:t xml:space="preserve">Prevalence of attention-deficit hyperactivity disorder in older adults in The Netherlands. </w:t>
      </w:r>
      <w:r w:rsidRPr="002E5DBE">
        <w:rPr>
          <w:i/>
          <w:iCs/>
          <w:color w:val="000000" w:themeColor="text1"/>
        </w:rPr>
        <w:t>The British Journal of Psychiatry</w:t>
      </w:r>
      <w:r w:rsidRPr="002E5DBE">
        <w:rPr>
          <w:color w:val="000000" w:themeColor="text1"/>
        </w:rPr>
        <w:t xml:space="preserve">, </w:t>
      </w:r>
      <w:r w:rsidRPr="002E5DBE">
        <w:rPr>
          <w:i/>
          <w:iCs/>
          <w:color w:val="000000" w:themeColor="text1"/>
        </w:rPr>
        <w:t>201</w:t>
      </w:r>
      <w:r w:rsidRPr="002E5DBE">
        <w:rPr>
          <w:color w:val="000000" w:themeColor="text1"/>
        </w:rPr>
        <w:t>(4), 298–305.</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Nazar, B. P., Bernardes, C., Peachey, G., Sergeant, J., Mattos, P., &amp; Treasure, J. (2016). The risk of eating disorders comorbid with attention-deficit/hyperactivity disorder: A systematic review and meta-analysis. </w:t>
      </w:r>
      <w:r w:rsidRPr="002E5DBE">
        <w:rPr>
          <w:i/>
          <w:iCs/>
          <w:color w:val="000000" w:themeColor="text1"/>
        </w:rPr>
        <w:t>The International Journal of Eating Disorders</w:t>
      </w:r>
      <w:r w:rsidRPr="002E5DBE">
        <w:rPr>
          <w:color w:val="000000" w:themeColor="text1"/>
        </w:rPr>
        <w:t xml:space="preserve">, </w:t>
      </w:r>
      <w:r w:rsidRPr="002E5DBE">
        <w:rPr>
          <w:i/>
          <w:iCs/>
          <w:color w:val="000000" w:themeColor="text1"/>
        </w:rPr>
        <w:t>49</w:t>
      </w:r>
      <w:r w:rsidRPr="002E5DBE">
        <w:rPr>
          <w:color w:val="000000" w:themeColor="text1"/>
        </w:rPr>
        <w:t>(12), 1045–1057. https://doi.org/10.1002/eat.22643</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lang w:val="fr-FR"/>
        </w:rPr>
        <w:t xml:space="preserve">Nazar, B. P., de Sousa Pinna, C. M., Suwwan, R., Duchesne, M., Freitas, S. R., Sergeant, J., &amp; Mattos, P. (2016). </w:t>
      </w:r>
      <w:r w:rsidRPr="002E5DBE">
        <w:rPr>
          <w:color w:val="000000" w:themeColor="text1"/>
        </w:rPr>
        <w:t xml:space="preserve">ADHD Rate in Obese Women With Binge Eating and Bulimic Behaviors From a Weight-Loss Clinic. </w:t>
      </w:r>
      <w:r w:rsidRPr="002E5DBE">
        <w:rPr>
          <w:i/>
          <w:iCs/>
          <w:color w:val="000000" w:themeColor="text1"/>
        </w:rPr>
        <w:t>Journal of Attention Disorders</w:t>
      </w:r>
      <w:r w:rsidRPr="002E5DBE">
        <w:rPr>
          <w:color w:val="000000" w:themeColor="text1"/>
        </w:rPr>
        <w:t xml:space="preserve">, </w:t>
      </w:r>
      <w:r w:rsidRPr="002E5DBE">
        <w:rPr>
          <w:i/>
          <w:iCs/>
          <w:color w:val="000000" w:themeColor="text1"/>
        </w:rPr>
        <w:t>20</w:t>
      </w:r>
      <w:r w:rsidRPr="002E5DBE">
        <w:rPr>
          <w:color w:val="000000" w:themeColor="text1"/>
        </w:rPr>
        <w:t>(7), 610–616. https://doi.org/10.1177/1087054712455503</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Oğuztürk, Ö., Ekici, M., Çimen, D., Ekici, A., &amp; Senturk, E. (2013). Attention Deficit/Hyperactivity Disorder in Adults with Sleep Apnea. </w:t>
      </w:r>
      <w:r w:rsidRPr="002E5DBE">
        <w:rPr>
          <w:i/>
          <w:iCs/>
          <w:color w:val="000000" w:themeColor="text1"/>
        </w:rPr>
        <w:t>Journal of Clinical Psychology in Medical Settings</w:t>
      </w:r>
      <w:r w:rsidRPr="002E5DBE">
        <w:rPr>
          <w:color w:val="000000" w:themeColor="text1"/>
        </w:rPr>
        <w:t xml:space="preserve">, </w:t>
      </w:r>
      <w:r w:rsidRPr="002E5DBE">
        <w:rPr>
          <w:i/>
          <w:iCs/>
          <w:color w:val="000000" w:themeColor="text1"/>
        </w:rPr>
        <w:t>20</w:t>
      </w:r>
      <w:r w:rsidRPr="002E5DBE">
        <w:rPr>
          <w:color w:val="000000" w:themeColor="text1"/>
        </w:rPr>
        <w:t>(2), 234–239. https://doi.org/10.1007/s10880-012-9331-2</w:t>
      </w:r>
    </w:p>
    <w:p w:rsidR="00D13D04" w:rsidRPr="002E5DBE" w:rsidRDefault="00D13D04" w:rsidP="00D13D04">
      <w:pPr>
        <w:pStyle w:val="Bibliographie4"/>
        <w:spacing w:line="360" w:lineRule="auto"/>
        <w:ind w:left="709" w:hanging="709"/>
        <w:rPr>
          <w:rFonts w:ascii="Times New Roman" w:hAnsi="Times New Roman" w:cs="Times New Roman"/>
          <w:color w:val="000000" w:themeColor="text1"/>
          <w:lang w:val="en-US"/>
        </w:rPr>
      </w:pPr>
      <w:r w:rsidRPr="002E5DBE">
        <w:rPr>
          <w:rFonts w:ascii="Times New Roman" w:hAnsi="Times New Roman" w:cs="Times New Roman"/>
          <w:color w:val="000000" w:themeColor="text1"/>
        </w:rPr>
        <w:t xml:space="preserve">Ouellette, A. S., Rodrigue, C., Lemieux, S., Tchernof, A., Biertho, L., &amp; Bégin, C. (2017). </w:t>
      </w:r>
      <w:r w:rsidRPr="002E5DBE">
        <w:rPr>
          <w:rFonts w:ascii="Times New Roman" w:hAnsi="Times New Roman" w:cs="Times New Roman"/>
          <w:color w:val="000000" w:themeColor="text1"/>
          <w:lang w:val="en-US"/>
        </w:rPr>
        <w:t xml:space="preserve">An examination of the mechanisms and personality traits underlying food addiction among individuals with severe obesity awaiting bariatric surgery. </w:t>
      </w:r>
      <w:r w:rsidRPr="002E5DBE">
        <w:rPr>
          <w:rFonts w:ascii="Times New Roman" w:hAnsi="Times New Roman" w:cs="Times New Roman"/>
          <w:i/>
          <w:iCs/>
          <w:color w:val="000000" w:themeColor="text1"/>
          <w:lang w:val="en-US"/>
        </w:rPr>
        <w:t>Eating and Weight Disorders</w:t>
      </w:r>
      <w:r w:rsidRPr="002E5DBE">
        <w:rPr>
          <w:rFonts w:ascii="Times New Roman" w:hAnsi="Times New Roman" w:cs="Times New Roman"/>
          <w:color w:val="000000" w:themeColor="text1"/>
          <w:lang w:val="en-US"/>
        </w:rPr>
        <w:t xml:space="preserve">, </w:t>
      </w:r>
      <w:r w:rsidRPr="002E5DBE">
        <w:rPr>
          <w:rFonts w:ascii="Times New Roman" w:hAnsi="Times New Roman" w:cs="Times New Roman"/>
          <w:i/>
          <w:iCs/>
          <w:color w:val="000000" w:themeColor="text1"/>
          <w:lang w:val="en-US"/>
        </w:rPr>
        <w:t>22</w:t>
      </w:r>
      <w:r w:rsidRPr="002E5DBE">
        <w:rPr>
          <w:rFonts w:ascii="Times New Roman" w:hAnsi="Times New Roman" w:cs="Times New Roman"/>
          <w:color w:val="000000" w:themeColor="text1"/>
          <w:lang w:val="en-US"/>
        </w:rPr>
        <w:t>(4), 633–640.</w:t>
      </w:r>
    </w:p>
    <w:p w:rsidR="00D13D04" w:rsidRPr="002E5DBE" w:rsidRDefault="00D13D04" w:rsidP="00D13D04">
      <w:pPr>
        <w:pStyle w:val="Bibliographie1"/>
        <w:spacing w:line="360" w:lineRule="auto"/>
        <w:ind w:left="709" w:hanging="709"/>
        <w:rPr>
          <w:color w:val="000000" w:themeColor="text1"/>
          <w:lang w:val="fr-FR"/>
        </w:rPr>
      </w:pPr>
      <w:r w:rsidRPr="002E5DBE">
        <w:rPr>
          <w:color w:val="000000" w:themeColor="text1"/>
          <w:lang w:val="en-US"/>
        </w:rPr>
        <w:t xml:space="preserve">Price, M., Higgs, S., &amp; Lee, M. (2015). Self-reported eating traits: Underlying components of food responsivity and dietary restriction are positively related to BMI. </w:t>
      </w:r>
      <w:r w:rsidRPr="002E5DBE">
        <w:rPr>
          <w:i/>
          <w:iCs/>
          <w:color w:val="000000" w:themeColor="text1"/>
          <w:lang w:val="fr-FR"/>
        </w:rPr>
        <w:t>Appetite</w:t>
      </w:r>
      <w:r w:rsidRPr="002E5DBE">
        <w:rPr>
          <w:color w:val="000000" w:themeColor="text1"/>
          <w:lang w:val="fr-FR"/>
        </w:rPr>
        <w:t xml:space="preserve">, </w:t>
      </w:r>
      <w:r w:rsidRPr="002E5DBE">
        <w:rPr>
          <w:i/>
          <w:iCs/>
          <w:color w:val="000000" w:themeColor="text1"/>
          <w:lang w:val="fr-FR"/>
        </w:rPr>
        <w:t>95</w:t>
      </w:r>
      <w:r w:rsidRPr="002E5DBE">
        <w:rPr>
          <w:color w:val="000000" w:themeColor="text1"/>
          <w:lang w:val="fr-FR"/>
        </w:rPr>
        <w:t>, 203–210.</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lang w:val="fr-FR"/>
        </w:rPr>
        <w:t xml:space="preserve">Ramos-Quiroga, J. A., Nasillo, V., Richarte, V., Corrales, M., Palma, F., Ibáñez, P., … </w:t>
      </w:r>
      <w:r w:rsidRPr="002E5DBE">
        <w:rPr>
          <w:color w:val="000000" w:themeColor="text1"/>
        </w:rPr>
        <w:t xml:space="preserve">Kooij, J. J. S. (2016). Criteria and Concurrent Validity of DIVA 2.0: A Semi-Structured Diagnostic Interview for Adult ADHD. </w:t>
      </w:r>
      <w:r w:rsidRPr="002E5DBE">
        <w:rPr>
          <w:i/>
          <w:iCs/>
          <w:color w:val="000000" w:themeColor="text1"/>
        </w:rPr>
        <w:t>Journal of Attention Disorders</w:t>
      </w:r>
      <w:r w:rsidRPr="002E5DBE">
        <w:rPr>
          <w:color w:val="000000" w:themeColor="text1"/>
        </w:rPr>
        <w:t>. https://doi.org/10.1177/1087054716646451</w:t>
      </w:r>
    </w:p>
    <w:p w:rsidR="00D13D04" w:rsidRPr="002E5DBE" w:rsidRDefault="00D13D04" w:rsidP="00D13D04">
      <w:pPr>
        <w:pStyle w:val="Bibliographie1"/>
        <w:spacing w:line="360" w:lineRule="auto"/>
        <w:ind w:left="709" w:hanging="709"/>
        <w:rPr>
          <w:color w:val="000000" w:themeColor="text1"/>
          <w:lang w:val="en-US"/>
        </w:rPr>
      </w:pPr>
      <w:r w:rsidRPr="002E5DBE">
        <w:rPr>
          <w:color w:val="000000" w:themeColor="text1"/>
          <w:lang w:val="en-US"/>
        </w:rPr>
        <w:t xml:space="preserve">Romo, L., Ladner, J., Kotbagi, G., Morvan, Y., Saleh, D., Tavolacci, M. P., &amp; Kern, L. (2018). Attention-deficit hyperactivity disorder and addictions (substance and behavioral): Prevalence and characteristics in a multicenter study in France. </w:t>
      </w:r>
      <w:r w:rsidRPr="002E5DBE">
        <w:rPr>
          <w:i/>
          <w:iCs/>
          <w:color w:val="000000" w:themeColor="text1"/>
          <w:lang w:val="en-US"/>
        </w:rPr>
        <w:t>Journal of Behavioral Addictions</w:t>
      </w:r>
      <w:r w:rsidRPr="002E5DBE">
        <w:rPr>
          <w:color w:val="000000" w:themeColor="text1"/>
          <w:lang w:val="en-US"/>
        </w:rPr>
        <w:t xml:space="preserve">, </w:t>
      </w:r>
      <w:r w:rsidRPr="002E5DBE">
        <w:rPr>
          <w:i/>
          <w:iCs/>
          <w:color w:val="000000" w:themeColor="text1"/>
          <w:lang w:val="en-US"/>
        </w:rPr>
        <w:t>7</w:t>
      </w:r>
      <w:r w:rsidRPr="002E5DBE">
        <w:rPr>
          <w:color w:val="000000" w:themeColor="text1"/>
          <w:lang w:val="en-US"/>
        </w:rPr>
        <w:t>(3), 743–751. https://doi.org/10.1556/2006.7.2018.58</w:t>
      </w:r>
    </w:p>
    <w:p w:rsidR="00D13D04" w:rsidRPr="002E5DBE" w:rsidRDefault="00D13D04" w:rsidP="00D13D04">
      <w:pPr>
        <w:pStyle w:val="Bibliographie1"/>
        <w:spacing w:line="360" w:lineRule="auto"/>
        <w:ind w:left="709" w:hanging="709"/>
        <w:rPr>
          <w:color w:val="000000" w:themeColor="text1"/>
          <w:lang w:val="en-US"/>
        </w:rPr>
      </w:pPr>
      <w:r w:rsidRPr="002E5DBE">
        <w:rPr>
          <w:color w:val="000000" w:themeColor="text1"/>
          <w:lang w:val="en-US"/>
        </w:rPr>
        <w:t xml:space="preserve">Schwartz, A. R., Patil, S. P., Laffan, A. M., Polotsky, V., Schneider, H., &amp; Smith, P. L. (2008). Obesity and Obstructive Sleep Apnea. </w:t>
      </w:r>
      <w:r w:rsidRPr="002E5DBE">
        <w:rPr>
          <w:i/>
          <w:iCs/>
          <w:color w:val="000000" w:themeColor="text1"/>
          <w:lang w:val="en-US"/>
        </w:rPr>
        <w:t>Proceedings of the American Thoracic Society</w:t>
      </w:r>
      <w:r w:rsidRPr="002E5DBE">
        <w:rPr>
          <w:color w:val="000000" w:themeColor="text1"/>
          <w:lang w:val="en-US"/>
        </w:rPr>
        <w:t xml:space="preserve">, </w:t>
      </w:r>
      <w:r w:rsidRPr="002E5DBE">
        <w:rPr>
          <w:i/>
          <w:iCs/>
          <w:color w:val="000000" w:themeColor="text1"/>
          <w:lang w:val="en-US"/>
        </w:rPr>
        <w:t>5</w:t>
      </w:r>
      <w:r w:rsidRPr="002E5DBE">
        <w:rPr>
          <w:color w:val="000000" w:themeColor="text1"/>
          <w:lang w:val="en-US"/>
        </w:rPr>
        <w:t>(2), 185–192. https://doi.org/10.1513/pats.200708-137MG</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lastRenderedPageBreak/>
        <w:t xml:space="preserve">Schwartz, B. S., Bailey-Davis, L., Bandeen-Roche, K., Pollak, J., Hirsch, A. G., Nau, C., … Glass, T. A. (2014). Attention deficit disorder, stimulant use, and childhood body mass index trajectory. </w:t>
      </w:r>
      <w:r w:rsidRPr="002E5DBE">
        <w:rPr>
          <w:i/>
          <w:iCs/>
          <w:color w:val="000000" w:themeColor="text1"/>
        </w:rPr>
        <w:t>Pediatrics</w:t>
      </w:r>
      <w:r w:rsidRPr="002E5DBE">
        <w:rPr>
          <w:color w:val="000000" w:themeColor="text1"/>
        </w:rPr>
        <w:t xml:space="preserve">, </w:t>
      </w:r>
      <w:r w:rsidRPr="002E5DBE">
        <w:rPr>
          <w:i/>
          <w:iCs/>
          <w:color w:val="000000" w:themeColor="text1"/>
        </w:rPr>
        <w:t>133</w:t>
      </w:r>
      <w:r w:rsidRPr="002E5DBE">
        <w:rPr>
          <w:color w:val="000000" w:themeColor="text1"/>
        </w:rPr>
        <w:t>(4), 668–676. https://doi.org/10.1542/peds.2013-3427</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Semeijn, E. J., Michielsen, M., Comijs, H. C., Deeg, D. J. H., Beekman, A. T. F., &amp; Kooij, J. J. S. (2013). Criterion Validity of an Attention Deficit Hyperactivity Disorder (ADHD) Screening List for Screening ADHD in Older Adults Aged 60–94 years. </w:t>
      </w:r>
      <w:r w:rsidRPr="002E5DBE">
        <w:rPr>
          <w:i/>
          <w:iCs/>
          <w:color w:val="000000" w:themeColor="text1"/>
        </w:rPr>
        <w:t>The American Journal of Geriatric Psychiatry</w:t>
      </w:r>
      <w:r w:rsidRPr="002E5DBE">
        <w:rPr>
          <w:color w:val="000000" w:themeColor="text1"/>
        </w:rPr>
        <w:t xml:space="preserve">, </w:t>
      </w:r>
      <w:r w:rsidRPr="002E5DBE">
        <w:rPr>
          <w:i/>
          <w:iCs/>
          <w:color w:val="000000" w:themeColor="text1"/>
        </w:rPr>
        <w:t>21</w:t>
      </w:r>
      <w:r w:rsidRPr="002E5DBE">
        <w:rPr>
          <w:color w:val="000000" w:themeColor="text1"/>
        </w:rPr>
        <w:t>(7), 631–635. https://doi.org/10.1016/j.jagp.2012.08.003</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Simon, V., Czobor, P., Bálint, S., Mészáros, A., &amp; Bitter, I. (2009). Prevalence and correlates of adult attention-deficit hyperactivity disorder: meta-analysis. </w:t>
      </w:r>
      <w:r w:rsidRPr="002E5DBE">
        <w:rPr>
          <w:i/>
          <w:iCs/>
          <w:color w:val="000000" w:themeColor="text1"/>
        </w:rPr>
        <w:t>British Journal of Psychiatry</w:t>
      </w:r>
      <w:r w:rsidRPr="002E5DBE">
        <w:rPr>
          <w:color w:val="000000" w:themeColor="text1"/>
        </w:rPr>
        <w:t xml:space="preserve">, </w:t>
      </w:r>
      <w:r w:rsidRPr="002E5DBE">
        <w:rPr>
          <w:i/>
          <w:iCs/>
          <w:color w:val="000000" w:themeColor="text1"/>
        </w:rPr>
        <w:t>194</w:t>
      </w:r>
      <w:r w:rsidRPr="002E5DBE">
        <w:rPr>
          <w:color w:val="000000" w:themeColor="text1"/>
        </w:rPr>
        <w:t>(3), 204–211. https://doi.org/10.1192/bjp.bp.107.048827</w:t>
      </w:r>
    </w:p>
    <w:p w:rsidR="00D13D04" w:rsidRPr="002E5DBE" w:rsidRDefault="00D13D04" w:rsidP="00D13D04">
      <w:pPr>
        <w:pStyle w:val="Bibliographie3"/>
        <w:spacing w:line="360" w:lineRule="auto"/>
        <w:ind w:left="709" w:hanging="709"/>
        <w:rPr>
          <w:color w:val="000000" w:themeColor="text1"/>
        </w:rPr>
      </w:pPr>
      <w:r w:rsidRPr="002E5DBE">
        <w:rPr>
          <w:color w:val="000000" w:themeColor="text1"/>
        </w:rPr>
        <w:t xml:space="preserve">Spicuzza, L., Caruso, D., &amp; Di Maria, G. (2015). Obstructive sleep apnoea syndrome and its management. </w:t>
      </w:r>
      <w:r w:rsidRPr="002E5DBE">
        <w:rPr>
          <w:i/>
          <w:iCs/>
          <w:color w:val="000000" w:themeColor="text1"/>
        </w:rPr>
        <w:t>Therapeutic Advances in Chronic Disease</w:t>
      </w:r>
      <w:r w:rsidRPr="002E5DBE">
        <w:rPr>
          <w:color w:val="000000" w:themeColor="text1"/>
        </w:rPr>
        <w:t xml:space="preserve">, </w:t>
      </w:r>
      <w:r w:rsidRPr="002E5DBE">
        <w:rPr>
          <w:i/>
          <w:iCs/>
          <w:color w:val="000000" w:themeColor="text1"/>
        </w:rPr>
        <w:t>6</w:t>
      </w:r>
      <w:r w:rsidRPr="002E5DBE">
        <w:rPr>
          <w:color w:val="000000" w:themeColor="text1"/>
        </w:rPr>
        <w:t>(5), 273–285.</w:t>
      </w:r>
    </w:p>
    <w:p w:rsidR="00D13D04" w:rsidRPr="002E5DBE" w:rsidRDefault="00D13D04" w:rsidP="00D13D04">
      <w:pPr>
        <w:pStyle w:val="Bibliographie1"/>
        <w:spacing w:line="360" w:lineRule="auto"/>
        <w:ind w:left="709" w:hanging="709"/>
        <w:rPr>
          <w:color w:val="000000" w:themeColor="text1"/>
        </w:rPr>
      </w:pPr>
      <w:r w:rsidRPr="002E5DBE">
        <w:rPr>
          <w:color w:val="000000" w:themeColor="text1"/>
          <w:lang w:val="en-US"/>
        </w:rPr>
        <w:t xml:space="preserve">Ziauddeen, H., &amp; Fletcher, P. C. (2013). Is food addiction a valid and useful concept? </w:t>
      </w:r>
      <w:r w:rsidRPr="002E5DBE">
        <w:rPr>
          <w:i/>
          <w:iCs/>
          <w:color w:val="000000" w:themeColor="text1"/>
        </w:rPr>
        <w:t>Obesity Reviews</w:t>
      </w:r>
      <w:r w:rsidRPr="002E5DBE">
        <w:rPr>
          <w:color w:val="000000" w:themeColor="text1"/>
        </w:rPr>
        <w:t xml:space="preserve">, </w:t>
      </w:r>
      <w:r w:rsidRPr="002E5DBE">
        <w:rPr>
          <w:i/>
          <w:iCs/>
          <w:color w:val="000000" w:themeColor="text1"/>
        </w:rPr>
        <w:t>14</w:t>
      </w:r>
      <w:r w:rsidRPr="002E5DBE">
        <w:rPr>
          <w:color w:val="000000" w:themeColor="text1"/>
        </w:rPr>
        <w:t>(1), 19–28. https://doi.org/10.1111/j.1467-789X.2012.01046.x</w:t>
      </w:r>
    </w:p>
    <w:p w:rsidR="00D13D04" w:rsidRPr="002E5DBE" w:rsidRDefault="00D13D04" w:rsidP="00D13D04">
      <w:pPr>
        <w:pStyle w:val="Bibliographie3"/>
        <w:spacing w:line="360" w:lineRule="auto"/>
        <w:ind w:left="709" w:hanging="709"/>
        <w:rPr>
          <w:color w:val="000000" w:themeColor="text1"/>
        </w:rPr>
      </w:pPr>
    </w:p>
    <w:p w:rsidR="00D13D04" w:rsidRPr="002E5DBE" w:rsidRDefault="00D13D04" w:rsidP="00D13D04">
      <w:pPr>
        <w:ind w:left="709" w:hanging="709"/>
        <w:rPr>
          <w:b/>
          <w:color w:val="000000" w:themeColor="text1"/>
          <w:lang w:val="en-US"/>
        </w:rPr>
      </w:pPr>
      <w:r w:rsidRPr="002E5DBE">
        <w:rPr>
          <w:b/>
          <w:color w:val="000000" w:themeColor="text1"/>
        </w:rPr>
        <w:fldChar w:fldCharType="end"/>
      </w:r>
    </w:p>
    <w:p w:rsidR="00D13D04" w:rsidRPr="002E5DBE" w:rsidRDefault="00D13D04" w:rsidP="00D13D04">
      <w:pPr>
        <w:pStyle w:val="Bibliographie4"/>
        <w:rPr>
          <w:color w:val="000000" w:themeColor="text1"/>
          <w:lang w:val="en-US"/>
        </w:rPr>
      </w:pPr>
    </w:p>
    <w:p w:rsidR="00FB5908" w:rsidRPr="002E5DBE" w:rsidRDefault="00FB5908">
      <w:pPr>
        <w:rPr>
          <w:color w:val="000000" w:themeColor="text1"/>
          <w:lang w:val="en-US"/>
        </w:rPr>
      </w:pPr>
    </w:p>
    <w:p w:rsidR="00D13D04" w:rsidRPr="002E5DBE" w:rsidRDefault="00D13D04">
      <w:pPr>
        <w:rPr>
          <w:color w:val="000000" w:themeColor="text1"/>
          <w:lang w:val="en-US"/>
        </w:rPr>
      </w:pPr>
    </w:p>
    <w:p w:rsidR="00D13D04" w:rsidRPr="002E5DBE" w:rsidRDefault="00D13D04">
      <w:pPr>
        <w:rPr>
          <w:color w:val="000000" w:themeColor="text1"/>
          <w:lang w:val="en-US"/>
        </w:rPr>
      </w:pPr>
    </w:p>
    <w:p w:rsidR="00D13D04" w:rsidRPr="002E5DBE" w:rsidRDefault="00D13D04">
      <w:pPr>
        <w:rPr>
          <w:color w:val="000000" w:themeColor="text1"/>
          <w:lang w:val="en-US"/>
        </w:rPr>
      </w:pPr>
    </w:p>
    <w:p w:rsidR="00D13D04" w:rsidRPr="002E5DBE" w:rsidRDefault="00D13D04">
      <w:pPr>
        <w:rPr>
          <w:color w:val="000000" w:themeColor="text1"/>
          <w:lang w:val="en-US"/>
        </w:rPr>
      </w:pPr>
    </w:p>
    <w:p w:rsidR="00D13D04" w:rsidRPr="002E5DBE" w:rsidRDefault="00D13D04">
      <w:pPr>
        <w:rPr>
          <w:color w:val="000000" w:themeColor="text1"/>
          <w:lang w:val="en-US"/>
        </w:rPr>
      </w:pPr>
    </w:p>
    <w:p w:rsidR="00D13D04" w:rsidRPr="002E5DBE" w:rsidRDefault="00D13D04">
      <w:pPr>
        <w:rPr>
          <w:color w:val="000000" w:themeColor="text1"/>
          <w:lang w:val="en-US"/>
        </w:rPr>
      </w:pPr>
    </w:p>
    <w:p w:rsidR="00D13D04" w:rsidRPr="002E5DBE" w:rsidRDefault="00D13D04">
      <w:pPr>
        <w:rPr>
          <w:color w:val="000000" w:themeColor="text1"/>
          <w:lang w:val="en-US"/>
        </w:rPr>
      </w:pPr>
    </w:p>
    <w:p w:rsidR="00D13D04" w:rsidRPr="002E5DBE" w:rsidRDefault="00D13D04">
      <w:pPr>
        <w:rPr>
          <w:color w:val="000000" w:themeColor="text1"/>
          <w:lang w:val="en-US"/>
        </w:rPr>
      </w:pPr>
    </w:p>
    <w:p w:rsidR="00D13D04" w:rsidRPr="002E5DBE" w:rsidRDefault="00D13D04">
      <w:pPr>
        <w:rPr>
          <w:color w:val="000000" w:themeColor="text1"/>
          <w:lang w:val="en-US"/>
        </w:rPr>
      </w:pPr>
    </w:p>
    <w:p w:rsidR="00D13D04" w:rsidRPr="002E5DBE" w:rsidRDefault="00D13D04">
      <w:pPr>
        <w:rPr>
          <w:color w:val="000000" w:themeColor="text1"/>
          <w:lang w:val="en-US"/>
        </w:rPr>
      </w:pPr>
    </w:p>
    <w:p w:rsidR="00D13D04" w:rsidRPr="002E5DBE" w:rsidRDefault="00D13D04">
      <w:pPr>
        <w:rPr>
          <w:color w:val="000000" w:themeColor="text1"/>
          <w:lang w:val="en-US"/>
        </w:rPr>
      </w:pPr>
    </w:p>
    <w:p w:rsidR="00D13D04" w:rsidRPr="002E5DBE" w:rsidRDefault="00D13D04">
      <w:pPr>
        <w:rPr>
          <w:color w:val="000000" w:themeColor="text1"/>
          <w:lang w:val="en-US"/>
        </w:rPr>
      </w:pPr>
    </w:p>
    <w:p w:rsidR="00D13D04" w:rsidRPr="002E5DBE" w:rsidRDefault="00D13D04">
      <w:pPr>
        <w:rPr>
          <w:color w:val="000000" w:themeColor="text1"/>
          <w:lang w:val="en-US"/>
        </w:rPr>
      </w:pPr>
    </w:p>
    <w:p w:rsidR="00D13D04" w:rsidRPr="002E5DBE" w:rsidRDefault="00D13D04">
      <w:pPr>
        <w:rPr>
          <w:color w:val="000000" w:themeColor="text1"/>
          <w:lang w:val="en-US"/>
        </w:rPr>
      </w:pPr>
    </w:p>
    <w:p w:rsidR="00D13D04" w:rsidRPr="002E5DBE" w:rsidRDefault="00D13D04" w:rsidP="00D13D04">
      <w:pPr>
        <w:outlineLvl w:val="0"/>
        <w:rPr>
          <w:b/>
          <w:color w:val="000000" w:themeColor="text1"/>
          <w:sz w:val="21"/>
          <w:lang w:val="en-US"/>
        </w:rPr>
      </w:pPr>
      <w:r w:rsidRPr="002E5DBE">
        <w:rPr>
          <w:b/>
          <w:color w:val="000000" w:themeColor="text1"/>
          <w:sz w:val="21"/>
          <w:lang w:val="en-US"/>
        </w:rPr>
        <w:lastRenderedPageBreak/>
        <w:t>TABLES</w:t>
      </w:r>
    </w:p>
    <w:p w:rsidR="00D13D04" w:rsidRPr="002E5DBE" w:rsidRDefault="00D13D04" w:rsidP="00D13D04">
      <w:pPr>
        <w:pStyle w:val="Caption"/>
        <w:keepNext/>
        <w:spacing w:line="276" w:lineRule="auto"/>
        <w:ind w:right="-6"/>
        <w:outlineLvl w:val="0"/>
        <w:rPr>
          <w:b/>
          <w:color w:val="000000" w:themeColor="text1"/>
          <w:sz w:val="21"/>
          <w:lang w:val="en-US"/>
        </w:rPr>
      </w:pPr>
      <w:r w:rsidRPr="002E5DBE">
        <w:rPr>
          <w:b/>
          <w:color w:val="000000" w:themeColor="text1"/>
          <w:sz w:val="21"/>
          <w:lang w:val="en-US"/>
        </w:rPr>
        <w:t>Table 1. Descriptive data of the study sample (n=105)</w:t>
      </w:r>
    </w:p>
    <w:tbl>
      <w:tblPr>
        <w:tblW w:w="7725" w:type="dxa"/>
        <w:tblLayout w:type="fixed"/>
        <w:tblCellMar>
          <w:left w:w="70" w:type="dxa"/>
          <w:right w:w="70" w:type="dxa"/>
        </w:tblCellMar>
        <w:tblLook w:val="00A0" w:firstRow="1" w:lastRow="0" w:firstColumn="1" w:lastColumn="0" w:noHBand="0" w:noVBand="0"/>
      </w:tblPr>
      <w:tblGrid>
        <w:gridCol w:w="5315"/>
        <w:gridCol w:w="160"/>
        <w:gridCol w:w="2250"/>
      </w:tblGrid>
      <w:tr w:rsidR="002E5DBE" w:rsidRPr="002E5DBE" w:rsidTr="00D13D04">
        <w:trPr>
          <w:trHeight w:val="20"/>
        </w:trPr>
        <w:tc>
          <w:tcPr>
            <w:tcW w:w="5315" w:type="dxa"/>
            <w:tcBorders>
              <w:top w:val="single" w:sz="4" w:space="0" w:color="auto"/>
              <w:left w:val="nil"/>
              <w:bottom w:val="single" w:sz="4" w:space="0" w:color="auto"/>
              <w:right w:val="nil"/>
            </w:tcBorders>
            <w:noWrap/>
            <w:vAlign w:val="bottom"/>
          </w:tcPr>
          <w:p w:rsidR="00D13D04" w:rsidRPr="002E5DBE" w:rsidRDefault="00D13D04" w:rsidP="00D13D04">
            <w:pPr>
              <w:spacing w:line="276" w:lineRule="auto"/>
              <w:ind w:right="-6"/>
              <w:rPr>
                <w:bCs/>
                <w:color w:val="000000" w:themeColor="text1"/>
                <w:sz w:val="21"/>
                <w:lang w:val="en-US"/>
              </w:rPr>
            </w:pPr>
          </w:p>
        </w:tc>
        <w:tc>
          <w:tcPr>
            <w:tcW w:w="160" w:type="dxa"/>
            <w:tcBorders>
              <w:top w:val="single" w:sz="4" w:space="0" w:color="auto"/>
              <w:left w:val="nil"/>
              <w:bottom w:val="single" w:sz="4" w:space="0" w:color="auto"/>
              <w:right w:val="nil"/>
            </w:tcBorders>
          </w:tcPr>
          <w:p w:rsidR="00D13D04" w:rsidRPr="002E5DBE" w:rsidRDefault="00D13D04" w:rsidP="00D13D04">
            <w:pPr>
              <w:spacing w:line="276" w:lineRule="auto"/>
              <w:ind w:right="-6"/>
              <w:jc w:val="center"/>
              <w:rPr>
                <w:b/>
                <w:bCs/>
                <w:color w:val="000000" w:themeColor="text1"/>
                <w:sz w:val="21"/>
                <w:lang w:val="en-US"/>
              </w:rPr>
            </w:pPr>
          </w:p>
        </w:tc>
        <w:tc>
          <w:tcPr>
            <w:tcW w:w="2250" w:type="dxa"/>
            <w:tcBorders>
              <w:top w:val="single" w:sz="4" w:space="0" w:color="auto"/>
              <w:left w:val="nil"/>
              <w:bottom w:val="single" w:sz="4" w:space="0" w:color="auto"/>
              <w:right w:val="nil"/>
            </w:tcBorders>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Mean ± SD</w:t>
            </w:r>
          </w:p>
          <w:p w:rsidR="00D13D04" w:rsidRPr="002E5DBE" w:rsidRDefault="00D13D04" w:rsidP="00D13D04">
            <w:pPr>
              <w:spacing w:line="276" w:lineRule="auto"/>
              <w:ind w:right="-6"/>
              <w:jc w:val="center"/>
              <w:rPr>
                <w:b/>
                <w:bCs/>
                <w:color w:val="000000" w:themeColor="text1"/>
                <w:sz w:val="21"/>
                <w:lang w:val="en-US"/>
              </w:rPr>
            </w:pPr>
            <w:r w:rsidRPr="002E5DBE">
              <w:rPr>
                <w:bCs/>
                <w:color w:val="000000" w:themeColor="text1"/>
                <w:sz w:val="21"/>
                <w:lang w:val="en-US"/>
              </w:rPr>
              <w:t>Percentage (n)</w:t>
            </w:r>
          </w:p>
        </w:tc>
      </w:tr>
      <w:tr w:rsidR="002E5DBE" w:rsidRPr="0088729A" w:rsidTr="00D13D04">
        <w:trPr>
          <w:trHeight w:val="20"/>
        </w:trPr>
        <w:tc>
          <w:tcPr>
            <w:tcW w:w="5315" w:type="dxa"/>
            <w:noWrap/>
            <w:vAlign w:val="bottom"/>
            <w:hideMark/>
          </w:tcPr>
          <w:p w:rsidR="00D13D04" w:rsidRPr="002E5DBE" w:rsidRDefault="00D13D04" w:rsidP="00D13D04">
            <w:pPr>
              <w:spacing w:line="276" w:lineRule="auto"/>
              <w:ind w:right="-6"/>
              <w:jc w:val="left"/>
              <w:rPr>
                <w:bCs/>
                <w:i/>
                <w:iCs/>
                <w:color w:val="000000" w:themeColor="text1"/>
                <w:sz w:val="21"/>
                <w:lang w:val="en-US"/>
              </w:rPr>
            </w:pPr>
            <w:r w:rsidRPr="002E5DBE">
              <w:rPr>
                <w:bCs/>
                <w:i/>
                <w:iCs/>
                <w:color w:val="000000" w:themeColor="text1"/>
                <w:sz w:val="21"/>
                <w:lang w:val="en-US"/>
              </w:rPr>
              <w:t>Socio-demographic and weight-related characteristics</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p>
        </w:tc>
      </w:tr>
      <w:tr w:rsidR="002E5DBE" w:rsidRPr="002E5DBE" w:rsidTr="00D13D04">
        <w:trPr>
          <w:trHeight w:val="70"/>
        </w:trPr>
        <w:tc>
          <w:tcPr>
            <w:tcW w:w="5315" w:type="dxa"/>
            <w:noWrap/>
            <w:vAlign w:val="bottom"/>
            <w:hideMark/>
          </w:tcPr>
          <w:p w:rsidR="00D13D04" w:rsidRPr="002E5DBE" w:rsidRDefault="00D13D04" w:rsidP="00D13D04">
            <w:pPr>
              <w:spacing w:line="276" w:lineRule="auto"/>
              <w:ind w:right="-6"/>
              <w:jc w:val="left"/>
              <w:rPr>
                <w:bCs/>
                <w:color w:val="000000" w:themeColor="text1"/>
                <w:sz w:val="21"/>
                <w:lang w:val="en-US"/>
              </w:rPr>
            </w:pPr>
            <w:r w:rsidRPr="002E5DBE">
              <w:rPr>
                <w:bCs/>
                <w:color w:val="000000" w:themeColor="text1"/>
                <w:sz w:val="21"/>
                <w:lang w:val="en-US"/>
              </w:rPr>
              <w:t xml:space="preserve">   Age (years)</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46.5 ± 10.7</w:t>
            </w:r>
          </w:p>
        </w:tc>
      </w:tr>
      <w:tr w:rsidR="002E5DBE" w:rsidRPr="002E5DBE" w:rsidTr="00D13D04">
        <w:trPr>
          <w:trHeight w:val="70"/>
        </w:trPr>
        <w:tc>
          <w:tcPr>
            <w:tcW w:w="5315" w:type="dxa"/>
            <w:noWrap/>
            <w:vAlign w:val="bottom"/>
            <w:hideMark/>
          </w:tcPr>
          <w:p w:rsidR="00D13D04" w:rsidRPr="002E5DBE" w:rsidRDefault="00D13D04" w:rsidP="00D13D04">
            <w:pPr>
              <w:spacing w:line="276" w:lineRule="auto"/>
              <w:ind w:right="-6"/>
              <w:jc w:val="left"/>
              <w:rPr>
                <w:bCs/>
                <w:color w:val="000000" w:themeColor="text1"/>
                <w:sz w:val="21"/>
                <w:lang w:val="en-US"/>
              </w:rPr>
            </w:pPr>
            <w:r w:rsidRPr="002E5DBE">
              <w:rPr>
                <w:bCs/>
                <w:color w:val="000000" w:themeColor="text1"/>
                <w:sz w:val="21"/>
                <w:lang w:val="en-US"/>
              </w:rPr>
              <w:t xml:space="preserve">   Gender (female)</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86.7% (91)</w:t>
            </w:r>
          </w:p>
        </w:tc>
      </w:tr>
      <w:tr w:rsidR="002E5DBE" w:rsidRPr="002E5DBE" w:rsidTr="00D13D04">
        <w:trPr>
          <w:trHeight w:val="20"/>
        </w:trPr>
        <w:tc>
          <w:tcPr>
            <w:tcW w:w="5315" w:type="dxa"/>
            <w:noWrap/>
            <w:vAlign w:val="bottom"/>
          </w:tcPr>
          <w:p w:rsidR="00D13D04" w:rsidRPr="002E5DBE" w:rsidRDefault="00D13D04" w:rsidP="00D13D04">
            <w:pPr>
              <w:spacing w:line="276" w:lineRule="auto"/>
              <w:ind w:right="-6"/>
              <w:jc w:val="left"/>
              <w:rPr>
                <w:bCs/>
                <w:iCs/>
                <w:color w:val="000000" w:themeColor="text1"/>
                <w:sz w:val="21"/>
                <w:lang w:val="en-US"/>
              </w:rPr>
            </w:pPr>
            <w:r w:rsidRPr="002E5DBE">
              <w:rPr>
                <w:bCs/>
                <w:color w:val="000000" w:themeColor="text1"/>
                <w:sz w:val="21"/>
                <w:lang w:val="en-US"/>
              </w:rPr>
              <w:t xml:space="preserve">   Current Body Mass Index (BMI; kg/m</w:t>
            </w:r>
            <w:r w:rsidRPr="002E5DBE">
              <w:rPr>
                <w:bCs/>
                <w:color w:val="000000" w:themeColor="text1"/>
                <w:sz w:val="21"/>
                <w:vertAlign w:val="superscript"/>
                <w:lang w:val="en-US"/>
              </w:rPr>
              <w:t>2</w:t>
            </w:r>
            <w:r w:rsidRPr="002E5DBE">
              <w:rPr>
                <w:bCs/>
                <w:color w:val="000000" w:themeColor="text1"/>
                <w:sz w:val="21"/>
                <w:lang w:val="en-US"/>
              </w:rPr>
              <w:t>)</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46.9 ± 7.8</w:t>
            </w:r>
          </w:p>
        </w:tc>
      </w:tr>
      <w:tr w:rsidR="002E5DBE" w:rsidRPr="002E5DBE" w:rsidTr="00D13D04">
        <w:trPr>
          <w:trHeight w:val="20"/>
        </w:trPr>
        <w:tc>
          <w:tcPr>
            <w:tcW w:w="5315" w:type="dxa"/>
            <w:noWrap/>
            <w:vAlign w:val="bottom"/>
          </w:tcPr>
          <w:p w:rsidR="00D13D04" w:rsidRPr="002E5DBE" w:rsidRDefault="00D13D04" w:rsidP="00D13D04">
            <w:pPr>
              <w:spacing w:line="276" w:lineRule="auto"/>
              <w:ind w:right="-6"/>
              <w:jc w:val="left"/>
              <w:rPr>
                <w:bCs/>
                <w:color w:val="000000" w:themeColor="text1"/>
                <w:sz w:val="21"/>
                <w:lang w:val="en-US"/>
              </w:rPr>
            </w:pPr>
            <w:r w:rsidRPr="002E5DBE">
              <w:rPr>
                <w:bCs/>
                <w:color w:val="000000" w:themeColor="text1"/>
                <w:sz w:val="21"/>
                <w:lang w:val="en-US"/>
              </w:rPr>
              <w:t xml:space="preserve">   Previous maximal BMI (kg/m</w:t>
            </w:r>
            <w:r w:rsidRPr="002E5DBE">
              <w:rPr>
                <w:bCs/>
                <w:color w:val="000000" w:themeColor="text1"/>
                <w:sz w:val="21"/>
                <w:vertAlign w:val="superscript"/>
                <w:lang w:val="en-US"/>
              </w:rPr>
              <w:t>2</w:t>
            </w:r>
            <w:r w:rsidRPr="002E5DBE">
              <w:rPr>
                <w:bCs/>
                <w:color w:val="000000" w:themeColor="text1"/>
                <w:sz w:val="21"/>
                <w:lang w:val="en-US"/>
              </w:rPr>
              <w:t>)</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50.1 ± 7.9</w:t>
            </w:r>
          </w:p>
        </w:tc>
      </w:tr>
      <w:tr w:rsidR="002E5DBE" w:rsidRPr="002E5DBE" w:rsidTr="00D13D04">
        <w:trPr>
          <w:trHeight w:val="20"/>
        </w:trPr>
        <w:tc>
          <w:tcPr>
            <w:tcW w:w="5315" w:type="dxa"/>
            <w:noWrap/>
            <w:vAlign w:val="bottom"/>
          </w:tcPr>
          <w:p w:rsidR="00D13D04" w:rsidRPr="002E5DBE" w:rsidRDefault="00D13D04" w:rsidP="00D13D04">
            <w:pPr>
              <w:spacing w:line="276" w:lineRule="auto"/>
              <w:ind w:right="-6"/>
              <w:jc w:val="left"/>
              <w:rPr>
                <w:bCs/>
                <w:color w:val="000000" w:themeColor="text1"/>
                <w:sz w:val="21"/>
                <w:lang w:val="en-US"/>
              </w:rPr>
            </w:pPr>
            <w:r w:rsidRPr="002E5DBE">
              <w:rPr>
                <w:bCs/>
                <w:color w:val="000000" w:themeColor="text1"/>
                <w:sz w:val="21"/>
                <w:lang w:val="en-US"/>
              </w:rPr>
              <w:t xml:space="preserve">   Previous bariatric surgery (yes) </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81% (85)</w:t>
            </w:r>
          </w:p>
        </w:tc>
      </w:tr>
      <w:tr w:rsidR="002E5DBE" w:rsidRPr="002E5DBE" w:rsidTr="00D13D04">
        <w:trPr>
          <w:trHeight w:val="20"/>
        </w:trPr>
        <w:tc>
          <w:tcPr>
            <w:tcW w:w="5315" w:type="dxa"/>
            <w:noWrap/>
            <w:vAlign w:val="bottom"/>
          </w:tcPr>
          <w:p w:rsidR="00D13D04" w:rsidRPr="002E5DBE" w:rsidRDefault="00D13D04" w:rsidP="00D13D04">
            <w:pPr>
              <w:spacing w:line="276" w:lineRule="auto"/>
              <w:ind w:right="-6"/>
              <w:jc w:val="left"/>
              <w:rPr>
                <w:bCs/>
                <w:color w:val="000000" w:themeColor="text1"/>
                <w:sz w:val="21"/>
                <w:lang w:val="en-US"/>
              </w:rPr>
            </w:pPr>
            <w:r w:rsidRPr="002E5DBE">
              <w:rPr>
                <w:bCs/>
                <w:color w:val="000000" w:themeColor="text1"/>
                <w:sz w:val="21"/>
                <w:lang w:val="en-US"/>
              </w:rPr>
              <w:t xml:space="preserve">   Age of onset of obesity (years)</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17.8 ± 10.4</w:t>
            </w:r>
          </w:p>
        </w:tc>
      </w:tr>
      <w:tr w:rsidR="002E5DBE" w:rsidRPr="002E5DBE" w:rsidTr="00D13D04">
        <w:trPr>
          <w:trHeight w:val="20"/>
        </w:trPr>
        <w:tc>
          <w:tcPr>
            <w:tcW w:w="5315" w:type="dxa"/>
            <w:noWrap/>
            <w:vAlign w:val="bottom"/>
          </w:tcPr>
          <w:p w:rsidR="00D13D04" w:rsidRPr="002E5DBE" w:rsidRDefault="00D13D04" w:rsidP="00D13D04">
            <w:pPr>
              <w:spacing w:line="276" w:lineRule="auto"/>
              <w:ind w:right="-6"/>
              <w:jc w:val="left"/>
              <w:rPr>
                <w:bCs/>
                <w:i/>
                <w:color w:val="000000" w:themeColor="text1"/>
                <w:sz w:val="21"/>
                <w:lang w:val="en-US"/>
              </w:rPr>
            </w:pP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p>
        </w:tc>
      </w:tr>
      <w:tr w:rsidR="002E5DBE" w:rsidRPr="002E5DBE" w:rsidTr="00D13D04">
        <w:trPr>
          <w:trHeight w:val="20"/>
        </w:trPr>
        <w:tc>
          <w:tcPr>
            <w:tcW w:w="5315" w:type="dxa"/>
            <w:noWrap/>
            <w:vAlign w:val="bottom"/>
          </w:tcPr>
          <w:p w:rsidR="00D13D04" w:rsidRPr="002E5DBE" w:rsidRDefault="00D13D04" w:rsidP="00D13D04">
            <w:pPr>
              <w:spacing w:line="276" w:lineRule="auto"/>
              <w:ind w:right="-6"/>
              <w:jc w:val="left"/>
              <w:rPr>
                <w:bCs/>
                <w:i/>
                <w:color w:val="000000" w:themeColor="text1"/>
                <w:sz w:val="21"/>
                <w:lang w:val="en-US"/>
              </w:rPr>
            </w:pPr>
            <w:r w:rsidRPr="002E5DBE">
              <w:rPr>
                <w:bCs/>
                <w:i/>
                <w:color w:val="000000" w:themeColor="text1"/>
                <w:sz w:val="21"/>
                <w:lang w:val="en-US"/>
              </w:rPr>
              <w:t>Presence of sleep-apnea syndrome</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28.6% (30)</w:t>
            </w:r>
          </w:p>
        </w:tc>
      </w:tr>
      <w:tr w:rsidR="002E5DBE" w:rsidRPr="002E5DBE" w:rsidTr="00D13D04">
        <w:trPr>
          <w:trHeight w:val="20"/>
        </w:trPr>
        <w:tc>
          <w:tcPr>
            <w:tcW w:w="5315" w:type="dxa"/>
            <w:noWrap/>
            <w:vAlign w:val="bottom"/>
          </w:tcPr>
          <w:p w:rsidR="00D13D04" w:rsidRPr="002E5DBE" w:rsidRDefault="00D13D04" w:rsidP="00D13D04">
            <w:pPr>
              <w:spacing w:line="276" w:lineRule="auto"/>
              <w:ind w:right="-6"/>
              <w:jc w:val="left"/>
              <w:rPr>
                <w:bCs/>
                <w:i/>
                <w:color w:val="000000" w:themeColor="text1"/>
                <w:sz w:val="21"/>
                <w:lang w:val="en-US"/>
              </w:rPr>
            </w:pP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p>
        </w:tc>
      </w:tr>
      <w:tr w:rsidR="002E5DBE" w:rsidRPr="0088729A" w:rsidTr="00D13D04">
        <w:trPr>
          <w:trHeight w:val="20"/>
        </w:trPr>
        <w:tc>
          <w:tcPr>
            <w:tcW w:w="5315" w:type="dxa"/>
            <w:noWrap/>
            <w:vAlign w:val="bottom"/>
          </w:tcPr>
          <w:p w:rsidR="00D13D04" w:rsidRPr="002E5DBE" w:rsidRDefault="00D13D04" w:rsidP="00D13D04">
            <w:pPr>
              <w:spacing w:line="276" w:lineRule="auto"/>
              <w:ind w:right="-6"/>
              <w:jc w:val="left"/>
              <w:rPr>
                <w:bCs/>
                <w:i/>
                <w:color w:val="000000" w:themeColor="text1"/>
                <w:sz w:val="21"/>
                <w:lang w:val="en-US"/>
              </w:rPr>
            </w:pPr>
            <w:r w:rsidRPr="002E5DBE">
              <w:rPr>
                <w:bCs/>
                <w:i/>
                <w:color w:val="000000" w:themeColor="text1"/>
                <w:sz w:val="21"/>
                <w:lang w:val="en-US"/>
              </w:rPr>
              <w:t>Adult ADHD (as per the DIVA 2.0)</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p>
        </w:tc>
      </w:tr>
      <w:tr w:rsidR="002E5DBE" w:rsidRPr="002E5DBE" w:rsidTr="00D13D04">
        <w:trPr>
          <w:trHeight w:val="20"/>
        </w:trPr>
        <w:tc>
          <w:tcPr>
            <w:tcW w:w="5315" w:type="dxa"/>
            <w:noWrap/>
            <w:vAlign w:val="bottom"/>
            <w:hideMark/>
          </w:tcPr>
          <w:p w:rsidR="00D13D04" w:rsidRPr="002E5DBE" w:rsidRDefault="00D13D04" w:rsidP="00D13D04">
            <w:pPr>
              <w:spacing w:line="276" w:lineRule="auto"/>
              <w:ind w:right="-6"/>
              <w:jc w:val="left"/>
              <w:rPr>
                <w:bCs/>
                <w:iCs/>
                <w:color w:val="000000" w:themeColor="text1"/>
                <w:sz w:val="21"/>
                <w:lang w:val="en-US"/>
              </w:rPr>
            </w:pPr>
            <w:r w:rsidRPr="002E5DBE">
              <w:rPr>
                <w:bCs/>
                <w:iCs/>
                <w:color w:val="000000" w:themeColor="text1"/>
                <w:sz w:val="21"/>
                <w:lang w:val="en-US"/>
              </w:rPr>
              <w:t xml:space="preserve">   Prevalence of adult ADHD (all subtypes)</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26.7% (28)</w:t>
            </w:r>
          </w:p>
        </w:tc>
      </w:tr>
      <w:tr w:rsidR="002E5DBE" w:rsidRPr="002E5DBE" w:rsidTr="00D13D04">
        <w:trPr>
          <w:trHeight w:val="93"/>
        </w:trPr>
        <w:tc>
          <w:tcPr>
            <w:tcW w:w="5315" w:type="dxa"/>
            <w:noWrap/>
            <w:vAlign w:val="bottom"/>
          </w:tcPr>
          <w:p w:rsidR="00D13D04" w:rsidRPr="002E5DBE" w:rsidRDefault="00D13D04" w:rsidP="00D13D04">
            <w:pPr>
              <w:spacing w:line="276" w:lineRule="auto"/>
              <w:ind w:right="-6"/>
              <w:jc w:val="left"/>
              <w:rPr>
                <w:bCs/>
                <w:iCs/>
                <w:color w:val="000000" w:themeColor="text1"/>
                <w:sz w:val="21"/>
                <w:lang w:val="en-US"/>
              </w:rPr>
            </w:pPr>
            <w:r w:rsidRPr="002E5DBE">
              <w:rPr>
                <w:bCs/>
                <w:iCs/>
                <w:color w:val="000000" w:themeColor="text1"/>
                <w:sz w:val="21"/>
                <w:lang w:val="en-US"/>
              </w:rPr>
              <w:t xml:space="preserve">   Prevalence of mixed-subtype</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17.1% (18)</w:t>
            </w:r>
          </w:p>
        </w:tc>
      </w:tr>
      <w:tr w:rsidR="002E5DBE" w:rsidRPr="002E5DBE" w:rsidTr="00D13D04">
        <w:trPr>
          <w:trHeight w:val="93"/>
        </w:trPr>
        <w:tc>
          <w:tcPr>
            <w:tcW w:w="5315" w:type="dxa"/>
            <w:noWrap/>
            <w:vAlign w:val="bottom"/>
          </w:tcPr>
          <w:p w:rsidR="00D13D04" w:rsidRPr="002E5DBE" w:rsidRDefault="00D13D04" w:rsidP="00D13D04">
            <w:pPr>
              <w:spacing w:line="276" w:lineRule="auto"/>
              <w:ind w:right="-6"/>
              <w:jc w:val="left"/>
              <w:rPr>
                <w:bCs/>
                <w:iCs/>
                <w:color w:val="000000" w:themeColor="text1"/>
                <w:sz w:val="21"/>
                <w:lang w:val="en-US"/>
              </w:rPr>
            </w:pPr>
            <w:r w:rsidRPr="002E5DBE">
              <w:rPr>
                <w:bCs/>
                <w:iCs/>
                <w:color w:val="000000" w:themeColor="text1"/>
                <w:sz w:val="21"/>
                <w:lang w:val="en-US"/>
              </w:rPr>
              <w:t xml:space="preserve">   Prevalence of hyperactive impulsive subtype</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6.7% (7)</w:t>
            </w:r>
          </w:p>
        </w:tc>
      </w:tr>
      <w:tr w:rsidR="002E5DBE" w:rsidRPr="002E5DBE" w:rsidTr="00D13D04">
        <w:trPr>
          <w:trHeight w:val="93"/>
        </w:trPr>
        <w:tc>
          <w:tcPr>
            <w:tcW w:w="5315" w:type="dxa"/>
            <w:noWrap/>
            <w:vAlign w:val="bottom"/>
          </w:tcPr>
          <w:p w:rsidR="00D13D04" w:rsidRPr="002E5DBE" w:rsidRDefault="00D13D04" w:rsidP="00D13D04">
            <w:pPr>
              <w:spacing w:line="276" w:lineRule="auto"/>
              <w:ind w:right="-6"/>
              <w:jc w:val="left"/>
              <w:rPr>
                <w:bCs/>
                <w:iCs/>
                <w:color w:val="000000" w:themeColor="text1"/>
                <w:sz w:val="21"/>
                <w:lang w:val="en-US"/>
              </w:rPr>
            </w:pPr>
            <w:r w:rsidRPr="002E5DBE">
              <w:rPr>
                <w:bCs/>
                <w:iCs/>
                <w:color w:val="000000" w:themeColor="text1"/>
                <w:sz w:val="21"/>
                <w:lang w:val="en-US"/>
              </w:rPr>
              <w:t xml:space="preserve">   Prevalence of inattentive subtype</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2.9% (3)</w:t>
            </w:r>
          </w:p>
        </w:tc>
      </w:tr>
      <w:tr w:rsidR="002E5DBE" w:rsidRPr="002E5DBE" w:rsidTr="00D13D04">
        <w:trPr>
          <w:trHeight w:val="93"/>
        </w:trPr>
        <w:tc>
          <w:tcPr>
            <w:tcW w:w="5315" w:type="dxa"/>
            <w:noWrap/>
            <w:vAlign w:val="bottom"/>
          </w:tcPr>
          <w:p w:rsidR="00D13D04" w:rsidRPr="002E5DBE" w:rsidRDefault="00D13D04" w:rsidP="00D13D04">
            <w:pPr>
              <w:spacing w:line="276" w:lineRule="auto"/>
              <w:ind w:right="-6"/>
              <w:jc w:val="left"/>
              <w:rPr>
                <w:bCs/>
                <w:iCs/>
                <w:color w:val="000000" w:themeColor="text1"/>
                <w:sz w:val="21"/>
                <w:lang w:val="en-US"/>
              </w:rPr>
            </w:pPr>
            <w:r w:rsidRPr="002E5DBE">
              <w:rPr>
                <w:bCs/>
                <w:iCs/>
                <w:color w:val="000000" w:themeColor="text1"/>
                <w:sz w:val="21"/>
                <w:lang w:val="en-US"/>
              </w:rPr>
              <w:t xml:space="preserve">   Number of hyperactive impulsive symptoms (adult)</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4.0 ± 2.9</w:t>
            </w:r>
          </w:p>
        </w:tc>
      </w:tr>
      <w:tr w:rsidR="002E5DBE" w:rsidRPr="002E5DBE" w:rsidTr="00D13D04">
        <w:trPr>
          <w:trHeight w:val="93"/>
        </w:trPr>
        <w:tc>
          <w:tcPr>
            <w:tcW w:w="5315" w:type="dxa"/>
            <w:noWrap/>
            <w:vAlign w:val="bottom"/>
          </w:tcPr>
          <w:p w:rsidR="00D13D04" w:rsidRPr="002E5DBE" w:rsidRDefault="00D13D04" w:rsidP="00D13D04">
            <w:pPr>
              <w:spacing w:line="276" w:lineRule="auto"/>
              <w:ind w:right="-6"/>
              <w:jc w:val="left"/>
              <w:rPr>
                <w:bCs/>
                <w:iCs/>
                <w:color w:val="000000" w:themeColor="text1"/>
                <w:sz w:val="21"/>
                <w:lang w:val="en-US"/>
              </w:rPr>
            </w:pPr>
            <w:r w:rsidRPr="002E5DBE">
              <w:rPr>
                <w:bCs/>
                <w:iCs/>
                <w:color w:val="000000" w:themeColor="text1"/>
                <w:sz w:val="21"/>
                <w:lang w:val="en-US"/>
              </w:rPr>
              <w:t xml:space="preserve">   Number of inattentive symptoms (adult)</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3.9 ± 3.3</w:t>
            </w:r>
          </w:p>
        </w:tc>
      </w:tr>
      <w:tr w:rsidR="002E5DBE" w:rsidRPr="002E5DBE" w:rsidTr="00D13D04">
        <w:trPr>
          <w:trHeight w:val="93"/>
        </w:trPr>
        <w:tc>
          <w:tcPr>
            <w:tcW w:w="5315" w:type="dxa"/>
            <w:noWrap/>
            <w:vAlign w:val="bottom"/>
          </w:tcPr>
          <w:p w:rsidR="00D13D04" w:rsidRPr="002E5DBE" w:rsidRDefault="00D13D04" w:rsidP="00D13D04">
            <w:pPr>
              <w:spacing w:line="276" w:lineRule="auto"/>
              <w:ind w:right="-6"/>
              <w:jc w:val="left"/>
              <w:rPr>
                <w:bCs/>
                <w:i/>
                <w:iCs/>
                <w:color w:val="000000" w:themeColor="text1"/>
                <w:sz w:val="21"/>
                <w:lang w:val="en-US"/>
              </w:rPr>
            </w:pP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p>
        </w:tc>
      </w:tr>
      <w:tr w:rsidR="002E5DBE" w:rsidRPr="0088729A" w:rsidTr="00D13D04">
        <w:trPr>
          <w:trHeight w:val="93"/>
        </w:trPr>
        <w:tc>
          <w:tcPr>
            <w:tcW w:w="5315" w:type="dxa"/>
            <w:noWrap/>
            <w:vAlign w:val="bottom"/>
          </w:tcPr>
          <w:p w:rsidR="00D13D04" w:rsidRPr="002E5DBE" w:rsidRDefault="00D13D04" w:rsidP="00D13D04">
            <w:pPr>
              <w:spacing w:line="276" w:lineRule="auto"/>
              <w:ind w:right="-6"/>
              <w:jc w:val="left"/>
              <w:rPr>
                <w:bCs/>
                <w:i/>
                <w:iCs/>
                <w:color w:val="000000" w:themeColor="text1"/>
                <w:sz w:val="21"/>
                <w:lang w:val="en-US"/>
              </w:rPr>
            </w:pPr>
            <w:r w:rsidRPr="002E5DBE">
              <w:rPr>
                <w:bCs/>
                <w:i/>
                <w:iCs/>
                <w:color w:val="000000" w:themeColor="text1"/>
                <w:sz w:val="21"/>
                <w:lang w:val="en-US"/>
              </w:rPr>
              <w:t>Childhood ADHD (as per the DIVA 2.0)</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p>
        </w:tc>
      </w:tr>
      <w:tr w:rsidR="002E5DBE" w:rsidRPr="002E5DBE" w:rsidTr="00D13D04">
        <w:trPr>
          <w:trHeight w:val="93"/>
        </w:trPr>
        <w:tc>
          <w:tcPr>
            <w:tcW w:w="5315" w:type="dxa"/>
            <w:noWrap/>
            <w:vAlign w:val="bottom"/>
          </w:tcPr>
          <w:p w:rsidR="00D13D04" w:rsidRPr="002E5DBE" w:rsidRDefault="00D13D04" w:rsidP="00D13D04">
            <w:pPr>
              <w:spacing w:line="276" w:lineRule="auto"/>
              <w:ind w:right="-6"/>
              <w:jc w:val="left"/>
              <w:rPr>
                <w:bCs/>
                <w:iCs/>
                <w:color w:val="000000" w:themeColor="text1"/>
                <w:sz w:val="21"/>
                <w:lang w:val="en-US"/>
              </w:rPr>
            </w:pPr>
            <w:r w:rsidRPr="002E5DBE">
              <w:rPr>
                <w:bCs/>
                <w:iCs/>
                <w:color w:val="000000" w:themeColor="text1"/>
                <w:sz w:val="21"/>
                <w:lang w:val="en-US"/>
              </w:rPr>
              <w:t xml:space="preserve">   Prevalence of childhood ADHD (all subtypes)</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35.2% (37)</w:t>
            </w:r>
          </w:p>
        </w:tc>
      </w:tr>
      <w:tr w:rsidR="002E5DBE" w:rsidRPr="002E5DBE" w:rsidTr="00D13D04">
        <w:trPr>
          <w:trHeight w:val="93"/>
        </w:trPr>
        <w:tc>
          <w:tcPr>
            <w:tcW w:w="5315" w:type="dxa"/>
            <w:noWrap/>
            <w:vAlign w:val="bottom"/>
          </w:tcPr>
          <w:p w:rsidR="00D13D04" w:rsidRPr="002E5DBE" w:rsidRDefault="00D13D04" w:rsidP="00D13D04">
            <w:pPr>
              <w:spacing w:line="276" w:lineRule="auto"/>
              <w:ind w:right="-6"/>
              <w:jc w:val="left"/>
              <w:rPr>
                <w:bCs/>
                <w:iCs/>
                <w:color w:val="000000" w:themeColor="text1"/>
                <w:sz w:val="21"/>
                <w:lang w:val="en-US"/>
              </w:rPr>
            </w:pPr>
            <w:r w:rsidRPr="002E5DBE">
              <w:rPr>
                <w:bCs/>
                <w:iCs/>
                <w:color w:val="000000" w:themeColor="text1"/>
                <w:sz w:val="21"/>
                <w:lang w:val="en-US"/>
              </w:rPr>
              <w:t xml:space="preserve">   Prevalence of mixed-subtype</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15.2% (16)</w:t>
            </w:r>
          </w:p>
        </w:tc>
      </w:tr>
      <w:tr w:rsidR="002E5DBE" w:rsidRPr="002E5DBE" w:rsidTr="00D13D04">
        <w:trPr>
          <w:trHeight w:val="93"/>
        </w:trPr>
        <w:tc>
          <w:tcPr>
            <w:tcW w:w="5315" w:type="dxa"/>
            <w:noWrap/>
            <w:vAlign w:val="bottom"/>
          </w:tcPr>
          <w:p w:rsidR="00D13D04" w:rsidRPr="002E5DBE" w:rsidRDefault="00D13D04" w:rsidP="00D13D04">
            <w:pPr>
              <w:spacing w:line="276" w:lineRule="auto"/>
              <w:ind w:right="-6"/>
              <w:jc w:val="left"/>
              <w:rPr>
                <w:bCs/>
                <w:iCs/>
                <w:color w:val="000000" w:themeColor="text1"/>
                <w:sz w:val="21"/>
                <w:lang w:val="en-US"/>
              </w:rPr>
            </w:pPr>
            <w:r w:rsidRPr="002E5DBE">
              <w:rPr>
                <w:bCs/>
                <w:iCs/>
                <w:color w:val="000000" w:themeColor="text1"/>
                <w:sz w:val="21"/>
                <w:lang w:val="en-US"/>
              </w:rPr>
              <w:t xml:space="preserve">   Prevalence of hyperactive impulsive subtype</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5.7% (6)</w:t>
            </w:r>
          </w:p>
        </w:tc>
      </w:tr>
      <w:tr w:rsidR="002E5DBE" w:rsidRPr="002E5DBE" w:rsidTr="00D13D04">
        <w:trPr>
          <w:trHeight w:val="93"/>
        </w:trPr>
        <w:tc>
          <w:tcPr>
            <w:tcW w:w="5315" w:type="dxa"/>
            <w:noWrap/>
            <w:vAlign w:val="bottom"/>
          </w:tcPr>
          <w:p w:rsidR="00D13D04" w:rsidRPr="002E5DBE" w:rsidRDefault="00D13D04" w:rsidP="00D13D04">
            <w:pPr>
              <w:spacing w:line="276" w:lineRule="auto"/>
              <w:ind w:right="-6"/>
              <w:jc w:val="left"/>
              <w:rPr>
                <w:bCs/>
                <w:iCs/>
                <w:color w:val="000000" w:themeColor="text1"/>
                <w:sz w:val="21"/>
                <w:lang w:val="en-US"/>
              </w:rPr>
            </w:pPr>
            <w:r w:rsidRPr="002E5DBE">
              <w:rPr>
                <w:bCs/>
                <w:iCs/>
                <w:color w:val="000000" w:themeColor="text1"/>
                <w:sz w:val="21"/>
                <w:lang w:val="en-US"/>
              </w:rPr>
              <w:t xml:space="preserve">   Prevalence of inattentive subtype</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14.3% (15)</w:t>
            </w:r>
          </w:p>
        </w:tc>
      </w:tr>
      <w:tr w:rsidR="002E5DBE" w:rsidRPr="002E5DBE" w:rsidTr="00D13D04">
        <w:trPr>
          <w:trHeight w:val="93"/>
        </w:trPr>
        <w:tc>
          <w:tcPr>
            <w:tcW w:w="5315" w:type="dxa"/>
            <w:noWrap/>
            <w:vAlign w:val="bottom"/>
          </w:tcPr>
          <w:p w:rsidR="00D13D04" w:rsidRPr="002E5DBE" w:rsidRDefault="00D13D04" w:rsidP="00D13D04">
            <w:pPr>
              <w:spacing w:line="276" w:lineRule="auto"/>
              <w:ind w:right="-6"/>
              <w:jc w:val="left"/>
              <w:rPr>
                <w:bCs/>
                <w:iCs/>
                <w:color w:val="000000" w:themeColor="text1"/>
                <w:sz w:val="21"/>
                <w:lang w:val="en-US"/>
              </w:rPr>
            </w:pPr>
            <w:r w:rsidRPr="002E5DBE">
              <w:rPr>
                <w:bCs/>
                <w:iCs/>
                <w:color w:val="000000" w:themeColor="text1"/>
                <w:sz w:val="21"/>
                <w:lang w:val="en-US"/>
              </w:rPr>
              <w:t xml:space="preserve">   Number of hyperactive impulsive symptoms (childhood)</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2.9 ± 2.9</w:t>
            </w:r>
          </w:p>
        </w:tc>
      </w:tr>
      <w:tr w:rsidR="002E5DBE" w:rsidRPr="002E5DBE" w:rsidTr="00D13D04">
        <w:trPr>
          <w:trHeight w:val="93"/>
        </w:trPr>
        <w:tc>
          <w:tcPr>
            <w:tcW w:w="5315" w:type="dxa"/>
            <w:noWrap/>
            <w:vAlign w:val="bottom"/>
          </w:tcPr>
          <w:p w:rsidR="00D13D04" w:rsidRPr="002E5DBE" w:rsidRDefault="00D13D04" w:rsidP="00D13D04">
            <w:pPr>
              <w:spacing w:line="276" w:lineRule="auto"/>
              <w:ind w:right="-6"/>
              <w:jc w:val="left"/>
              <w:rPr>
                <w:bCs/>
                <w:iCs/>
                <w:color w:val="000000" w:themeColor="text1"/>
                <w:sz w:val="21"/>
                <w:lang w:val="en-US"/>
              </w:rPr>
            </w:pPr>
            <w:r w:rsidRPr="002E5DBE">
              <w:rPr>
                <w:bCs/>
                <w:iCs/>
                <w:color w:val="000000" w:themeColor="text1"/>
                <w:sz w:val="21"/>
                <w:lang w:val="en-US"/>
              </w:rPr>
              <w:t xml:space="preserve">   Number of inattentive symptoms (childhood)</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3.6 ± 3.3</w:t>
            </w:r>
          </w:p>
        </w:tc>
      </w:tr>
      <w:tr w:rsidR="002E5DBE" w:rsidRPr="002E5DBE" w:rsidTr="00D13D04">
        <w:trPr>
          <w:trHeight w:val="93"/>
        </w:trPr>
        <w:tc>
          <w:tcPr>
            <w:tcW w:w="5315" w:type="dxa"/>
            <w:noWrap/>
            <w:vAlign w:val="bottom"/>
          </w:tcPr>
          <w:p w:rsidR="00D13D04" w:rsidRPr="002E5DBE" w:rsidRDefault="00D13D04" w:rsidP="00D13D04">
            <w:pPr>
              <w:spacing w:line="276" w:lineRule="auto"/>
              <w:ind w:right="-6"/>
              <w:jc w:val="left"/>
              <w:rPr>
                <w:bCs/>
                <w:i/>
                <w:iCs/>
                <w:color w:val="000000" w:themeColor="text1"/>
                <w:sz w:val="21"/>
                <w:lang w:val="en-US"/>
              </w:rPr>
            </w:pP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p>
        </w:tc>
      </w:tr>
      <w:tr w:rsidR="002E5DBE" w:rsidRPr="0088729A" w:rsidTr="00D13D04">
        <w:trPr>
          <w:trHeight w:val="93"/>
        </w:trPr>
        <w:tc>
          <w:tcPr>
            <w:tcW w:w="5315" w:type="dxa"/>
            <w:noWrap/>
            <w:vAlign w:val="bottom"/>
            <w:hideMark/>
          </w:tcPr>
          <w:p w:rsidR="00D13D04" w:rsidRPr="002E5DBE" w:rsidRDefault="00D13D04" w:rsidP="00D13D04">
            <w:pPr>
              <w:spacing w:line="276" w:lineRule="auto"/>
              <w:ind w:right="-6"/>
              <w:jc w:val="left"/>
              <w:rPr>
                <w:bCs/>
                <w:i/>
                <w:iCs/>
                <w:color w:val="000000" w:themeColor="text1"/>
                <w:sz w:val="21"/>
                <w:lang w:val="en-US"/>
              </w:rPr>
            </w:pPr>
            <w:r w:rsidRPr="002E5DBE">
              <w:rPr>
                <w:bCs/>
                <w:i/>
                <w:iCs/>
                <w:color w:val="000000" w:themeColor="text1"/>
                <w:sz w:val="21"/>
                <w:lang w:val="en-US"/>
              </w:rPr>
              <w:t>Food addiction (as per the YFAS 2.0)</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p>
        </w:tc>
      </w:tr>
      <w:tr w:rsidR="002E5DBE" w:rsidRPr="002E5DBE" w:rsidTr="00D13D04">
        <w:trPr>
          <w:trHeight w:val="93"/>
        </w:trPr>
        <w:tc>
          <w:tcPr>
            <w:tcW w:w="5315" w:type="dxa"/>
            <w:noWrap/>
          </w:tcPr>
          <w:p w:rsidR="00D13D04" w:rsidRPr="002E5DBE" w:rsidRDefault="00D13D04" w:rsidP="00D13D04">
            <w:pPr>
              <w:spacing w:line="276" w:lineRule="auto"/>
              <w:ind w:right="-6"/>
              <w:jc w:val="left"/>
              <w:rPr>
                <w:bCs/>
                <w:color w:val="000000" w:themeColor="text1"/>
                <w:sz w:val="21"/>
                <w:lang w:val="en-US"/>
              </w:rPr>
            </w:pPr>
            <w:r w:rsidRPr="002E5DBE">
              <w:rPr>
                <w:bCs/>
                <w:color w:val="000000" w:themeColor="text1"/>
                <w:sz w:val="21"/>
                <w:lang w:val="en-US"/>
              </w:rPr>
              <w:t xml:space="preserve">   Prevalence of food addiction</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14.3% (15)</w:t>
            </w:r>
          </w:p>
        </w:tc>
      </w:tr>
      <w:tr w:rsidR="002E5DBE" w:rsidRPr="002E5DBE" w:rsidTr="00D13D04">
        <w:trPr>
          <w:trHeight w:val="93"/>
        </w:trPr>
        <w:tc>
          <w:tcPr>
            <w:tcW w:w="5315" w:type="dxa"/>
            <w:noWrap/>
          </w:tcPr>
          <w:p w:rsidR="00D13D04" w:rsidRPr="002E5DBE" w:rsidRDefault="00D13D04" w:rsidP="00D13D04">
            <w:pPr>
              <w:spacing w:line="276" w:lineRule="auto"/>
              <w:ind w:right="-6"/>
              <w:jc w:val="left"/>
              <w:rPr>
                <w:bCs/>
                <w:i/>
                <w:iCs/>
                <w:color w:val="000000" w:themeColor="text1"/>
                <w:sz w:val="21"/>
                <w:lang w:val="en-US"/>
              </w:rPr>
            </w:pPr>
            <w:r w:rsidRPr="002E5DBE">
              <w:rPr>
                <w:bCs/>
                <w:color w:val="000000" w:themeColor="text1"/>
                <w:sz w:val="21"/>
                <w:lang w:val="en-US"/>
              </w:rPr>
              <w:t xml:space="preserve">   Number of food addiction symptoms</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1.7 ± 2.4</w:t>
            </w:r>
          </w:p>
        </w:tc>
      </w:tr>
      <w:tr w:rsidR="002E5DBE" w:rsidRPr="002E5DBE" w:rsidTr="00D13D04">
        <w:trPr>
          <w:trHeight w:val="93"/>
        </w:trPr>
        <w:tc>
          <w:tcPr>
            <w:tcW w:w="5315" w:type="dxa"/>
            <w:noWrap/>
            <w:hideMark/>
          </w:tcPr>
          <w:p w:rsidR="00D13D04" w:rsidRPr="002E5DBE" w:rsidRDefault="00D13D04" w:rsidP="00D13D04">
            <w:pPr>
              <w:spacing w:line="276" w:lineRule="auto"/>
              <w:ind w:right="-6"/>
              <w:jc w:val="left"/>
              <w:rPr>
                <w:bCs/>
                <w:i/>
                <w:iCs/>
                <w:color w:val="000000" w:themeColor="text1"/>
                <w:sz w:val="21"/>
                <w:lang w:val="en-US"/>
              </w:rPr>
            </w:pPr>
            <w:r w:rsidRPr="002E5DBE">
              <w:rPr>
                <w:bCs/>
                <w:color w:val="000000" w:themeColor="text1"/>
                <w:sz w:val="21"/>
                <w:lang w:val="en-US"/>
              </w:rPr>
              <w:t xml:space="preserve">   Significant distress in relation to food</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17.1% (18)</w:t>
            </w:r>
          </w:p>
        </w:tc>
      </w:tr>
      <w:tr w:rsidR="002E5DBE" w:rsidRPr="002E5DBE" w:rsidTr="00D13D04">
        <w:trPr>
          <w:trHeight w:val="93"/>
        </w:trPr>
        <w:tc>
          <w:tcPr>
            <w:tcW w:w="5315" w:type="dxa"/>
            <w:noWrap/>
          </w:tcPr>
          <w:p w:rsidR="00D13D04" w:rsidRPr="002E5DBE" w:rsidRDefault="00D13D04" w:rsidP="00D13D04">
            <w:pPr>
              <w:spacing w:line="276" w:lineRule="auto"/>
              <w:ind w:right="-6"/>
              <w:jc w:val="left"/>
              <w:rPr>
                <w:bCs/>
                <w:i/>
                <w:iCs/>
                <w:color w:val="000000" w:themeColor="text1"/>
                <w:sz w:val="21"/>
                <w:lang w:val="en-US"/>
              </w:rPr>
            </w:pP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p>
        </w:tc>
      </w:tr>
      <w:tr w:rsidR="002E5DBE" w:rsidRPr="002E5DBE" w:rsidTr="00D13D04">
        <w:trPr>
          <w:trHeight w:val="93"/>
        </w:trPr>
        <w:tc>
          <w:tcPr>
            <w:tcW w:w="5315" w:type="dxa"/>
            <w:noWrap/>
            <w:hideMark/>
          </w:tcPr>
          <w:p w:rsidR="00D13D04" w:rsidRPr="002E5DBE" w:rsidRDefault="00D13D04" w:rsidP="00D13D04">
            <w:pPr>
              <w:spacing w:line="276" w:lineRule="auto"/>
              <w:ind w:right="-6"/>
              <w:jc w:val="left"/>
              <w:rPr>
                <w:bCs/>
                <w:i/>
                <w:iCs/>
                <w:color w:val="000000" w:themeColor="text1"/>
                <w:sz w:val="21"/>
                <w:lang w:val="en-US"/>
              </w:rPr>
            </w:pPr>
            <w:r w:rsidRPr="002E5DBE">
              <w:rPr>
                <w:bCs/>
                <w:i/>
                <w:color w:val="000000" w:themeColor="text1"/>
                <w:sz w:val="21"/>
                <w:lang w:val="en-US"/>
              </w:rPr>
              <w:t>Binge eating severity (BES total score)</w:t>
            </w:r>
          </w:p>
        </w:tc>
        <w:tc>
          <w:tcPr>
            <w:tcW w:w="160" w:type="dxa"/>
          </w:tcPr>
          <w:p w:rsidR="00D13D04" w:rsidRPr="002E5DBE" w:rsidRDefault="00D13D04" w:rsidP="00D13D04">
            <w:pPr>
              <w:spacing w:line="276" w:lineRule="auto"/>
              <w:ind w:right="-6"/>
              <w:jc w:val="center"/>
              <w:rPr>
                <w:bCs/>
                <w:color w:val="000000" w:themeColor="text1"/>
                <w:sz w:val="21"/>
                <w:lang w:val="en-US"/>
              </w:rPr>
            </w:pPr>
          </w:p>
        </w:tc>
        <w:tc>
          <w:tcPr>
            <w:tcW w:w="2250"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8.9 ± 8.9</w:t>
            </w:r>
          </w:p>
        </w:tc>
      </w:tr>
      <w:tr w:rsidR="002E5DBE" w:rsidRPr="002E5DBE" w:rsidTr="00D13D04">
        <w:trPr>
          <w:trHeight w:val="20"/>
        </w:trPr>
        <w:tc>
          <w:tcPr>
            <w:tcW w:w="5315" w:type="dxa"/>
            <w:tcBorders>
              <w:left w:val="nil"/>
              <w:bottom w:val="single" w:sz="4" w:space="0" w:color="auto"/>
              <w:right w:val="nil"/>
            </w:tcBorders>
            <w:noWrap/>
            <w:vAlign w:val="bottom"/>
          </w:tcPr>
          <w:p w:rsidR="00D13D04" w:rsidRPr="002E5DBE" w:rsidRDefault="00D13D04" w:rsidP="00D13D04">
            <w:pPr>
              <w:spacing w:line="276" w:lineRule="auto"/>
              <w:ind w:right="-6"/>
              <w:jc w:val="left"/>
              <w:rPr>
                <w:bCs/>
                <w:color w:val="000000" w:themeColor="text1"/>
                <w:sz w:val="21"/>
                <w:lang w:val="en-US"/>
              </w:rPr>
            </w:pPr>
          </w:p>
        </w:tc>
        <w:tc>
          <w:tcPr>
            <w:tcW w:w="160" w:type="dxa"/>
            <w:tcBorders>
              <w:left w:val="nil"/>
              <w:bottom w:val="single" w:sz="4" w:space="0" w:color="auto"/>
              <w:right w:val="nil"/>
            </w:tcBorders>
          </w:tcPr>
          <w:p w:rsidR="00D13D04" w:rsidRPr="002E5DBE" w:rsidRDefault="00D13D04" w:rsidP="00D13D04">
            <w:pPr>
              <w:spacing w:line="276" w:lineRule="auto"/>
              <w:ind w:right="-6"/>
              <w:jc w:val="center"/>
              <w:rPr>
                <w:color w:val="000000" w:themeColor="text1"/>
                <w:sz w:val="21"/>
                <w:lang w:val="en-US"/>
              </w:rPr>
            </w:pPr>
          </w:p>
        </w:tc>
        <w:tc>
          <w:tcPr>
            <w:tcW w:w="2250" w:type="dxa"/>
            <w:tcBorders>
              <w:left w:val="nil"/>
              <w:bottom w:val="single" w:sz="4" w:space="0" w:color="auto"/>
              <w:right w:val="nil"/>
            </w:tcBorders>
          </w:tcPr>
          <w:p w:rsidR="00D13D04" w:rsidRPr="002E5DBE" w:rsidRDefault="00D13D04" w:rsidP="00D13D04">
            <w:pPr>
              <w:spacing w:line="276" w:lineRule="auto"/>
              <w:ind w:right="-6"/>
              <w:jc w:val="center"/>
              <w:rPr>
                <w:color w:val="000000" w:themeColor="text1"/>
                <w:sz w:val="21"/>
                <w:lang w:val="en-US"/>
              </w:rPr>
            </w:pPr>
          </w:p>
        </w:tc>
      </w:tr>
    </w:tbl>
    <w:p w:rsidR="00D13D04" w:rsidRPr="002E5DBE" w:rsidRDefault="00D13D04" w:rsidP="00D13D04">
      <w:pPr>
        <w:spacing w:line="276" w:lineRule="auto"/>
        <w:ind w:right="986"/>
        <w:rPr>
          <w:bCs/>
          <w:color w:val="000000" w:themeColor="text1"/>
          <w:sz w:val="21"/>
          <w:lang w:val="en-US"/>
        </w:rPr>
      </w:pPr>
      <w:r w:rsidRPr="002E5DBE">
        <w:rPr>
          <w:bCs/>
          <w:i/>
          <w:color w:val="000000" w:themeColor="text1"/>
          <w:sz w:val="21"/>
          <w:lang w:val="en-US"/>
        </w:rPr>
        <w:t>Note.</w:t>
      </w:r>
      <w:r w:rsidRPr="002E5DBE">
        <w:rPr>
          <w:bCs/>
          <w:color w:val="000000" w:themeColor="text1"/>
          <w:sz w:val="21"/>
          <w:lang w:val="en-US"/>
        </w:rPr>
        <w:t xml:space="preserve"> Descriptive data are presented as mean ± standard deviation (SD) or percentage (number). ADHD: Attention-Deficit/Hyperactivity Disorder; BES: Binge Eating Scale; BMI: Body Mass Index; DIVA: Diagnostisch Interview Voor ADHD bij volwassenen; YFAS 2.0: Yale Food Addiction Scale version 2.0 (based on DSM-5 criteria for addictive disorders). </w:t>
      </w:r>
    </w:p>
    <w:p w:rsidR="00D13D04" w:rsidRPr="002E5DBE" w:rsidRDefault="00D13D04" w:rsidP="00D13D04">
      <w:pPr>
        <w:spacing w:line="276" w:lineRule="auto"/>
        <w:rPr>
          <w:bCs/>
          <w:color w:val="000000" w:themeColor="text1"/>
          <w:sz w:val="21"/>
          <w:lang w:val="en-US"/>
        </w:rPr>
      </w:pPr>
    </w:p>
    <w:p w:rsidR="00D13D04" w:rsidRPr="002E5DBE" w:rsidRDefault="00D13D04" w:rsidP="00D13D04">
      <w:pPr>
        <w:pStyle w:val="Caption"/>
        <w:keepNext/>
        <w:spacing w:line="276" w:lineRule="auto"/>
        <w:rPr>
          <w:b/>
          <w:color w:val="000000" w:themeColor="text1"/>
          <w:sz w:val="21"/>
          <w:lang w:val="en-US"/>
        </w:rPr>
      </w:pPr>
    </w:p>
    <w:p w:rsidR="00D13D04" w:rsidRPr="002E5DBE" w:rsidRDefault="00D13D04" w:rsidP="00D13D04">
      <w:pPr>
        <w:jc w:val="left"/>
        <w:rPr>
          <w:color w:val="000000" w:themeColor="text1"/>
          <w:sz w:val="28"/>
          <w:lang w:val="en-US"/>
        </w:rPr>
        <w:sectPr w:rsidR="00D13D04" w:rsidRPr="002E5DBE">
          <w:pgSz w:w="11900" w:h="16840"/>
          <w:pgMar w:top="1417" w:right="1417" w:bottom="1417" w:left="1417" w:header="708" w:footer="708" w:gutter="0"/>
          <w:cols w:space="720"/>
        </w:sectPr>
      </w:pPr>
    </w:p>
    <w:p w:rsidR="00D13D04" w:rsidRPr="002E5DBE" w:rsidRDefault="00D13D04" w:rsidP="00D13D04">
      <w:pPr>
        <w:pStyle w:val="Caption"/>
        <w:keepNext/>
        <w:ind w:right="-6"/>
        <w:rPr>
          <w:b/>
          <w:color w:val="000000" w:themeColor="text1"/>
          <w:sz w:val="21"/>
          <w:lang w:val="en-US"/>
        </w:rPr>
      </w:pPr>
      <w:r w:rsidRPr="002E5DBE">
        <w:rPr>
          <w:b/>
          <w:color w:val="000000" w:themeColor="text1"/>
          <w:sz w:val="21"/>
          <w:lang w:val="en-US"/>
        </w:rPr>
        <w:lastRenderedPageBreak/>
        <w:t xml:space="preserve">Table 2. Factors associated with adult ADHD diagnosis in the whole sample (logistic regression analyses). </w:t>
      </w:r>
    </w:p>
    <w:tbl>
      <w:tblPr>
        <w:tblW w:w="9165" w:type="dxa"/>
        <w:tblLayout w:type="fixed"/>
        <w:tblCellMar>
          <w:left w:w="70" w:type="dxa"/>
          <w:right w:w="70" w:type="dxa"/>
        </w:tblCellMar>
        <w:tblLook w:val="00A0" w:firstRow="1" w:lastRow="0" w:firstColumn="1" w:lastColumn="0" w:noHBand="0" w:noVBand="0"/>
      </w:tblPr>
      <w:tblGrid>
        <w:gridCol w:w="3758"/>
        <w:gridCol w:w="161"/>
        <w:gridCol w:w="1396"/>
        <w:gridCol w:w="1394"/>
        <w:gridCol w:w="1655"/>
        <w:gridCol w:w="801"/>
      </w:tblGrid>
      <w:tr w:rsidR="002E5DBE" w:rsidRPr="002E5DBE" w:rsidTr="00D13D04">
        <w:trPr>
          <w:trHeight w:val="20"/>
        </w:trPr>
        <w:tc>
          <w:tcPr>
            <w:tcW w:w="3758" w:type="dxa"/>
            <w:tcBorders>
              <w:top w:val="single" w:sz="4" w:space="0" w:color="auto"/>
              <w:left w:val="nil"/>
              <w:bottom w:val="single" w:sz="4" w:space="0" w:color="auto"/>
              <w:right w:val="nil"/>
            </w:tcBorders>
            <w:noWrap/>
            <w:vAlign w:val="bottom"/>
          </w:tcPr>
          <w:p w:rsidR="00D13D04" w:rsidRPr="002E5DBE" w:rsidRDefault="00D13D04" w:rsidP="00D13D04">
            <w:pPr>
              <w:spacing w:line="276" w:lineRule="auto"/>
              <w:ind w:right="-6"/>
              <w:rPr>
                <w:bCs/>
                <w:color w:val="000000" w:themeColor="text1"/>
                <w:sz w:val="21"/>
                <w:lang w:val="en-US"/>
              </w:rPr>
            </w:pPr>
          </w:p>
        </w:tc>
        <w:tc>
          <w:tcPr>
            <w:tcW w:w="161" w:type="dxa"/>
            <w:tcBorders>
              <w:top w:val="single" w:sz="4" w:space="0" w:color="auto"/>
              <w:left w:val="nil"/>
              <w:bottom w:val="single" w:sz="4" w:space="0" w:color="auto"/>
              <w:right w:val="nil"/>
            </w:tcBorders>
          </w:tcPr>
          <w:p w:rsidR="00D13D04" w:rsidRPr="002E5DBE" w:rsidRDefault="00D13D04" w:rsidP="00D13D04">
            <w:pPr>
              <w:spacing w:line="276" w:lineRule="auto"/>
              <w:ind w:right="-6"/>
              <w:jc w:val="center"/>
              <w:rPr>
                <w:b/>
                <w:bCs/>
                <w:color w:val="000000" w:themeColor="text1"/>
                <w:sz w:val="21"/>
                <w:lang w:val="en-US"/>
              </w:rPr>
            </w:pPr>
          </w:p>
        </w:tc>
        <w:tc>
          <w:tcPr>
            <w:tcW w:w="1396" w:type="dxa"/>
            <w:tcBorders>
              <w:top w:val="single" w:sz="4" w:space="0" w:color="auto"/>
              <w:left w:val="nil"/>
              <w:bottom w:val="single" w:sz="4" w:space="0" w:color="auto"/>
              <w:right w:val="nil"/>
            </w:tcBorders>
            <w:hideMark/>
          </w:tcPr>
          <w:p w:rsidR="00D13D04" w:rsidRPr="002E5DBE" w:rsidRDefault="00D13D04" w:rsidP="00D13D04">
            <w:pPr>
              <w:spacing w:line="276" w:lineRule="auto"/>
              <w:ind w:right="-6"/>
              <w:jc w:val="center"/>
              <w:rPr>
                <w:b/>
                <w:bCs/>
                <w:color w:val="000000" w:themeColor="text1"/>
                <w:sz w:val="21"/>
                <w:lang w:val="en-US"/>
              </w:rPr>
            </w:pPr>
            <w:r w:rsidRPr="002E5DBE">
              <w:rPr>
                <w:b/>
                <w:bCs/>
                <w:color w:val="000000" w:themeColor="text1"/>
                <w:sz w:val="21"/>
                <w:lang w:val="en-US"/>
              </w:rPr>
              <w:t>Obese patients with adult ADHD</w:t>
            </w:r>
          </w:p>
          <w:p w:rsidR="00D13D04" w:rsidRPr="002E5DBE" w:rsidRDefault="00D13D04" w:rsidP="00D13D04">
            <w:pPr>
              <w:spacing w:line="276" w:lineRule="auto"/>
              <w:ind w:right="-6"/>
              <w:jc w:val="center"/>
              <w:rPr>
                <w:b/>
                <w:bCs/>
                <w:color w:val="000000" w:themeColor="text1"/>
                <w:sz w:val="21"/>
                <w:lang w:val="en-US"/>
              </w:rPr>
            </w:pPr>
            <w:r w:rsidRPr="002E5DBE">
              <w:rPr>
                <w:b/>
                <w:bCs/>
                <w:color w:val="000000" w:themeColor="text1"/>
                <w:sz w:val="21"/>
                <w:lang w:val="en-US"/>
              </w:rPr>
              <w:t>(</w:t>
            </w:r>
            <w:r w:rsidRPr="002E5DBE">
              <w:rPr>
                <w:b/>
                <w:bCs/>
                <w:i/>
                <w:iCs/>
                <w:color w:val="000000" w:themeColor="text1"/>
                <w:sz w:val="21"/>
                <w:lang w:val="en-US"/>
              </w:rPr>
              <w:t>n</w:t>
            </w:r>
            <w:r w:rsidRPr="002E5DBE">
              <w:rPr>
                <w:b/>
                <w:bCs/>
                <w:iCs/>
                <w:color w:val="000000" w:themeColor="text1"/>
                <w:sz w:val="21"/>
                <w:lang w:val="en-US"/>
              </w:rPr>
              <w:t>=28</w:t>
            </w:r>
            <w:r w:rsidRPr="002E5DBE">
              <w:rPr>
                <w:b/>
                <w:bCs/>
                <w:color w:val="000000" w:themeColor="text1"/>
                <w:sz w:val="21"/>
                <w:lang w:val="en-US"/>
              </w:rPr>
              <w:t>)</w:t>
            </w:r>
          </w:p>
        </w:tc>
        <w:tc>
          <w:tcPr>
            <w:tcW w:w="1394" w:type="dxa"/>
            <w:tcBorders>
              <w:top w:val="single" w:sz="4" w:space="0" w:color="auto"/>
              <w:left w:val="nil"/>
              <w:bottom w:val="single" w:sz="4" w:space="0" w:color="auto"/>
              <w:right w:val="nil"/>
            </w:tcBorders>
            <w:hideMark/>
          </w:tcPr>
          <w:p w:rsidR="00D13D04" w:rsidRPr="002E5DBE" w:rsidRDefault="00D13D04" w:rsidP="00D13D04">
            <w:pPr>
              <w:spacing w:line="276" w:lineRule="auto"/>
              <w:ind w:right="-6"/>
              <w:jc w:val="center"/>
              <w:rPr>
                <w:b/>
                <w:bCs/>
                <w:color w:val="000000" w:themeColor="text1"/>
                <w:sz w:val="21"/>
                <w:lang w:val="en-US"/>
              </w:rPr>
            </w:pPr>
            <w:r w:rsidRPr="002E5DBE">
              <w:rPr>
                <w:b/>
                <w:bCs/>
                <w:color w:val="000000" w:themeColor="text1"/>
                <w:sz w:val="21"/>
                <w:lang w:val="en-US"/>
              </w:rPr>
              <w:t>Obese patients without adult ADHD</w:t>
            </w:r>
          </w:p>
          <w:p w:rsidR="00D13D04" w:rsidRPr="002E5DBE" w:rsidRDefault="00D13D04" w:rsidP="00D13D04">
            <w:pPr>
              <w:spacing w:line="276" w:lineRule="auto"/>
              <w:ind w:right="-6"/>
              <w:jc w:val="center"/>
              <w:rPr>
                <w:b/>
                <w:bCs/>
                <w:color w:val="000000" w:themeColor="text1"/>
                <w:sz w:val="21"/>
                <w:lang w:val="en-US"/>
              </w:rPr>
            </w:pPr>
            <w:r w:rsidRPr="002E5DBE">
              <w:rPr>
                <w:b/>
                <w:bCs/>
                <w:color w:val="000000" w:themeColor="text1"/>
                <w:sz w:val="21"/>
                <w:lang w:val="en-US"/>
              </w:rPr>
              <w:t>(</w:t>
            </w:r>
            <w:r w:rsidRPr="002E5DBE">
              <w:rPr>
                <w:b/>
                <w:bCs/>
                <w:i/>
                <w:iCs/>
                <w:color w:val="000000" w:themeColor="text1"/>
                <w:sz w:val="21"/>
                <w:lang w:val="en-US"/>
              </w:rPr>
              <w:t>n</w:t>
            </w:r>
            <w:r w:rsidRPr="002E5DBE">
              <w:rPr>
                <w:b/>
                <w:bCs/>
                <w:iCs/>
                <w:color w:val="000000" w:themeColor="text1"/>
                <w:sz w:val="21"/>
                <w:lang w:val="en-US"/>
              </w:rPr>
              <w:t>=77</w:t>
            </w:r>
            <w:r w:rsidRPr="002E5DBE">
              <w:rPr>
                <w:b/>
                <w:bCs/>
                <w:color w:val="000000" w:themeColor="text1"/>
                <w:sz w:val="21"/>
                <w:lang w:val="en-US"/>
              </w:rPr>
              <w:t>)</w:t>
            </w:r>
          </w:p>
        </w:tc>
        <w:tc>
          <w:tcPr>
            <w:tcW w:w="1655" w:type="dxa"/>
            <w:tcBorders>
              <w:top w:val="single" w:sz="4" w:space="0" w:color="auto"/>
              <w:left w:val="nil"/>
              <w:bottom w:val="single" w:sz="4" w:space="0" w:color="auto"/>
              <w:right w:val="nil"/>
            </w:tcBorders>
            <w:hideMark/>
          </w:tcPr>
          <w:p w:rsidR="00D13D04" w:rsidRPr="002E5DBE" w:rsidRDefault="00D13D04" w:rsidP="00D13D04">
            <w:pPr>
              <w:spacing w:line="276" w:lineRule="auto"/>
              <w:ind w:right="-6"/>
              <w:jc w:val="center"/>
              <w:rPr>
                <w:b/>
                <w:bCs/>
                <w:iCs/>
                <w:color w:val="000000" w:themeColor="text1"/>
                <w:sz w:val="21"/>
                <w:lang w:val="en-US"/>
              </w:rPr>
            </w:pPr>
            <w:r w:rsidRPr="002E5DBE">
              <w:rPr>
                <w:b/>
                <w:bCs/>
                <w:iCs/>
                <w:color w:val="000000" w:themeColor="text1"/>
                <w:sz w:val="21"/>
                <w:lang w:val="en-US"/>
              </w:rPr>
              <w:t>OR [95% CI]</w:t>
            </w:r>
          </w:p>
        </w:tc>
        <w:tc>
          <w:tcPr>
            <w:tcW w:w="801" w:type="dxa"/>
            <w:tcBorders>
              <w:top w:val="single" w:sz="4" w:space="0" w:color="auto"/>
              <w:left w:val="nil"/>
              <w:bottom w:val="single" w:sz="4" w:space="0" w:color="auto"/>
              <w:right w:val="nil"/>
            </w:tcBorders>
            <w:hideMark/>
          </w:tcPr>
          <w:p w:rsidR="00D13D04" w:rsidRPr="002E5DBE" w:rsidRDefault="00D13D04" w:rsidP="00D13D04">
            <w:pPr>
              <w:spacing w:line="276" w:lineRule="auto"/>
              <w:ind w:right="-6"/>
              <w:jc w:val="center"/>
              <w:rPr>
                <w:b/>
                <w:bCs/>
                <w:i/>
                <w:iCs/>
                <w:color w:val="000000" w:themeColor="text1"/>
                <w:sz w:val="21"/>
                <w:lang w:val="en-US"/>
              </w:rPr>
            </w:pPr>
            <w:r w:rsidRPr="002E5DBE">
              <w:rPr>
                <w:b/>
                <w:bCs/>
                <w:i/>
                <w:iCs/>
                <w:color w:val="000000" w:themeColor="text1"/>
                <w:sz w:val="21"/>
                <w:lang w:val="en-US"/>
              </w:rPr>
              <w:t>p-value</w:t>
            </w:r>
          </w:p>
        </w:tc>
      </w:tr>
      <w:tr w:rsidR="002E5DBE" w:rsidRPr="0088729A" w:rsidTr="00D13D04">
        <w:trPr>
          <w:trHeight w:val="20"/>
        </w:trPr>
        <w:tc>
          <w:tcPr>
            <w:tcW w:w="3758" w:type="dxa"/>
            <w:noWrap/>
            <w:vAlign w:val="bottom"/>
            <w:hideMark/>
          </w:tcPr>
          <w:p w:rsidR="00D13D04" w:rsidRPr="002E5DBE" w:rsidRDefault="00D13D04" w:rsidP="00D13D04">
            <w:pPr>
              <w:spacing w:line="276" w:lineRule="auto"/>
              <w:ind w:right="-6"/>
              <w:jc w:val="left"/>
              <w:rPr>
                <w:bCs/>
                <w:i/>
                <w:iCs/>
                <w:color w:val="000000" w:themeColor="text1"/>
                <w:sz w:val="21"/>
                <w:lang w:val="en-US"/>
              </w:rPr>
            </w:pPr>
            <w:r w:rsidRPr="002E5DBE">
              <w:rPr>
                <w:bCs/>
                <w:i/>
                <w:iCs/>
                <w:color w:val="000000" w:themeColor="text1"/>
                <w:sz w:val="21"/>
                <w:lang w:val="en-US"/>
              </w:rPr>
              <w:t>Socio-demographic and weight-related characteristics</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p>
        </w:tc>
        <w:tc>
          <w:tcPr>
            <w:tcW w:w="1394" w:type="dxa"/>
            <w:vAlign w:val="bottom"/>
          </w:tcPr>
          <w:p w:rsidR="00D13D04" w:rsidRPr="002E5DBE" w:rsidRDefault="00D13D04" w:rsidP="00D13D04">
            <w:pPr>
              <w:spacing w:line="276" w:lineRule="auto"/>
              <w:ind w:right="-6"/>
              <w:jc w:val="center"/>
              <w:rPr>
                <w:bCs/>
                <w:color w:val="000000" w:themeColor="text1"/>
                <w:sz w:val="21"/>
                <w:lang w:val="en-US"/>
              </w:rPr>
            </w:pPr>
          </w:p>
        </w:tc>
        <w:tc>
          <w:tcPr>
            <w:tcW w:w="1655" w:type="dxa"/>
          </w:tcPr>
          <w:p w:rsidR="00D13D04" w:rsidRPr="002E5DBE" w:rsidRDefault="00D13D04" w:rsidP="00D13D04">
            <w:pPr>
              <w:spacing w:line="276" w:lineRule="auto"/>
              <w:ind w:right="-6"/>
              <w:jc w:val="center"/>
              <w:rPr>
                <w:bCs/>
                <w:color w:val="000000" w:themeColor="text1"/>
                <w:sz w:val="21"/>
                <w:lang w:val="en-US"/>
              </w:rPr>
            </w:pPr>
          </w:p>
        </w:tc>
        <w:tc>
          <w:tcPr>
            <w:tcW w:w="801" w:type="dxa"/>
          </w:tcPr>
          <w:p w:rsidR="00D13D04" w:rsidRPr="002E5DBE" w:rsidRDefault="00D13D04" w:rsidP="00D13D04">
            <w:pPr>
              <w:spacing w:line="276" w:lineRule="auto"/>
              <w:ind w:right="-6"/>
              <w:jc w:val="center"/>
              <w:rPr>
                <w:bCs/>
                <w:color w:val="000000" w:themeColor="text1"/>
                <w:sz w:val="21"/>
                <w:lang w:val="en-US"/>
              </w:rPr>
            </w:pPr>
          </w:p>
        </w:tc>
      </w:tr>
      <w:tr w:rsidR="002E5DBE" w:rsidRPr="002E5DBE" w:rsidTr="00D13D04">
        <w:trPr>
          <w:trHeight w:val="93"/>
        </w:trPr>
        <w:tc>
          <w:tcPr>
            <w:tcW w:w="3758" w:type="dxa"/>
            <w:noWrap/>
            <w:vAlign w:val="bottom"/>
            <w:hideMark/>
          </w:tcPr>
          <w:p w:rsidR="00D13D04" w:rsidRPr="002E5DBE" w:rsidRDefault="00D13D04" w:rsidP="00D13D04">
            <w:pPr>
              <w:spacing w:line="276" w:lineRule="auto"/>
              <w:ind w:left="142" w:right="-6" w:hanging="142"/>
              <w:jc w:val="left"/>
              <w:rPr>
                <w:bCs/>
                <w:color w:val="000000" w:themeColor="text1"/>
                <w:sz w:val="21"/>
                <w:lang w:val="en-US"/>
              </w:rPr>
            </w:pPr>
            <w:r w:rsidRPr="002E5DBE">
              <w:rPr>
                <w:bCs/>
                <w:color w:val="000000" w:themeColor="text1"/>
                <w:sz w:val="21"/>
                <w:lang w:val="en-US"/>
              </w:rPr>
              <w:t xml:space="preserve">   Age (years)</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46.6 ± 11.7</w:t>
            </w:r>
          </w:p>
        </w:tc>
        <w:tc>
          <w:tcPr>
            <w:tcW w:w="1394" w:type="dxa"/>
            <w:vAlign w:val="bottom"/>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46.7 ± 10.3</w:t>
            </w:r>
          </w:p>
        </w:tc>
        <w:tc>
          <w:tcPr>
            <w:tcW w:w="1655"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1.00 [.96-1.04]</w:t>
            </w:r>
          </w:p>
        </w:tc>
        <w:tc>
          <w:tcPr>
            <w:tcW w:w="801"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.94</w:t>
            </w:r>
          </w:p>
        </w:tc>
      </w:tr>
      <w:tr w:rsidR="002E5DBE" w:rsidRPr="002E5DBE" w:rsidTr="00D13D04">
        <w:trPr>
          <w:trHeight w:val="70"/>
        </w:trPr>
        <w:tc>
          <w:tcPr>
            <w:tcW w:w="3758" w:type="dxa"/>
            <w:noWrap/>
            <w:vAlign w:val="bottom"/>
            <w:hideMark/>
          </w:tcPr>
          <w:p w:rsidR="00D13D04" w:rsidRPr="002E5DBE" w:rsidRDefault="00D13D04" w:rsidP="00D13D04">
            <w:pPr>
              <w:spacing w:line="276" w:lineRule="auto"/>
              <w:ind w:left="142" w:right="-6" w:hanging="142"/>
              <w:jc w:val="left"/>
              <w:rPr>
                <w:bCs/>
                <w:color w:val="000000" w:themeColor="text1"/>
                <w:sz w:val="21"/>
                <w:lang w:val="en-US"/>
              </w:rPr>
            </w:pPr>
            <w:r w:rsidRPr="002E5DBE">
              <w:rPr>
                <w:bCs/>
                <w:color w:val="000000" w:themeColor="text1"/>
                <w:sz w:val="21"/>
                <w:lang w:val="en-US"/>
              </w:rPr>
              <w:t xml:space="preserve">   Gender (female)</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85.7% (24)</w:t>
            </w:r>
          </w:p>
        </w:tc>
        <w:tc>
          <w:tcPr>
            <w:tcW w:w="1394" w:type="dxa"/>
            <w:vAlign w:val="bottom"/>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87% (67)</w:t>
            </w:r>
          </w:p>
        </w:tc>
        <w:tc>
          <w:tcPr>
            <w:tcW w:w="1655"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1.12 [.32-3.90]</w:t>
            </w:r>
          </w:p>
        </w:tc>
        <w:tc>
          <w:tcPr>
            <w:tcW w:w="801"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.86</w:t>
            </w:r>
          </w:p>
        </w:tc>
      </w:tr>
      <w:tr w:rsidR="002E5DBE" w:rsidRPr="002E5DBE" w:rsidTr="00D13D04">
        <w:trPr>
          <w:trHeight w:val="20"/>
        </w:trPr>
        <w:tc>
          <w:tcPr>
            <w:tcW w:w="3758" w:type="dxa"/>
            <w:noWrap/>
            <w:vAlign w:val="bottom"/>
            <w:hideMark/>
          </w:tcPr>
          <w:p w:rsidR="00D13D04" w:rsidRPr="002E5DBE" w:rsidRDefault="00D13D04" w:rsidP="00D13D04">
            <w:pPr>
              <w:spacing w:line="276" w:lineRule="auto"/>
              <w:ind w:left="142" w:right="-6" w:hanging="142"/>
              <w:jc w:val="left"/>
              <w:rPr>
                <w:bCs/>
                <w:iCs/>
                <w:color w:val="000000" w:themeColor="text1"/>
                <w:sz w:val="21"/>
                <w:lang w:val="en-US"/>
              </w:rPr>
            </w:pPr>
            <w:r w:rsidRPr="002E5DBE">
              <w:rPr>
                <w:bCs/>
                <w:color w:val="000000" w:themeColor="text1"/>
                <w:sz w:val="21"/>
                <w:lang w:val="en-US"/>
              </w:rPr>
              <w:t xml:space="preserve">   Current Body Mass Index (BMI; kg/m</w:t>
            </w:r>
            <w:r w:rsidRPr="002E5DBE">
              <w:rPr>
                <w:bCs/>
                <w:color w:val="000000" w:themeColor="text1"/>
                <w:sz w:val="21"/>
                <w:vertAlign w:val="superscript"/>
                <w:lang w:val="en-US"/>
              </w:rPr>
              <w:t>2</w:t>
            </w:r>
            <w:r w:rsidRPr="002E5DBE">
              <w:rPr>
                <w:bCs/>
                <w:color w:val="000000" w:themeColor="text1"/>
                <w:sz w:val="21"/>
                <w:lang w:val="en-US"/>
              </w:rPr>
              <w:t>)</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46.3 ± 8.2</w:t>
            </w:r>
          </w:p>
        </w:tc>
        <w:tc>
          <w:tcPr>
            <w:tcW w:w="1394"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47.1 ± 7.7</w:t>
            </w:r>
          </w:p>
        </w:tc>
        <w:tc>
          <w:tcPr>
            <w:tcW w:w="1655"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.99 [.93-1.05]</w:t>
            </w:r>
          </w:p>
        </w:tc>
        <w:tc>
          <w:tcPr>
            <w:tcW w:w="801"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.63</w:t>
            </w:r>
          </w:p>
        </w:tc>
      </w:tr>
      <w:tr w:rsidR="002E5DBE" w:rsidRPr="002E5DBE" w:rsidTr="00D13D04">
        <w:trPr>
          <w:trHeight w:val="20"/>
        </w:trPr>
        <w:tc>
          <w:tcPr>
            <w:tcW w:w="3758" w:type="dxa"/>
            <w:noWrap/>
            <w:vAlign w:val="bottom"/>
          </w:tcPr>
          <w:p w:rsidR="00D13D04" w:rsidRPr="002E5DBE" w:rsidRDefault="00D13D04" w:rsidP="00D13D04">
            <w:pPr>
              <w:spacing w:line="276" w:lineRule="auto"/>
              <w:ind w:left="142" w:right="-6" w:hanging="142"/>
              <w:jc w:val="left"/>
              <w:rPr>
                <w:bCs/>
                <w:color w:val="000000" w:themeColor="text1"/>
                <w:sz w:val="21"/>
                <w:lang w:val="en-US"/>
              </w:rPr>
            </w:pPr>
            <w:r w:rsidRPr="002E5DBE">
              <w:rPr>
                <w:bCs/>
                <w:color w:val="000000" w:themeColor="text1"/>
                <w:sz w:val="21"/>
                <w:lang w:val="en-US"/>
              </w:rPr>
              <w:t xml:space="preserve">   Previous maximal BMI (kg/m</w:t>
            </w:r>
            <w:r w:rsidRPr="002E5DBE">
              <w:rPr>
                <w:bCs/>
                <w:color w:val="000000" w:themeColor="text1"/>
                <w:sz w:val="21"/>
                <w:vertAlign w:val="superscript"/>
                <w:lang w:val="en-US"/>
              </w:rPr>
              <w:t>2</w:t>
            </w:r>
            <w:r w:rsidRPr="002E5DBE">
              <w:rPr>
                <w:bCs/>
                <w:color w:val="000000" w:themeColor="text1"/>
                <w:sz w:val="21"/>
                <w:lang w:val="en-US"/>
              </w:rPr>
              <w:t>)</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49.5 ± 8.2</w:t>
            </w:r>
          </w:p>
        </w:tc>
        <w:tc>
          <w:tcPr>
            <w:tcW w:w="1394"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50.3 ± 7.8</w:t>
            </w:r>
          </w:p>
        </w:tc>
        <w:tc>
          <w:tcPr>
            <w:tcW w:w="1655"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.99 [.94-1.04]</w:t>
            </w:r>
          </w:p>
        </w:tc>
        <w:tc>
          <w:tcPr>
            <w:tcW w:w="801"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.61</w:t>
            </w:r>
          </w:p>
        </w:tc>
      </w:tr>
      <w:tr w:rsidR="002E5DBE" w:rsidRPr="002E5DBE" w:rsidTr="00D13D04">
        <w:trPr>
          <w:trHeight w:val="20"/>
        </w:trPr>
        <w:tc>
          <w:tcPr>
            <w:tcW w:w="3758" w:type="dxa"/>
            <w:noWrap/>
            <w:vAlign w:val="bottom"/>
          </w:tcPr>
          <w:p w:rsidR="00D13D04" w:rsidRPr="002E5DBE" w:rsidRDefault="00D13D04" w:rsidP="00D13D04">
            <w:pPr>
              <w:spacing w:line="276" w:lineRule="auto"/>
              <w:ind w:left="142" w:right="-6" w:hanging="142"/>
              <w:jc w:val="left"/>
              <w:rPr>
                <w:bCs/>
                <w:color w:val="000000" w:themeColor="text1"/>
                <w:sz w:val="21"/>
                <w:lang w:val="en-US"/>
              </w:rPr>
            </w:pPr>
            <w:r w:rsidRPr="002E5DBE">
              <w:rPr>
                <w:bCs/>
                <w:color w:val="000000" w:themeColor="text1"/>
                <w:sz w:val="21"/>
                <w:lang w:val="en-US"/>
              </w:rPr>
              <w:t xml:space="preserve">   Previous bariatric surgery (yes) </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78.6% (22)</w:t>
            </w:r>
          </w:p>
        </w:tc>
        <w:tc>
          <w:tcPr>
            <w:tcW w:w="1394"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81.8% (63)</w:t>
            </w:r>
          </w:p>
        </w:tc>
        <w:tc>
          <w:tcPr>
            <w:tcW w:w="1655"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1.23 [.42-3.59]</w:t>
            </w:r>
          </w:p>
        </w:tc>
        <w:tc>
          <w:tcPr>
            <w:tcW w:w="801"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.71</w:t>
            </w:r>
          </w:p>
        </w:tc>
      </w:tr>
      <w:tr w:rsidR="002E5DBE" w:rsidRPr="002E5DBE" w:rsidTr="00D13D04">
        <w:trPr>
          <w:trHeight w:val="20"/>
        </w:trPr>
        <w:tc>
          <w:tcPr>
            <w:tcW w:w="3758" w:type="dxa"/>
            <w:noWrap/>
            <w:vAlign w:val="bottom"/>
            <w:hideMark/>
          </w:tcPr>
          <w:p w:rsidR="00D13D04" w:rsidRPr="002E5DBE" w:rsidRDefault="00D13D04" w:rsidP="00D13D04">
            <w:pPr>
              <w:spacing w:line="276" w:lineRule="auto"/>
              <w:ind w:left="142" w:right="-6" w:hanging="142"/>
              <w:jc w:val="left"/>
              <w:rPr>
                <w:bCs/>
                <w:color w:val="000000" w:themeColor="text1"/>
                <w:sz w:val="21"/>
                <w:lang w:val="en-US"/>
              </w:rPr>
            </w:pPr>
            <w:r w:rsidRPr="002E5DBE">
              <w:rPr>
                <w:bCs/>
                <w:color w:val="000000" w:themeColor="text1"/>
                <w:sz w:val="21"/>
                <w:lang w:val="en-US"/>
              </w:rPr>
              <w:t xml:space="preserve">   Age of onset of obesity (years)</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14.9 ± 9.5</w:t>
            </w:r>
          </w:p>
        </w:tc>
        <w:tc>
          <w:tcPr>
            <w:tcW w:w="1394"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18.9 ± 10.5</w:t>
            </w:r>
          </w:p>
        </w:tc>
        <w:tc>
          <w:tcPr>
            <w:tcW w:w="1655"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.96 [.92-1.01]</w:t>
            </w:r>
          </w:p>
        </w:tc>
        <w:tc>
          <w:tcPr>
            <w:tcW w:w="801"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.09</w:t>
            </w:r>
          </w:p>
        </w:tc>
      </w:tr>
      <w:tr w:rsidR="002E5DBE" w:rsidRPr="002E5DBE" w:rsidTr="00D13D04">
        <w:trPr>
          <w:trHeight w:val="20"/>
        </w:trPr>
        <w:tc>
          <w:tcPr>
            <w:tcW w:w="3758" w:type="dxa"/>
            <w:noWrap/>
            <w:vAlign w:val="bottom"/>
          </w:tcPr>
          <w:p w:rsidR="00D13D04" w:rsidRPr="002E5DBE" w:rsidRDefault="00D13D04" w:rsidP="00D13D04">
            <w:pPr>
              <w:pStyle w:val="CommentText"/>
              <w:ind w:right="-6"/>
              <w:rPr>
                <w:bCs/>
                <w:i/>
                <w:color w:val="000000" w:themeColor="text1"/>
                <w:sz w:val="21"/>
                <w:lang w:val="en-US"/>
              </w:rPr>
            </w:pPr>
            <w:r w:rsidRPr="002E5DBE">
              <w:rPr>
                <w:bCs/>
                <w:i/>
                <w:color w:val="000000" w:themeColor="text1"/>
                <w:sz w:val="21"/>
                <w:lang w:val="en-US"/>
              </w:rPr>
              <w:t xml:space="preserve"> </w:t>
            </w:r>
          </w:p>
        </w:tc>
        <w:tc>
          <w:tcPr>
            <w:tcW w:w="161" w:type="dxa"/>
          </w:tcPr>
          <w:p w:rsidR="00D13D04" w:rsidRPr="002E5DBE" w:rsidRDefault="00D13D04" w:rsidP="00D13D04">
            <w:pPr>
              <w:spacing w:line="276" w:lineRule="auto"/>
              <w:ind w:right="-6"/>
              <w:jc w:val="center"/>
              <w:rPr>
                <w:bCs/>
                <w:i/>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p>
        </w:tc>
        <w:tc>
          <w:tcPr>
            <w:tcW w:w="1394" w:type="dxa"/>
          </w:tcPr>
          <w:p w:rsidR="00D13D04" w:rsidRPr="002E5DBE" w:rsidRDefault="00D13D04" w:rsidP="00D13D04">
            <w:pPr>
              <w:spacing w:line="276" w:lineRule="auto"/>
              <w:ind w:right="-6"/>
              <w:jc w:val="center"/>
              <w:rPr>
                <w:bCs/>
                <w:color w:val="000000" w:themeColor="text1"/>
                <w:sz w:val="21"/>
                <w:lang w:val="en-US"/>
              </w:rPr>
            </w:pPr>
          </w:p>
        </w:tc>
        <w:tc>
          <w:tcPr>
            <w:tcW w:w="1655" w:type="dxa"/>
          </w:tcPr>
          <w:p w:rsidR="00D13D04" w:rsidRPr="002E5DBE" w:rsidRDefault="00D13D04" w:rsidP="00D13D04">
            <w:pPr>
              <w:spacing w:line="276" w:lineRule="auto"/>
              <w:ind w:right="-6"/>
              <w:jc w:val="center"/>
              <w:rPr>
                <w:bCs/>
                <w:i/>
                <w:color w:val="000000" w:themeColor="text1"/>
                <w:sz w:val="21"/>
                <w:lang w:val="en-US"/>
              </w:rPr>
            </w:pPr>
          </w:p>
        </w:tc>
        <w:tc>
          <w:tcPr>
            <w:tcW w:w="801" w:type="dxa"/>
          </w:tcPr>
          <w:p w:rsidR="00D13D04" w:rsidRPr="002E5DBE" w:rsidRDefault="00D13D04" w:rsidP="00D13D04">
            <w:pPr>
              <w:spacing w:line="276" w:lineRule="auto"/>
              <w:ind w:right="-6"/>
              <w:jc w:val="center"/>
              <w:rPr>
                <w:bCs/>
                <w:color w:val="000000" w:themeColor="text1"/>
                <w:sz w:val="21"/>
                <w:lang w:val="en-US"/>
              </w:rPr>
            </w:pPr>
          </w:p>
        </w:tc>
      </w:tr>
      <w:tr w:rsidR="002E5DBE" w:rsidRPr="002E5DBE" w:rsidTr="00D13D04">
        <w:trPr>
          <w:trHeight w:val="20"/>
        </w:trPr>
        <w:tc>
          <w:tcPr>
            <w:tcW w:w="3758" w:type="dxa"/>
            <w:noWrap/>
            <w:vAlign w:val="bottom"/>
          </w:tcPr>
          <w:p w:rsidR="00D13D04" w:rsidRPr="002E5DBE" w:rsidRDefault="00D13D04" w:rsidP="00D13D04">
            <w:pPr>
              <w:spacing w:line="276" w:lineRule="auto"/>
              <w:ind w:right="-6"/>
              <w:jc w:val="left"/>
              <w:rPr>
                <w:bCs/>
                <w:i/>
                <w:color w:val="000000" w:themeColor="text1"/>
                <w:sz w:val="21"/>
                <w:lang w:val="en-US"/>
              </w:rPr>
            </w:pPr>
            <w:r w:rsidRPr="002E5DBE">
              <w:rPr>
                <w:bCs/>
                <w:i/>
                <w:color w:val="000000" w:themeColor="text1"/>
                <w:sz w:val="21"/>
                <w:lang w:val="en-US"/>
              </w:rPr>
              <w:t>Presence of sleep-apnea syndrome</w:t>
            </w:r>
          </w:p>
        </w:tc>
        <w:tc>
          <w:tcPr>
            <w:tcW w:w="161" w:type="dxa"/>
          </w:tcPr>
          <w:p w:rsidR="00D13D04" w:rsidRPr="002E5DBE" w:rsidRDefault="00D13D04" w:rsidP="00D13D04">
            <w:pPr>
              <w:spacing w:line="276" w:lineRule="auto"/>
              <w:ind w:right="-6"/>
              <w:jc w:val="center"/>
              <w:rPr>
                <w:bCs/>
                <w:i/>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32.1% (9)</w:t>
            </w:r>
          </w:p>
        </w:tc>
        <w:tc>
          <w:tcPr>
            <w:tcW w:w="1394"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27.3% (21)</w:t>
            </w:r>
          </w:p>
        </w:tc>
        <w:tc>
          <w:tcPr>
            <w:tcW w:w="1655" w:type="dxa"/>
          </w:tcPr>
          <w:p w:rsidR="00D13D04" w:rsidRPr="002E5DBE" w:rsidRDefault="00D13D04" w:rsidP="00D13D04">
            <w:pPr>
              <w:spacing w:line="276" w:lineRule="auto"/>
              <w:ind w:right="-6"/>
              <w:jc w:val="center"/>
              <w:rPr>
                <w:bCs/>
                <w:i/>
                <w:color w:val="000000" w:themeColor="text1"/>
                <w:sz w:val="21"/>
                <w:lang w:val="en-US"/>
              </w:rPr>
            </w:pPr>
            <w:r w:rsidRPr="002E5DBE">
              <w:rPr>
                <w:bCs/>
                <w:color w:val="000000" w:themeColor="text1"/>
                <w:sz w:val="21"/>
                <w:lang w:val="en-US"/>
              </w:rPr>
              <w:t>1.26 [.49-3.23]</w:t>
            </w:r>
          </w:p>
        </w:tc>
        <w:tc>
          <w:tcPr>
            <w:tcW w:w="801"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.63</w:t>
            </w:r>
          </w:p>
        </w:tc>
      </w:tr>
      <w:tr w:rsidR="002E5DBE" w:rsidRPr="002E5DBE" w:rsidTr="00D13D04">
        <w:trPr>
          <w:trHeight w:val="20"/>
        </w:trPr>
        <w:tc>
          <w:tcPr>
            <w:tcW w:w="3758" w:type="dxa"/>
            <w:noWrap/>
            <w:vAlign w:val="bottom"/>
          </w:tcPr>
          <w:p w:rsidR="00D13D04" w:rsidRPr="002E5DBE" w:rsidRDefault="00D13D04" w:rsidP="00D13D04">
            <w:pPr>
              <w:spacing w:line="276" w:lineRule="auto"/>
              <w:ind w:right="-6"/>
              <w:jc w:val="left"/>
              <w:rPr>
                <w:bCs/>
                <w:i/>
                <w:color w:val="000000" w:themeColor="text1"/>
                <w:sz w:val="21"/>
                <w:lang w:val="en-US"/>
              </w:rPr>
            </w:pPr>
          </w:p>
        </w:tc>
        <w:tc>
          <w:tcPr>
            <w:tcW w:w="161" w:type="dxa"/>
          </w:tcPr>
          <w:p w:rsidR="00D13D04" w:rsidRPr="002E5DBE" w:rsidRDefault="00D13D04" w:rsidP="00D13D04">
            <w:pPr>
              <w:spacing w:line="276" w:lineRule="auto"/>
              <w:ind w:right="-6"/>
              <w:jc w:val="center"/>
              <w:rPr>
                <w:bCs/>
                <w:i/>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p>
        </w:tc>
        <w:tc>
          <w:tcPr>
            <w:tcW w:w="1394" w:type="dxa"/>
          </w:tcPr>
          <w:p w:rsidR="00D13D04" w:rsidRPr="002E5DBE" w:rsidRDefault="00D13D04" w:rsidP="00D13D04">
            <w:pPr>
              <w:spacing w:line="276" w:lineRule="auto"/>
              <w:ind w:right="-6"/>
              <w:jc w:val="center"/>
              <w:rPr>
                <w:bCs/>
                <w:color w:val="000000" w:themeColor="text1"/>
                <w:sz w:val="21"/>
                <w:lang w:val="en-US"/>
              </w:rPr>
            </w:pPr>
          </w:p>
        </w:tc>
        <w:tc>
          <w:tcPr>
            <w:tcW w:w="1655" w:type="dxa"/>
          </w:tcPr>
          <w:p w:rsidR="00D13D04" w:rsidRPr="002E5DBE" w:rsidRDefault="00D13D04" w:rsidP="00D13D04">
            <w:pPr>
              <w:spacing w:line="276" w:lineRule="auto"/>
              <w:ind w:right="-6"/>
              <w:jc w:val="center"/>
              <w:rPr>
                <w:bCs/>
                <w:i/>
                <w:color w:val="000000" w:themeColor="text1"/>
                <w:sz w:val="21"/>
                <w:lang w:val="en-US"/>
              </w:rPr>
            </w:pPr>
          </w:p>
        </w:tc>
        <w:tc>
          <w:tcPr>
            <w:tcW w:w="801" w:type="dxa"/>
          </w:tcPr>
          <w:p w:rsidR="00D13D04" w:rsidRPr="002E5DBE" w:rsidRDefault="00D13D04" w:rsidP="00D13D04">
            <w:pPr>
              <w:spacing w:line="276" w:lineRule="auto"/>
              <w:ind w:right="-6"/>
              <w:jc w:val="center"/>
              <w:rPr>
                <w:bCs/>
                <w:color w:val="000000" w:themeColor="text1"/>
                <w:sz w:val="21"/>
                <w:lang w:val="en-US"/>
              </w:rPr>
            </w:pPr>
          </w:p>
        </w:tc>
      </w:tr>
      <w:tr w:rsidR="002E5DBE" w:rsidRPr="0088729A" w:rsidTr="00D13D04">
        <w:trPr>
          <w:trHeight w:val="20"/>
        </w:trPr>
        <w:tc>
          <w:tcPr>
            <w:tcW w:w="3758" w:type="dxa"/>
            <w:noWrap/>
            <w:vAlign w:val="bottom"/>
          </w:tcPr>
          <w:p w:rsidR="00D13D04" w:rsidRPr="002E5DBE" w:rsidRDefault="00D13D04" w:rsidP="00D13D04">
            <w:pPr>
              <w:spacing w:line="276" w:lineRule="auto"/>
              <w:ind w:right="-6"/>
              <w:jc w:val="left"/>
              <w:rPr>
                <w:bCs/>
                <w:i/>
                <w:color w:val="000000" w:themeColor="text1"/>
                <w:sz w:val="21"/>
                <w:lang w:val="en-US"/>
              </w:rPr>
            </w:pPr>
            <w:r w:rsidRPr="002E5DBE">
              <w:rPr>
                <w:bCs/>
                <w:i/>
                <w:color w:val="000000" w:themeColor="text1"/>
                <w:sz w:val="21"/>
                <w:lang w:val="en-US"/>
              </w:rPr>
              <w:t>Adult ADHD (as per the DIVA 2.0)</w:t>
            </w:r>
          </w:p>
        </w:tc>
        <w:tc>
          <w:tcPr>
            <w:tcW w:w="161" w:type="dxa"/>
          </w:tcPr>
          <w:p w:rsidR="00D13D04" w:rsidRPr="002E5DBE" w:rsidRDefault="00D13D04" w:rsidP="00D13D04">
            <w:pPr>
              <w:spacing w:line="276" w:lineRule="auto"/>
              <w:ind w:right="-6"/>
              <w:jc w:val="center"/>
              <w:rPr>
                <w:bCs/>
                <w:i/>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p>
        </w:tc>
        <w:tc>
          <w:tcPr>
            <w:tcW w:w="1394" w:type="dxa"/>
          </w:tcPr>
          <w:p w:rsidR="00D13D04" w:rsidRPr="002E5DBE" w:rsidRDefault="00D13D04" w:rsidP="00D13D04">
            <w:pPr>
              <w:spacing w:line="276" w:lineRule="auto"/>
              <w:ind w:right="-6"/>
              <w:jc w:val="center"/>
              <w:rPr>
                <w:bCs/>
                <w:color w:val="000000" w:themeColor="text1"/>
                <w:sz w:val="21"/>
                <w:lang w:val="en-US"/>
              </w:rPr>
            </w:pPr>
          </w:p>
        </w:tc>
        <w:tc>
          <w:tcPr>
            <w:tcW w:w="1655" w:type="dxa"/>
          </w:tcPr>
          <w:p w:rsidR="00D13D04" w:rsidRPr="002E5DBE" w:rsidRDefault="00D13D04" w:rsidP="00D13D04">
            <w:pPr>
              <w:spacing w:line="276" w:lineRule="auto"/>
              <w:ind w:right="-6"/>
              <w:jc w:val="center"/>
              <w:rPr>
                <w:bCs/>
                <w:i/>
                <w:color w:val="000000" w:themeColor="text1"/>
                <w:sz w:val="21"/>
                <w:lang w:val="en-US"/>
              </w:rPr>
            </w:pPr>
          </w:p>
        </w:tc>
        <w:tc>
          <w:tcPr>
            <w:tcW w:w="801" w:type="dxa"/>
          </w:tcPr>
          <w:p w:rsidR="00D13D04" w:rsidRPr="002E5DBE" w:rsidRDefault="00D13D04" w:rsidP="00D13D04">
            <w:pPr>
              <w:spacing w:line="276" w:lineRule="auto"/>
              <w:ind w:right="-6"/>
              <w:jc w:val="center"/>
              <w:rPr>
                <w:bCs/>
                <w:color w:val="000000" w:themeColor="text1"/>
                <w:sz w:val="21"/>
                <w:lang w:val="en-US"/>
              </w:rPr>
            </w:pPr>
          </w:p>
        </w:tc>
      </w:tr>
      <w:tr w:rsidR="002E5DBE" w:rsidRPr="002E5DBE" w:rsidTr="00D13D04">
        <w:trPr>
          <w:trHeight w:val="20"/>
        </w:trPr>
        <w:tc>
          <w:tcPr>
            <w:tcW w:w="3758" w:type="dxa"/>
            <w:noWrap/>
            <w:vAlign w:val="bottom"/>
          </w:tcPr>
          <w:p w:rsidR="00D13D04" w:rsidRPr="002E5DBE" w:rsidRDefault="00D13D04" w:rsidP="00D13D04">
            <w:pPr>
              <w:spacing w:line="276" w:lineRule="auto"/>
              <w:ind w:right="-6"/>
              <w:jc w:val="left"/>
              <w:rPr>
                <w:bCs/>
                <w:iCs/>
                <w:color w:val="000000" w:themeColor="text1"/>
                <w:sz w:val="21"/>
                <w:lang w:val="en-US"/>
              </w:rPr>
            </w:pPr>
            <w:r w:rsidRPr="002E5DBE">
              <w:rPr>
                <w:bCs/>
                <w:color w:val="000000" w:themeColor="text1"/>
                <w:sz w:val="21"/>
                <w:lang w:val="en-US"/>
              </w:rPr>
              <w:t xml:space="preserve">   Prevalence</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100% (28)</w:t>
            </w:r>
          </w:p>
        </w:tc>
        <w:tc>
          <w:tcPr>
            <w:tcW w:w="1394"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0% (0)</w:t>
            </w:r>
          </w:p>
        </w:tc>
        <w:tc>
          <w:tcPr>
            <w:tcW w:w="1655" w:type="dxa"/>
          </w:tcPr>
          <w:p w:rsidR="00D13D04" w:rsidRPr="002E5DBE" w:rsidRDefault="00D13D04" w:rsidP="00D13D04">
            <w:pPr>
              <w:spacing w:line="276" w:lineRule="auto"/>
              <w:ind w:right="-6"/>
              <w:jc w:val="center"/>
              <w:rPr>
                <w:bCs/>
                <w:i/>
                <w:color w:val="000000" w:themeColor="text1"/>
                <w:sz w:val="21"/>
                <w:lang w:val="en-US"/>
              </w:rPr>
            </w:pPr>
            <w:r w:rsidRPr="002E5DBE">
              <w:rPr>
                <w:bCs/>
                <w:i/>
                <w:color w:val="000000" w:themeColor="text1"/>
                <w:sz w:val="21"/>
                <w:lang w:val="en-US"/>
              </w:rPr>
              <w:t>-</w:t>
            </w:r>
          </w:p>
        </w:tc>
        <w:tc>
          <w:tcPr>
            <w:tcW w:w="801"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w:t>
            </w:r>
          </w:p>
        </w:tc>
      </w:tr>
      <w:tr w:rsidR="002E5DBE" w:rsidRPr="002E5DBE" w:rsidTr="00D13D04">
        <w:trPr>
          <w:trHeight w:val="20"/>
        </w:trPr>
        <w:tc>
          <w:tcPr>
            <w:tcW w:w="3758" w:type="dxa"/>
            <w:noWrap/>
            <w:vAlign w:val="bottom"/>
            <w:hideMark/>
          </w:tcPr>
          <w:p w:rsidR="00D13D04" w:rsidRPr="002E5DBE" w:rsidRDefault="00D13D04" w:rsidP="00D13D04">
            <w:pPr>
              <w:spacing w:line="276" w:lineRule="auto"/>
              <w:ind w:right="-6"/>
              <w:jc w:val="left"/>
              <w:rPr>
                <w:bCs/>
                <w:iCs/>
                <w:color w:val="000000" w:themeColor="text1"/>
                <w:sz w:val="21"/>
                <w:lang w:val="en-US"/>
              </w:rPr>
            </w:pPr>
            <w:r w:rsidRPr="002E5DBE">
              <w:rPr>
                <w:bCs/>
                <w:iCs/>
                <w:color w:val="000000" w:themeColor="text1"/>
                <w:sz w:val="21"/>
                <w:lang w:val="en-US"/>
              </w:rPr>
              <w:t xml:space="preserve">   Number of hyperactive impulsive symptoms (adult)</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6.9 ± 1.5</w:t>
            </w:r>
          </w:p>
        </w:tc>
        <w:tc>
          <w:tcPr>
            <w:tcW w:w="1394"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2.9 ± 2.5</w:t>
            </w:r>
          </w:p>
        </w:tc>
        <w:tc>
          <w:tcPr>
            <w:tcW w:w="1655" w:type="dxa"/>
          </w:tcPr>
          <w:p w:rsidR="00D13D04" w:rsidRPr="002E5DBE" w:rsidRDefault="00D13D04" w:rsidP="00D13D04">
            <w:pPr>
              <w:spacing w:line="276" w:lineRule="auto"/>
              <w:ind w:right="-6"/>
              <w:jc w:val="center"/>
              <w:rPr>
                <w:bCs/>
                <w:i/>
                <w:color w:val="000000" w:themeColor="text1"/>
                <w:sz w:val="21"/>
                <w:lang w:val="en-US"/>
              </w:rPr>
            </w:pPr>
            <w:r w:rsidRPr="002E5DBE">
              <w:rPr>
                <w:bCs/>
                <w:color w:val="000000" w:themeColor="text1"/>
                <w:sz w:val="21"/>
                <w:lang w:val="en-US"/>
              </w:rPr>
              <w:t>2.07 [1.55-2.75]</w:t>
            </w:r>
          </w:p>
        </w:tc>
        <w:tc>
          <w:tcPr>
            <w:tcW w:w="801"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&lt;.001</w:t>
            </w:r>
          </w:p>
        </w:tc>
      </w:tr>
      <w:tr w:rsidR="002E5DBE" w:rsidRPr="002E5DBE" w:rsidTr="00D13D04">
        <w:trPr>
          <w:trHeight w:val="20"/>
        </w:trPr>
        <w:tc>
          <w:tcPr>
            <w:tcW w:w="3758" w:type="dxa"/>
            <w:noWrap/>
            <w:vAlign w:val="bottom"/>
          </w:tcPr>
          <w:p w:rsidR="00D13D04" w:rsidRPr="002E5DBE" w:rsidRDefault="00D13D04" w:rsidP="00D13D04">
            <w:pPr>
              <w:spacing w:line="276" w:lineRule="auto"/>
              <w:ind w:right="-6"/>
              <w:jc w:val="left"/>
              <w:rPr>
                <w:bCs/>
                <w:iCs/>
                <w:color w:val="000000" w:themeColor="text1"/>
                <w:sz w:val="21"/>
                <w:lang w:val="en-US"/>
              </w:rPr>
            </w:pPr>
            <w:r w:rsidRPr="002E5DBE">
              <w:rPr>
                <w:bCs/>
                <w:iCs/>
                <w:color w:val="000000" w:themeColor="text1"/>
                <w:sz w:val="21"/>
                <w:lang w:val="en-US"/>
              </w:rPr>
              <w:t xml:space="preserve">   Number of inattentive symptoms (adult)</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6.6 ± 2.5</w:t>
            </w:r>
          </w:p>
        </w:tc>
        <w:tc>
          <w:tcPr>
            <w:tcW w:w="1394"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3.0 ± 3.0</w:t>
            </w:r>
          </w:p>
        </w:tc>
        <w:tc>
          <w:tcPr>
            <w:tcW w:w="1655" w:type="dxa"/>
          </w:tcPr>
          <w:p w:rsidR="00D13D04" w:rsidRPr="002E5DBE" w:rsidRDefault="00D13D04" w:rsidP="00D13D04">
            <w:pPr>
              <w:spacing w:line="276" w:lineRule="auto"/>
              <w:ind w:right="-6"/>
              <w:jc w:val="center"/>
              <w:rPr>
                <w:bCs/>
                <w:i/>
                <w:color w:val="000000" w:themeColor="text1"/>
                <w:sz w:val="21"/>
                <w:lang w:val="en-US"/>
              </w:rPr>
            </w:pPr>
            <w:r w:rsidRPr="002E5DBE">
              <w:rPr>
                <w:bCs/>
                <w:color w:val="000000" w:themeColor="text1"/>
                <w:sz w:val="21"/>
                <w:lang w:val="en-US"/>
              </w:rPr>
              <w:t>1.49 [1.25-1.77]</w:t>
            </w:r>
          </w:p>
        </w:tc>
        <w:tc>
          <w:tcPr>
            <w:tcW w:w="801"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&lt;.001</w:t>
            </w:r>
          </w:p>
        </w:tc>
      </w:tr>
      <w:tr w:rsidR="002E5DBE" w:rsidRPr="002E5DBE" w:rsidTr="00D13D04">
        <w:trPr>
          <w:trHeight w:val="20"/>
        </w:trPr>
        <w:tc>
          <w:tcPr>
            <w:tcW w:w="3758" w:type="dxa"/>
            <w:noWrap/>
            <w:vAlign w:val="bottom"/>
          </w:tcPr>
          <w:p w:rsidR="00D13D04" w:rsidRPr="002E5DBE" w:rsidRDefault="00D13D04" w:rsidP="00D13D04">
            <w:pPr>
              <w:spacing w:line="276" w:lineRule="auto"/>
              <w:ind w:right="-6"/>
              <w:jc w:val="left"/>
              <w:rPr>
                <w:bCs/>
                <w:i/>
                <w:iCs/>
                <w:color w:val="000000" w:themeColor="text1"/>
                <w:sz w:val="21"/>
                <w:lang w:val="en-US"/>
              </w:rPr>
            </w:pP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p>
        </w:tc>
        <w:tc>
          <w:tcPr>
            <w:tcW w:w="1394" w:type="dxa"/>
          </w:tcPr>
          <w:p w:rsidR="00D13D04" w:rsidRPr="002E5DBE" w:rsidRDefault="00D13D04" w:rsidP="00D13D04">
            <w:pPr>
              <w:spacing w:line="276" w:lineRule="auto"/>
              <w:ind w:right="-6"/>
              <w:jc w:val="center"/>
              <w:rPr>
                <w:bCs/>
                <w:color w:val="000000" w:themeColor="text1"/>
                <w:sz w:val="21"/>
                <w:lang w:val="en-US"/>
              </w:rPr>
            </w:pPr>
          </w:p>
        </w:tc>
        <w:tc>
          <w:tcPr>
            <w:tcW w:w="1655" w:type="dxa"/>
          </w:tcPr>
          <w:p w:rsidR="00D13D04" w:rsidRPr="002E5DBE" w:rsidRDefault="00D13D04" w:rsidP="00D13D04">
            <w:pPr>
              <w:spacing w:line="276" w:lineRule="auto"/>
              <w:ind w:right="-6"/>
              <w:jc w:val="center"/>
              <w:rPr>
                <w:bCs/>
                <w:color w:val="000000" w:themeColor="text1"/>
                <w:sz w:val="21"/>
                <w:lang w:val="en-US"/>
              </w:rPr>
            </w:pPr>
          </w:p>
        </w:tc>
        <w:tc>
          <w:tcPr>
            <w:tcW w:w="801" w:type="dxa"/>
          </w:tcPr>
          <w:p w:rsidR="00D13D04" w:rsidRPr="002E5DBE" w:rsidRDefault="00D13D04" w:rsidP="00D13D04">
            <w:pPr>
              <w:spacing w:line="276" w:lineRule="auto"/>
              <w:ind w:right="-6"/>
              <w:jc w:val="center"/>
              <w:rPr>
                <w:bCs/>
                <w:color w:val="000000" w:themeColor="text1"/>
                <w:sz w:val="21"/>
                <w:lang w:val="en-US"/>
              </w:rPr>
            </w:pPr>
          </w:p>
        </w:tc>
      </w:tr>
      <w:tr w:rsidR="002E5DBE" w:rsidRPr="0088729A" w:rsidTr="00D13D04">
        <w:trPr>
          <w:trHeight w:val="20"/>
        </w:trPr>
        <w:tc>
          <w:tcPr>
            <w:tcW w:w="3758" w:type="dxa"/>
            <w:noWrap/>
            <w:vAlign w:val="bottom"/>
            <w:hideMark/>
          </w:tcPr>
          <w:p w:rsidR="00D13D04" w:rsidRPr="002E5DBE" w:rsidRDefault="00D13D04" w:rsidP="00D13D04">
            <w:pPr>
              <w:spacing w:line="276" w:lineRule="auto"/>
              <w:ind w:right="-6"/>
              <w:jc w:val="left"/>
              <w:rPr>
                <w:bCs/>
                <w:color w:val="000000" w:themeColor="text1"/>
                <w:sz w:val="21"/>
                <w:lang w:val="en-US"/>
              </w:rPr>
            </w:pPr>
            <w:r w:rsidRPr="002E5DBE">
              <w:rPr>
                <w:bCs/>
                <w:i/>
                <w:iCs/>
                <w:color w:val="000000" w:themeColor="text1"/>
                <w:sz w:val="21"/>
                <w:lang w:val="en-US"/>
              </w:rPr>
              <w:t>Childhood ADHD (</w:t>
            </w:r>
            <w:r w:rsidRPr="002E5DBE">
              <w:rPr>
                <w:bCs/>
                <w:i/>
                <w:color w:val="000000" w:themeColor="text1"/>
                <w:sz w:val="21"/>
                <w:lang w:val="en-US"/>
              </w:rPr>
              <w:t xml:space="preserve">as per the </w:t>
            </w:r>
            <w:r w:rsidRPr="002E5DBE">
              <w:rPr>
                <w:bCs/>
                <w:i/>
                <w:iCs/>
                <w:color w:val="000000" w:themeColor="text1"/>
                <w:sz w:val="21"/>
                <w:lang w:val="en-US"/>
              </w:rPr>
              <w:t>DIVA 2.0)</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p>
        </w:tc>
        <w:tc>
          <w:tcPr>
            <w:tcW w:w="1394" w:type="dxa"/>
          </w:tcPr>
          <w:p w:rsidR="00D13D04" w:rsidRPr="002E5DBE" w:rsidRDefault="00D13D04" w:rsidP="00D13D04">
            <w:pPr>
              <w:spacing w:line="276" w:lineRule="auto"/>
              <w:ind w:right="-6"/>
              <w:jc w:val="center"/>
              <w:rPr>
                <w:bCs/>
                <w:color w:val="000000" w:themeColor="text1"/>
                <w:sz w:val="21"/>
                <w:lang w:val="en-US"/>
              </w:rPr>
            </w:pPr>
          </w:p>
        </w:tc>
        <w:tc>
          <w:tcPr>
            <w:tcW w:w="1655" w:type="dxa"/>
          </w:tcPr>
          <w:p w:rsidR="00D13D04" w:rsidRPr="002E5DBE" w:rsidRDefault="00D13D04" w:rsidP="00D13D04">
            <w:pPr>
              <w:spacing w:line="276" w:lineRule="auto"/>
              <w:ind w:right="-6"/>
              <w:jc w:val="center"/>
              <w:rPr>
                <w:bCs/>
                <w:color w:val="000000" w:themeColor="text1"/>
                <w:sz w:val="21"/>
                <w:lang w:val="en-US"/>
              </w:rPr>
            </w:pPr>
          </w:p>
        </w:tc>
        <w:tc>
          <w:tcPr>
            <w:tcW w:w="801" w:type="dxa"/>
          </w:tcPr>
          <w:p w:rsidR="00D13D04" w:rsidRPr="002E5DBE" w:rsidRDefault="00D13D04" w:rsidP="00D13D04">
            <w:pPr>
              <w:spacing w:line="276" w:lineRule="auto"/>
              <w:ind w:right="-6"/>
              <w:jc w:val="center"/>
              <w:rPr>
                <w:bCs/>
                <w:color w:val="000000" w:themeColor="text1"/>
                <w:sz w:val="21"/>
                <w:lang w:val="en-US"/>
              </w:rPr>
            </w:pPr>
          </w:p>
        </w:tc>
      </w:tr>
      <w:tr w:rsidR="002E5DBE" w:rsidRPr="002E5DBE" w:rsidTr="00D13D04">
        <w:trPr>
          <w:trHeight w:val="20"/>
        </w:trPr>
        <w:tc>
          <w:tcPr>
            <w:tcW w:w="3758" w:type="dxa"/>
            <w:noWrap/>
            <w:vAlign w:val="bottom"/>
          </w:tcPr>
          <w:p w:rsidR="00D13D04" w:rsidRPr="002E5DBE" w:rsidRDefault="00D13D04" w:rsidP="00D13D04">
            <w:pPr>
              <w:spacing w:line="276" w:lineRule="auto"/>
              <w:ind w:right="-6"/>
              <w:jc w:val="left"/>
              <w:rPr>
                <w:bCs/>
                <w:iCs/>
                <w:color w:val="000000" w:themeColor="text1"/>
                <w:sz w:val="21"/>
                <w:lang w:val="en-US"/>
              </w:rPr>
            </w:pPr>
            <w:r w:rsidRPr="002E5DBE">
              <w:rPr>
                <w:bCs/>
                <w:iCs/>
                <w:color w:val="000000" w:themeColor="text1"/>
                <w:sz w:val="21"/>
                <w:lang w:val="en-US"/>
              </w:rPr>
              <w:t xml:space="preserve">   Prevalence</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100% (28)</w:t>
            </w:r>
          </w:p>
        </w:tc>
        <w:tc>
          <w:tcPr>
            <w:tcW w:w="1394"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11.7% (9)</w:t>
            </w:r>
          </w:p>
        </w:tc>
        <w:tc>
          <w:tcPr>
            <w:tcW w:w="1655"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w:t>
            </w:r>
          </w:p>
        </w:tc>
        <w:tc>
          <w:tcPr>
            <w:tcW w:w="801"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w:t>
            </w:r>
          </w:p>
        </w:tc>
      </w:tr>
      <w:tr w:rsidR="002E5DBE" w:rsidRPr="002E5DBE" w:rsidTr="00D13D04">
        <w:trPr>
          <w:trHeight w:val="20"/>
        </w:trPr>
        <w:tc>
          <w:tcPr>
            <w:tcW w:w="3758" w:type="dxa"/>
            <w:noWrap/>
            <w:vAlign w:val="bottom"/>
          </w:tcPr>
          <w:p w:rsidR="00D13D04" w:rsidRPr="002E5DBE" w:rsidRDefault="00D13D04" w:rsidP="00D13D04">
            <w:pPr>
              <w:spacing w:line="276" w:lineRule="auto"/>
              <w:ind w:right="-6"/>
              <w:jc w:val="left"/>
              <w:rPr>
                <w:bCs/>
                <w:iCs/>
                <w:color w:val="000000" w:themeColor="text1"/>
                <w:sz w:val="21"/>
                <w:lang w:val="en-US"/>
              </w:rPr>
            </w:pPr>
            <w:r w:rsidRPr="002E5DBE">
              <w:rPr>
                <w:bCs/>
                <w:iCs/>
                <w:color w:val="000000" w:themeColor="text1"/>
                <w:sz w:val="21"/>
                <w:lang w:val="en-US"/>
              </w:rPr>
              <w:t xml:space="preserve">   Number of hyperactive impulsive symptoms (childhood)</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6.3 ± 2.3</w:t>
            </w:r>
          </w:p>
        </w:tc>
        <w:tc>
          <w:tcPr>
            <w:tcW w:w="1394"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1.7 ± 2.0</w:t>
            </w:r>
          </w:p>
        </w:tc>
        <w:tc>
          <w:tcPr>
            <w:tcW w:w="1655" w:type="dxa"/>
          </w:tcPr>
          <w:p w:rsidR="00D13D04" w:rsidRPr="002E5DBE" w:rsidRDefault="00D13D04" w:rsidP="00D13D04">
            <w:pPr>
              <w:spacing w:line="276" w:lineRule="auto"/>
              <w:ind w:right="-6"/>
              <w:jc w:val="center"/>
              <w:rPr>
                <w:bCs/>
                <w:i/>
                <w:color w:val="000000" w:themeColor="text1"/>
                <w:sz w:val="21"/>
                <w:lang w:val="en-US"/>
              </w:rPr>
            </w:pPr>
            <w:r w:rsidRPr="002E5DBE">
              <w:rPr>
                <w:bCs/>
                <w:color w:val="000000" w:themeColor="text1"/>
                <w:sz w:val="21"/>
                <w:lang w:val="en-US"/>
              </w:rPr>
              <w:t>2.00 [1.56-2.58]</w:t>
            </w:r>
          </w:p>
        </w:tc>
        <w:tc>
          <w:tcPr>
            <w:tcW w:w="801"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&lt;.001</w:t>
            </w:r>
          </w:p>
        </w:tc>
      </w:tr>
      <w:tr w:rsidR="002E5DBE" w:rsidRPr="002E5DBE" w:rsidTr="00D13D04">
        <w:trPr>
          <w:trHeight w:val="20"/>
        </w:trPr>
        <w:tc>
          <w:tcPr>
            <w:tcW w:w="3758" w:type="dxa"/>
            <w:noWrap/>
            <w:vAlign w:val="bottom"/>
          </w:tcPr>
          <w:p w:rsidR="00D13D04" w:rsidRPr="002E5DBE" w:rsidRDefault="00D13D04" w:rsidP="00D13D04">
            <w:pPr>
              <w:spacing w:line="276" w:lineRule="auto"/>
              <w:ind w:right="-6"/>
              <w:jc w:val="left"/>
              <w:rPr>
                <w:bCs/>
                <w:iCs/>
                <w:color w:val="000000" w:themeColor="text1"/>
                <w:sz w:val="21"/>
                <w:lang w:val="en-US"/>
              </w:rPr>
            </w:pPr>
            <w:r w:rsidRPr="002E5DBE">
              <w:rPr>
                <w:bCs/>
                <w:iCs/>
                <w:color w:val="000000" w:themeColor="text1"/>
                <w:sz w:val="21"/>
                <w:lang w:val="en-US"/>
              </w:rPr>
              <w:t xml:space="preserve">   Number of inattentive symptoms (childhood)</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6.8 ± 2.6</w:t>
            </w:r>
          </w:p>
        </w:tc>
        <w:tc>
          <w:tcPr>
            <w:tcW w:w="1394"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2.5 ± 2.7</w:t>
            </w:r>
          </w:p>
        </w:tc>
        <w:tc>
          <w:tcPr>
            <w:tcW w:w="1655" w:type="dxa"/>
          </w:tcPr>
          <w:p w:rsidR="00D13D04" w:rsidRPr="002E5DBE" w:rsidRDefault="00D13D04" w:rsidP="00D13D04">
            <w:pPr>
              <w:spacing w:line="276" w:lineRule="auto"/>
              <w:ind w:right="-6"/>
              <w:jc w:val="center"/>
              <w:rPr>
                <w:bCs/>
                <w:i/>
                <w:color w:val="000000" w:themeColor="text1"/>
                <w:sz w:val="21"/>
                <w:lang w:val="en-US"/>
              </w:rPr>
            </w:pPr>
            <w:r w:rsidRPr="002E5DBE">
              <w:rPr>
                <w:bCs/>
                <w:color w:val="000000" w:themeColor="text1"/>
                <w:sz w:val="21"/>
                <w:lang w:val="en-US"/>
              </w:rPr>
              <w:t>1.66 [1.36-2.04]</w:t>
            </w:r>
          </w:p>
        </w:tc>
        <w:tc>
          <w:tcPr>
            <w:tcW w:w="801"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&lt;.001</w:t>
            </w:r>
          </w:p>
        </w:tc>
      </w:tr>
      <w:tr w:rsidR="002E5DBE" w:rsidRPr="002E5DBE" w:rsidTr="00D13D04">
        <w:trPr>
          <w:trHeight w:val="20"/>
        </w:trPr>
        <w:tc>
          <w:tcPr>
            <w:tcW w:w="3758" w:type="dxa"/>
            <w:noWrap/>
            <w:vAlign w:val="bottom"/>
          </w:tcPr>
          <w:p w:rsidR="00D13D04" w:rsidRPr="002E5DBE" w:rsidRDefault="00D13D04" w:rsidP="00D13D04">
            <w:pPr>
              <w:spacing w:line="276" w:lineRule="auto"/>
              <w:ind w:right="-6"/>
              <w:jc w:val="left"/>
              <w:rPr>
                <w:bCs/>
                <w:color w:val="000000" w:themeColor="text1"/>
                <w:sz w:val="21"/>
                <w:lang w:val="en-US"/>
              </w:rPr>
            </w:pP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p>
        </w:tc>
        <w:tc>
          <w:tcPr>
            <w:tcW w:w="1394" w:type="dxa"/>
          </w:tcPr>
          <w:p w:rsidR="00D13D04" w:rsidRPr="002E5DBE" w:rsidRDefault="00D13D04" w:rsidP="00D13D04">
            <w:pPr>
              <w:spacing w:line="276" w:lineRule="auto"/>
              <w:ind w:right="-6"/>
              <w:jc w:val="center"/>
              <w:rPr>
                <w:bCs/>
                <w:color w:val="000000" w:themeColor="text1"/>
                <w:sz w:val="21"/>
                <w:lang w:val="en-US"/>
              </w:rPr>
            </w:pPr>
          </w:p>
        </w:tc>
        <w:tc>
          <w:tcPr>
            <w:tcW w:w="1655" w:type="dxa"/>
          </w:tcPr>
          <w:p w:rsidR="00D13D04" w:rsidRPr="002E5DBE" w:rsidRDefault="00D13D04" w:rsidP="00D13D04">
            <w:pPr>
              <w:spacing w:line="276" w:lineRule="auto"/>
              <w:ind w:right="-6"/>
              <w:jc w:val="center"/>
              <w:rPr>
                <w:bCs/>
                <w:color w:val="000000" w:themeColor="text1"/>
                <w:sz w:val="21"/>
                <w:lang w:val="en-US"/>
              </w:rPr>
            </w:pPr>
          </w:p>
        </w:tc>
        <w:tc>
          <w:tcPr>
            <w:tcW w:w="801" w:type="dxa"/>
          </w:tcPr>
          <w:p w:rsidR="00D13D04" w:rsidRPr="002E5DBE" w:rsidRDefault="00D13D04" w:rsidP="00D13D04">
            <w:pPr>
              <w:spacing w:line="276" w:lineRule="auto"/>
              <w:ind w:right="-6"/>
              <w:jc w:val="center"/>
              <w:rPr>
                <w:bCs/>
                <w:color w:val="000000" w:themeColor="text1"/>
                <w:sz w:val="21"/>
                <w:lang w:val="en-US"/>
              </w:rPr>
            </w:pPr>
          </w:p>
        </w:tc>
      </w:tr>
      <w:tr w:rsidR="002E5DBE" w:rsidRPr="0088729A" w:rsidTr="00D13D04">
        <w:trPr>
          <w:trHeight w:val="20"/>
        </w:trPr>
        <w:tc>
          <w:tcPr>
            <w:tcW w:w="3758" w:type="dxa"/>
            <w:noWrap/>
            <w:vAlign w:val="bottom"/>
            <w:hideMark/>
          </w:tcPr>
          <w:p w:rsidR="00D13D04" w:rsidRPr="002E5DBE" w:rsidRDefault="00D13D04" w:rsidP="00D13D04">
            <w:pPr>
              <w:spacing w:line="276" w:lineRule="auto"/>
              <w:ind w:right="-6"/>
              <w:jc w:val="left"/>
              <w:rPr>
                <w:bCs/>
                <w:color w:val="000000" w:themeColor="text1"/>
                <w:sz w:val="21"/>
                <w:lang w:val="en-US"/>
              </w:rPr>
            </w:pPr>
            <w:r w:rsidRPr="002E5DBE">
              <w:rPr>
                <w:bCs/>
                <w:i/>
                <w:iCs/>
                <w:color w:val="000000" w:themeColor="text1"/>
                <w:sz w:val="21"/>
                <w:lang w:val="en-US"/>
              </w:rPr>
              <w:t>Food addiction (</w:t>
            </w:r>
            <w:r w:rsidRPr="002E5DBE">
              <w:rPr>
                <w:bCs/>
                <w:i/>
                <w:color w:val="000000" w:themeColor="text1"/>
                <w:sz w:val="21"/>
                <w:lang w:val="en-US"/>
              </w:rPr>
              <w:t xml:space="preserve">as per the </w:t>
            </w:r>
            <w:r w:rsidRPr="002E5DBE">
              <w:rPr>
                <w:bCs/>
                <w:i/>
                <w:iCs/>
                <w:color w:val="000000" w:themeColor="text1"/>
                <w:sz w:val="21"/>
                <w:lang w:val="en-US"/>
              </w:rPr>
              <w:t>YFAS 2.0)</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hideMark/>
          </w:tcPr>
          <w:p w:rsidR="00D13D04" w:rsidRPr="002E5DBE" w:rsidRDefault="00D13D04" w:rsidP="00D13D04">
            <w:pPr>
              <w:spacing w:line="276" w:lineRule="auto"/>
              <w:ind w:right="-6"/>
              <w:jc w:val="center"/>
              <w:rPr>
                <w:bCs/>
                <w:color w:val="000000" w:themeColor="text1"/>
                <w:sz w:val="21"/>
                <w:lang w:val="en-US"/>
              </w:rPr>
            </w:pPr>
          </w:p>
        </w:tc>
        <w:tc>
          <w:tcPr>
            <w:tcW w:w="1394" w:type="dxa"/>
            <w:hideMark/>
          </w:tcPr>
          <w:p w:rsidR="00D13D04" w:rsidRPr="002E5DBE" w:rsidRDefault="00D13D04" w:rsidP="00D13D04">
            <w:pPr>
              <w:spacing w:line="276" w:lineRule="auto"/>
              <w:ind w:right="-6"/>
              <w:jc w:val="center"/>
              <w:rPr>
                <w:bCs/>
                <w:color w:val="000000" w:themeColor="text1"/>
                <w:sz w:val="21"/>
                <w:lang w:val="en-US"/>
              </w:rPr>
            </w:pPr>
          </w:p>
        </w:tc>
        <w:tc>
          <w:tcPr>
            <w:tcW w:w="1655" w:type="dxa"/>
          </w:tcPr>
          <w:p w:rsidR="00D13D04" w:rsidRPr="002E5DBE" w:rsidRDefault="00D13D04" w:rsidP="00D13D04">
            <w:pPr>
              <w:spacing w:line="276" w:lineRule="auto"/>
              <w:ind w:right="-6"/>
              <w:jc w:val="center"/>
              <w:rPr>
                <w:bCs/>
                <w:color w:val="000000" w:themeColor="text1"/>
                <w:sz w:val="21"/>
                <w:lang w:val="en-US"/>
              </w:rPr>
            </w:pPr>
          </w:p>
        </w:tc>
        <w:tc>
          <w:tcPr>
            <w:tcW w:w="801" w:type="dxa"/>
          </w:tcPr>
          <w:p w:rsidR="00D13D04" w:rsidRPr="002E5DBE" w:rsidRDefault="00D13D04" w:rsidP="00D13D04">
            <w:pPr>
              <w:spacing w:line="276" w:lineRule="auto"/>
              <w:ind w:right="-6"/>
              <w:jc w:val="center"/>
              <w:rPr>
                <w:bCs/>
                <w:color w:val="000000" w:themeColor="text1"/>
                <w:sz w:val="21"/>
                <w:lang w:val="en-US"/>
              </w:rPr>
            </w:pPr>
          </w:p>
        </w:tc>
      </w:tr>
      <w:tr w:rsidR="002E5DBE" w:rsidRPr="002E5DBE" w:rsidTr="00D13D04">
        <w:trPr>
          <w:trHeight w:val="20"/>
        </w:trPr>
        <w:tc>
          <w:tcPr>
            <w:tcW w:w="3758" w:type="dxa"/>
            <w:noWrap/>
            <w:hideMark/>
          </w:tcPr>
          <w:p w:rsidR="00D13D04" w:rsidRPr="002E5DBE" w:rsidRDefault="00D13D04" w:rsidP="00D13D04">
            <w:pPr>
              <w:spacing w:line="276" w:lineRule="auto"/>
              <w:ind w:right="-6"/>
              <w:jc w:val="left"/>
              <w:rPr>
                <w:bCs/>
                <w:color w:val="000000" w:themeColor="text1"/>
                <w:sz w:val="21"/>
                <w:lang w:val="en-US"/>
              </w:rPr>
            </w:pPr>
            <w:r w:rsidRPr="002E5DBE">
              <w:rPr>
                <w:bCs/>
                <w:color w:val="000000" w:themeColor="text1"/>
                <w:sz w:val="21"/>
                <w:lang w:val="en-US"/>
              </w:rPr>
              <w:t xml:space="preserve">   Prevalence of food addiction</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28.6% (8)</w:t>
            </w:r>
          </w:p>
        </w:tc>
        <w:tc>
          <w:tcPr>
            <w:tcW w:w="1394"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9.1% (7)</w:t>
            </w:r>
          </w:p>
        </w:tc>
        <w:tc>
          <w:tcPr>
            <w:tcW w:w="1655"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4.00 [1.29-12.40]</w:t>
            </w:r>
          </w:p>
        </w:tc>
        <w:tc>
          <w:tcPr>
            <w:tcW w:w="801"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.016</w:t>
            </w:r>
          </w:p>
        </w:tc>
      </w:tr>
      <w:tr w:rsidR="002E5DBE" w:rsidRPr="002E5DBE" w:rsidTr="00D13D04">
        <w:trPr>
          <w:trHeight w:val="20"/>
        </w:trPr>
        <w:tc>
          <w:tcPr>
            <w:tcW w:w="3758" w:type="dxa"/>
            <w:noWrap/>
            <w:hideMark/>
          </w:tcPr>
          <w:p w:rsidR="00D13D04" w:rsidRPr="002E5DBE" w:rsidRDefault="00D13D04" w:rsidP="00D13D04">
            <w:pPr>
              <w:spacing w:line="276" w:lineRule="auto"/>
              <w:ind w:right="-6"/>
              <w:jc w:val="left"/>
              <w:rPr>
                <w:bCs/>
                <w:color w:val="000000" w:themeColor="text1"/>
                <w:sz w:val="21"/>
                <w:lang w:val="en-US"/>
              </w:rPr>
            </w:pPr>
            <w:r w:rsidRPr="002E5DBE">
              <w:rPr>
                <w:bCs/>
                <w:color w:val="000000" w:themeColor="text1"/>
                <w:sz w:val="21"/>
                <w:lang w:val="en-US"/>
              </w:rPr>
              <w:t xml:space="preserve">   Number of food addiction symptoms</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3.1 ± 3.1</w:t>
            </w:r>
          </w:p>
        </w:tc>
        <w:tc>
          <w:tcPr>
            <w:tcW w:w="1394"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1.2 ± 1.8</w:t>
            </w:r>
          </w:p>
        </w:tc>
        <w:tc>
          <w:tcPr>
            <w:tcW w:w="1655"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1.37 [1.14-1.65]</w:t>
            </w:r>
          </w:p>
        </w:tc>
        <w:tc>
          <w:tcPr>
            <w:tcW w:w="801"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&lt;.001</w:t>
            </w:r>
          </w:p>
        </w:tc>
      </w:tr>
      <w:tr w:rsidR="002E5DBE" w:rsidRPr="002E5DBE" w:rsidTr="00D13D04">
        <w:trPr>
          <w:trHeight w:val="20"/>
        </w:trPr>
        <w:tc>
          <w:tcPr>
            <w:tcW w:w="3758" w:type="dxa"/>
            <w:noWrap/>
            <w:hideMark/>
          </w:tcPr>
          <w:p w:rsidR="00D13D04" w:rsidRPr="002E5DBE" w:rsidRDefault="00D13D04" w:rsidP="00D13D04">
            <w:pPr>
              <w:spacing w:line="276" w:lineRule="auto"/>
              <w:ind w:right="-6"/>
              <w:jc w:val="left"/>
              <w:rPr>
                <w:bCs/>
                <w:color w:val="000000" w:themeColor="text1"/>
                <w:sz w:val="21"/>
                <w:lang w:val="en-US"/>
              </w:rPr>
            </w:pPr>
            <w:r w:rsidRPr="002E5DBE">
              <w:rPr>
                <w:bCs/>
                <w:color w:val="000000" w:themeColor="text1"/>
                <w:sz w:val="21"/>
                <w:lang w:val="en-US"/>
              </w:rPr>
              <w:t xml:space="preserve">   Significant distress in relation to food</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32.1% (9)</w:t>
            </w:r>
          </w:p>
        </w:tc>
        <w:tc>
          <w:tcPr>
            <w:tcW w:w="1394"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11.7% (9)</w:t>
            </w:r>
          </w:p>
        </w:tc>
        <w:tc>
          <w:tcPr>
            <w:tcW w:w="1655"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3.58 [1.25-10.30]</w:t>
            </w:r>
          </w:p>
        </w:tc>
        <w:tc>
          <w:tcPr>
            <w:tcW w:w="801"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.018</w:t>
            </w:r>
          </w:p>
        </w:tc>
      </w:tr>
      <w:tr w:rsidR="002E5DBE" w:rsidRPr="002E5DBE" w:rsidTr="00D13D04">
        <w:trPr>
          <w:trHeight w:val="20"/>
        </w:trPr>
        <w:tc>
          <w:tcPr>
            <w:tcW w:w="3758" w:type="dxa"/>
            <w:noWrap/>
          </w:tcPr>
          <w:p w:rsidR="00D13D04" w:rsidRPr="002E5DBE" w:rsidRDefault="00D13D04" w:rsidP="00D13D04">
            <w:pPr>
              <w:spacing w:line="276" w:lineRule="auto"/>
              <w:ind w:right="-6"/>
              <w:jc w:val="left"/>
              <w:rPr>
                <w:bCs/>
                <w:color w:val="000000" w:themeColor="text1"/>
                <w:sz w:val="21"/>
                <w:lang w:val="en-US"/>
              </w:rPr>
            </w:pP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p>
        </w:tc>
        <w:tc>
          <w:tcPr>
            <w:tcW w:w="1394" w:type="dxa"/>
          </w:tcPr>
          <w:p w:rsidR="00D13D04" w:rsidRPr="002E5DBE" w:rsidRDefault="00D13D04" w:rsidP="00D13D04">
            <w:pPr>
              <w:spacing w:line="276" w:lineRule="auto"/>
              <w:ind w:right="-6"/>
              <w:jc w:val="center"/>
              <w:rPr>
                <w:bCs/>
                <w:color w:val="000000" w:themeColor="text1"/>
                <w:sz w:val="21"/>
                <w:lang w:val="en-US"/>
              </w:rPr>
            </w:pPr>
          </w:p>
        </w:tc>
        <w:tc>
          <w:tcPr>
            <w:tcW w:w="1655" w:type="dxa"/>
          </w:tcPr>
          <w:p w:rsidR="00D13D04" w:rsidRPr="002E5DBE" w:rsidRDefault="00D13D04" w:rsidP="00D13D04">
            <w:pPr>
              <w:spacing w:line="276" w:lineRule="auto"/>
              <w:ind w:right="-6"/>
              <w:jc w:val="center"/>
              <w:rPr>
                <w:bCs/>
                <w:color w:val="000000" w:themeColor="text1"/>
                <w:sz w:val="21"/>
                <w:lang w:val="en-US"/>
              </w:rPr>
            </w:pPr>
          </w:p>
        </w:tc>
        <w:tc>
          <w:tcPr>
            <w:tcW w:w="801" w:type="dxa"/>
          </w:tcPr>
          <w:p w:rsidR="00D13D04" w:rsidRPr="002E5DBE" w:rsidRDefault="00D13D04" w:rsidP="00D13D04">
            <w:pPr>
              <w:spacing w:line="276" w:lineRule="auto"/>
              <w:ind w:right="-6"/>
              <w:jc w:val="center"/>
              <w:rPr>
                <w:bCs/>
                <w:color w:val="000000" w:themeColor="text1"/>
                <w:sz w:val="21"/>
                <w:lang w:val="en-US"/>
              </w:rPr>
            </w:pPr>
          </w:p>
        </w:tc>
      </w:tr>
      <w:tr w:rsidR="002E5DBE" w:rsidRPr="002E5DBE" w:rsidTr="00D13D04">
        <w:trPr>
          <w:trHeight w:val="20"/>
        </w:trPr>
        <w:tc>
          <w:tcPr>
            <w:tcW w:w="3758" w:type="dxa"/>
            <w:noWrap/>
            <w:hideMark/>
          </w:tcPr>
          <w:p w:rsidR="00D13D04" w:rsidRPr="002E5DBE" w:rsidRDefault="00D13D04" w:rsidP="00D13D04">
            <w:pPr>
              <w:spacing w:line="276" w:lineRule="auto"/>
              <w:ind w:right="-6"/>
              <w:jc w:val="left"/>
              <w:rPr>
                <w:bCs/>
                <w:i/>
                <w:color w:val="000000" w:themeColor="text1"/>
                <w:sz w:val="21"/>
                <w:lang w:val="en-US"/>
              </w:rPr>
            </w:pPr>
            <w:r w:rsidRPr="002E5DBE">
              <w:rPr>
                <w:bCs/>
                <w:i/>
                <w:color w:val="000000" w:themeColor="text1"/>
                <w:sz w:val="21"/>
                <w:lang w:val="en-US"/>
              </w:rPr>
              <w:t>Binge eating severity (BES total score)</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13.4 ± 11.1</w:t>
            </w:r>
          </w:p>
        </w:tc>
        <w:tc>
          <w:tcPr>
            <w:tcW w:w="1394"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7.2 ± 7.3</w:t>
            </w:r>
          </w:p>
        </w:tc>
        <w:tc>
          <w:tcPr>
            <w:tcW w:w="1655"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1.08 [1.03-1.14]</w:t>
            </w:r>
          </w:p>
        </w:tc>
        <w:tc>
          <w:tcPr>
            <w:tcW w:w="801"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.004</w:t>
            </w:r>
          </w:p>
        </w:tc>
      </w:tr>
      <w:tr w:rsidR="002E5DBE" w:rsidRPr="002E5DBE" w:rsidTr="00D13D04">
        <w:trPr>
          <w:trHeight w:val="20"/>
        </w:trPr>
        <w:tc>
          <w:tcPr>
            <w:tcW w:w="3758" w:type="dxa"/>
            <w:tcBorders>
              <w:top w:val="nil"/>
              <w:left w:val="nil"/>
              <w:bottom w:val="single" w:sz="4" w:space="0" w:color="auto"/>
              <w:right w:val="nil"/>
            </w:tcBorders>
            <w:noWrap/>
            <w:vAlign w:val="bottom"/>
          </w:tcPr>
          <w:p w:rsidR="00D13D04" w:rsidRPr="002E5DBE" w:rsidRDefault="00D13D04" w:rsidP="00D13D04">
            <w:pPr>
              <w:spacing w:line="276" w:lineRule="auto"/>
              <w:ind w:right="-6"/>
              <w:jc w:val="left"/>
              <w:rPr>
                <w:bCs/>
                <w:color w:val="000000" w:themeColor="text1"/>
                <w:sz w:val="21"/>
                <w:lang w:val="en-US"/>
              </w:rPr>
            </w:pPr>
          </w:p>
        </w:tc>
        <w:tc>
          <w:tcPr>
            <w:tcW w:w="161" w:type="dxa"/>
            <w:tcBorders>
              <w:top w:val="nil"/>
              <w:left w:val="nil"/>
              <w:bottom w:val="single" w:sz="4" w:space="0" w:color="auto"/>
              <w:right w:val="nil"/>
            </w:tcBorders>
          </w:tcPr>
          <w:p w:rsidR="00D13D04" w:rsidRPr="002E5DBE" w:rsidRDefault="00D13D04" w:rsidP="00D13D04">
            <w:pPr>
              <w:spacing w:line="276" w:lineRule="auto"/>
              <w:ind w:right="-6"/>
              <w:jc w:val="center"/>
              <w:rPr>
                <w:color w:val="000000" w:themeColor="text1"/>
                <w:sz w:val="21"/>
                <w:lang w:val="en-US"/>
              </w:rPr>
            </w:pPr>
          </w:p>
        </w:tc>
        <w:tc>
          <w:tcPr>
            <w:tcW w:w="1396" w:type="dxa"/>
            <w:tcBorders>
              <w:top w:val="nil"/>
              <w:left w:val="nil"/>
              <w:bottom w:val="single" w:sz="4" w:space="0" w:color="auto"/>
              <w:right w:val="nil"/>
            </w:tcBorders>
          </w:tcPr>
          <w:p w:rsidR="00D13D04" w:rsidRPr="002E5DBE" w:rsidRDefault="00D13D04" w:rsidP="00D13D04">
            <w:pPr>
              <w:spacing w:line="276" w:lineRule="auto"/>
              <w:ind w:right="-6"/>
              <w:jc w:val="center"/>
              <w:rPr>
                <w:color w:val="000000" w:themeColor="text1"/>
                <w:sz w:val="21"/>
                <w:lang w:val="en-US"/>
              </w:rPr>
            </w:pPr>
          </w:p>
        </w:tc>
        <w:tc>
          <w:tcPr>
            <w:tcW w:w="1394" w:type="dxa"/>
            <w:tcBorders>
              <w:top w:val="nil"/>
              <w:left w:val="nil"/>
              <w:bottom w:val="single" w:sz="4" w:space="0" w:color="auto"/>
              <w:right w:val="nil"/>
            </w:tcBorders>
          </w:tcPr>
          <w:p w:rsidR="00D13D04" w:rsidRPr="002E5DBE" w:rsidRDefault="00D13D04" w:rsidP="00D13D04">
            <w:pPr>
              <w:spacing w:line="276" w:lineRule="auto"/>
              <w:ind w:right="-6"/>
              <w:jc w:val="center"/>
              <w:rPr>
                <w:color w:val="000000" w:themeColor="text1"/>
                <w:sz w:val="21"/>
                <w:lang w:val="en-US"/>
              </w:rPr>
            </w:pPr>
          </w:p>
        </w:tc>
        <w:tc>
          <w:tcPr>
            <w:tcW w:w="1655" w:type="dxa"/>
            <w:tcBorders>
              <w:top w:val="nil"/>
              <w:left w:val="nil"/>
              <w:bottom w:val="single" w:sz="4" w:space="0" w:color="auto"/>
              <w:right w:val="nil"/>
            </w:tcBorders>
          </w:tcPr>
          <w:p w:rsidR="00D13D04" w:rsidRPr="002E5DBE" w:rsidRDefault="00D13D04" w:rsidP="00D13D04">
            <w:pPr>
              <w:spacing w:line="276" w:lineRule="auto"/>
              <w:ind w:right="-6"/>
              <w:jc w:val="center"/>
              <w:rPr>
                <w:color w:val="000000" w:themeColor="text1"/>
                <w:sz w:val="21"/>
                <w:lang w:val="en-US"/>
              </w:rPr>
            </w:pPr>
          </w:p>
        </w:tc>
        <w:tc>
          <w:tcPr>
            <w:tcW w:w="801" w:type="dxa"/>
            <w:tcBorders>
              <w:top w:val="nil"/>
              <w:left w:val="nil"/>
              <w:bottom w:val="single" w:sz="4" w:space="0" w:color="auto"/>
              <w:right w:val="nil"/>
            </w:tcBorders>
          </w:tcPr>
          <w:p w:rsidR="00D13D04" w:rsidRPr="002E5DBE" w:rsidRDefault="00D13D04" w:rsidP="00D13D04">
            <w:pPr>
              <w:spacing w:line="276" w:lineRule="auto"/>
              <w:ind w:right="-6"/>
              <w:jc w:val="center"/>
              <w:rPr>
                <w:color w:val="000000" w:themeColor="text1"/>
                <w:sz w:val="21"/>
                <w:lang w:val="en-US"/>
              </w:rPr>
            </w:pPr>
          </w:p>
        </w:tc>
      </w:tr>
    </w:tbl>
    <w:p w:rsidR="00D13D04" w:rsidRPr="002E5DBE" w:rsidRDefault="00D13D04" w:rsidP="00D13D04">
      <w:pPr>
        <w:tabs>
          <w:tab w:val="left" w:pos="8647"/>
        </w:tabs>
        <w:spacing w:line="276" w:lineRule="auto"/>
        <w:ind w:right="-6"/>
        <w:rPr>
          <w:bCs/>
          <w:color w:val="000000" w:themeColor="text1"/>
          <w:sz w:val="21"/>
          <w:lang w:val="en-US"/>
        </w:rPr>
        <w:sectPr w:rsidR="00D13D04" w:rsidRPr="002E5DBE" w:rsidSect="00D13D04">
          <w:pgSz w:w="11900" w:h="16840"/>
          <w:pgMar w:top="1417" w:right="1694" w:bottom="1417" w:left="1417" w:header="708" w:footer="708" w:gutter="0"/>
          <w:cols w:space="720"/>
        </w:sectPr>
      </w:pPr>
      <w:r w:rsidRPr="002E5DBE">
        <w:rPr>
          <w:bCs/>
          <w:i/>
          <w:color w:val="000000" w:themeColor="text1"/>
          <w:sz w:val="21"/>
          <w:lang w:val="en-US"/>
        </w:rPr>
        <w:t>Note.</w:t>
      </w:r>
      <w:r w:rsidRPr="002E5DBE">
        <w:rPr>
          <w:bCs/>
          <w:color w:val="000000" w:themeColor="text1"/>
          <w:sz w:val="21"/>
          <w:lang w:val="en-US"/>
        </w:rPr>
        <w:t xml:space="preserve"> Descriptive data are presented as mean ± standard deviation (SD) or percentage (number). We compared patients with versus without adult ADHD using univariate logistic regression analyses: results are presented as Odds-Ratio, its Confidence Interval at 95% [95% CI] and its associated </w:t>
      </w:r>
      <w:r w:rsidRPr="002E5DBE">
        <w:rPr>
          <w:bCs/>
          <w:i/>
          <w:color w:val="000000" w:themeColor="text1"/>
          <w:sz w:val="21"/>
          <w:lang w:val="en-US"/>
        </w:rPr>
        <w:t>p</w:t>
      </w:r>
      <w:r w:rsidRPr="002E5DBE">
        <w:rPr>
          <w:bCs/>
          <w:color w:val="000000" w:themeColor="text1"/>
          <w:sz w:val="21"/>
          <w:lang w:val="en-US"/>
        </w:rPr>
        <w:t>-value (two-tailed). ADHD: Attention-Deficit/Hyperactivity Disorder; BES: Binge Eating Scale; BMI: Body Mass Index; DIVA: Diagnostisch Interview Voor ADHD bij volwassenen; YFAS 2.0: Yale Food Addiction Scale version 2.0 (based on DSM-5 criteria for addictive disorders).</w:t>
      </w:r>
      <w:r w:rsidRPr="002E5DBE">
        <w:rPr>
          <w:bCs/>
          <w:color w:val="000000" w:themeColor="text1"/>
          <w:sz w:val="21"/>
          <w:lang w:val="en-US"/>
        </w:rPr>
        <w:tab/>
        <w:t xml:space="preserve"> </w:t>
      </w:r>
    </w:p>
    <w:p w:rsidR="00D13D04" w:rsidRPr="002E5DBE" w:rsidRDefault="00D13D04" w:rsidP="00D13D04">
      <w:pPr>
        <w:pStyle w:val="Caption"/>
        <w:keepNext/>
        <w:ind w:right="-6"/>
        <w:rPr>
          <w:b/>
          <w:color w:val="000000" w:themeColor="text1"/>
          <w:sz w:val="21"/>
          <w:lang w:val="en-US"/>
        </w:rPr>
      </w:pPr>
      <w:r w:rsidRPr="002E5DBE">
        <w:rPr>
          <w:b/>
          <w:color w:val="000000" w:themeColor="text1"/>
          <w:sz w:val="21"/>
          <w:lang w:val="en-US"/>
        </w:rPr>
        <w:lastRenderedPageBreak/>
        <w:t xml:space="preserve">Table 3. Factors associated with childhood ADHD diagnosis in the study sample (logistic regression analyses). </w:t>
      </w:r>
    </w:p>
    <w:tbl>
      <w:tblPr>
        <w:tblW w:w="9165" w:type="dxa"/>
        <w:tblLayout w:type="fixed"/>
        <w:tblCellMar>
          <w:left w:w="70" w:type="dxa"/>
          <w:right w:w="70" w:type="dxa"/>
        </w:tblCellMar>
        <w:tblLook w:val="00A0" w:firstRow="1" w:lastRow="0" w:firstColumn="1" w:lastColumn="0" w:noHBand="0" w:noVBand="0"/>
      </w:tblPr>
      <w:tblGrid>
        <w:gridCol w:w="3758"/>
        <w:gridCol w:w="161"/>
        <w:gridCol w:w="1396"/>
        <w:gridCol w:w="1394"/>
        <w:gridCol w:w="1655"/>
        <w:gridCol w:w="801"/>
      </w:tblGrid>
      <w:tr w:rsidR="002E5DBE" w:rsidRPr="002E5DBE" w:rsidTr="00D13D04">
        <w:trPr>
          <w:trHeight w:val="20"/>
        </w:trPr>
        <w:tc>
          <w:tcPr>
            <w:tcW w:w="3758" w:type="dxa"/>
            <w:tcBorders>
              <w:top w:val="single" w:sz="4" w:space="0" w:color="auto"/>
              <w:left w:val="nil"/>
              <w:bottom w:val="single" w:sz="4" w:space="0" w:color="auto"/>
              <w:right w:val="nil"/>
            </w:tcBorders>
            <w:noWrap/>
            <w:vAlign w:val="bottom"/>
          </w:tcPr>
          <w:p w:rsidR="00D13D04" w:rsidRPr="002E5DBE" w:rsidRDefault="00D13D04" w:rsidP="00D13D04">
            <w:pPr>
              <w:spacing w:line="276" w:lineRule="auto"/>
              <w:ind w:right="-6"/>
              <w:rPr>
                <w:bCs/>
                <w:color w:val="000000" w:themeColor="text1"/>
                <w:sz w:val="21"/>
                <w:lang w:val="en-US"/>
              </w:rPr>
            </w:pPr>
          </w:p>
        </w:tc>
        <w:tc>
          <w:tcPr>
            <w:tcW w:w="161" w:type="dxa"/>
            <w:tcBorders>
              <w:top w:val="single" w:sz="4" w:space="0" w:color="auto"/>
              <w:left w:val="nil"/>
              <w:bottom w:val="single" w:sz="4" w:space="0" w:color="auto"/>
              <w:right w:val="nil"/>
            </w:tcBorders>
          </w:tcPr>
          <w:p w:rsidR="00D13D04" w:rsidRPr="002E5DBE" w:rsidRDefault="00D13D04" w:rsidP="00D13D04">
            <w:pPr>
              <w:spacing w:line="276" w:lineRule="auto"/>
              <w:ind w:right="-6"/>
              <w:jc w:val="center"/>
              <w:rPr>
                <w:b/>
                <w:bCs/>
                <w:color w:val="000000" w:themeColor="text1"/>
                <w:sz w:val="21"/>
                <w:lang w:val="en-US"/>
              </w:rPr>
            </w:pPr>
          </w:p>
        </w:tc>
        <w:tc>
          <w:tcPr>
            <w:tcW w:w="1396" w:type="dxa"/>
            <w:tcBorders>
              <w:top w:val="single" w:sz="4" w:space="0" w:color="auto"/>
              <w:left w:val="nil"/>
              <w:bottom w:val="single" w:sz="4" w:space="0" w:color="auto"/>
              <w:right w:val="nil"/>
            </w:tcBorders>
            <w:hideMark/>
          </w:tcPr>
          <w:p w:rsidR="00D13D04" w:rsidRPr="002E5DBE" w:rsidRDefault="00D13D04" w:rsidP="00D13D04">
            <w:pPr>
              <w:spacing w:line="276" w:lineRule="auto"/>
              <w:ind w:right="-6"/>
              <w:jc w:val="center"/>
              <w:rPr>
                <w:b/>
                <w:bCs/>
                <w:color w:val="000000" w:themeColor="text1"/>
                <w:sz w:val="21"/>
                <w:lang w:val="en-US"/>
              </w:rPr>
            </w:pPr>
            <w:r w:rsidRPr="002E5DBE">
              <w:rPr>
                <w:b/>
                <w:bCs/>
                <w:color w:val="000000" w:themeColor="text1"/>
                <w:sz w:val="21"/>
                <w:lang w:val="en-US"/>
              </w:rPr>
              <w:t>Obese patients with childhood ADHD</w:t>
            </w:r>
          </w:p>
          <w:p w:rsidR="00D13D04" w:rsidRPr="002E5DBE" w:rsidRDefault="00D13D04" w:rsidP="00D13D04">
            <w:pPr>
              <w:spacing w:line="276" w:lineRule="auto"/>
              <w:ind w:right="-6"/>
              <w:jc w:val="center"/>
              <w:rPr>
                <w:b/>
                <w:bCs/>
                <w:color w:val="000000" w:themeColor="text1"/>
                <w:sz w:val="21"/>
                <w:lang w:val="en-US"/>
              </w:rPr>
            </w:pPr>
            <w:r w:rsidRPr="002E5DBE">
              <w:rPr>
                <w:b/>
                <w:bCs/>
                <w:color w:val="000000" w:themeColor="text1"/>
                <w:sz w:val="21"/>
                <w:lang w:val="en-US"/>
              </w:rPr>
              <w:t>(</w:t>
            </w:r>
            <w:r w:rsidRPr="002E5DBE">
              <w:rPr>
                <w:b/>
                <w:bCs/>
                <w:i/>
                <w:iCs/>
                <w:color w:val="000000" w:themeColor="text1"/>
                <w:sz w:val="21"/>
                <w:lang w:val="en-US"/>
              </w:rPr>
              <w:t>n</w:t>
            </w:r>
            <w:r w:rsidRPr="002E5DBE">
              <w:rPr>
                <w:b/>
                <w:bCs/>
                <w:iCs/>
                <w:color w:val="000000" w:themeColor="text1"/>
                <w:sz w:val="21"/>
                <w:lang w:val="en-US"/>
              </w:rPr>
              <w:t>=37</w:t>
            </w:r>
            <w:r w:rsidRPr="002E5DBE">
              <w:rPr>
                <w:b/>
                <w:bCs/>
                <w:color w:val="000000" w:themeColor="text1"/>
                <w:sz w:val="21"/>
                <w:lang w:val="en-US"/>
              </w:rPr>
              <w:t>)</w:t>
            </w:r>
          </w:p>
        </w:tc>
        <w:tc>
          <w:tcPr>
            <w:tcW w:w="1394" w:type="dxa"/>
            <w:tcBorders>
              <w:top w:val="single" w:sz="4" w:space="0" w:color="auto"/>
              <w:left w:val="nil"/>
              <w:bottom w:val="single" w:sz="4" w:space="0" w:color="auto"/>
              <w:right w:val="nil"/>
            </w:tcBorders>
            <w:hideMark/>
          </w:tcPr>
          <w:p w:rsidR="00D13D04" w:rsidRPr="002E5DBE" w:rsidRDefault="00D13D04" w:rsidP="00D13D04">
            <w:pPr>
              <w:spacing w:line="276" w:lineRule="auto"/>
              <w:ind w:right="-6"/>
              <w:jc w:val="center"/>
              <w:rPr>
                <w:b/>
                <w:bCs/>
                <w:color w:val="000000" w:themeColor="text1"/>
                <w:sz w:val="21"/>
                <w:lang w:val="en-US"/>
              </w:rPr>
            </w:pPr>
            <w:r w:rsidRPr="002E5DBE">
              <w:rPr>
                <w:b/>
                <w:bCs/>
                <w:color w:val="000000" w:themeColor="text1"/>
                <w:sz w:val="21"/>
                <w:lang w:val="en-US"/>
              </w:rPr>
              <w:t>Obese patients without childhood ADHD</w:t>
            </w:r>
          </w:p>
          <w:p w:rsidR="00D13D04" w:rsidRPr="002E5DBE" w:rsidRDefault="00D13D04" w:rsidP="00D13D04">
            <w:pPr>
              <w:spacing w:line="276" w:lineRule="auto"/>
              <w:ind w:right="-6"/>
              <w:jc w:val="center"/>
              <w:rPr>
                <w:b/>
                <w:bCs/>
                <w:color w:val="000000" w:themeColor="text1"/>
                <w:sz w:val="21"/>
                <w:lang w:val="en-US"/>
              </w:rPr>
            </w:pPr>
            <w:r w:rsidRPr="002E5DBE">
              <w:rPr>
                <w:b/>
                <w:bCs/>
                <w:color w:val="000000" w:themeColor="text1"/>
                <w:sz w:val="21"/>
                <w:lang w:val="en-US"/>
              </w:rPr>
              <w:t>(</w:t>
            </w:r>
            <w:r w:rsidRPr="002E5DBE">
              <w:rPr>
                <w:b/>
                <w:bCs/>
                <w:i/>
                <w:iCs/>
                <w:color w:val="000000" w:themeColor="text1"/>
                <w:sz w:val="21"/>
                <w:lang w:val="en-US"/>
              </w:rPr>
              <w:t>n</w:t>
            </w:r>
            <w:r w:rsidRPr="002E5DBE">
              <w:rPr>
                <w:b/>
                <w:bCs/>
                <w:iCs/>
                <w:color w:val="000000" w:themeColor="text1"/>
                <w:sz w:val="21"/>
                <w:lang w:val="en-US"/>
              </w:rPr>
              <w:t>=68</w:t>
            </w:r>
            <w:r w:rsidRPr="002E5DBE">
              <w:rPr>
                <w:b/>
                <w:bCs/>
                <w:color w:val="000000" w:themeColor="text1"/>
                <w:sz w:val="21"/>
                <w:lang w:val="en-US"/>
              </w:rPr>
              <w:t>)</w:t>
            </w:r>
          </w:p>
        </w:tc>
        <w:tc>
          <w:tcPr>
            <w:tcW w:w="1655" w:type="dxa"/>
            <w:tcBorders>
              <w:top w:val="single" w:sz="4" w:space="0" w:color="auto"/>
              <w:left w:val="nil"/>
              <w:bottom w:val="single" w:sz="4" w:space="0" w:color="auto"/>
              <w:right w:val="nil"/>
            </w:tcBorders>
            <w:hideMark/>
          </w:tcPr>
          <w:p w:rsidR="00D13D04" w:rsidRPr="002E5DBE" w:rsidRDefault="00D13D04" w:rsidP="00D13D04">
            <w:pPr>
              <w:spacing w:line="276" w:lineRule="auto"/>
              <w:ind w:right="-6"/>
              <w:jc w:val="center"/>
              <w:rPr>
                <w:b/>
                <w:bCs/>
                <w:iCs/>
                <w:color w:val="000000" w:themeColor="text1"/>
                <w:sz w:val="21"/>
                <w:lang w:val="en-US"/>
              </w:rPr>
            </w:pPr>
            <w:r w:rsidRPr="002E5DBE">
              <w:rPr>
                <w:b/>
                <w:bCs/>
                <w:iCs/>
                <w:color w:val="000000" w:themeColor="text1"/>
                <w:sz w:val="21"/>
                <w:lang w:val="en-US"/>
              </w:rPr>
              <w:t>OR [95% CI]</w:t>
            </w:r>
          </w:p>
        </w:tc>
        <w:tc>
          <w:tcPr>
            <w:tcW w:w="801" w:type="dxa"/>
            <w:tcBorders>
              <w:top w:val="single" w:sz="4" w:space="0" w:color="auto"/>
              <w:left w:val="nil"/>
              <w:bottom w:val="single" w:sz="4" w:space="0" w:color="auto"/>
              <w:right w:val="nil"/>
            </w:tcBorders>
            <w:hideMark/>
          </w:tcPr>
          <w:p w:rsidR="00D13D04" w:rsidRPr="002E5DBE" w:rsidRDefault="00D13D04" w:rsidP="00D13D04">
            <w:pPr>
              <w:spacing w:line="276" w:lineRule="auto"/>
              <w:ind w:right="-6"/>
              <w:jc w:val="center"/>
              <w:rPr>
                <w:b/>
                <w:bCs/>
                <w:i/>
                <w:iCs/>
                <w:color w:val="000000" w:themeColor="text1"/>
                <w:sz w:val="21"/>
                <w:lang w:val="en-US"/>
              </w:rPr>
            </w:pPr>
            <w:r w:rsidRPr="002E5DBE">
              <w:rPr>
                <w:b/>
                <w:bCs/>
                <w:i/>
                <w:iCs/>
                <w:color w:val="000000" w:themeColor="text1"/>
                <w:sz w:val="21"/>
                <w:lang w:val="en-US"/>
              </w:rPr>
              <w:t>p-value</w:t>
            </w:r>
          </w:p>
        </w:tc>
      </w:tr>
      <w:tr w:rsidR="002E5DBE" w:rsidRPr="0088729A" w:rsidTr="00D13D04">
        <w:trPr>
          <w:trHeight w:val="20"/>
        </w:trPr>
        <w:tc>
          <w:tcPr>
            <w:tcW w:w="3758" w:type="dxa"/>
            <w:noWrap/>
            <w:vAlign w:val="bottom"/>
            <w:hideMark/>
          </w:tcPr>
          <w:p w:rsidR="00D13D04" w:rsidRPr="002E5DBE" w:rsidRDefault="00D13D04" w:rsidP="00D13D04">
            <w:pPr>
              <w:spacing w:line="276" w:lineRule="auto"/>
              <w:ind w:right="-6"/>
              <w:jc w:val="left"/>
              <w:rPr>
                <w:bCs/>
                <w:i/>
                <w:iCs/>
                <w:color w:val="000000" w:themeColor="text1"/>
                <w:sz w:val="21"/>
                <w:lang w:val="en-US"/>
              </w:rPr>
            </w:pPr>
            <w:r w:rsidRPr="002E5DBE">
              <w:rPr>
                <w:bCs/>
                <w:i/>
                <w:iCs/>
                <w:color w:val="000000" w:themeColor="text1"/>
                <w:sz w:val="21"/>
                <w:lang w:val="en-US"/>
              </w:rPr>
              <w:t>Socio-demographic and weight-related characteristics</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p>
        </w:tc>
        <w:tc>
          <w:tcPr>
            <w:tcW w:w="1394" w:type="dxa"/>
            <w:vAlign w:val="bottom"/>
          </w:tcPr>
          <w:p w:rsidR="00D13D04" w:rsidRPr="002E5DBE" w:rsidRDefault="00D13D04" w:rsidP="00D13D04">
            <w:pPr>
              <w:spacing w:line="276" w:lineRule="auto"/>
              <w:ind w:right="-6"/>
              <w:jc w:val="center"/>
              <w:rPr>
                <w:bCs/>
                <w:color w:val="000000" w:themeColor="text1"/>
                <w:sz w:val="21"/>
                <w:lang w:val="en-US"/>
              </w:rPr>
            </w:pPr>
          </w:p>
        </w:tc>
        <w:tc>
          <w:tcPr>
            <w:tcW w:w="1655" w:type="dxa"/>
          </w:tcPr>
          <w:p w:rsidR="00D13D04" w:rsidRPr="002E5DBE" w:rsidRDefault="00D13D04" w:rsidP="00D13D04">
            <w:pPr>
              <w:spacing w:line="276" w:lineRule="auto"/>
              <w:ind w:right="-6"/>
              <w:jc w:val="center"/>
              <w:rPr>
                <w:bCs/>
                <w:color w:val="000000" w:themeColor="text1"/>
                <w:sz w:val="21"/>
                <w:lang w:val="en-US"/>
              </w:rPr>
            </w:pPr>
          </w:p>
        </w:tc>
        <w:tc>
          <w:tcPr>
            <w:tcW w:w="801" w:type="dxa"/>
          </w:tcPr>
          <w:p w:rsidR="00D13D04" w:rsidRPr="002E5DBE" w:rsidRDefault="00D13D04" w:rsidP="00D13D04">
            <w:pPr>
              <w:spacing w:line="276" w:lineRule="auto"/>
              <w:ind w:right="-6"/>
              <w:jc w:val="center"/>
              <w:rPr>
                <w:bCs/>
                <w:color w:val="000000" w:themeColor="text1"/>
                <w:sz w:val="21"/>
                <w:lang w:val="en-US"/>
              </w:rPr>
            </w:pPr>
          </w:p>
        </w:tc>
      </w:tr>
      <w:tr w:rsidR="002E5DBE" w:rsidRPr="002E5DBE" w:rsidTr="00D13D04">
        <w:trPr>
          <w:trHeight w:val="93"/>
        </w:trPr>
        <w:tc>
          <w:tcPr>
            <w:tcW w:w="3758" w:type="dxa"/>
            <w:noWrap/>
            <w:vAlign w:val="bottom"/>
            <w:hideMark/>
          </w:tcPr>
          <w:p w:rsidR="00D13D04" w:rsidRPr="002E5DBE" w:rsidRDefault="00D13D04" w:rsidP="00D13D04">
            <w:pPr>
              <w:spacing w:line="276" w:lineRule="auto"/>
              <w:ind w:left="142" w:right="-6" w:hanging="142"/>
              <w:jc w:val="left"/>
              <w:rPr>
                <w:bCs/>
                <w:color w:val="000000" w:themeColor="text1"/>
                <w:sz w:val="21"/>
                <w:lang w:val="en-US"/>
              </w:rPr>
            </w:pPr>
            <w:r w:rsidRPr="002E5DBE">
              <w:rPr>
                <w:bCs/>
                <w:color w:val="000000" w:themeColor="text1"/>
                <w:sz w:val="21"/>
                <w:lang w:val="en-US"/>
              </w:rPr>
              <w:t xml:space="preserve">   Age (years)</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46.4 ± 11.6</w:t>
            </w:r>
          </w:p>
        </w:tc>
        <w:tc>
          <w:tcPr>
            <w:tcW w:w="1394" w:type="dxa"/>
            <w:vAlign w:val="bottom"/>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46.6 ± 10.2</w:t>
            </w:r>
          </w:p>
        </w:tc>
        <w:tc>
          <w:tcPr>
            <w:tcW w:w="1655"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1.00 [.96-1.04]</w:t>
            </w:r>
          </w:p>
        </w:tc>
        <w:tc>
          <w:tcPr>
            <w:tcW w:w="801"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.92</w:t>
            </w:r>
          </w:p>
        </w:tc>
      </w:tr>
      <w:tr w:rsidR="002E5DBE" w:rsidRPr="002E5DBE" w:rsidTr="00D13D04">
        <w:trPr>
          <w:trHeight w:val="70"/>
        </w:trPr>
        <w:tc>
          <w:tcPr>
            <w:tcW w:w="3758" w:type="dxa"/>
            <w:noWrap/>
            <w:vAlign w:val="bottom"/>
            <w:hideMark/>
          </w:tcPr>
          <w:p w:rsidR="00D13D04" w:rsidRPr="002E5DBE" w:rsidRDefault="00D13D04" w:rsidP="00D13D04">
            <w:pPr>
              <w:spacing w:line="276" w:lineRule="auto"/>
              <w:ind w:left="142" w:right="-6" w:hanging="142"/>
              <w:jc w:val="left"/>
              <w:rPr>
                <w:bCs/>
                <w:color w:val="000000" w:themeColor="text1"/>
                <w:sz w:val="21"/>
                <w:lang w:val="en-US"/>
              </w:rPr>
            </w:pPr>
            <w:r w:rsidRPr="002E5DBE">
              <w:rPr>
                <w:bCs/>
                <w:color w:val="000000" w:themeColor="text1"/>
                <w:sz w:val="21"/>
                <w:lang w:val="en-US"/>
              </w:rPr>
              <w:t xml:space="preserve">   Gender (female)</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83.8% (31)</w:t>
            </w:r>
          </w:p>
        </w:tc>
        <w:tc>
          <w:tcPr>
            <w:tcW w:w="1394" w:type="dxa"/>
            <w:vAlign w:val="bottom"/>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88.2% (60)</w:t>
            </w:r>
          </w:p>
        </w:tc>
        <w:tc>
          <w:tcPr>
            <w:tcW w:w="1655"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1.45 [.46-4.56]</w:t>
            </w:r>
          </w:p>
        </w:tc>
        <w:tc>
          <w:tcPr>
            <w:tcW w:w="801"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.52</w:t>
            </w:r>
          </w:p>
        </w:tc>
      </w:tr>
      <w:tr w:rsidR="002E5DBE" w:rsidRPr="002E5DBE" w:rsidTr="00D13D04">
        <w:trPr>
          <w:trHeight w:val="20"/>
        </w:trPr>
        <w:tc>
          <w:tcPr>
            <w:tcW w:w="3758" w:type="dxa"/>
            <w:noWrap/>
            <w:vAlign w:val="bottom"/>
            <w:hideMark/>
          </w:tcPr>
          <w:p w:rsidR="00D13D04" w:rsidRPr="002E5DBE" w:rsidRDefault="00D13D04" w:rsidP="00D13D04">
            <w:pPr>
              <w:spacing w:line="276" w:lineRule="auto"/>
              <w:ind w:left="142" w:right="-6" w:hanging="142"/>
              <w:jc w:val="left"/>
              <w:rPr>
                <w:bCs/>
                <w:iCs/>
                <w:color w:val="000000" w:themeColor="text1"/>
                <w:sz w:val="21"/>
                <w:lang w:val="en-US"/>
              </w:rPr>
            </w:pPr>
            <w:r w:rsidRPr="002E5DBE">
              <w:rPr>
                <w:bCs/>
                <w:color w:val="000000" w:themeColor="text1"/>
                <w:sz w:val="21"/>
                <w:lang w:val="en-US"/>
              </w:rPr>
              <w:t xml:space="preserve">   Current Body Mass Index (BMI; kg/m</w:t>
            </w:r>
            <w:r w:rsidRPr="002E5DBE">
              <w:rPr>
                <w:bCs/>
                <w:color w:val="000000" w:themeColor="text1"/>
                <w:sz w:val="21"/>
                <w:vertAlign w:val="superscript"/>
                <w:lang w:val="en-US"/>
              </w:rPr>
              <w:t>2</w:t>
            </w:r>
            <w:r w:rsidRPr="002E5DBE">
              <w:rPr>
                <w:bCs/>
                <w:color w:val="000000" w:themeColor="text1"/>
                <w:sz w:val="21"/>
                <w:lang w:val="en-US"/>
              </w:rPr>
              <w:t>)</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46.6 ± 8.2</w:t>
            </w:r>
          </w:p>
        </w:tc>
        <w:tc>
          <w:tcPr>
            <w:tcW w:w="1394"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47.1 ± 7.6</w:t>
            </w:r>
          </w:p>
        </w:tc>
        <w:tc>
          <w:tcPr>
            <w:tcW w:w="1655"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.99 [.94-1.05]</w:t>
            </w:r>
          </w:p>
        </w:tc>
        <w:tc>
          <w:tcPr>
            <w:tcW w:w="801"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.75</w:t>
            </w:r>
          </w:p>
        </w:tc>
      </w:tr>
      <w:tr w:rsidR="002E5DBE" w:rsidRPr="002E5DBE" w:rsidTr="00D13D04">
        <w:trPr>
          <w:trHeight w:val="20"/>
        </w:trPr>
        <w:tc>
          <w:tcPr>
            <w:tcW w:w="3758" w:type="dxa"/>
            <w:noWrap/>
            <w:vAlign w:val="bottom"/>
          </w:tcPr>
          <w:p w:rsidR="00D13D04" w:rsidRPr="002E5DBE" w:rsidRDefault="00D13D04" w:rsidP="00D13D04">
            <w:pPr>
              <w:spacing w:line="276" w:lineRule="auto"/>
              <w:ind w:left="142" w:right="-6" w:hanging="142"/>
              <w:jc w:val="left"/>
              <w:rPr>
                <w:bCs/>
                <w:color w:val="000000" w:themeColor="text1"/>
                <w:sz w:val="21"/>
                <w:lang w:val="en-US"/>
              </w:rPr>
            </w:pPr>
            <w:r w:rsidRPr="002E5DBE">
              <w:rPr>
                <w:bCs/>
                <w:color w:val="000000" w:themeColor="text1"/>
                <w:sz w:val="21"/>
                <w:lang w:val="en-US"/>
              </w:rPr>
              <w:t xml:space="preserve">   Previous maximal BMI (kg/m</w:t>
            </w:r>
            <w:r w:rsidRPr="002E5DBE">
              <w:rPr>
                <w:bCs/>
                <w:color w:val="000000" w:themeColor="text1"/>
                <w:sz w:val="21"/>
                <w:vertAlign w:val="superscript"/>
                <w:lang w:val="en-US"/>
              </w:rPr>
              <w:t>2</w:t>
            </w:r>
            <w:r w:rsidRPr="002E5DBE">
              <w:rPr>
                <w:bCs/>
                <w:color w:val="000000" w:themeColor="text1"/>
                <w:sz w:val="21"/>
                <w:lang w:val="en-US"/>
              </w:rPr>
              <w:t>)</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50.1 ± 8.3</w:t>
            </w:r>
          </w:p>
        </w:tc>
        <w:tc>
          <w:tcPr>
            <w:tcW w:w="1394"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50.1 ± 7.7</w:t>
            </w:r>
          </w:p>
        </w:tc>
        <w:tc>
          <w:tcPr>
            <w:tcW w:w="1655"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1.00 [.95-1.05]</w:t>
            </w:r>
          </w:p>
        </w:tc>
        <w:tc>
          <w:tcPr>
            <w:tcW w:w="801"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.98</w:t>
            </w:r>
          </w:p>
        </w:tc>
      </w:tr>
      <w:tr w:rsidR="002E5DBE" w:rsidRPr="002E5DBE" w:rsidTr="00D13D04">
        <w:trPr>
          <w:trHeight w:val="20"/>
        </w:trPr>
        <w:tc>
          <w:tcPr>
            <w:tcW w:w="3758" w:type="dxa"/>
            <w:noWrap/>
            <w:vAlign w:val="bottom"/>
          </w:tcPr>
          <w:p w:rsidR="00D13D04" w:rsidRPr="002E5DBE" w:rsidRDefault="00D13D04" w:rsidP="00D13D04">
            <w:pPr>
              <w:spacing w:line="276" w:lineRule="auto"/>
              <w:ind w:left="142" w:right="-6" w:hanging="142"/>
              <w:jc w:val="left"/>
              <w:rPr>
                <w:bCs/>
                <w:color w:val="000000" w:themeColor="text1"/>
                <w:sz w:val="21"/>
                <w:lang w:val="en-US"/>
              </w:rPr>
            </w:pPr>
            <w:r w:rsidRPr="002E5DBE">
              <w:rPr>
                <w:bCs/>
                <w:color w:val="000000" w:themeColor="text1"/>
                <w:sz w:val="21"/>
                <w:lang w:val="en-US"/>
              </w:rPr>
              <w:t xml:space="preserve">   Previous bariatric surgery (yes) </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81.1% (30)</w:t>
            </w:r>
          </w:p>
        </w:tc>
        <w:tc>
          <w:tcPr>
            <w:tcW w:w="1394"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80.9% (55)</w:t>
            </w:r>
          </w:p>
        </w:tc>
        <w:tc>
          <w:tcPr>
            <w:tcW w:w="1655"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1.01 [.37-2.81]</w:t>
            </w:r>
          </w:p>
        </w:tc>
        <w:tc>
          <w:tcPr>
            <w:tcW w:w="801"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.98</w:t>
            </w:r>
          </w:p>
        </w:tc>
      </w:tr>
      <w:tr w:rsidR="002E5DBE" w:rsidRPr="002E5DBE" w:rsidTr="00D13D04">
        <w:trPr>
          <w:trHeight w:val="20"/>
        </w:trPr>
        <w:tc>
          <w:tcPr>
            <w:tcW w:w="3758" w:type="dxa"/>
            <w:noWrap/>
            <w:vAlign w:val="bottom"/>
            <w:hideMark/>
          </w:tcPr>
          <w:p w:rsidR="00D13D04" w:rsidRPr="002E5DBE" w:rsidRDefault="00D13D04" w:rsidP="00D13D04">
            <w:pPr>
              <w:spacing w:line="276" w:lineRule="auto"/>
              <w:ind w:left="142" w:right="-6" w:hanging="142"/>
              <w:jc w:val="left"/>
              <w:rPr>
                <w:bCs/>
                <w:color w:val="000000" w:themeColor="text1"/>
                <w:sz w:val="21"/>
                <w:lang w:val="en-US"/>
              </w:rPr>
            </w:pPr>
            <w:r w:rsidRPr="002E5DBE">
              <w:rPr>
                <w:bCs/>
                <w:color w:val="000000" w:themeColor="text1"/>
                <w:sz w:val="21"/>
                <w:lang w:val="en-US"/>
              </w:rPr>
              <w:t xml:space="preserve">   Age of onset of obesity (years)</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15.9 ± 9.7</w:t>
            </w:r>
          </w:p>
        </w:tc>
        <w:tc>
          <w:tcPr>
            <w:tcW w:w="1394"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18.9 ± 10.6</w:t>
            </w:r>
          </w:p>
        </w:tc>
        <w:tc>
          <w:tcPr>
            <w:tcW w:w="1655"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.97 [.93-1.01]</w:t>
            </w:r>
          </w:p>
        </w:tc>
        <w:tc>
          <w:tcPr>
            <w:tcW w:w="801"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.17</w:t>
            </w:r>
          </w:p>
        </w:tc>
      </w:tr>
      <w:tr w:rsidR="002E5DBE" w:rsidRPr="002E5DBE" w:rsidTr="00D13D04">
        <w:trPr>
          <w:trHeight w:val="20"/>
        </w:trPr>
        <w:tc>
          <w:tcPr>
            <w:tcW w:w="3758" w:type="dxa"/>
            <w:noWrap/>
            <w:vAlign w:val="bottom"/>
          </w:tcPr>
          <w:p w:rsidR="00D13D04" w:rsidRPr="002E5DBE" w:rsidRDefault="00D13D04" w:rsidP="00D13D04">
            <w:pPr>
              <w:pStyle w:val="CommentText"/>
              <w:ind w:right="-6"/>
              <w:rPr>
                <w:bCs/>
                <w:i/>
                <w:color w:val="000000" w:themeColor="text1"/>
                <w:sz w:val="21"/>
                <w:lang w:val="en-US"/>
              </w:rPr>
            </w:pPr>
            <w:r w:rsidRPr="002E5DBE">
              <w:rPr>
                <w:bCs/>
                <w:i/>
                <w:color w:val="000000" w:themeColor="text1"/>
                <w:sz w:val="21"/>
                <w:lang w:val="en-US"/>
              </w:rPr>
              <w:t xml:space="preserve"> </w:t>
            </w:r>
          </w:p>
        </w:tc>
        <w:tc>
          <w:tcPr>
            <w:tcW w:w="161" w:type="dxa"/>
          </w:tcPr>
          <w:p w:rsidR="00D13D04" w:rsidRPr="002E5DBE" w:rsidRDefault="00D13D04" w:rsidP="00D13D04">
            <w:pPr>
              <w:spacing w:line="276" w:lineRule="auto"/>
              <w:ind w:right="-6"/>
              <w:jc w:val="center"/>
              <w:rPr>
                <w:bCs/>
                <w:i/>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p>
        </w:tc>
        <w:tc>
          <w:tcPr>
            <w:tcW w:w="1394" w:type="dxa"/>
          </w:tcPr>
          <w:p w:rsidR="00D13D04" w:rsidRPr="002E5DBE" w:rsidRDefault="00D13D04" w:rsidP="00D13D04">
            <w:pPr>
              <w:spacing w:line="276" w:lineRule="auto"/>
              <w:ind w:right="-6"/>
              <w:jc w:val="center"/>
              <w:rPr>
                <w:bCs/>
                <w:color w:val="000000" w:themeColor="text1"/>
                <w:sz w:val="21"/>
                <w:lang w:val="en-US"/>
              </w:rPr>
            </w:pPr>
          </w:p>
        </w:tc>
        <w:tc>
          <w:tcPr>
            <w:tcW w:w="1655" w:type="dxa"/>
          </w:tcPr>
          <w:p w:rsidR="00D13D04" w:rsidRPr="002E5DBE" w:rsidRDefault="00D13D04" w:rsidP="00D13D04">
            <w:pPr>
              <w:spacing w:line="276" w:lineRule="auto"/>
              <w:ind w:right="-6"/>
              <w:jc w:val="center"/>
              <w:rPr>
                <w:bCs/>
                <w:i/>
                <w:color w:val="000000" w:themeColor="text1"/>
                <w:sz w:val="21"/>
                <w:lang w:val="en-US"/>
              </w:rPr>
            </w:pPr>
          </w:p>
        </w:tc>
        <w:tc>
          <w:tcPr>
            <w:tcW w:w="801" w:type="dxa"/>
          </w:tcPr>
          <w:p w:rsidR="00D13D04" w:rsidRPr="002E5DBE" w:rsidRDefault="00D13D04" w:rsidP="00D13D04">
            <w:pPr>
              <w:spacing w:line="276" w:lineRule="auto"/>
              <w:ind w:right="-6"/>
              <w:jc w:val="center"/>
              <w:rPr>
                <w:bCs/>
                <w:color w:val="000000" w:themeColor="text1"/>
                <w:sz w:val="21"/>
                <w:lang w:val="en-US"/>
              </w:rPr>
            </w:pPr>
          </w:p>
        </w:tc>
      </w:tr>
      <w:tr w:rsidR="002E5DBE" w:rsidRPr="002E5DBE" w:rsidTr="00D13D04">
        <w:trPr>
          <w:trHeight w:val="20"/>
        </w:trPr>
        <w:tc>
          <w:tcPr>
            <w:tcW w:w="3758" w:type="dxa"/>
            <w:noWrap/>
            <w:vAlign w:val="bottom"/>
          </w:tcPr>
          <w:p w:rsidR="00D13D04" w:rsidRPr="002E5DBE" w:rsidRDefault="00D13D04" w:rsidP="00D13D04">
            <w:pPr>
              <w:spacing w:line="276" w:lineRule="auto"/>
              <w:ind w:right="-6"/>
              <w:jc w:val="left"/>
              <w:rPr>
                <w:bCs/>
                <w:i/>
                <w:color w:val="000000" w:themeColor="text1"/>
                <w:sz w:val="21"/>
                <w:lang w:val="en-US"/>
              </w:rPr>
            </w:pPr>
            <w:r w:rsidRPr="002E5DBE">
              <w:rPr>
                <w:bCs/>
                <w:i/>
                <w:color w:val="000000" w:themeColor="text1"/>
                <w:sz w:val="21"/>
                <w:lang w:val="en-US"/>
              </w:rPr>
              <w:t>Presence of sleep-apnea syndrome</w:t>
            </w:r>
          </w:p>
        </w:tc>
        <w:tc>
          <w:tcPr>
            <w:tcW w:w="161" w:type="dxa"/>
          </w:tcPr>
          <w:p w:rsidR="00D13D04" w:rsidRPr="002E5DBE" w:rsidRDefault="00D13D04" w:rsidP="00D13D04">
            <w:pPr>
              <w:spacing w:line="276" w:lineRule="auto"/>
              <w:ind w:right="-6"/>
              <w:jc w:val="center"/>
              <w:rPr>
                <w:bCs/>
                <w:i/>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32.4% (12)</w:t>
            </w:r>
          </w:p>
        </w:tc>
        <w:tc>
          <w:tcPr>
            <w:tcW w:w="1394"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26.5% (18)</w:t>
            </w:r>
          </w:p>
        </w:tc>
        <w:tc>
          <w:tcPr>
            <w:tcW w:w="1655" w:type="dxa"/>
          </w:tcPr>
          <w:p w:rsidR="00D13D04" w:rsidRPr="002E5DBE" w:rsidRDefault="00D13D04" w:rsidP="00D13D04">
            <w:pPr>
              <w:spacing w:line="276" w:lineRule="auto"/>
              <w:ind w:right="-6"/>
              <w:jc w:val="center"/>
              <w:rPr>
                <w:bCs/>
                <w:i/>
                <w:color w:val="000000" w:themeColor="text1"/>
                <w:sz w:val="21"/>
                <w:lang w:val="en-US"/>
              </w:rPr>
            </w:pPr>
            <w:r w:rsidRPr="002E5DBE">
              <w:rPr>
                <w:bCs/>
                <w:color w:val="000000" w:themeColor="text1"/>
                <w:sz w:val="21"/>
                <w:lang w:val="en-US"/>
              </w:rPr>
              <w:t>1.33 [.56-3.20]</w:t>
            </w:r>
          </w:p>
        </w:tc>
        <w:tc>
          <w:tcPr>
            <w:tcW w:w="801"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.52</w:t>
            </w:r>
          </w:p>
        </w:tc>
      </w:tr>
      <w:tr w:rsidR="002E5DBE" w:rsidRPr="002E5DBE" w:rsidTr="00D13D04">
        <w:trPr>
          <w:trHeight w:val="20"/>
        </w:trPr>
        <w:tc>
          <w:tcPr>
            <w:tcW w:w="3758" w:type="dxa"/>
            <w:noWrap/>
            <w:vAlign w:val="bottom"/>
          </w:tcPr>
          <w:p w:rsidR="00D13D04" w:rsidRPr="002E5DBE" w:rsidRDefault="00D13D04" w:rsidP="00D13D04">
            <w:pPr>
              <w:spacing w:line="276" w:lineRule="auto"/>
              <w:ind w:right="-6"/>
              <w:jc w:val="left"/>
              <w:rPr>
                <w:bCs/>
                <w:i/>
                <w:color w:val="000000" w:themeColor="text1"/>
                <w:sz w:val="21"/>
                <w:lang w:val="en-US"/>
              </w:rPr>
            </w:pPr>
          </w:p>
        </w:tc>
        <w:tc>
          <w:tcPr>
            <w:tcW w:w="161" w:type="dxa"/>
          </w:tcPr>
          <w:p w:rsidR="00D13D04" w:rsidRPr="002E5DBE" w:rsidRDefault="00D13D04" w:rsidP="00D13D04">
            <w:pPr>
              <w:spacing w:line="276" w:lineRule="auto"/>
              <w:ind w:right="-6"/>
              <w:jc w:val="center"/>
              <w:rPr>
                <w:bCs/>
                <w:i/>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p>
        </w:tc>
        <w:tc>
          <w:tcPr>
            <w:tcW w:w="1394" w:type="dxa"/>
          </w:tcPr>
          <w:p w:rsidR="00D13D04" w:rsidRPr="002E5DBE" w:rsidRDefault="00D13D04" w:rsidP="00D13D04">
            <w:pPr>
              <w:spacing w:line="276" w:lineRule="auto"/>
              <w:ind w:right="-6"/>
              <w:jc w:val="center"/>
              <w:rPr>
                <w:bCs/>
                <w:color w:val="000000" w:themeColor="text1"/>
                <w:sz w:val="21"/>
                <w:lang w:val="en-US"/>
              </w:rPr>
            </w:pPr>
          </w:p>
        </w:tc>
        <w:tc>
          <w:tcPr>
            <w:tcW w:w="1655" w:type="dxa"/>
          </w:tcPr>
          <w:p w:rsidR="00D13D04" w:rsidRPr="002E5DBE" w:rsidRDefault="00D13D04" w:rsidP="00D13D04">
            <w:pPr>
              <w:spacing w:line="276" w:lineRule="auto"/>
              <w:ind w:right="-6"/>
              <w:jc w:val="center"/>
              <w:rPr>
                <w:bCs/>
                <w:i/>
                <w:color w:val="000000" w:themeColor="text1"/>
                <w:sz w:val="21"/>
                <w:lang w:val="en-US"/>
              </w:rPr>
            </w:pPr>
          </w:p>
        </w:tc>
        <w:tc>
          <w:tcPr>
            <w:tcW w:w="801" w:type="dxa"/>
          </w:tcPr>
          <w:p w:rsidR="00D13D04" w:rsidRPr="002E5DBE" w:rsidRDefault="00D13D04" w:rsidP="00D13D04">
            <w:pPr>
              <w:spacing w:line="276" w:lineRule="auto"/>
              <w:ind w:right="-6"/>
              <w:jc w:val="center"/>
              <w:rPr>
                <w:bCs/>
                <w:color w:val="000000" w:themeColor="text1"/>
                <w:sz w:val="21"/>
                <w:lang w:val="en-US"/>
              </w:rPr>
            </w:pPr>
          </w:p>
        </w:tc>
      </w:tr>
      <w:tr w:rsidR="002E5DBE" w:rsidRPr="0088729A" w:rsidTr="00D13D04">
        <w:trPr>
          <w:trHeight w:val="20"/>
        </w:trPr>
        <w:tc>
          <w:tcPr>
            <w:tcW w:w="3758" w:type="dxa"/>
            <w:noWrap/>
            <w:vAlign w:val="bottom"/>
          </w:tcPr>
          <w:p w:rsidR="00D13D04" w:rsidRPr="002E5DBE" w:rsidRDefault="00D13D04" w:rsidP="00D13D04">
            <w:pPr>
              <w:spacing w:line="276" w:lineRule="auto"/>
              <w:ind w:right="-6"/>
              <w:jc w:val="left"/>
              <w:rPr>
                <w:bCs/>
                <w:i/>
                <w:color w:val="000000" w:themeColor="text1"/>
                <w:sz w:val="21"/>
                <w:lang w:val="en-US"/>
              </w:rPr>
            </w:pPr>
            <w:r w:rsidRPr="002E5DBE">
              <w:rPr>
                <w:bCs/>
                <w:i/>
                <w:color w:val="000000" w:themeColor="text1"/>
                <w:sz w:val="21"/>
                <w:lang w:val="en-US"/>
              </w:rPr>
              <w:t>Adult ADHD (as per the DIVA 2.0)</w:t>
            </w:r>
          </w:p>
        </w:tc>
        <w:tc>
          <w:tcPr>
            <w:tcW w:w="161" w:type="dxa"/>
          </w:tcPr>
          <w:p w:rsidR="00D13D04" w:rsidRPr="002E5DBE" w:rsidRDefault="00D13D04" w:rsidP="00D13D04">
            <w:pPr>
              <w:spacing w:line="276" w:lineRule="auto"/>
              <w:ind w:right="-6"/>
              <w:jc w:val="center"/>
              <w:rPr>
                <w:bCs/>
                <w:i/>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p>
        </w:tc>
        <w:tc>
          <w:tcPr>
            <w:tcW w:w="1394" w:type="dxa"/>
          </w:tcPr>
          <w:p w:rsidR="00D13D04" w:rsidRPr="002E5DBE" w:rsidRDefault="00D13D04" w:rsidP="00D13D04">
            <w:pPr>
              <w:spacing w:line="276" w:lineRule="auto"/>
              <w:ind w:right="-6"/>
              <w:jc w:val="center"/>
              <w:rPr>
                <w:bCs/>
                <w:color w:val="000000" w:themeColor="text1"/>
                <w:sz w:val="21"/>
                <w:lang w:val="en-US"/>
              </w:rPr>
            </w:pPr>
          </w:p>
        </w:tc>
        <w:tc>
          <w:tcPr>
            <w:tcW w:w="1655" w:type="dxa"/>
          </w:tcPr>
          <w:p w:rsidR="00D13D04" w:rsidRPr="002E5DBE" w:rsidRDefault="00D13D04" w:rsidP="00D13D04">
            <w:pPr>
              <w:spacing w:line="276" w:lineRule="auto"/>
              <w:ind w:right="-6"/>
              <w:jc w:val="center"/>
              <w:rPr>
                <w:bCs/>
                <w:i/>
                <w:color w:val="000000" w:themeColor="text1"/>
                <w:sz w:val="21"/>
                <w:lang w:val="en-US"/>
              </w:rPr>
            </w:pPr>
          </w:p>
        </w:tc>
        <w:tc>
          <w:tcPr>
            <w:tcW w:w="801" w:type="dxa"/>
          </w:tcPr>
          <w:p w:rsidR="00D13D04" w:rsidRPr="002E5DBE" w:rsidRDefault="00D13D04" w:rsidP="00D13D04">
            <w:pPr>
              <w:spacing w:line="276" w:lineRule="auto"/>
              <w:ind w:right="-6"/>
              <w:jc w:val="center"/>
              <w:rPr>
                <w:bCs/>
                <w:color w:val="000000" w:themeColor="text1"/>
                <w:sz w:val="21"/>
                <w:lang w:val="en-US"/>
              </w:rPr>
            </w:pPr>
          </w:p>
        </w:tc>
      </w:tr>
      <w:tr w:rsidR="002E5DBE" w:rsidRPr="002E5DBE" w:rsidTr="00D13D04">
        <w:trPr>
          <w:trHeight w:val="20"/>
        </w:trPr>
        <w:tc>
          <w:tcPr>
            <w:tcW w:w="3758" w:type="dxa"/>
            <w:noWrap/>
            <w:vAlign w:val="bottom"/>
          </w:tcPr>
          <w:p w:rsidR="00D13D04" w:rsidRPr="002E5DBE" w:rsidRDefault="00D13D04" w:rsidP="00D13D04">
            <w:pPr>
              <w:spacing w:line="276" w:lineRule="auto"/>
              <w:ind w:right="-6"/>
              <w:jc w:val="left"/>
              <w:rPr>
                <w:bCs/>
                <w:iCs/>
                <w:color w:val="000000" w:themeColor="text1"/>
                <w:sz w:val="21"/>
                <w:lang w:val="en-US"/>
              </w:rPr>
            </w:pPr>
            <w:r w:rsidRPr="002E5DBE">
              <w:rPr>
                <w:bCs/>
                <w:color w:val="000000" w:themeColor="text1"/>
                <w:sz w:val="21"/>
                <w:lang w:val="en-US"/>
              </w:rPr>
              <w:t xml:space="preserve">   Prevalence</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75.7% (28)</w:t>
            </w:r>
          </w:p>
        </w:tc>
        <w:tc>
          <w:tcPr>
            <w:tcW w:w="1394"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0% (0)</w:t>
            </w:r>
          </w:p>
        </w:tc>
        <w:tc>
          <w:tcPr>
            <w:tcW w:w="1655" w:type="dxa"/>
          </w:tcPr>
          <w:p w:rsidR="00D13D04" w:rsidRPr="002E5DBE" w:rsidRDefault="00D13D04" w:rsidP="00D13D04">
            <w:pPr>
              <w:spacing w:line="276" w:lineRule="auto"/>
              <w:ind w:right="-6"/>
              <w:jc w:val="center"/>
              <w:rPr>
                <w:bCs/>
                <w:i/>
                <w:color w:val="000000" w:themeColor="text1"/>
                <w:sz w:val="21"/>
                <w:lang w:val="en-US"/>
              </w:rPr>
            </w:pPr>
            <w:r w:rsidRPr="002E5DBE">
              <w:rPr>
                <w:bCs/>
                <w:i/>
                <w:color w:val="000000" w:themeColor="text1"/>
                <w:sz w:val="21"/>
                <w:lang w:val="en-US"/>
              </w:rPr>
              <w:t>-</w:t>
            </w:r>
          </w:p>
        </w:tc>
        <w:tc>
          <w:tcPr>
            <w:tcW w:w="801"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w:t>
            </w:r>
          </w:p>
        </w:tc>
      </w:tr>
      <w:tr w:rsidR="002E5DBE" w:rsidRPr="002E5DBE" w:rsidTr="00D13D04">
        <w:trPr>
          <w:trHeight w:val="20"/>
        </w:trPr>
        <w:tc>
          <w:tcPr>
            <w:tcW w:w="3758" w:type="dxa"/>
            <w:noWrap/>
            <w:vAlign w:val="bottom"/>
          </w:tcPr>
          <w:p w:rsidR="00D13D04" w:rsidRPr="002E5DBE" w:rsidRDefault="00D13D04" w:rsidP="00D13D04">
            <w:pPr>
              <w:spacing w:line="276" w:lineRule="auto"/>
              <w:ind w:right="-6"/>
              <w:jc w:val="left"/>
              <w:rPr>
                <w:bCs/>
                <w:color w:val="000000" w:themeColor="text1"/>
                <w:sz w:val="21"/>
                <w:lang w:val="en-US"/>
              </w:rPr>
            </w:pPr>
            <w:r w:rsidRPr="002E5DBE">
              <w:rPr>
                <w:bCs/>
                <w:iCs/>
                <w:color w:val="000000" w:themeColor="text1"/>
                <w:sz w:val="21"/>
                <w:lang w:val="en-US"/>
              </w:rPr>
              <w:t xml:space="preserve">   Number of hyperactive impulsive symptoms (adult)</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5.9 ± 2.4</w:t>
            </w:r>
          </w:p>
        </w:tc>
        <w:tc>
          <w:tcPr>
            <w:tcW w:w="1394"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2.9 ± 2.6</w:t>
            </w:r>
          </w:p>
        </w:tc>
        <w:tc>
          <w:tcPr>
            <w:tcW w:w="1655"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1.54 [1.28-1.85]</w:t>
            </w:r>
          </w:p>
        </w:tc>
        <w:tc>
          <w:tcPr>
            <w:tcW w:w="801"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&lt;.001</w:t>
            </w:r>
          </w:p>
        </w:tc>
      </w:tr>
      <w:tr w:rsidR="002E5DBE" w:rsidRPr="002E5DBE" w:rsidTr="00D13D04">
        <w:trPr>
          <w:trHeight w:val="20"/>
        </w:trPr>
        <w:tc>
          <w:tcPr>
            <w:tcW w:w="3758" w:type="dxa"/>
            <w:noWrap/>
            <w:vAlign w:val="bottom"/>
          </w:tcPr>
          <w:p w:rsidR="00D13D04" w:rsidRPr="002E5DBE" w:rsidRDefault="00D13D04" w:rsidP="00D13D04">
            <w:pPr>
              <w:spacing w:line="276" w:lineRule="auto"/>
              <w:ind w:right="-6"/>
              <w:jc w:val="left"/>
              <w:rPr>
                <w:bCs/>
                <w:color w:val="000000" w:themeColor="text1"/>
                <w:sz w:val="21"/>
                <w:lang w:val="en-US"/>
              </w:rPr>
            </w:pPr>
            <w:r w:rsidRPr="002E5DBE">
              <w:rPr>
                <w:bCs/>
                <w:iCs/>
                <w:color w:val="000000" w:themeColor="text1"/>
                <w:sz w:val="21"/>
                <w:lang w:val="en-US"/>
              </w:rPr>
              <w:t xml:space="preserve">   Number of inattentive symptoms (adult)</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5.8 ± 2.8</w:t>
            </w:r>
          </w:p>
        </w:tc>
        <w:tc>
          <w:tcPr>
            <w:tcW w:w="1394"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2.9 ± 3.1</w:t>
            </w:r>
          </w:p>
        </w:tc>
        <w:tc>
          <w:tcPr>
            <w:tcW w:w="1655"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1.35 [1.17-1.56]</w:t>
            </w:r>
          </w:p>
        </w:tc>
        <w:tc>
          <w:tcPr>
            <w:tcW w:w="801"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&lt;.001</w:t>
            </w:r>
          </w:p>
        </w:tc>
      </w:tr>
      <w:tr w:rsidR="002E5DBE" w:rsidRPr="002E5DBE" w:rsidTr="00D13D04">
        <w:trPr>
          <w:trHeight w:val="20"/>
        </w:trPr>
        <w:tc>
          <w:tcPr>
            <w:tcW w:w="3758" w:type="dxa"/>
            <w:noWrap/>
            <w:vAlign w:val="bottom"/>
            <w:hideMark/>
          </w:tcPr>
          <w:p w:rsidR="00D13D04" w:rsidRPr="002E5DBE" w:rsidRDefault="00D13D04" w:rsidP="00D13D04">
            <w:pPr>
              <w:spacing w:line="276" w:lineRule="auto"/>
              <w:ind w:right="-6"/>
              <w:jc w:val="left"/>
              <w:rPr>
                <w:bCs/>
                <w:color w:val="000000" w:themeColor="text1"/>
                <w:sz w:val="21"/>
                <w:lang w:val="en-US"/>
              </w:rPr>
            </w:pP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hideMark/>
          </w:tcPr>
          <w:p w:rsidR="00D13D04" w:rsidRPr="002E5DBE" w:rsidRDefault="00D13D04" w:rsidP="00D13D04">
            <w:pPr>
              <w:spacing w:line="276" w:lineRule="auto"/>
              <w:ind w:right="-6"/>
              <w:jc w:val="center"/>
              <w:rPr>
                <w:bCs/>
                <w:color w:val="000000" w:themeColor="text1"/>
                <w:sz w:val="21"/>
                <w:lang w:val="en-US"/>
              </w:rPr>
            </w:pPr>
          </w:p>
        </w:tc>
        <w:tc>
          <w:tcPr>
            <w:tcW w:w="1394" w:type="dxa"/>
            <w:hideMark/>
          </w:tcPr>
          <w:p w:rsidR="00D13D04" w:rsidRPr="002E5DBE" w:rsidRDefault="00D13D04" w:rsidP="00D13D04">
            <w:pPr>
              <w:spacing w:line="276" w:lineRule="auto"/>
              <w:ind w:right="-6"/>
              <w:jc w:val="center"/>
              <w:rPr>
                <w:bCs/>
                <w:color w:val="000000" w:themeColor="text1"/>
                <w:sz w:val="21"/>
                <w:lang w:val="en-US"/>
              </w:rPr>
            </w:pPr>
          </w:p>
        </w:tc>
        <w:tc>
          <w:tcPr>
            <w:tcW w:w="1655" w:type="dxa"/>
          </w:tcPr>
          <w:p w:rsidR="00D13D04" w:rsidRPr="002E5DBE" w:rsidRDefault="00D13D04" w:rsidP="00D13D04">
            <w:pPr>
              <w:spacing w:line="276" w:lineRule="auto"/>
              <w:ind w:right="-6"/>
              <w:jc w:val="center"/>
              <w:rPr>
                <w:bCs/>
                <w:color w:val="000000" w:themeColor="text1"/>
                <w:sz w:val="21"/>
                <w:lang w:val="en-US"/>
              </w:rPr>
            </w:pPr>
          </w:p>
        </w:tc>
        <w:tc>
          <w:tcPr>
            <w:tcW w:w="801" w:type="dxa"/>
          </w:tcPr>
          <w:p w:rsidR="00D13D04" w:rsidRPr="002E5DBE" w:rsidRDefault="00D13D04" w:rsidP="00D13D04">
            <w:pPr>
              <w:spacing w:line="276" w:lineRule="auto"/>
              <w:ind w:right="-6"/>
              <w:jc w:val="center"/>
              <w:rPr>
                <w:bCs/>
                <w:color w:val="000000" w:themeColor="text1"/>
                <w:sz w:val="21"/>
                <w:lang w:val="en-US"/>
              </w:rPr>
            </w:pPr>
          </w:p>
        </w:tc>
      </w:tr>
      <w:tr w:rsidR="002E5DBE" w:rsidRPr="0088729A" w:rsidTr="00D13D04">
        <w:trPr>
          <w:trHeight w:val="20"/>
        </w:trPr>
        <w:tc>
          <w:tcPr>
            <w:tcW w:w="3758" w:type="dxa"/>
            <w:noWrap/>
            <w:vAlign w:val="bottom"/>
            <w:hideMark/>
          </w:tcPr>
          <w:p w:rsidR="00D13D04" w:rsidRPr="002E5DBE" w:rsidRDefault="00D13D04" w:rsidP="00D13D04">
            <w:pPr>
              <w:spacing w:line="276" w:lineRule="auto"/>
              <w:ind w:right="-6"/>
              <w:jc w:val="left"/>
              <w:rPr>
                <w:bCs/>
                <w:color w:val="000000" w:themeColor="text1"/>
                <w:sz w:val="21"/>
                <w:lang w:val="en-US"/>
              </w:rPr>
            </w:pPr>
            <w:r w:rsidRPr="002E5DBE">
              <w:rPr>
                <w:bCs/>
                <w:i/>
                <w:iCs/>
                <w:color w:val="000000" w:themeColor="text1"/>
                <w:sz w:val="21"/>
                <w:lang w:val="en-US"/>
              </w:rPr>
              <w:t>Childhood ADHD (</w:t>
            </w:r>
            <w:r w:rsidRPr="002E5DBE">
              <w:rPr>
                <w:bCs/>
                <w:i/>
                <w:color w:val="000000" w:themeColor="text1"/>
                <w:sz w:val="21"/>
                <w:lang w:val="en-US"/>
              </w:rPr>
              <w:t xml:space="preserve">as per the </w:t>
            </w:r>
            <w:r w:rsidRPr="002E5DBE">
              <w:rPr>
                <w:bCs/>
                <w:i/>
                <w:iCs/>
                <w:color w:val="000000" w:themeColor="text1"/>
                <w:sz w:val="21"/>
                <w:lang w:val="en-US"/>
              </w:rPr>
              <w:t>DIVA 2.0)</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hideMark/>
          </w:tcPr>
          <w:p w:rsidR="00D13D04" w:rsidRPr="002E5DBE" w:rsidRDefault="00D13D04" w:rsidP="00D13D04">
            <w:pPr>
              <w:spacing w:line="276" w:lineRule="auto"/>
              <w:ind w:right="-6"/>
              <w:jc w:val="center"/>
              <w:rPr>
                <w:bCs/>
                <w:color w:val="000000" w:themeColor="text1"/>
                <w:sz w:val="21"/>
                <w:lang w:val="en-US"/>
              </w:rPr>
            </w:pPr>
          </w:p>
        </w:tc>
        <w:tc>
          <w:tcPr>
            <w:tcW w:w="1394" w:type="dxa"/>
            <w:hideMark/>
          </w:tcPr>
          <w:p w:rsidR="00D13D04" w:rsidRPr="002E5DBE" w:rsidRDefault="00D13D04" w:rsidP="00D13D04">
            <w:pPr>
              <w:spacing w:line="276" w:lineRule="auto"/>
              <w:ind w:right="-6"/>
              <w:jc w:val="center"/>
              <w:rPr>
                <w:bCs/>
                <w:color w:val="000000" w:themeColor="text1"/>
                <w:sz w:val="21"/>
                <w:lang w:val="en-US"/>
              </w:rPr>
            </w:pPr>
          </w:p>
        </w:tc>
        <w:tc>
          <w:tcPr>
            <w:tcW w:w="1655" w:type="dxa"/>
            <w:hideMark/>
          </w:tcPr>
          <w:p w:rsidR="00D13D04" w:rsidRPr="002E5DBE" w:rsidRDefault="00D13D04" w:rsidP="00D13D04">
            <w:pPr>
              <w:spacing w:line="276" w:lineRule="auto"/>
              <w:ind w:right="-6"/>
              <w:jc w:val="center"/>
              <w:rPr>
                <w:bCs/>
                <w:color w:val="000000" w:themeColor="text1"/>
                <w:sz w:val="21"/>
                <w:lang w:val="en-US"/>
              </w:rPr>
            </w:pPr>
          </w:p>
        </w:tc>
        <w:tc>
          <w:tcPr>
            <w:tcW w:w="801" w:type="dxa"/>
            <w:hideMark/>
          </w:tcPr>
          <w:p w:rsidR="00D13D04" w:rsidRPr="002E5DBE" w:rsidRDefault="00D13D04" w:rsidP="00D13D04">
            <w:pPr>
              <w:spacing w:line="276" w:lineRule="auto"/>
              <w:ind w:right="-6"/>
              <w:jc w:val="center"/>
              <w:rPr>
                <w:bCs/>
                <w:color w:val="000000" w:themeColor="text1"/>
                <w:sz w:val="21"/>
                <w:lang w:val="en-US"/>
              </w:rPr>
            </w:pPr>
          </w:p>
        </w:tc>
      </w:tr>
      <w:tr w:rsidR="002E5DBE" w:rsidRPr="002E5DBE" w:rsidTr="00D13D04">
        <w:trPr>
          <w:trHeight w:val="20"/>
        </w:trPr>
        <w:tc>
          <w:tcPr>
            <w:tcW w:w="3758" w:type="dxa"/>
            <w:noWrap/>
            <w:vAlign w:val="bottom"/>
          </w:tcPr>
          <w:p w:rsidR="00D13D04" w:rsidRPr="002E5DBE" w:rsidRDefault="00D13D04" w:rsidP="00D13D04">
            <w:pPr>
              <w:spacing w:line="276" w:lineRule="auto"/>
              <w:ind w:right="-6"/>
              <w:jc w:val="left"/>
              <w:rPr>
                <w:bCs/>
                <w:iCs/>
                <w:color w:val="000000" w:themeColor="text1"/>
                <w:sz w:val="21"/>
                <w:lang w:val="en-US"/>
              </w:rPr>
            </w:pPr>
            <w:r w:rsidRPr="002E5DBE">
              <w:rPr>
                <w:bCs/>
                <w:iCs/>
                <w:color w:val="000000" w:themeColor="text1"/>
                <w:sz w:val="21"/>
                <w:lang w:val="en-US"/>
              </w:rPr>
              <w:t xml:space="preserve">   Prevalence</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100% (37)</w:t>
            </w:r>
          </w:p>
        </w:tc>
        <w:tc>
          <w:tcPr>
            <w:tcW w:w="1394"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0% (0)</w:t>
            </w:r>
          </w:p>
        </w:tc>
        <w:tc>
          <w:tcPr>
            <w:tcW w:w="1655" w:type="dxa"/>
          </w:tcPr>
          <w:p w:rsidR="00D13D04" w:rsidRPr="002E5DBE" w:rsidRDefault="00D13D04" w:rsidP="00D13D04">
            <w:pPr>
              <w:spacing w:line="276" w:lineRule="auto"/>
              <w:ind w:right="-6"/>
              <w:jc w:val="center"/>
              <w:rPr>
                <w:bCs/>
                <w:i/>
                <w:color w:val="000000" w:themeColor="text1"/>
                <w:sz w:val="21"/>
                <w:lang w:val="en-US"/>
              </w:rPr>
            </w:pPr>
            <w:r w:rsidRPr="002E5DBE">
              <w:rPr>
                <w:bCs/>
                <w:i/>
                <w:color w:val="000000" w:themeColor="text1"/>
                <w:sz w:val="21"/>
                <w:lang w:val="en-US"/>
              </w:rPr>
              <w:t>-</w:t>
            </w:r>
          </w:p>
        </w:tc>
        <w:tc>
          <w:tcPr>
            <w:tcW w:w="801"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w:t>
            </w:r>
          </w:p>
        </w:tc>
      </w:tr>
      <w:tr w:rsidR="002E5DBE" w:rsidRPr="002E5DBE" w:rsidTr="00D13D04">
        <w:trPr>
          <w:trHeight w:val="20"/>
        </w:trPr>
        <w:tc>
          <w:tcPr>
            <w:tcW w:w="3758" w:type="dxa"/>
            <w:noWrap/>
            <w:vAlign w:val="bottom"/>
          </w:tcPr>
          <w:p w:rsidR="00D13D04" w:rsidRPr="002E5DBE" w:rsidRDefault="00D13D04" w:rsidP="00D13D04">
            <w:pPr>
              <w:spacing w:line="276" w:lineRule="auto"/>
              <w:ind w:right="-6"/>
              <w:jc w:val="left"/>
              <w:rPr>
                <w:bCs/>
                <w:color w:val="000000" w:themeColor="text1"/>
                <w:sz w:val="21"/>
                <w:lang w:val="en-US"/>
              </w:rPr>
            </w:pPr>
            <w:r w:rsidRPr="002E5DBE">
              <w:rPr>
                <w:bCs/>
                <w:iCs/>
                <w:color w:val="000000" w:themeColor="text1"/>
                <w:sz w:val="21"/>
                <w:lang w:val="en-US"/>
              </w:rPr>
              <w:t xml:space="preserve">   Number of hyperactive impulsive symptoms (childhood)</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5.6 ± 2.8</w:t>
            </w:r>
          </w:p>
        </w:tc>
        <w:tc>
          <w:tcPr>
            <w:tcW w:w="1394"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1.4 ± 1.7</w:t>
            </w:r>
          </w:p>
        </w:tc>
        <w:tc>
          <w:tcPr>
            <w:tcW w:w="1655"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1.95 [1.54-2.46]</w:t>
            </w:r>
          </w:p>
        </w:tc>
        <w:tc>
          <w:tcPr>
            <w:tcW w:w="801"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&lt;.001</w:t>
            </w:r>
          </w:p>
        </w:tc>
      </w:tr>
      <w:tr w:rsidR="002E5DBE" w:rsidRPr="002E5DBE" w:rsidTr="00D13D04">
        <w:trPr>
          <w:trHeight w:val="20"/>
        </w:trPr>
        <w:tc>
          <w:tcPr>
            <w:tcW w:w="3758" w:type="dxa"/>
            <w:noWrap/>
            <w:vAlign w:val="bottom"/>
          </w:tcPr>
          <w:p w:rsidR="00D13D04" w:rsidRPr="002E5DBE" w:rsidRDefault="00D13D04" w:rsidP="00D13D04">
            <w:pPr>
              <w:spacing w:line="276" w:lineRule="auto"/>
              <w:ind w:right="-6"/>
              <w:jc w:val="left"/>
              <w:rPr>
                <w:bCs/>
                <w:color w:val="000000" w:themeColor="text1"/>
                <w:sz w:val="21"/>
                <w:lang w:val="en-US"/>
              </w:rPr>
            </w:pPr>
            <w:r w:rsidRPr="002E5DBE">
              <w:rPr>
                <w:bCs/>
                <w:iCs/>
                <w:color w:val="000000" w:themeColor="text1"/>
                <w:sz w:val="21"/>
                <w:lang w:val="en-US"/>
              </w:rPr>
              <w:t xml:space="preserve">   Number of inattentive symptoms (childhood)</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6.7 ± 2.5</w:t>
            </w:r>
          </w:p>
        </w:tc>
        <w:tc>
          <w:tcPr>
            <w:tcW w:w="1394"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1.9 ± 2.3</w:t>
            </w:r>
          </w:p>
        </w:tc>
        <w:tc>
          <w:tcPr>
            <w:tcW w:w="1655"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1.90 [1.51-2.37]</w:t>
            </w:r>
          </w:p>
        </w:tc>
        <w:tc>
          <w:tcPr>
            <w:tcW w:w="801"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&lt;.001</w:t>
            </w:r>
          </w:p>
        </w:tc>
      </w:tr>
      <w:tr w:rsidR="002E5DBE" w:rsidRPr="002E5DBE" w:rsidTr="00D13D04">
        <w:trPr>
          <w:trHeight w:val="20"/>
        </w:trPr>
        <w:tc>
          <w:tcPr>
            <w:tcW w:w="3758" w:type="dxa"/>
            <w:noWrap/>
            <w:vAlign w:val="bottom"/>
            <w:hideMark/>
          </w:tcPr>
          <w:p w:rsidR="00D13D04" w:rsidRPr="002E5DBE" w:rsidRDefault="00D13D04" w:rsidP="00D13D04">
            <w:pPr>
              <w:spacing w:line="276" w:lineRule="auto"/>
              <w:ind w:right="-6"/>
              <w:jc w:val="left"/>
              <w:rPr>
                <w:bCs/>
                <w:color w:val="000000" w:themeColor="text1"/>
                <w:sz w:val="21"/>
                <w:lang w:val="en-US"/>
              </w:rPr>
            </w:pP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hideMark/>
          </w:tcPr>
          <w:p w:rsidR="00D13D04" w:rsidRPr="002E5DBE" w:rsidRDefault="00D13D04" w:rsidP="00D13D04">
            <w:pPr>
              <w:spacing w:line="276" w:lineRule="auto"/>
              <w:ind w:right="-6"/>
              <w:jc w:val="center"/>
              <w:rPr>
                <w:bCs/>
                <w:color w:val="000000" w:themeColor="text1"/>
                <w:sz w:val="21"/>
                <w:lang w:val="en-US"/>
              </w:rPr>
            </w:pPr>
          </w:p>
        </w:tc>
        <w:tc>
          <w:tcPr>
            <w:tcW w:w="1394" w:type="dxa"/>
            <w:hideMark/>
          </w:tcPr>
          <w:p w:rsidR="00D13D04" w:rsidRPr="002E5DBE" w:rsidRDefault="00D13D04" w:rsidP="00D13D04">
            <w:pPr>
              <w:spacing w:line="276" w:lineRule="auto"/>
              <w:ind w:right="-6"/>
              <w:jc w:val="center"/>
              <w:rPr>
                <w:bCs/>
                <w:color w:val="000000" w:themeColor="text1"/>
                <w:sz w:val="21"/>
                <w:lang w:val="en-US"/>
              </w:rPr>
            </w:pPr>
          </w:p>
        </w:tc>
        <w:tc>
          <w:tcPr>
            <w:tcW w:w="1655" w:type="dxa"/>
          </w:tcPr>
          <w:p w:rsidR="00D13D04" w:rsidRPr="002E5DBE" w:rsidRDefault="00D13D04" w:rsidP="00D13D04">
            <w:pPr>
              <w:spacing w:line="276" w:lineRule="auto"/>
              <w:ind w:right="-6"/>
              <w:jc w:val="center"/>
              <w:rPr>
                <w:bCs/>
                <w:color w:val="000000" w:themeColor="text1"/>
                <w:sz w:val="21"/>
                <w:lang w:val="en-US"/>
              </w:rPr>
            </w:pPr>
          </w:p>
        </w:tc>
        <w:tc>
          <w:tcPr>
            <w:tcW w:w="801" w:type="dxa"/>
          </w:tcPr>
          <w:p w:rsidR="00D13D04" w:rsidRPr="002E5DBE" w:rsidRDefault="00D13D04" w:rsidP="00D13D04">
            <w:pPr>
              <w:spacing w:line="276" w:lineRule="auto"/>
              <w:ind w:right="-6"/>
              <w:jc w:val="center"/>
              <w:rPr>
                <w:bCs/>
                <w:color w:val="000000" w:themeColor="text1"/>
                <w:sz w:val="21"/>
                <w:lang w:val="en-US"/>
              </w:rPr>
            </w:pPr>
          </w:p>
        </w:tc>
      </w:tr>
      <w:tr w:rsidR="002E5DBE" w:rsidRPr="0088729A" w:rsidTr="00D13D04">
        <w:trPr>
          <w:trHeight w:val="20"/>
        </w:trPr>
        <w:tc>
          <w:tcPr>
            <w:tcW w:w="3758" w:type="dxa"/>
            <w:noWrap/>
            <w:vAlign w:val="bottom"/>
            <w:hideMark/>
          </w:tcPr>
          <w:p w:rsidR="00D13D04" w:rsidRPr="002E5DBE" w:rsidRDefault="00D13D04" w:rsidP="00D13D04">
            <w:pPr>
              <w:spacing w:line="276" w:lineRule="auto"/>
              <w:ind w:right="-6"/>
              <w:jc w:val="left"/>
              <w:rPr>
                <w:bCs/>
                <w:color w:val="000000" w:themeColor="text1"/>
                <w:sz w:val="21"/>
                <w:lang w:val="en-US"/>
              </w:rPr>
            </w:pPr>
            <w:r w:rsidRPr="002E5DBE">
              <w:rPr>
                <w:bCs/>
                <w:i/>
                <w:iCs/>
                <w:color w:val="000000" w:themeColor="text1"/>
                <w:sz w:val="21"/>
                <w:lang w:val="en-US"/>
              </w:rPr>
              <w:t>Food addiction (</w:t>
            </w:r>
            <w:r w:rsidRPr="002E5DBE">
              <w:rPr>
                <w:bCs/>
                <w:i/>
                <w:color w:val="000000" w:themeColor="text1"/>
                <w:sz w:val="21"/>
                <w:lang w:val="en-US"/>
              </w:rPr>
              <w:t xml:space="preserve">as per the </w:t>
            </w:r>
            <w:r w:rsidRPr="002E5DBE">
              <w:rPr>
                <w:bCs/>
                <w:i/>
                <w:iCs/>
                <w:color w:val="000000" w:themeColor="text1"/>
                <w:sz w:val="21"/>
                <w:lang w:val="en-US"/>
              </w:rPr>
              <w:t>YFAS 2.0)</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hideMark/>
          </w:tcPr>
          <w:p w:rsidR="00D13D04" w:rsidRPr="002E5DBE" w:rsidRDefault="00D13D04" w:rsidP="00D13D04">
            <w:pPr>
              <w:spacing w:line="276" w:lineRule="auto"/>
              <w:ind w:right="-6"/>
              <w:jc w:val="center"/>
              <w:rPr>
                <w:bCs/>
                <w:color w:val="000000" w:themeColor="text1"/>
                <w:sz w:val="21"/>
                <w:lang w:val="en-US"/>
              </w:rPr>
            </w:pPr>
          </w:p>
        </w:tc>
        <w:tc>
          <w:tcPr>
            <w:tcW w:w="1394" w:type="dxa"/>
            <w:hideMark/>
          </w:tcPr>
          <w:p w:rsidR="00D13D04" w:rsidRPr="002E5DBE" w:rsidRDefault="00D13D04" w:rsidP="00D13D04">
            <w:pPr>
              <w:spacing w:line="276" w:lineRule="auto"/>
              <w:ind w:right="-6"/>
              <w:jc w:val="center"/>
              <w:rPr>
                <w:bCs/>
                <w:color w:val="000000" w:themeColor="text1"/>
                <w:sz w:val="21"/>
                <w:lang w:val="en-US"/>
              </w:rPr>
            </w:pPr>
          </w:p>
        </w:tc>
        <w:tc>
          <w:tcPr>
            <w:tcW w:w="1655" w:type="dxa"/>
          </w:tcPr>
          <w:p w:rsidR="00D13D04" w:rsidRPr="002E5DBE" w:rsidRDefault="00D13D04" w:rsidP="00D13D04">
            <w:pPr>
              <w:spacing w:line="276" w:lineRule="auto"/>
              <w:ind w:right="-6"/>
              <w:jc w:val="center"/>
              <w:rPr>
                <w:bCs/>
                <w:color w:val="000000" w:themeColor="text1"/>
                <w:sz w:val="21"/>
                <w:lang w:val="en-US"/>
              </w:rPr>
            </w:pPr>
          </w:p>
        </w:tc>
        <w:tc>
          <w:tcPr>
            <w:tcW w:w="801" w:type="dxa"/>
          </w:tcPr>
          <w:p w:rsidR="00D13D04" w:rsidRPr="002E5DBE" w:rsidRDefault="00D13D04" w:rsidP="00D13D04">
            <w:pPr>
              <w:spacing w:line="276" w:lineRule="auto"/>
              <w:ind w:right="-6"/>
              <w:jc w:val="center"/>
              <w:rPr>
                <w:bCs/>
                <w:color w:val="000000" w:themeColor="text1"/>
                <w:sz w:val="21"/>
                <w:lang w:val="en-US"/>
              </w:rPr>
            </w:pPr>
          </w:p>
        </w:tc>
      </w:tr>
      <w:tr w:rsidR="002E5DBE" w:rsidRPr="002E5DBE" w:rsidTr="00D13D04">
        <w:trPr>
          <w:trHeight w:val="20"/>
        </w:trPr>
        <w:tc>
          <w:tcPr>
            <w:tcW w:w="3758" w:type="dxa"/>
            <w:noWrap/>
            <w:hideMark/>
          </w:tcPr>
          <w:p w:rsidR="00D13D04" w:rsidRPr="002E5DBE" w:rsidRDefault="00D13D04" w:rsidP="00D13D04">
            <w:pPr>
              <w:spacing w:line="276" w:lineRule="auto"/>
              <w:ind w:right="-6"/>
              <w:jc w:val="left"/>
              <w:rPr>
                <w:bCs/>
                <w:color w:val="000000" w:themeColor="text1"/>
                <w:sz w:val="21"/>
                <w:lang w:val="en-US"/>
              </w:rPr>
            </w:pPr>
            <w:r w:rsidRPr="002E5DBE">
              <w:rPr>
                <w:bCs/>
                <w:color w:val="000000" w:themeColor="text1"/>
                <w:sz w:val="21"/>
                <w:lang w:val="en-US"/>
              </w:rPr>
              <w:t xml:space="preserve">   Prevalence of food addiction</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24.3% (9)</w:t>
            </w:r>
          </w:p>
        </w:tc>
        <w:tc>
          <w:tcPr>
            <w:tcW w:w="1394"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8.8% (6)</w:t>
            </w:r>
          </w:p>
        </w:tc>
        <w:tc>
          <w:tcPr>
            <w:tcW w:w="1655"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3.32 [1.08-10.23]</w:t>
            </w:r>
          </w:p>
        </w:tc>
        <w:tc>
          <w:tcPr>
            <w:tcW w:w="801"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.034</w:t>
            </w:r>
          </w:p>
        </w:tc>
      </w:tr>
      <w:tr w:rsidR="002E5DBE" w:rsidRPr="002E5DBE" w:rsidTr="00D13D04">
        <w:trPr>
          <w:trHeight w:val="20"/>
        </w:trPr>
        <w:tc>
          <w:tcPr>
            <w:tcW w:w="3758" w:type="dxa"/>
            <w:noWrap/>
            <w:hideMark/>
          </w:tcPr>
          <w:p w:rsidR="00D13D04" w:rsidRPr="002E5DBE" w:rsidRDefault="00D13D04" w:rsidP="00D13D04">
            <w:pPr>
              <w:spacing w:line="276" w:lineRule="auto"/>
              <w:ind w:right="-6"/>
              <w:jc w:val="left"/>
              <w:rPr>
                <w:bCs/>
                <w:color w:val="000000" w:themeColor="text1"/>
                <w:sz w:val="21"/>
                <w:lang w:val="en-US"/>
              </w:rPr>
            </w:pPr>
            <w:r w:rsidRPr="002E5DBE">
              <w:rPr>
                <w:bCs/>
                <w:color w:val="000000" w:themeColor="text1"/>
                <w:sz w:val="21"/>
                <w:lang w:val="en-US"/>
              </w:rPr>
              <w:t xml:space="preserve">   Number of food addiction symptoms</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2.7 ± 2.9</w:t>
            </w:r>
          </w:p>
        </w:tc>
        <w:tc>
          <w:tcPr>
            <w:tcW w:w="1394"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1.2 ± 1.9</w:t>
            </w:r>
          </w:p>
        </w:tc>
        <w:tc>
          <w:tcPr>
            <w:tcW w:w="1655"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1.29 [1.08-1.55]</w:t>
            </w:r>
          </w:p>
        </w:tc>
        <w:tc>
          <w:tcPr>
            <w:tcW w:w="801"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.006</w:t>
            </w:r>
          </w:p>
        </w:tc>
      </w:tr>
      <w:tr w:rsidR="002E5DBE" w:rsidRPr="002E5DBE" w:rsidTr="00D13D04">
        <w:trPr>
          <w:trHeight w:val="20"/>
        </w:trPr>
        <w:tc>
          <w:tcPr>
            <w:tcW w:w="3758" w:type="dxa"/>
            <w:noWrap/>
            <w:hideMark/>
          </w:tcPr>
          <w:p w:rsidR="00D13D04" w:rsidRPr="002E5DBE" w:rsidRDefault="00D13D04" w:rsidP="00D13D04">
            <w:pPr>
              <w:spacing w:line="276" w:lineRule="auto"/>
              <w:ind w:right="-6"/>
              <w:jc w:val="left"/>
              <w:rPr>
                <w:bCs/>
                <w:color w:val="000000" w:themeColor="text1"/>
                <w:sz w:val="21"/>
                <w:lang w:val="en-US"/>
              </w:rPr>
            </w:pPr>
            <w:r w:rsidRPr="002E5DBE">
              <w:rPr>
                <w:bCs/>
                <w:color w:val="000000" w:themeColor="text1"/>
                <w:sz w:val="21"/>
                <w:lang w:val="en-US"/>
              </w:rPr>
              <w:t xml:space="preserve">   Significant distress in relation to food</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17.1% (10)</w:t>
            </w:r>
          </w:p>
        </w:tc>
        <w:tc>
          <w:tcPr>
            <w:tcW w:w="1394"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11.8% (8)</w:t>
            </w:r>
          </w:p>
        </w:tc>
        <w:tc>
          <w:tcPr>
            <w:tcW w:w="1655"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2.78 [.99-10.30]</w:t>
            </w:r>
          </w:p>
        </w:tc>
        <w:tc>
          <w:tcPr>
            <w:tcW w:w="801" w:type="dxa"/>
            <w:hideMark/>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.053</w:t>
            </w:r>
          </w:p>
        </w:tc>
      </w:tr>
      <w:tr w:rsidR="002E5DBE" w:rsidRPr="002E5DBE" w:rsidTr="00D13D04">
        <w:trPr>
          <w:trHeight w:val="20"/>
        </w:trPr>
        <w:tc>
          <w:tcPr>
            <w:tcW w:w="3758" w:type="dxa"/>
            <w:noWrap/>
          </w:tcPr>
          <w:p w:rsidR="00D13D04" w:rsidRPr="002E5DBE" w:rsidRDefault="00D13D04" w:rsidP="00D13D04">
            <w:pPr>
              <w:spacing w:line="276" w:lineRule="auto"/>
              <w:ind w:right="-6"/>
              <w:jc w:val="left"/>
              <w:rPr>
                <w:bCs/>
                <w:color w:val="000000" w:themeColor="text1"/>
                <w:sz w:val="21"/>
                <w:lang w:val="en-US"/>
              </w:rPr>
            </w:pP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p>
        </w:tc>
        <w:tc>
          <w:tcPr>
            <w:tcW w:w="1394" w:type="dxa"/>
          </w:tcPr>
          <w:p w:rsidR="00D13D04" w:rsidRPr="002E5DBE" w:rsidRDefault="00D13D04" w:rsidP="00D13D04">
            <w:pPr>
              <w:spacing w:line="276" w:lineRule="auto"/>
              <w:ind w:right="-6"/>
              <w:jc w:val="center"/>
              <w:rPr>
                <w:bCs/>
                <w:color w:val="000000" w:themeColor="text1"/>
                <w:sz w:val="21"/>
                <w:lang w:val="en-US"/>
              </w:rPr>
            </w:pPr>
          </w:p>
        </w:tc>
        <w:tc>
          <w:tcPr>
            <w:tcW w:w="1655" w:type="dxa"/>
          </w:tcPr>
          <w:p w:rsidR="00D13D04" w:rsidRPr="002E5DBE" w:rsidRDefault="00D13D04" w:rsidP="00D13D04">
            <w:pPr>
              <w:spacing w:line="276" w:lineRule="auto"/>
              <w:ind w:right="-6"/>
              <w:jc w:val="center"/>
              <w:rPr>
                <w:bCs/>
                <w:color w:val="000000" w:themeColor="text1"/>
                <w:sz w:val="21"/>
                <w:lang w:val="en-US"/>
              </w:rPr>
            </w:pPr>
          </w:p>
        </w:tc>
        <w:tc>
          <w:tcPr>
            <w:tcW w:w="801" w:type="dxa"/>
          </w:tcPr>
          <w:p w:rsidR="00D13D04" w:rsidRPr="002E5DBE" w:rsidRDefault="00D13D04" w:rsidP="00D13D04">
            <w:pPr>
              <w:spacing w:line="276" w:lineRule="auto"/>
              <w:ind w:right="-6"/>
              <w:jc w:val="center"/>
              <w:rPr>
                <w:bCs/>
                <w:color w:val="000000" w:themeColor="text1"/>
                <w:sz w:val="21"/>
                <w:lang w:val="en-US"/>
              </w:rPr>
            </w:pPr>
          </w:p>
        </w:tc>
      </w:tr>
      <w:tr w:rsidR="002E5DBE" w:rsidRPr="002E5DBE" w:rsidTr="00D13D04">
        <w:trPr>
          <w:trHeight w:val="20"/>
        </w:trPr>
        <w:tc>
          <w:tcPr>
            <w:tcW w:w="3758" w:type="dxa"/>
            <w:noWrap/>
            <w:hideMark/>
          </w:tcPr>
          <w:p w:rsidR="00D13D04" w:rsidRPr="002E5DBE" w:rsidRDefault="00D13D04" w:rsidP="00D13D04">
            <w:pPr>
              <w:spacing w:line="276" w:lineRule="auto"/>
              <w:ind w:right="-6"/>
              <w:jc w:val="left"/>
              <w:rPr>
                <w:bCs/>
                <w:i/>
                <w:color w:val="000000" w:themeColor="text1"/>
                <w:sz w:val="21"/>
                <w:lang w:val="en-US"/>
              </w:rPr>
            </w:pPr>
            <w:r w:rsidRPr="002E5DBE">
              <w:rPr>
                <w:bCs/>
                <w:i/>
                <w:color w:val="000000" w:themeColor="text1"/>
                <w:sz w:val="21"/>
                <w:lang w:val="en-US"/>
              </w:rPr>
              <w:t>Binge eating severity (BES total score)</w:t>
            </w:r>
          </w:p>
        </w:tc>
        <w:tc>
          <w:tcPr>
            <w:tcW w:w="161" w:type="dxa"/>
          </w:tcPr>
          <w:p w:rsidR="00D13D04" w:rsidRPr="002E5DBE" w:rsidRDefault="00D13D04" w:rsidP="00D13D04">
            <w:pPr>
              <w:spacing w:line="276" w:lineRule="auto"/>
              <w:ind w:right="-6"/>
              <w:jc w:val="center"/>
              <w:rPr>
                <w:bCs/>
                <w:color w:val="000000" w:themeColor="text1"/>
                <w:sz w:val="21"/>
                <w:lang w:val="en-US"/>
              </w:rPr>
            </w:pPr>
          </w:p>
        </w:tc>
        <w:tc>
          <w:tcPr>
            <w:tcW w:w="1396"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11.6 ± 10.5</w:t>
            </w:r>
          </w:p>
        </w:tc>
        <w:tc>
          <w:tcPr>
            <w:tcW w:w="1394"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7.4 ± 7.5</w:t>
            </w:r>
          </w:p>
        </w:tc>
        <w:tc>
          <w:tcPr>
            <w:tcW w:w="1655"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1.06 [1.01-1.11]</w:t>
            </w:r>
          </w:p>
        </w:tc>
        <w:tc>
          <w:tcPr>
            <w:tcW w:w="801" w:type="dxa"/>
          </w:tcPr>
          <w:p w:rsidR="00D13D04" w:rsidRPr="002E5DBE" w:rsidRDefault="00D13D04" w:rsidP="00D13D04">
            <w:pPr>
              <w:spacing w:line="276" w:lineRule="auto"/>
              <w:ind w:right="-6"/>
              <w:jc w:val="center"/>
              <w:rPr>
                <w:bCs/>
                <w:color w:val="000000" w:themeColor="text1"/>
                <w:sz w:val="21"/>
                <w:lang w:val="en-US"/>
              </w:rPr>
            </w:pPr>
            <w:r w:rsidRPr="002E5DBE">
              <w:rPr>
                <w:bCs/>
                <w:color w:val="000000" w:themeColor="text1"/>
                <w:sz w:val="21"/>
                <w:lang w:val="en-US"/>
              </w:rPr>
              <w:t>.025</w:t>
            </w:r>
          </w:p>
        </w:tc>
      </w:tr>
      <w:tr w:rsidR="002E5DBE" w:rsidRPr="002E5DBE" w:rsidTr="00D13D04">
        <w:trPr>
          <w:trHeight w:val="20"/>
        </w:trPr>
        <w:tc>
          <w:tcPr>
            <w:tcW w:w="3758" w:type="dxa"/>
            <w:tcBorders>
              <w:top w:val="nil"/>
              <w:left w:val="nil"/>
              <w:bottom w:val="single" w:sz="4" w:space="0" w:color="auto"/>
              <w:right w:val="nil"/>
            </w:tcBorders>
            <w:noWrap/>
            <w:vAlign w:val="bottom"/>
          </w:tcPr>
          <w:p w:rsidR="00D13D04" w:rsidRPr="002E5DBE" w:rsidRDefault="00D13D04" w:rsidP="00D13D04">
            <w:pPr>
              <w:spacing w:line="276" w:lineRule="auto"/>
              <w:ind w:right="-6"/>
              <w:jc w:val="left"/>
              <w:rPr>
                <w:bCs/>
                <w:color w:val="000000" w:themeColor="text1"/>
                <w:sz w:val="21"/>
                <w:lang w:val="en-US"/>
              </w:rPr>
            </w:pPr>
          </w:p>
        </w:tc>
        <w:tc>
          <w:tcPr>
            <w:tcW w:w="161" w:type="dxa"/>
            <w:tcBorders>
              <w:top w:val="nil"/>
              <w:left w:val="nil"/>
              <w:bottom w:val="single" w:sz="4" w:space="0" w:color="auto"/>
              <w:right w:val="nil"/>
            </w:tcBorders>
          </w:tcPr>
          <w:p w:rsidR="00D13D04" w:rsidRPr="002E5DBE" w:rsidRDefault="00D13D04" w:rsidP="00D13D04">
            <w:pPr>
              <w:spacing w:line="276" w:lineRule="auto"/>
              <w:ind w:right="-6"/>
              <w:jc w:val="center"/>
              <w:rPr>
                <w:color w:val="000000" w:themeColor="text1"/>
                <w:sz w:val="21"/>
                <w:lang w:val="en-US"/>
              </w:rPr>
            </w:pPr>
          </w:p>
        </w:tc>
        <w:tc>
          <w:tcPr>
            <w:tcW w:w="1396" w:type="dxa"/>
            <w:tcBorders>
              <w:top w:val="nil"/>
              <w:left w:val="nil"/>
              <w:bottom w:val="single" w:sz="4" w:space="0" w:color="auto"/>
              <w:right w:val="nil"/>
            </w:tcBorders>
          </w:tcPr>
          <w:p w:rsidR="00D13D04" w:rsidRPr="002E5DBE" w:rsidRDefault="00D13D04" w:rsidP="00D13D04">
            <w:pPr>
              <w:spacing w:line="276" w:lineRule="auto"/>
              <w:ind w:right="-6"/>
              <w:jc w:val="center"/>
              <w:rPr>
                <w:color w:val="000000" w:themeColor="text1"/>
                <w:sz w:val="21"/>
                <w:lang w:val="en-US"/>
              </w:rPr>
            </w:pPr>
          </w:p>
        </w:tc>
        <w:tc>
          <w:tcPr>
            <w:tcW w:w="1394" w:type="dxa"/>
            <w:tcBorders>
              <w:top w:val="nil"/>
              <w:left w:val="nil"/>
              <w:bottom w:val="single" w:sz="4" w:space="0" w:color="auto"/>
              <w:right w:val="nil"/>
            </w:tcBorders>
          </w:tcPr>
          <w:p w:rsidR="00D13D04" w:rsidRPr="002E5DBE" w:rsidRDefault="00D13D04" w:rsidP="00D13D04">
            <w:pPr>
              <w:spacing w:line="276" w:lineRule="auto"/>
              <w:ind w:right="-6"/>
              <w:jc w:val="center"/>
              <w:rPr>
                <w:color w:val="000000" w:themeColor="text1"/>
                <w:sz w:val="21"/>
                <w:lang w:val="en-US"/>
              </w:rPr>
            </w:pPr>
          </w:p>
        </w:tc>
        <w:tc>
          <w:tcPr>
            <w:tcW w:w="1655" w:type="dxa"/>
            <w:tcBorders>
              <w:top w:val="nil"/>
              <w:left w:val="nil"/>
              <w:bottom w:val="single" w:sz="4" w:space="0" w:color="auto"/>
              <w:right w:val="nil"/>
            </w:tcBorders>
          </w:tcPr>
          <w:p w:rsidR="00D13D04" w:rsidRPr="002E5DBE" w:rsidRDefault="00D13D04" w:rsidP="00D13D04">
            <w:pPr>
              <w:spacing w:line="276" w:lineRule="auto"/>
              <w:ind w:right="-6"/>
              <w:jc w:val="center"/>
              <w:rPr>
                <w:color w:val="000000" w:themeColor="text1"/>
                <w:sz w:val="21"/>
                <w:lang w:val="en-US"/>
              </w:rPr>
            </w:pPr>
          </w:p>
        </w:tc>
        <w:tc>
          <w:tcPr>
            <w:tcW w:w="801" w:type="dxa"/>
            <w:tcBorders>
              <w:top w:val="nil"/>
              <w:left w:val="nil"/>
              <w:bottom w:val="single" w:sz="4" w:space="0" w:color="auto"/>
              <w:right w:val="nil"/>
            </w:tcBorders>
          </w:tcPr>
          <w:p w:rsidR="00D13D04" w:rsidRPr="002E5DBE" w:rsidRDefault="00D13D04" w:rsidP="00D13D04">
            <w:pPr>
              <w:spacing w:line="276" w:lineRule="auto"/>
              <w:ind w:right="-6"/>
              <w:jc w:val="center"/>
              <w:rPr>
                <w:color w:val="000000" w:themeColor="text1"/>
                <w:sz w:val="21"/>
                <w:lang w:val="en-US"/>
              </w:rPr>
            </w:pPr>
          </w:p>
        </w:tc>
      </w:tr>
    </w:tbl>
    <w:p w:rsidR="0088729A" w:rsidRDefault="00D13D04" w:rsidP="00D13D04">
      <w:pPr>
        <w:rPr>
          <w:bCs/>
          <w:color w:val="000000" w:themeColor="text1"/>
          <w:sz w:val="21"/>
          <w:lang w:val="en-US"/>
        </w:rPr>
        <w:sectPr w:rsidR="0088729A" w:rsidSect="00D13D04">
          <w:pgSz w:w="11900" w:h="16840"/>
          <w:pgMar w:top="1417" w:right="1417" w:bottom="1417" w:left="1417" w:header="708" w:footer="708" w:gutter="0"/>
          <w:cols w:space="720"/>
        </w:sectPr>
      </w:pPr>
      <w:r w:rsidRPr="002E5DBE">
        <w:rPr>
          <w:bCs/>
          <w:i/>
          <w:color w:val="000000" w:themeColor="text1"/>
          <w:sz w:val="21"/>
          <w:lang w:val="en-US"/>
        </w:rPr>
        <w:t>Note.</w:t>
      </w:r>
      <w:r w:rsidRPr="002E5DBE">
        <w:rPr>
          <w:bCs/>
          <w:color w:val="000000" w:themeColor="text1"/>
          <w:sz w:val="21"/>
          <w:lang w:val="en-US"/>
        </w:rPr>
        <w:t xml:space="preserve"> Descriptive data are presented as mean ± standard deviation (SD) or percentage (number). We compared patients with versus without adult ADHD using univariate logistic regression analyses: results are presented as Odds-Ratio, its Confidence Interval at 95% [95% CI] and its associated </w:t>
      </w:r>
      <w:r w:rsidRPr="002E5DBE">
        <w:rPr>
          <w:bCs/>
          <w:i/>
          <w:color w:val="000000" w:themeColor="text1"/>
          <w:sz w:val="21"/>
          <w:lang w:val="en-US"/>
        </w:rPr>
        <w:t>p</w:t>
      </w:r>
      <w:r w:rsidRPr="002E5DBE">
        <w:rPr>
          <w:bCs/>
          <w:color w:val="000000" w:themeColor="text1"/>
          <w:sz w:val="21"/>
          <w:lang w:val="en-US"/>
        </w:rPr>
        <w:t>-value (two-tailed). ADHD: Attention-Deficit/Hyperactivity Disorder; BES: Binge Eating Scale; BMI: Body Mass Index; DIVA: Diagnostisch Interview Voor ADHD bij volwassenen; YFAS 2.0: Yale Food Addiction Scale version 2.0 (based on DSM-5 criteria for addictive disorders).</w:t>
      </w:r>
    </w:p>
    <w:p w:rsidR="00D13D04" w:rsidRDefault="00D13D04" w:rsidP="00D13D04">
      <w:pPr>
        <w:rPr>
          <w:bCs/>
          <w:color w:val="000000" w:themeColor="text1"/>
          <w:sz w:val="21"/>
          <w:lang w:val="en-US"/>
        </w:rPr>
      </w:pPr>
    </w:p>
    <w:p w:rsidR="0088729A" w:rsidRPr="002E5DBE" w:rsidRDefault="0088729A" w:rsidP="00D13D04">
      <w:pPr>
        <w:rPr>
          <w:color w:val="000000" w:themeColor="text1"/>
          <w:sz w:val="28"/>
          <w:lang w:val="en-US"/>
        </w:rPr>
      </w:pPr>
    </w:p>
    <w:p w:rsidR="0088729A" w:rsidRPr="003B486A" w:rsidRDefault="0088729A" w:rsidP="0088729A">
      <w:pPr>
        <w:pStyle w:val="Caption"/>
        <w:keepNext/>
        <w:rPr>
          <w:lang w:val="en-US"/>
        </w:rPr>
      </w:pPr>
      <w:r w:rsidRPr="003B486A">
        <w:rPr>
          <w:b/>
          <w:sz w:val="20"/>
          <w:lang w:val="en-US"/>
        </w:rPr>
        <w:t xml:space="preserve">SUPPLEMENTAL TABLE 1. Correlations between food addiction, binge eating, mean number of adult and childhood ADHD symptoms, current BMI and age in the whole sample (n=105). </w:t>
      </w:r>
    </w:p>
    <w:tbl>
      <w:tblPr>
        <w:tblW w:w="11335" w:type="dxa"/>
        <w:tblLayout w:type="fixed"/>
        <w:tblCellMar>
          <w:left w:w="70" w:type="dxa"/>
          <w:right w:w="70" w:type="dxa"/>
        </w:tblCellMar>
        <w:tblLook w:val="00A0" w:firstRow="1" w:lastRow="0" w:firstColumn="1" w:lastColumn="0" w:noHBand="0" w:noVBand="0"/>
      </w:tblPr>
      <w:tblGrid>
        <w:gridCol w:w="5812"/>
        <w:gridCol w:w="690"/>
        <w:gridCol w:w="690"/>
        <w:gridCol w:w="690"/>
        <w:gridCol w:w="690"/>
        <w:gridCol w:w="690"/>
        <w:gridCol w:w="691"/>
        <w:gridCol w:w="691"/>
        <w:gridCol w:w="691"/>
      </w:tblGrid>
      <w:tr w:rsidR="0088729A" w:rsidRPr="003B486A" w:rsidTr="00B851D3">
        <w:trPr>
          <w:trHeight w:val="20"/>
        </w:trPr>
        <w:tc>
          <w:tcPr>
            <w:tcW w:w="5812" w:type="dxa"/>
            <w:tcBorders>
              <w:top w:val="single" w:sz="4" w:space="0" w:color="auto"/>
              <w:left w:val="nil"/>
              <w:bottom w:val="single" w:sz="4" w:space="0" w:color="auto"/>
              <w:right w:val="nil"/>
            </w:tcBorders>
            <w:noWrap/>
            <w:vAlign w:val="bottom"/>
          </w:tcPr>
          <w:p w:rsidR="0088729A" w:rsidRPr="003B486A" w:rsidRDefault="0088729A" w:rsidP="00B851D3">
            <w:pPr>
              <w:rPr>
                <w:bCs/>
                <w:color w:val="FF0000"/>
                <w:sz w:val="20"/>
                <w:lang w:val="en-US"/>
              </w:rPr>
            </w:pPr>
          </w:p>
        </w:tc>
        <w:tc>
          <w:tcPr>
            <w:tcW w:w="690" w:type="dxa"/>
            <w:tcBorders>
              <w:top w:val="single" w:sz="4" w:space="0" w:color="auto"/>
              <w:left w:val="nil"/>
              <w:bottom w:val="single" w:sz="4" w:space="0" w:color="auto"/>
              <w:right w:val="nil"/>
            </w:tcBorders>
          </w:tcPr>
          <w:p w:rsidR="0088729A" w:rsidRPr="003B486A" w:rsidRDefault="0088729A" w:rsidP="00B851D3">
            <w:pPr>
              <w:jc w:val="center"/>
              <w:rPr>
                <w:b/>
                <w:bCs/>
                <w:sz w:val="20"/>
                <w:lang w:val="en-US"/>
              </w:rPr>
            </w:pPr>
            <w:r w:rsidRPr="003B486A">
              <w:rPr>
                <w:b/>
                <w:bCs/>
                <w:sz w:val="20"/>
                <w:lang w:val="en-US"/>
              </w:rPr>
              <w:t>1</w:t>
            </w:r>
          </w:p>
        </w:tc>
        <w:tc>
          <w:tcPr>
            <w:tcW w:w="690" w:type="dxa"/>
            <w:tcBorders>
              <w:top w:val="single" w:sz="4" w:space="0" w:color="auto"/>
              <w:left w:val="nil"/>
              <w:bottom w:val="single" w:sz="4" w:space="0" w:color="auto"/>
              <w:right w:val="nil"/>
            </w:tcBorders>
          </w:tcPr>
          <w:p w:rsidR="0088729A" w:rsidRPr="003B486A" w:rsidRDefault="0088729A" w:rsidP="00B851D3">
            <w:pPr>
              <w:jc w:val="center"/>
              <w:rPr>
                <w:b/>
                <w:bCs/>
                <w:sz w:val="20"/>
                <w:lang w:val="en-US"/>
              </w:rPr>
            </w:pPr>
            <w:r w:rsidRPr="003B486A">
              <w:rPr>
                <w:b/>
                <w:bCs/>
                <w:sz w:val="20"/>
                <w:lang w:val="en-US"/>
              </w:rPr>
              <w:t>2</w:t>
            </w:r>
          </w:p>
        </w:tc>
        <w:tc>
          <w:tcPr>
            <w:tcW w:w="690" w:type="dxa"/>
            <w:tcBorders>
              <w:top w:val="single" w:sz="4" w:space="0" w:color="auto"/>
              <w:left w:val="nil"/>
              <w:bottom w:val="single" w:sz="4" w:space="0" w:color="auto"/>
              <w:right w:val="nil"/>
            </w:tcBorders>
          </w:tcPr>
          <w:p w:rsidR="0088729A" w:rsidRPr="003B486A" w:rsidRDefault="0088729A" w:rsidP="00B851D3">
            <w:pPr>
              <w:jc w:val="center"/>
              <w:rPr>
                <w:b/>
                <w:bCs/>
                <w:iCs/>
                <w:sz w:val="20"/>
                <w:lang w:val="en-US"/>
              </w:rPr>
            </w:pPr>
            <w:r w:rsidRPr="003B486A">
              <w:rPr>
                <w:b/>
                <w:bCs/>
                <w:iCs/>
                <w:sz w:val="20"/>
                <w:lang w:val="en-US"/>
              </w:rPr>
              <w:t>3</w:t>
            </w:r>
          </w:p>
        </w:tc>
        <w:tc>
          <w:tcPr>
            <w:tcW w:w="690" w:type="dxa"/>
            <w:tcBorders>
              <w:top w:val="single" w:sz="4" w:space="0" w:color="auto"/>
              <w:left w:val="nil"/>
              <w:bottom w:val="single" w:sz="4" w:space="0" w:color="auto"/>
              <w:right w:val="nil"/>
            </w:tcBorders>
          </w:tcPr>
          <w:p w:rsidR="0088729A" w:rsidRPr="003B486A" w:rsidRDefault="0088729A" w:rsidP="00B851D3">
            <w:pPr>
              <w:jc w:val="center"/>
              <w:rPr>
                <w:b/>
                <w:bCs/>
                <w:iCs/>
                <w:sz w:val="20"/>
                <w:lang w:val="en-US"/>
              </w:rPr>
            </w:pPr>
            <w:r w:rsidRPr="003B486A">
              <w:rPr>
                <w:b/>
                <w:bCs/>
                <w:iCs/>
                <w:sz w:val="20"/>
                <w:lang w:val="en-US"/>
              </w:rPr>
              <w:t>4</w:t>
            </w:r>
          </w:p>
        </w:tc>
        <w:tc>
          <w:tcPr>
            <w:tcW w:w="690" w:type="dxa"/>
            <w:tcBorders>
              <w:top w:val="single" w:sz="4" w:space="0" w:color="auto"/>
              <w:left w:val="nil"/>
              <w:bottom w:val="single" w:sz="4" w:space="0" w:color="auto"/>
              <w:right w:val="nil"/>
            </w:tcBorders>
          </w:tcPr>
          <w:p w:rsidR="0088729A" w:rsidRPr="003B486A" w:rsidRDefault="0088729A" w:rsidP="00B851D3">
            <w:pPr>
              <w:jc w:val="center"/>
              <w:rPr>
                <w:b/>
                <w:bCs/>
                <w:iCs/>
                <w:sz w:val="20"/>
                <w:lang w:val="en-US"/>
              </w:rPr>
            </w:pPr>
            <w:r w:rsidRPr="003B486A">
              <w:rPr>
                <w:b/>
                <w:bCs/>
                <w:iCs/>
                <w:sz w:val="20"/>
                <w:lang w:val="en-US"/>
              </w:rPr>
              <w:t>5</w:t>
            </w:r>
          </w:p>
        </w:tc>
        <w:tc>
          <w:tcPr>
            <w:tcW w:w="691" w:type="dxa"/>
            <w:tcBorders>
              <w:top w:val="single" w:sz="4" w:space="0" w:color="auto"/>
              <w:left w:val="nil"/>
              <w:bottom w:val="single" w:sz="4" w:space="0" w:color="auto"/>
              <w:right w:val="nil"/>
            </w:tcBorders>
          </w:tcPr>
          <w:p w:rsidR="0088729A" w:rsidRPr="003B486A" w:rsidRDefault="0088729A" w:rsidP="00B851D3">
            <w:pPr>
              <w:jc w:val="center"/>
              <w:rPr>
                <w:b/>
                <w:bCs/>
                <w:iCs/>
                <w:sz w:val="20"/>
                <w:lang w:val="en-US"/>
              </w:rPr>
            </w:pPr>
            <w:r w:rsidRPr="003B486A">
              <w:rPr>
                <w:b/>
                <w:bCs/>
                <w:iCs/>
                <w:sz w:val="20"/>
                <w:lang w:val="en-US"/>
              </w:rPr>
              <w:t>6</w:t>
            </w:r>
          </w:p>
        </w:tc>
        <w:tc>
          <w:tcPr>
            <w:tcW w:w="691" w:type="dxa"/>
            <w:tcBorders>
              <w:top w:val="single" w:sz="4" w:space="0" w:color="auto"/>
              <w:left w:val="nil"/>
              <w:bottom w:val="single" w:sz="4" w:space="0" w:color="auto"/>
              <w:right w:val="nil"/>
            </w:tcBorders>
          </w:tcPr>
          <w:p w:rsidR="0088729A" w:rsidRPr="003B486A" w:rsidRDefault="0088729A" w:rsidP="00B851D3">
            <w:pPr>
              <w:jc w:val="center"/>
              <w:rPr>
                <w:b/>
                <w:bCs/>
                <w:iCs/>
                <w:sz w:val="20"/>
                <w:lang w:val="en-US"/>
              </w:rPr>
            </w:pPr>
            <w:r w:rsidRPr="003B486A">
              <w:rPr>
                <w:b/>
                <w:bCs/>
                <w:iCs/>
                <w:sz w:val="20"/>
                <w:lang w:val="en-US"/>
              </w:rPr>
              <w:t>7</w:t>
            </w:r>
          </w:p>
        </w:tc>
        <w:tc>
          <w:tcPr>
            <w:tcW w:w="691" w:type="dxa"/>
            <w:tcBorders>
              <w:top w:val="single" w:sz="4" w:space="0" w:color="auto"/>
              <w:left w:val="nil"/>
              <w:bottom w:val="single" w:sz="4" w:space="0" w:color="auto"/>
              <w:right w:val="nil"/>
            </w:tcBorders>
          </w:tcPr>
          <w:p w:rsidR="0088729A" w:rsidRPr="003B486A" w:rsidRDefault="0088729A" w:rsidP="00B851D3">
            <w:pPr>
              <w:jc w:val="center"/>
              <w:rPr>
                <w:b/>
                <w:bCs/>
                <w:iCs/>
                <w:sz w:val="20"/>
                <w:lang w:val="en-US"/>
              </w:rPr>
            </w:pPr>
            <w:r w:rsidRPr="003B486A">
              <w:rPr>
                <w:b/>
                <w:bCs/>
                <w:iCs/>
                <w:sz w:val="20"/>
                <w:lang w:val="en-US"/>
              </w:rPr>
              <w:t>8</w:t>
            </w:r>
          </w:p>
        </w:tc>
      </w:tr>
      <w:tr w:rsidR="0088729A" w:rsidRPr="003B486A" w:rsidTr="00B851D3">
        <w:trPr>
          <w:trHeight w:val="20"/>
        </w:trPr>
        <w:tc>
          <w:tcPr>
            <w:tcW w:w="5812" w:type="dxa"/>
            <w:tcBorders>
              <w:top w:val="nil"/>
              <w:left w:val="nil"/>
              <w:bottom w:val="nil"/>
              <w:right w:val="nil"/>
            </w:tcBorders>
            <w:noWrap/>
            <w:vAlign w:val="bottom"/>
          </w:tcPr>
          <w:p w:rsidR="0088729A" w:rsidRPr="003B486A" w:rsidRDefault="0088729A" w:rsidP="00B851D3">
            <w:pPr>
              <w:jc w:val="left"/>
              <w:rPr>
                <w:bCs/>
                <w:iCs/>
                <w:sz w:val="20"/>
                <w:lang w:val="en-US"/>
              </w:rPr>
            </w:pPr>
            <w:r w:rsidRPr="003B486A">
              <w:rPr>
                <w:bCs/>
                <w:iCs/>
                <w:sz w:val="20"/>
                <w:lang w:val="en-US"/>
              </w:rPr>
              <w:t>1. Food addiction score (YFAS 2.0)</w:t>
            </w:r>
          </w:p>
        </w:tc>
        <w:tc>
          <w:tcPr>
            <w:tcW w:w="690" w:type="dxa"/>
            <w:tcBorders>
              <w:top w:val="nil"/>
              <w:left w:val="nil"/>
              <w:bottom w:val="nil"/>
              <w:right w:val="nil"/>
            </w:tcBorders>
            <w:vAlign w:val="bottom"/>
          </w:tcPr>
          <w:p w:rsidR="0088729A" w:rsidRPr="003B486A" w:rsidRDefault="0088729A" w:rsidP="00B851D3">
            <w:pPr>
              <w:jc w:val="center"/>
              <w:rPr>
                <w:bCs/>
                <w:sz w:val="20"/>
                <w:lang w:val="en-US"/>
              </w:rPr>
            </w:pPr>
            <w:r w:rsidRPr="003B486A">
              <w:rPr>
                <w:bCs/>
                <w:sz w:val="20"/>
                <w:lang w:val="en-US"/>
              </w:rPr>
              <w:t>-</w:t>
            </w:r>
          </w:p>
        </w:tc>
        <w:tc>
          <w:tcPr>
            <w:tcW w:w="690" w:type="dxa"/>
            <w:tcBorders>
              <w:top w:val="nil"/>
              <w:left w:val="nil"/>
              <w:bottom w:val="nil"/>
              <w:right w:val="nil"/>
            </w:tcBorders>
          </w:tcPr>
          <w:p w:rsidR="0088729A" w:rsidRPr="003B486A" w:rsidRDefault="0088729A" w:rsidP="00B851D3">
            <w:pPr>
              <w:jc w:val="center"/>
              <w:rPr>
                <w:bCs/>
                <w:sz w:val="20"/>
                <w:lang w:val="en-US"/>
              </w:rPr>
            </w:pPr>
          </w:p>
        </w:tc>
        <w:tc>
          <w:tcPr>
            <w:tcW w:w="690" w:type="dxa"/>
            <w:tcBorders>
              <w:top w:val="nil"/>
              <w:left w:val="nil"/>
              <w:bottom w:val="nil"/>
              <w:right w:val="nil"/>
            </w:tcBorders>
          </w:tcPr>
          <w:p w:rsidR="0088729A" w:rsidRPr="003B486A" w:rsidRDefault="0088729A" w:rsidP="00B851D3">
            <w:pPr>
              <w:jc w:val="center"/>
              <w:rPr>
                <w:bCs/>
                <w:sz w:val="20"/>
                <w:lang w:val="en-US"/>
              </w:rPr>
            </w:pPr>
          </w:p>
        </w:tc>
        <w:tc>
          <w:tcPr>
            <w:tcW w:w="690" w:type="dxa"/>
            <w:tcBorders>
              <w:top w:val="nil"/>
              <w:left w:val="nil"/>
              <w:bottom w:val="nil"/>
              <w:right w:val="nil"/>
            </w:tcBorders>
          </w:tcPr>
          <w:p w:rsidR="0088729A" w:rsidRPr="003B486A" w:rsidRDefault="0088729A" w:rsidP="00B851D3">
            <w:pPr>
              <w:jc w:val="center"/>
              <w:rPr>
                <w:bCs/>
                <w:sz w:val="20"/>
                <w:lang w:val="en-US"/>
              </w:rPr>
            </w:pPr>
          </w:p>
        </w:tc>
        <w:tc>
          <w:tcPr>
            <w:tcW w:w="690" w:type="dxa"/>
            <w:tcBorders>
              <w:top w:val="nil"/>
              <w:left w:val="nil"/>
              <w:bottom w:val="nil"/>
              <w:right w:val="nil"/>
            </w:tcBorders>
          </w:tcPr>
          <w:p w:rsidR="0088729A" w:rsidRPr="003B486A" w:rsidRDefault="0088729A" w:rsidP="00B851D3">
            <w:pPr>
              <w:jc w:val="center"/>
              <w:rPr>
                <w:bCs/>
                <w:sz w:val="20"/>
                <w:lang w:val="en-US"/>
              </w:rPr>
            </w:pPr>
          </w:p>
        </w:tc>
        <w:tc>
          <w:tcPr>
            <w:tcW w:w="691" w:type="dxa"/>
            <w:tcBorders>
              <w:top w:val="nil"/>
              <w:left w:val="nil"/>
              <w:bottom w:val="nil"/>
              <w:right w:val="nil"/>
            </w:tcBorders>
          </w:tcPr>
          <w:p w:rsidR="0088729A" w:rsidRPr="003B486A" w:rsidRDefault="0088729A" w:rsidP="00B851D3">
            <w:pPr>
              <w:jc w:val="center"/>
              <w:rPr>
                <w:bCs/>
                <w:sz w:val="20"/>
                <w:lang w:val="en-US"/>
              </w:rPr>
            </w:pPr>
          </w:p>
        </w:tc>
        <w:tc>
          <w:tcPr>
            <w:tcW w:w="691" w:type="dxa"/>
            <w:tcBorders>
              <w:top w:val="nil"/>
              <w:left w:val="nil"/>
              <w:bottom w:val="nil"/>
              <w:right w:val="nil"/>
            </w:tcBorders>
          </w:tcPr>
          <w:p w:rsidR="0088729A" w:rsidRPr="003B486A" w:rsidRDefault="0088729A" w:rsidP="00B851D3">
            <w:pPr>
              <w:jc w:val="center"/>
              <w:rPr>
                <w:bCs/>
                <w:sz w:val="20"/>
                <w:lang w:val="en-US"/>
              </w:rPr>
            </w:pPr>
          </w:p>
        </w:tc>
        <w:tc>
          <w:tcPr>
            <w:tcW w:w="691" w:type="dxa"/>
            <w:tcBorders>
              <w:top w:val="nil"/>
              <w:left w:val="nil"/>
              <w:bottom w:val="nil"/>
              <w:right w:val="nil"/>
            </w:tcBorders>
          </w:tcPr>
          <w:p w:rsidR="0088729A" w:rsidRPr="003B486A" w:rsidRDefault="0088729A" w:rsidP="00B851D3">
            <w:pPr>
              <w:jc w:val="center"/>
              <w:rPr>
                <w:bCs/>
                <w:sz w:val="20"/>
                <w:lang w:val="en-US"/>
              </w:rPr>
            </w:pPr>
          </w:p>
        </w:tc>
      </w:tr>
      <w:tr w:rsidR="0088729A" w:rsidRPr="003B486A" w:rsidTr="00B851D3">
        <w:trPr>
          <w:trHeight w:val="70"/>
        </w:trPr>
        <w:tc>
          <w:tcPr>
            <w:tcW w:w="5812" w:type="dxa"/>
            <w:tcBorders>
              <w:top w:val="nil"/>
              <w:left w:val="nil"/>
              <w:bottom w:val="nil"/>
              <w:right w:val="nil"/>
            </w:tcBorders>
            <w:noWrap/>
            <w:vAlign w:val="bottom"/>
          </w:tcPr>
          <w:p w:rsidR="0088729A" w:rsidRPr="003B486A" w:rsidRDefault="0088729A" w:rsidP="00B851D3">
            <w:pPr>
              <w:jc w:val="left"/>
              <w:rPr>
                <w:bCs/>
                <w:sz w:val="20"/>
                <w:lang w:val="en-US"/>
              </w:rPr>
            </w:pPr>
            <w:r w:rsidRPr="003B486A">
              <w:rPr>
                <w:bCs/>
                <w:sz w:val="20"/>
                <w:lang w:val="en-US"/>
              </w:rPr>
              <w:t>2. Binge eating score (BES)</w:t>
            </w:r>
          </w:p>
        </w:tc>
        <w:tc>
          <w:tcPr>
            <w:tcW w:w="690" w:type="dxa"/>
            <w:tcBorders>
              <w:top w:val="nil"/>
              <w:left w:val="nil"/>
              <w:bottom w:val="nil"/>
              <w:right w:val="nil"/>
            </w:tcBorders>
            <w:vAlign w:val="bottom"/>
          </w:tcPr>
          <w:p w:rsidR="0088729A" w:rsidRPr="003B486A" w:rsidRDefault="0088729A" w:rsidP="00B851D3">
            <w:pPr>
              <w:jc w:val="center"/>
              <w:rPr>
                <w:bCs/>
                <w:sz w:val="20"/>
                <w:lang w:val="en-US"/>
              </w:rPr>
            </w:pPr>
            <w:r w:rsidRPr="003B486A">
              <w:rPr>
                <w:bCs/>
                <w:sz w:val="20"/>
                <w:lang w:val="en-US"/>
              </w:rPr>
              <w:t>.64</w:t>
            </w:r>
            <w:r w:rsidRPr="003B486A">
              <w:rPr>
                <w:bCs/>
                <w:sz w:val="20"/>
                <w:vertAlign w:val="superscript"/>
                <w:lang w:val="en-US"/>
              </w:rPr>
              <w:t>***</w:t>
            </w:r>
          </w:p>
        </w:tc>
        <w:tc>
          <w:tcPr>
            <w:tcW w:w="690" w:type="dxa"/>
            <w:tcBorders>
              <w:top w:val="nil"/>
              <w:left w:val="nil"/>
              <w:bottom w:val="nil"/>
              <w:right w:val="nil"/>
            </w:tcBorders>
          </w:tcPr>
          <w:p w:rsidR="0088729A" w:rsidRPr="003B486A" w:rsidRDefault="0088729A" w:rsidP="00B851D3">
            <w:pPr>
              <w:jc w:val="center"/>
              <w:rPr>
                <w:bCs/>
                <w:sz w:val="20"/>
                <w:lang w:val="en-US"/>
              </w:rPr>
            </w:pPr>
            <w:r w:rsidRPr="003B486A">
              <w:rPr>
                <w:bCs/>
                <w:sz w:val="20"/>
                <w:lang w:val="en-US"/>
              </w:rPr>
              <w:t>-</w:t>
            </w:r>
          </w:p>
        </w:tc>
        <w:tc>
          <w:tcPr>
            <w:tcW w:w="690" w:type="dxa"/>
            <w:tcBorders>
              <w:top w:val="nil"/>
              <w:left w:val="nil"/>
              <w:bottom w:val="nil"/>
              <w:right w:val="nil"/>
            </w:tcBorders>
          </w:tcPr>
          <w:p w:rsidR="0088729A" w:rsidRPr="003B486A" w:rsidRDefault="0088729A" w:rsidP="00B851D3">
            <w:pPr>
              <w:jc w:val="center"/>
              <w:rPr>
                <w:bCs/>
                <w:sz w:val="20"/>
                <w:lang w:val="en-US"/>
              </w:rPr>
            </w:pPr>
          </w:p>
        </w:tc>
        <w:tc>
          <w:tcPr>
            <w:tcW w:w="690" w:type="dxa"/>
            <w:tcBorders>
              <w:top w:val="nil"/>
              <w:left w:val="nil"/>
              <w:bottom w:val="nil"/>
              <w:right w:val="nil"/>
            </w:tcBorders>
          </w:tcPr>
          <w:p w:rsidR="0088729A" w:rsidRPr="003B486A" w:rsidRDefault="0088729A" w:rsidP="00B851D3">
            <w:pPr>
              <w:jc w:val="center"/>
              <w:rPr>
                <w:bCs/>
                <w:sz w:val="20"/>
                <w:lang w:val="en-US"/>
              </w:rPr>
            </w:pPr>
          </w:p>
        </w:tc>
        <w:tc>
          <w:tcPr>
            <w:tcW w:w="690" w:type="dxa"/>
            <w:tcBorders>
              <w:top w:val="nil"/>
              <w:left w:val="nil"/>
              <w:bottom w:val="nil"/>
              <w:right w:val="nil"/>
            </w:tcBorders>
          </w:tcPr>
          <w:p w:rsidR="0088729A" w:rsidRPr="003B486A" w:rsidRDefault="0088729A" w:rsidP="00B851D3">
            <w:pPr>
              <w:jc w:val="center"/>
              <w:rPr>
                <w:bCs/>
                <w:sz w:val="20"/>
                <w:lang w:val="en-US"/>
              </w:rPr>
            </w:pPr>
          </w:p>
        </w:tc>
        <w:tc>
          <w:tcPr>
            <w:tcW w:w="691" w:type="dxa"/>
            <w:tcBorders>
              <w:top w:val="nil"/>
              <w:left w:val="nil"/>
              <w:bottom w:val="nil"/>
              <w:right w:val="nil"/>
            </w:tcBorders>
          </w:tcPr>
          <w:p w:rsidR="0088729A" w:rsidRPr="003B486A" w:rsidRDefault="0088729A" w:rsidP="00B851D3">
            <w:pPr>
              <w:jc w:val="center"/>
              <w:rPr>
                <w:bCs/>
                <w:sz w:val="20"/>
                <w:lang w:val="en-US"/>
              </w:rPr>
            </w:pPr>
          </w:p>
        </w:tc>
        <w:tc>
          <w:tcPr>
            <w:tcW w:w="691" w:type="dxa"/>
            <w:tcBorders>
              <w:top w:val="nil"/>
              <w:left w:val="nil"/>
              <w:bottom w:val="nil"/>
              <w:right w:val="nil"/>
            </w:tcBorders>
          </w:tcPr>
          <w:p w:rsidR="0088729A" w:rsidRPr="003B486A" w:rsidRDefault="0088729A" w:rsidP="00B851D3">
            <w:pPr>
              <w:jc w:val="center"/>
              <w:rPr>
                <w:bCs/>
                <w:sz w:val="20"/>
                <w:lang w:val="en-US"/>
              </w:rPr>
            </w:pPr>
          </w:p>
        </w:tc>
        <w:tc>
          <w:tcPr>
            <w:tcW w:w="691" w:type="dxa"/>
            <w:tcBorders>
              <w:top w:val="nil"/>
              <w:left w:val="nil"/>
              <w:bottom w:val="nil"/>
              <w:right w:val="nil"/>
            </w:tcBorders>
          </w:tcPr>
          <w:p w:rsidR="0088729A" w:rsidRPr="003B486A" w:rsidRDefault="0088729A" w:rsidP="00B851D3">
            <w:pPr>
              <w:jc w:val="center"/>
              <w:rPr>
                <w:bCs/>
                <w:sz w:val="20"/>
                <w:lang w:val="en-US"/>
              </w:rPr>
            </w:pPr>
          </w:p>
        </w:tc>
      </w:tr>
      <w:tr w:rsidR="0088729A" w:rsidRPr="003B486A" w:rsidTr="00B851D3">
        <w:trPr>
          <w:trHeight w:val="70"/>
        </w:trPr>
        <w:tc>
          <w:tcPr>
            <w:tcW w:w="5812" w:type="dxa"/>
            <w:tcBorders>
              <w:top w:val="nil"/>
              <w:left w:val="nil"/>
              <w:bottom w:val="nil"/>
              <w:right w:val="nil"/>
            </w:tcBorders>
            <w:noWrap/>
            <w:vAlign w:val="bottom"/>
          </w:tcPr>
          <w:p w:rsidR="0088729A" w:rsidRPr="003B486A" w:rsidRDefault="0088729A" w:rsidP="00B851D3">
            <w:pPr>
              <w:jc w:val="left"/>
              <w:rPr>
                <w:bCs/>
                <w:sz w:val="20"/>
                <w:lang w:val="en-US"/>
              </w:rPr>
            </w:pPr>
            <w:r w:rsidRPr="003B486A">
              <w:rPr>
                <w:bCs/>
                <w:sz w:val="20"/>
                <w:lang w:val="en-US"/>
              </w:rPr>
              <w:t xml:space="preserve">3. Adult ADHD inattentive symptoms (DIVA 2.0) </w:t>
            </w:r>
          </w:p>
        </w:tc>
        <w:tc>
          <w:tcPr>
            <w:tcW w:w="690" w:type="dxa"/>
            <w:tcBorders>
              <w:top w:val="nil"/>
              <w:left w:val="nil"/>
              <w:bottom w:val="nil"/>
              <w:right w:val="nil"/>
            </w:tcBorders>
            <w:vAlign w:val="bottom"/>
          </w:tcPr>
          <w:p w:rsidR="0088729A" w:rsidRPr="003B486A" w:rsidRDefault="0088729A" w:rsidP="00B851D3">
            <w:pPr>
              <w:jc w:val="center"/>
              <w:rPr>
                <w:bCs/>
                <w:sz w:val="20"/>
                <w:lang w:val="en-US"/>
              </w:rPr>
            </w:pPr>
            <w:r w:rsidRPr="003B486A">
              <w:rPr>
                <w:bCs/>
                <w:sz w:val="20"/>
                <w:lang w:val="en-US"/>
              </w:rPr>
              <w:t>.36</w:t>
            </w:r>
            <w:r w:rsidRPr="003B486A">
              <w:rPr>
                <w:bCs/>
                <w:sz w:val="20"/>
                <w:vertAlign w:val="superscript"/>
                <w:lang w:val="en-US"/>
              </w:rPr>
              <w:t>***</w:t>
            </w:r>
          </w:p>
        </w:tc>
        <w:tc>
          <w:tcPr>
            <w:tcW w:w="690" w:type="dxa"/>
            <w:tcBorders>
              <w:top w:val="nil"/>
              <w:left w:val="nil"/>
              <w:bottom w:val="nil"/>
              <w:right w:val="nil"/>
            </w:tcBorders>
          </w:tcPr>
          <w:p w:rsidR="0088729A" w:rsidRPr="003B486A" w:rsidRDefault="0088729A" w:rsidP="00B851D3">
            <w:pPr>
              <w:jc w:val="center"/>
              <w:rPr>
                <w:bCs/>
                <w:sz w:val="20"/>
                <w:lang w:val="en-US"/>
              </w:rPr>
            </w:pPr>
            <w:r w:rsidRPr="003B486A">
              <w:rPr>
                <w:bCs/>
                <w:sz w:val="20"/>
                <w:lang w:val="en-US"/>
              </w:rPr>
              <w:t>.40</w:t>
            </w:r>
            <w:r w:rsidRPr="003B486A">
              <w:rPr>
                <w:bCs/>
                <w:sz w:val="20"/>
                <w:vertAlign w:val="superscript"/>
                <w:lang w:val="en-US"/>
              </w:rPr>
              <w:t>***</w:t>
            </w:r>
          </w:p>
        </w:tc>
        <w:tc>
          <w:tcPr>
            <w:tcW w:w="690" w:type="dxa"/>
            <w:tcBorders>
              <w:top w:val="nil"/>
              <w:left w:val="nil"/>
              <w:bottom w:val="nil"/>
              <w:right w:val="nil"/>
            </w:tcBorders>
          </w:tcPr>
          <w:p w:rsidR="0088729A" w:rsidRPr="003B486A" w:rsidRDefault="0088729A" w:rsidP="00B851D3">
            <w:pPr>
              <w:jc w:val="center"/>
              <w:rPr>
                <w:bCs/>
                <w:sz w:val="20"/>
                <w:lang w:val="en-US"/>
              </w:rPr>
            </w:pPr>
            <w:r w:rsidRPr="003B486A">
              <w:rPr>
                <w:bCs/>
                <w:sz w:val="20"/>
                <w:lang w:val="en-US"/>
              </w:rPr>
              <w:t>-</w:t>
            </w:r>
          </w:p>
        </w:tc>
        <w:tc>
          <w:tcPr>
            <w:tcW w:w="690" w:type="dxa"/>
            <w:tcBorders>
              <w:top w:val="nil"/>
              <w:left w:val="nil"/>
              <w:bottom w:val="nil"/>
              <w:right w:val="nil"/>
            </w:tcBorders>
          </w:tcPr>
          <w:p w:rsidR="0088729A" w:rsidRPr="003B486A" w:rsidRDefault="0088729A" w:rsidP="00B851D3">
            <w:pPr>
              <w:jc w:val="center"/>
              <w:rPr>
                <w:bCs/>
                <w:sz w:val="20"/>
                <w:lang w:val="en-US"/>
              </w:rPr>
            </w:pPr>
          </w:p>
        </w:tc>
        <w:tc>
          <w:tcPr>
            <w:tcW w:w="690" w:type="dxa"/>
            <w:tcBorders>
              <w:top w:val="nil"/>
              <w:left w:val="nil"/>
              <w:bottom w:val="nil"/>
              <w:right w:val="nil"/>
            </w:tcBorders>
          </w:tcPr>
          <w:p w:rsidR="0088729A" w:rsidRPr="003B486A" w:rsidRDefault="0088729A" w:rsidP="00B851D3">
            <w:pPr>
              <w:jc w:val="center"/>
              <w:rPr>
                <w:bCs/>
                <w:sz w:val="20"/>
                <w:lang w:val="en-US"/>
              </w:rPr>
            </w:pPr>
          </w:p>
        </w:tc>
        <w:tc>
          <w:tcPr>
            <w:tcW w:w="691" w:type="dxa"/>
            <w:tcBorders>
              <w:top w:val="nil"/>
              <w:left w:val="nil"/>
              <w:bottom w:val="nil"/>
              <w:right w:val="nil"/>
            </w:tcBorders>
          </w:tcPr>
          <w:p w:rsidR="0088729A" w:rsidRPr="003B486A" w:rsidRDefault="0088729A" w:rsidP="00B851D3">
            <w:pPr>
              <w:jc w:val="center"/>
              <w:rPr>
                <w:bCs/>
                <w:sz w:val="20"/>
                <w:lang w:val="en-US"/>
              </w:rPr>
            </w:pPr>
          </w:p>
        </w:tc>
        <w:tc>
          <w:tcPr>
            <w:tcW w:w="691" w:type="dxa"/>
            <w:tcBorders>
              <w:top w:val="nil"/>
              <w:left w:val="nil"/>
              <w:bottom w:val="nil"/>
              <w:right w:val="nil"/>
            </w:tcBorders>
          </w:tcPr>
          <w:p w:rsidR="0088729A" w:rsidRPr="003B486A" w:rsidRDefault="0088729A" w:rsidP="00B851D3">
            <w:pPr>
              <w:jc w:val="center"/>
              <w:rPr>
                <w:bCs/>
                <w:sz w:val="20"/>
                <w:lang w:val="en-US"/>
              </w:rPr>
            </w:pPr>
          </w:p>
        </w:tc>
        <w:tc>
          <w:tcPr>
            <w:tcW w:w="691" w:type="dxa"/>
            <w:tcBorders>
              <w:top w:val="nil"/>
              <w:left w:val="nil"/>
              <w:bottom w:val="nil"/>
              <w:right w:val="nil"/>
            </w:tcBorders>
          </w:tcPr>
          <w:p w:rsidR="0088729A" w:rsidRPr="003B486A" w:rsidRDefault="0088729A" w:rsidP="00B851D3">
            <w:pPr>
              <w:jc w:val="center"/>
              <w:rPr>
                <w:bCs/>
                <w:sz w:val="20"/>
                <w:lang w:val="en-US"/>
              </w:rPr>
            </w:pPr>
          </w:p>
        </w:tc>
      </w:tr>
      <w:tr w:rsidR="0088729A" w:rsidRPr="003B486A" w:rsidTr="00B851D3">
        <w:trPr>
          <w:trHeight w:val="20"/>
        </w:trPr>
        <w:tc>
          <w:tcPr>
            <w:tcW w:w="5812" w:type="dxa"/>
            <w:tcBorders>
              <w:top w:val="nil"/>
              <w:left w:val="nil"/>
              <w:bottom w:val="nil"/>
              <w:right w:val="nil"/>
            </w:tcBorders>
            <w:noWrap/>
            <w:vAlign w:val="bottom"/>
          </w:tcPr>
          <w:p w:rsidR="0088729A" w:rsidRPr="003B486A" w:rsidRDefault="0088729A" w:rsidP="00B851D3">
            <w:pPr>
              <w:jc w:val="left"/>
              <w:rPr>
                <w:bCs/>
                <w:iCs/>
                <w:sz w:val="20"/>
                <w:lang w:val="en-US"/>
              </w:rPr>
            </w:pPr>
            <w:r w:rsidRPr="003B486A">
              <w:rPr>
                <w:bCs/>
                <w:iCs/>
                <w:sz w:val="20"/>
                <w:lang w:val="en-US"/>
              </w:rPr>
              <w:t xml:space="preserve">4. Adult </w:t>
            </w:r>
            <w:r w:rsidRPr="003B486A">
              <w:rPr>
                <w:bCs/>
                <w:sz w:val="20"/>
                <w:lang w:val="en-US"/>
              </w:rPr>
              <w:t>ADHD hyperactivity/impulsivity symptoms (DIVA 2.0)</w:t>
            </w:r>
          </w:p>
        </w:tc>
        <w:tc>
          <w:tcPr>
            <w:tcW w:w="690" w:type="dxa"/>
            <w:tcBorders>
              <w:top w:val="nil"/>
              <w:left w:val="nil"/>
              <w:bottom w:val="nil"/>
              <w:right w:val="nil"/>
            </w:tcBorders>
          </w:tcPr>
          <w:p w:rsidR="0088729A" w:rsidRPr="003B486A" w:rsidRDefault="0088729A" w:rsidP="00B851D3">
            <w:pPr>
              <w:jc w:val="center"/>
              <w:rPr>
                <w:bCs/>
                <w:sz w:val="20"/>
                <w:lang w:val="en-US"/>
              </w:rPr>
            </w:pPr>
            <w:r w:rsidRPr="003B486A">
              <w:rPr>
                <w:bCs/>
                <w:sz w:val="20"/>
                <w:lang w:val="en-US"/>
              </w:rPr>
              <w:t>.33</w:t>
            </w:r>
            <w:r w:rsidRPr="003B486A">
              <w:rPr>
                <w:bCs/>
                <w:sz w:val="20"/>
                <w:vertAlign w:val="superscript"/>
                <w:lang w:val="en-US"/>
              </w:rPr>
              <w:t>***</w:t>
            </w:r>
          </w:p>
        </w:tc>
        <w:tc>
          <w:tcPr>
            <w:tcW w:w="690" w:type="dxa"/>
            <w:tcBorders>
              <w:top w:val="nil"/>
              <w:left w:val="nil"/>
              <w:bottom w:val="nil"/>
              <w:right w:val="nil"/>
            </w:tcBorders>
          </w:tcPr>
          <w:p w:rsidR="0088729A" w:rsidRPr="003B486A" w:rsidRDefault="0088729A" w:rsidP="00B851D3">
            <w:pPr>
              <w:jc w:val="center"/>
              <w:rPr>
                <w:bCs/>
                <w:sz w:val="20"/>
                <w:lang w:val="en-US"/>
              </w:rPr>
            </w:pPr>
            <w:r w:rsidRPr="003B486A">
              <w:rPr>
                <w:bCs/>
                <w:sz w:val="20"/>
                <w:lang w:val="en-US"/>
              </w:rPr>
              <w:t>.32</w:t>
            </w:r>
            <w:r w:rsidRPr="003B486A">
              <w:rPr>
                <w:bCs/>
                <w:sz w:val="20"/>
                <w:vertAlign w:val="superscript"/>
                <w:lang w:val="en-US"/>
              </w:rPr>
              <w:t>***</w:t>
            </w:r>
          </w:p>
        </w:tc>
        <w:tc>
          <w:tcPr>
            <w:tcW w:w="690" w:type="dxa"/>
            <w:tcBorders>
              <w:top w:val="nil"/>
              <w:left w:val="nil"/>
              <w:bottom w:val="nil"/>
              <w:right w:val="nil"/>
            </w:tcBorders>
          </w:tcPr>
          <w:p w:rsidR="0088729A" w:rsidRPr="003B486A" w:rsidRDefault="0088729A" w:rsidP="00B851D3">
            <w:pPr>
              <w:jc w:val="center"/>
              <w:rPr>
                <w:bCs/>
                <w:sz w:val="20"/>
                <w:lang w:val="en-US"/>
              </w:rPr>
            </w:pPr>
            <w:r w:rsidRPr="003B486A">
              <w:rPr>
                <w:bCs/>
                <w:sz w:val="20"/>
                <w:lang w:val="en-US"/>
              </w:rPr>
              <w:t>.70</w:t>
            </w:r>
            <w:r w:rsidRPr="003B486A">
              <w:rPr>
                <w:bCs/>
                <w:sz w:val="20"/>
                <w:vertAlign w:val="superscript"/>
                <w:lang w:val="en-US"/>
              </w:rPr>
              <w:t>***</w:t>
            </w:r>
          </w:p>
        </w:tc>
        <w:tc>
          <w:tcPr>
            <w:tcW w:w="690" w:type="dxa"/>
            <w:tcBorders>
              <w:top w:val="nil"/>
              <w:left w:val="nil"/>
              <w:bottom w:val="nil"/>
              <w:right w:val="nil"/>
            </w:tcBorders>
          </w:tcPr>
          <w:p w:rsidR="0088729A" w:rsidRPr="003B486A" w:rsidRDefault="0088729A" w:rsidP="00B851D3">
            <w:pPr>
              <w:jc w:val="center"/>
              <w:rPr>
                <w:bCs/>
                <w:sz w:val="20"/>
                <w:lang w:val="en-US"/>
              </w:rPr>
            </w:pPr>
            <w:r w:rsidRPr="003B486A">
              <w:rPr>
                <w:bCs/>
                <w:sz w:val="20"/>
                <w:lang w:val="en-US"/>
              </w:rPr>
              <w:t>-</w:t>
            </w:r>
          </w:p>
        </w:tc>
        <w:tc>
          <w:tcPr>
            <w:tcW w:w="690" w:type="dxa"/>
            <w:tcBorders>
              <w:top w:val="nil"/>
              <w:left w:val="nil"/>
              <w:bottom w:val="nil"/>
              <w:right w:val="nil"/>
            </w:tcBorders>
          </w:tcPr>
          <w:p w:rsidR="0088729A" w:rsidRPr="003B486A" w:rsidRDefault="0088729A" w:rsidP="00B851D3">
            <w:pPr>
              <w:jc w:val="center"/>
              <w:rPr>
                <w:bCs/>
                <w:sz w:val="20"/>
                <w:lang w:val="en-US"/>
              </w:rPr>
            </w:pPr>
          </w:p>
        </w:tc>
        <w:tc>
          <w:tcPr>
            <w:tcW w:w="691" w:type="dxa"/>
            <w:tcBorders>
              <w:top w:val="nil"/>
              <w:left w:val="nil"/>
              <w:bottom w:val="nil"/>
              <w:right w:val="nil"/>
            </w:tcBorders>
          </w:tcPr>
          <w:p w:rsidR="0088729A" w:rsidRPr="003B486A" w:rsidRDefault="0088729A" w:rsidP="00B851D3">
            <w:pPr>
              <w:jc w:val="center"/>
              <w:rPr>
                <w:bCs/>
                <w:sz w:val="20"/>
                <w:lang w:val="en-US"/>
              </w:rPr>
            </w:pPr>
          </w:p>
        </w:tc>
        <w:tc>
          <w:tcPr>
            <w:tcW w:w="691" w:type="dxa"/>
            <w:tcBorders>
              <w:top w:val="nil"/>
              <w:left w:val="nil"/>
              <w:bottom w:val="nil"/>
              <w:right w:val="nil"/>
            </w:tcBorders>
          </w:tcPr>
          <w:p w:rsidR="0088729A" w:rsidRPr="003B486A" w:rsidRDefault="0088729A" w:rsidP="00B851D3">
            <w:pPr>
              <w:jc w:val="center"/>
              <w:rPr>
                <w:bCs/>
                <w:sz w:val="20"/>
                <w:lang w:val="en-US"/>
              </w:rPr>
            </w:pPr>
          </w:p>
        </w:tc>
        <w:tc>
          <w:tcPr>
            <w:tcW w:w="691" w:type="dxa"/>
            <w:tcBorders>
              <w:top w:val="nil"/>
              <w:left w:val="nil"/>
              <w:bottom w:val="nil"/>
              <w:right w:val="nil"/>
            </w:tcBorders>
          </w:tcPr>
          <w:p w:rsidR="0088729A" w:rsidRPr="003B486A" w:rsidRDefault="0088729A" w:rsidP="00B851D3">
            <w:pPr>
              <w:jc w:val="center"/>
              <w:rPr>
                <w:bCs/>
                <w:sz w:val="20"/>
                <w:lang w:val="en-US"/>
              </w:rPr>
            </w:pPr>
          </w:p>
        </w:tc>
      </w:tr>
      <w:tr w:rsidR="0088729A" w:rsidRPr="003B486A" w:rsidTr="00B851D3">
        <w:trPr>
          <w:trHeight w:val="20"/>
        </w:trPr>
        <w:tc>
          <w:tcPr>
            <w:tcW w:w="5812" w:type="dxa"/>
            <w:tcBorders>
              <w:top w:val="nil"/>
              <w:left w:val="nil"/>
              <w:bottom w:val="nil"/>
              <w:right w:val="nil"/>
            </w:tcBorders>
            <w:noWrap/>
            <w:vAlign w:val="bottom"/>
          </w:tcPr>
          <w:p w:rsidR="0088729A" w:rsidRPr="003B486A" w:rsidRDefault="0088729A" w:rsidP="00B851D3">
            <w:pPr>
              <w:jc w:val="left"/>
              <w:rPr>
                <w:bCs/>
                <w:iCs/>
                <w:sz w:val="20"/>
                <w:lang w:val="en-US"/>
              </w:rPr>
            </w:pPr>
            <w:r w:rsidRPr="003B486A">
              <w:rPr>
                <w:bCs/>
                <w:iCs/>
                <w:sz w:val="20"/>
                <w:lang w:val="en-US"/>
              </w:rPr>
              <w:t xml:space="preserve">5. Childhood </w:t>
            </w:r>
            <w:r w:rsidRPr="003B486A">
              <w:rPr>
                <w:bCs/>
                <w:sz w:val="20"/>
                <w:lang w:val="en-US"/>
              </w:rPr>
              <w:t>ADHD inattentive symptoms (DIVA 2.0)</w:t>
            </w:r>
          </w:p>
        </w:tc>
        <w:tc>
          <w:tcPr>
            <w:tcW w:w="690" w:type="dxa"/>
            <w:tcBorders>
              <w:top w:val="nil"/>
              <w:left w:val="nil"/>
              <w:bottom w:val="nil"/>
              <w:right w:val="nil"/>
            </w:tcBorders>
          </w:tcPr>
          <w:p w:rsidR="0088729A" w:rsidRPr="003B486A" w:rsidRDefault="0088729A" w:rsidP="00B851D3">
            <w:pPr>
              <w:jc w:val="center"/>
              <w:rPr>
                <w:bCs/>
                <w:sz w:val="20"/>
                <w:lang w:val="en-US"/>
              </w:rPr>
            </w:pPr>
            <w:r w:rsidRPr="003B486A">
              <w:rPr>
                <w:bCs/>
                <w:sz w:val="20"/>
                <w:lang w:val="en-US"/>
              </w:rPr>
              <w:t>.25</w:t>
            </w:r>
            <w:r w:rsidRPr="003B486A">
              <w:rPr>
                <w:bCs/>
                <w:sz w:val="20"/>
                <w:vertAlign w:val="superscript"/>
                <w:lang w:val="en-US"/>
              </w:rPr>
              <w:t>**</w:t>
            </w:r>
          </w:p>
        </w:tc>
        <w:tc>
          <w:tcPr>
            <w:tcW w:w="690" w:type="dxa"/>
            <w:tcBorders>
              <w:top w:val="nil"/>
              <w:left w:val="nil"/>
              <w:bottom w:val="nil"/>
              <w:right w:val="nil"/>
            </w:tcBorders>
          </w:tcPr>
          <w:p w:rsidR="0088729A" w:rsidRPr="003B486A" w:rsidRDefault="0088729A" w:rsidP="00B851D3">
            <w:pPr>
              <w:jc w:val="center"/>
              <w:rPr>
                <w:bCs/>
                <w:sz w:val="20"/>
                <w:lang w:val="en-US"/>
              </w:rPr>
            </w:pPr>
            <w:r w:rsidRPr="003B486A">
              <w:rPr>
                <w:bCs/>
                <w:sz w:val="20"/>
                <w:lang w:val="en-US"/>
              </w:rPr>
              <w:t>.22</w:t>
            </w:r>
            <w:r w:rsidRPr="003B486A">
              <w:rPr>
                <w:bCs/>
                <w:sz w:val="20"/>
                <w:vertAlign w:val="superscript"/>
                <w:lang w:val="en-US"/>
              </w:rPr>
              <w:t>**</w:t>
            </w:r>
          </w:p>
        </w:tc>
        <w:tc>
          <w:tcPr>
            <w:tcW w:w="690" w:type="dxa"/>
            <w:tcBorders>
              <w:top w:val="nil"/>
              <w:left w:val="nil"/>
              <w:bottom w:val="nil"/>
              <w:right w:val="nil"/>
            </w:tcBorders>
          </w:tcPr>
          <w:p w:rsidR="0088729A" w:rsidRPr="003B486A" w:rsidRDefault="0088729A" w:rsidP="00B851D3">
            <w:pPr>
              <w:jc w:val="center"/>
              <w:rPr>
                <w:bCs/>
                <w:sz w:val="20"/>
                <w:lang w:val="en-US"/>
              </w:rPr>
            </w:pPr>
            <w:r w:rsidRPr="003B486A">
              <w:rPr>
                <w:bCs/>
                <w:sz w:val="20"/>
                <w:lang w:val="en-US"/>
              </w:rPr>
              <w:t>.67</w:t>
            </w:r>
            <w:r w:rsidRPr="003B486A">
              <w:rPr>
                <w:bCs/>
                <w:sz w:val="20"/>
                <w:vertAlign w:val="superscript"/>
                <w:lang w:val="en-US"/>
              </w:rPr>
              <w:t>***</w:t>
            </w:r>
          </w:p>
        </w:tc>
        <w:tc>
          <w:tcPr>
            <w:tcW w:w="690" w:type="dxa"/>
            <w:tcBorders>
              <w:top w:val="nil"/>
              <w:left w:val="nil"/>
              <w:bottom w:val="nil"/>
              <w:right w:val="nil"/>
            </w:tcBorders>
          </w:tcPr>
          <w:p w:rsidR="0088729A" w:rsidRPr="003B486A" w:rsidRDefault="0088729A" w:rsidP="00B851D3">
            <w:pPr>
              <w:jc w:val="center"/>
              <w:rPr>
                <w:bCs/>
                <w:sz w:val="20"/>
                <w:lang w:val="en-US"/>
              </w:rPr>
            </w:pPr>
            <w:r w:rsidRPr="003B486A">
              <w:rPr>
                <w:bCs/>
                <w:sz w:val="20"/>
                <w:lang w:val="en-US"/>
              </w:rPr>
              <w:t>.58</w:t>
            </w:r>
            <w:r w:rsidRPr="003B486A">
              <w:rPr>
                <w:bCs/>
                <w:sz w:val="20"/>
                <w:vertAlign w:val="superscript"/>
                <w:lang w:val="en-US"/>
              </w:rPr>
              <w:t>***</w:t>
            </w:r>
          </w:p>
        </w:tc>
        <w:tc>
          <w:tcPr>
            <w:tcW w:w="690" w:type="dxa"/>
            <w:tcBorders>
              <w:top w:val="nil"/>
              <w:left w:val="nil"/>
              <w:bottom w:val="nil"/>
              <w:right w:val="nil"/>
            </w:tcBorders>
          </w:tcPr>
          <w:p w:rsidR="0088729A" w:rsidRPr="003B486A" w:rsidRDefault="0088729A" w:rsidP="00B851D3">
            <w:pPr>
              <w:jc w:val="center"/>
              <w:rPr>
                <w:bCs/>
                <w:sz w:val="20"/>
                <w:lang w:val="en-US"/>
              </w:rPr>
            </w:pPr>
            <w:r w:rsidRPr="003B486A">
              <w:rPr>
                <w:bCs/>
                <w:sz w:val="20"/>
                <w:lang w:val="en-US"/>
              </w:rPr>
              <w:t>-</w:t>
            </w:r>
          </w:p>
        </w:tc>
        <w:tc>
          <w:tcPr>
            <w:tcW w:w="691" w:type="dxa"/>
            <w:tcBorders>
              <w:top w:val="nil"/>
              <w:left w:val="nil"/>
              <w:bottom w:val="nil"/>
              <w:right w:val="nil"/>
            </w:tcBorders>
          </w:tcPr>
          <w:p w:rsidR="0088729A" w:rsidRPr="003B486A" w:rsidRDefault="0088729A" w:rsidP="00B851D3">
            <w:pPr>
              <w:jc w:val="center"/>
              <w:rPr>
                <w:bCs/>
                <w:sz w:val="20"/>
                <w:lang w:val="en-US"/>
              </w:rPr>
            </w:pPr>
          </w:p>
        </w:tc>
        <w:tc>
          <w:tcPr>
            <w:tcW w:w="691" w:type="dxa"/>
            <w:tcBorders>
              <w:top w:val="nil"/>
              <w:left w:val="nil"/>
              <w:bottom w:val="nil"/>
              <w:right w:val="nil"/>
            </w:tcBorders>
          </w:tcPr>
          <w:p w:rsidR="0088729A" w:rsidRPr="003B486A" w:rsidRDefault="0088729A" w:rsidP="00B851D3">
            <w:pPr>
              <w:jc w:val="center"/>
              <w:rPr>
                <w:bCs/>
                <w:sz w:val="20"/>
                <w:lang w:val="en-US"/>
              </w:rPr>
            </w:pPr>
          </w:p>
        </w:tc>
        <w:tc>
          <w:tcPr>
            <w:tcW w:w="691" w:type="dxa"/>
            <w:tcBorders>
              <w:top w:val="nil"/>
              <w:left w:val="nil"/>
              <w:bottom w:val="nil"/>
              <w:right w:val="nil"/>
            </w:tcBorders>
          </w:tcPr>
          <w:p w:rsidR="0088729A" w:rsidRPr="003B486A" w:rsidRDefault="0088729A" w:rsidP="00B851D3">
            <w:pPr>
              <w:jc w:val="center"/>
              <w:rPr>
                <w:bCs/>
                <w:sz w:val="20"/>
                <w:lang w:val="en-US"/>
              </w:rPr>
            </w:pPr>
          </w:p>
        </w:tc>
      </w:tr>
      <w:tr w:rsidR="0088729A" w:rsidRPr="003B486A" w:rsidTr="00B851D3">
        <w:trPr>
          <w:trHeight w:val="20"/>
        </w:trPr>
        <w:tc>
          <w:tcPr>
            <w:tcW w:w="5812" w:type="dxa"/>
            <w:tcBorders>
              <w:top w:val="nil"/>
              <w:left w:val="nil"/>
              <w:bottom w:val="nil"/>
              <w:right w:val="nil"/>
            </w:tcBorders>
            <w:noWrap/>
            <w:vAlign w:val="bottom"/>
          </w:tcPr>
          <w:p w:rsidR="0088729A" w:rsidRPr="003B486A" w:rsidRDefault="0088729A" w:rsidP="00B851D3">
            <w:pPr>
              <w:jc w:val="left"/>
              <w:rPr>
                <w:bCs/>
                <w:iCs/>
                <w:sz w:val="20"/>
                <w:lang w:val="en-US"/>
              </w:rPr>
            </w:pPr>
            <w:r w:rsidRPr="003B486A">
              <w:rPr>
                <w:bCs/>
                <w:iCs/>
                <w:sz w:val="20"/>
                <w:lang w:val="en-US"/>
              </w:rPr>
              <w:t xml:space="preserve">6. Childhood </w:t>
            </w:r>
            <w:r w:rsidRPr="003B486A">
              <w:rPr>
                <w:bCs/>
                <w:sz w:val="20"/>
                <w:lang w:val="en-US"/>
              </w:rPr>
              <w:t>ADHD hyperactivity/impulsivity symptoms (DIVA 2.0)</w:t>
            </w:r>
          </w:p>
        </w:tc>
        <w:tc>
          <w:tcPr>
            <w:tcW w:w="690" w:type="dxa"/>
            <w:tcBorders>
              <w:top w:val="nil"/>
              <w:left w:val="nil"/>
              <w:bottom w:val="nil"/>
              <w:right w:val="nil"/>
            </w:tcBorders>
          </w:tcPr>
          <w:p w:rsidR="0088729A" w:rsidRPr="003B486A" w:rsidRDefault="0088729A" w:rsidP="00B851D3">
            <w:pPr>
              <w:jc w:val="center"/>
              <w:rPr>
                <w:bCs/>
                <w:sz w:val="20"/>
                <w:lang w:val="en-US"/>
              </w:rPr>
            </w:pPr>
            <w:r w:rsidRPr="003B486A">
              <w:rPr>
                <w:bCs/>
                <w:sz w:val="20"/>
                <w:lang w:val="en-US"/>
              </w:rPr>
              <w:t>.29</w:t>
            </w:r>
            <w:r w:rsidRPr="003B486A">
              <w:rPr>
                <w:bCs/>
                <w:sz w:val="20"/>
                <w:vertAlign w:val="superscript"/>
                <w:lang w:val="en-US"/>
              </w:rPr>
              <w:t>**</w:t>
            </w:r>
          </w:p>
        </w:tc>
        <w:tc>
          <w:tcPr>
            <w:tcW w:w="690" w:type="dxa"/>
            <w:tcBorders>
              <w:top w:val="nil"/>
              <w:left w:val="nil"/>
              <w:bottom w:val="nil"/>
              <w:right w:val="nil"/>
            </w:tcBorders>
          </w:tcPr>
          <w:p w:rsidR="0088729A" w:rsidRPr="003B486A" w:rsidRDefault="0088729A" w:rsidP="00B851D3">
            <w:pPr>
              <w:jc w:val="center"/>
              <w:rPr>
                <w:bCs/>
                <w:sz w:val="20"/>
                <w:lang w:val="en-US"/>
              </w:rPr>
            </w:pPr>
            <w:r w:rsidRPr="003B486A">
              <w:rPr>
                <w:bCs/>
                <w:sz w:val="20"/>
                <w:lang w:val="en-US"/>
              </w:rPr>
              <w:t>.26</w:t>
            </w:r>
            <w:r w:rsidRPr="003B486A">
              <w:rPr>
                <w:bCs/>
                <w:sz w:val="20"/>
                <w:vertAlign w:val="superscript"/>
                <w:lang w:val="en-US"/>
              </w:rPr>
              <w:t>**</w:t>
            </w:r>
          </w:p>
        </w:tc>
        <w:tc>
          <w:tcPr>
            <w:tcW w:w="690" w:type="dxa"/>
            <w:tcBorders>
              <w:top w:val="nil"/>
              <w:left w:val="nil"/>
              <w:bottom w:val="nil"/>
              <w:right w:val="nil"/>
            </w:tcBorders>
          </w:tcPr>
          <w:p w:rsidR="0088729A" w:rsidRPr="003B486A" w:rsidRDefault="0088729A" w:rsidP="00B851D3">
            <w:pPr>
              <w:jc w:val="center"/>
              <w:rPr>
                <w:bCs/>
                <w:sz w:val="20"/>
                <w:lang w:val="en-US"/>
              </w:rPr>
            </w:pPr>
            <w:r w:rsidRPr="003B486A">
              <w:rPr>
                <w:bCs/>
                <w:sz w:val="20"/>
                <w:lang w:val="en-US"/>
              </w:rPr>
              <w:t>.58</w:t>
            </w:r>
            <w:r w:rsidRPr="003B486A">
              <w:rPr>
                <w:bCs/>
                <w:sz w:val="20"/>
                <w:vertAlign w:val="superscript"/>
                <w:lang w:val="en-US"/>
              </w:rPr>
              <w:t>***</w:t>
            </w:r>
          </w:p>
        </w:tc>
        <w:tc>
          <w:tcPr>
            <w:tcW w:w="690" w:type="dxa"/>
            <w:tcBorders>
              <w:top w:val="nil"/>
              <w:left w:val="nil"/>
              <w:bottom w:val="nil"/>
              <w:right w:val="nil"/>
            </w:tcBorders>
          </w:tcPr>
          <w:p w:rsidR="0088729A" w:rsidRPr="003B486A" w:rsidRDefault="0088729A" w:rsidP="00B851D3">
            <w:pPr>
              <w:jc w:val="center"/>
              <w:rPr>
                <w:bCs/>
                <w:sz w:val="20"/>
                <w:lang w:val="en-US"/>
              </w:rPr>
            </w:pPr>
            <w:r w:rsidRPr="003B486A">
              <w:rPr>
                <w:bCs/>
                <w:sz w:val="20"/>
                <w:lang w:val="en-US"/>
              </w:rPr>
              <w:t>.68</w:t>
            </w:r>
            <w:r w:rsidRPr="003B486A">
              <w:rPr>
                <w:bCs/>
                <w:sz w:val="20"/>
                <w:vertAlign w:val="superscript"/>
                <w:lang w:val="en-US"/>
              </w:rPr>
              <w:t>***</w:t>
            </w:r>
          </w:p>
        </w:tc>
        <w:tc>
          <w:tcPr>
            <w:tcW w:w="690" w:type="dxa"/>
            <w:tcBorders>
              <w:top w:val="nil"/>
              <w:left w:val="nil"/>
              <w:bottom w:val="nil"/>
              <w:right w:val="nil"/>
            </w:tcBorders>
          </w:tcPr>
          <w:p w:rsidR="0088729A" w:rsidRPr="003B486A" w:rsidRDefault="0088729A" w:rsidP="00B851D3">
            <w:pPr>
              <w:jc w:val="center"/>
              <w:rPr>
                <w:bCs/>
                <w:sz w:val="20"/>
                <w:lang w:val="en-US"/>
              </w:rPr>
            </w:pPr>
            <w:r w:rsidRPr="003B486A">
              <w:rPr>
                <w:bCs/>
                <w:sz w:val="20"/>
                <w:lang w:val="en-US"/>
              </w:rPr>
              <w:t>.66</w:t>
            </w:r>
            <w:r w:rsidRPr="003B486A">
              <w:rPr>
                <w:bCs/>
                <w:sz w:val="20"/>
                <w:vertAlign w:val="superscript"/>
                <w:lang w:val="en-US"/>
              </w:rPr>
              <w:t>***</w:t>
            </w:r>
          </w:p>
        </w:tc>
        <w:tc>
          <w:tcPr>
            <w:tcW w:w="691" w:type="dxa"/>
            <w:tcBorders>
              <w:top w:val="nil"/>
              <w:left w:val="nil"/>
              <w:bottom w:val="nil"/>
              <w:right w:val="nil"/>
            </w:tcBorders>
          </w:tcPr>
          <w:p w:rsidR="0088729A" w:rsidRPr="003B486A" w:rsidRDefault="0088729A" w:rsidP="00B851D3">
            <w:pPr>
              <w:jc w:val="center"/>
              <w:rPr>
                <w:bCs/>
                <w:sz w:val="20"/>
                <w:lang w:val="en-US"/>
              </w:rPr>
            </w:pPr>
            <w:r w:rsidRPr="003B486A">
              <w:rPr>
                <w:bCs/>
                <w:sz w:val="20"/>
                <w:lang w:val="en-US"/>
              </w:rPr>
              <w:t>-</w:t>
            </w:r>
          </w:p>
        </w:tc>
        <w:tc>
          <w:tcPr>
            <w:tcW w:w="691" w:type="dxa"/>
            <w:tcBorders>
              <w:top w:val="nil"/>
              <w:left w:val="nil"/>
              <w:bottom w:val="nil"/>
              <w:right w:val="nil"/>
            </w:tcBorders>
          </w:tcPr>
          <w:p w:rsidR="0088729A" w:rsidRPr="003B486A" w:rsidRDefault="0088729A" w:rsidP="00B851D3">
            <w:pPr>
              <w:jc w:val="center"/>
              <w:rPr>
                <w:bCs/>
                <w:sz w:val="20"/>
                <w:lang w:val="en-US"/>
              </w:rPr>
            </w:pPr>
          </w:p>
        </w:tc>
        <w:tc>
          <w:tcPr>
            <w:tcW w:w="691" w:type="dxa"/>
            <w:tcBorders>
              <w:top w:val="nil"/>
              <w:left w:val="nil"/>
              <w:bottom w:val="nil"/>
              <w:right w:val="nil"/>
            </w:tcBorders>
          </w:tcPr>
          <w:p w:rsidR="0088729A" w:rsidRPr="003B486A" w:rsidRDefault="0088729A" w:rsidP="00B851D3">
            <w:pPr>
              <w:jc w:val="center"/>
              <w:rPr>
                <w:bCs/>
                <w:sz w:val="20"/>
                <w:lang w:val="en-US"/>
              </w:rPr>
            </w:pPr>
          </w:p>
        </w:tc>
      </w:tr>
      <w:tr w:rsidR="0088729A" w:rsidRPr="003B486A" w:rsidTr="00B851D3">
        <w:trPr>
          <w:trHeight w:val="20"/>
        </w:trPr>
        <w:tc>
          <w:tcPr>
            <w:tcW w:w="5812" w:type="dxa"/>
            <w:tcBorders>
              <w:left w:val="nil"/>
              <w:bottom w:val="nil"/>
              <w:right w:val="nil"/>
            </w:tcBorders>
            <w:noWrap/>
            <w:vAlign w:val="bottom"/>
          </w:tcPr>
          <w:p w:rsidR="0088729A" w:rsidRPr="003B486A" w:rsidRDefault="0088729A" w:rsidP="00B851D3">
            <w:pPr>
              <w:jc w:val="left"/>
              <w:rPr>
                <w:bCs/>
                <w:sz w:val="20"/>
                <w:lang w:val="en-US"/>
              </w:rPr>
            </w:pPr>
            <w:r w:rsidRPr="003B486A">
              <w:rPr>
                <w:bCs/>
                <w:sz w:val="20"/>
                <w:lang w:val="en-US"/>
              </w:rPr>
              <w:t>7. Age</w:t>
            </w:r>
          </w:p>
        </w:tc>
        <w:tc>
          <w:tcPr>
            <w:tcW w:w="690" w:type="dxa"/>
            <w:tcBorders>
              <w:left w:val="nil"/>
              <w:bottom w:val="nil"/>
              <w:right w:val="nil"/>
            </w:tcBorders>
          </w:tcPr>
          <w:p w:rsidR="0088729A" w:rsidRPr="003B486A" w:rsidRDefault="0088729A" w:rsidP="00B851D3">
            <w:pPr>
              <w:jc w:val="center"/>
              <w:rPr>
                <w:bCs/>
                <w:sz w:val="20"/>
                <w:lang w:val="en-US"/>
              </w:rPr>
            </w:pPr>
            <w:r w:rsidRPr="003B486A">
              <w:rPr>
                <w:bCs/>
                <w:sz w:val="20"/>
                <w:lang w:val="en-US"/>
              </w:rPr>
              <w:t>.15</w:t>
            </w:r>
          </w:p>
        </w:tc>
        <w:tc>
          <w:tcPr>
            <w:tcW w:w="690" w:type="dxa"/>
            <w:tcBorders>
              <w:left w:val="nil"/>
              <w:bottom w:val="nil"/>
              <w:right w:val="nil"/>
            </w:tcBorders>
          </w:tcPr>
          <w:p w:rsidR="0088729A" w:rsidRPr="003B486A" w:rsidRDefault="0088729A" w:rsidP="00B851D3">
            <w:pPr>
              <w:jc w:val="center"/>
              <w:rPr>
                <w:bCs/>
                <w:sz w:val="20"/>
                <w:lang w:val="en-US"/>
              </w:rPr>
            </w:pPr>
            <w:r w:rsidRPr="003B486A">
              <w:rPr>
                <w:bCs/>
                <w:sz w:val="20"/>
                <w:lang w:val="en-US"/>
              </w:rPr>
              <w:t>.11</w:t>
            </w:r>
          </w:p>
        </w:tc>
        <w:tc>
          <w:tcPr>
            <w:tcW w:w="690" w:type="dxa"/>
            <w:tcBorders>
              <w:left w:val="nil"/>
              <w:bottom w:val="nil"/>
              <w:right w:val="nil"/>
            </w:tcBorders>
          </w:tcPr>
          <w:p w:rsidR="0088729A" w:rsidRPr="003B486A" w:rsidRDefault="0088729A" w:rsidP="00B851D3">
            <w:pPr>
              <w:jc w:val="center"/>
              <w:rPr>
                <w:bCs/>
                <w:sz w:val="20"/>
                <w:lang w:val="en-US"/>
              </w:rPr>
            </w:pPr>
            <w:r w:rsidRPr="003B486A">
              <w:rPr>
                <w:bCs/>
                <w:sz w:val="20"/>
                <w:lang w:val="en-US"/>
              </w:rPr>
              <w:t>.20</w:t>
            </w:r>
            <w:r w:rsidRPr="003B486A">
              <w:rPr>
                <w:bCs/>
                <w:sz w:val="20"/>
                <w:vertAlign w:val="superscript"/>
                <w:lang w:val="en-US"/>
              </w:rPr>
              <w:t>*</w:t>
            </w:r>
          </w:p>
        </w:tc>
        <w:tc>
          <w:tcPr>
            <w:tcW w:w="690" w:type="dxa"/>
            <w:tcBorders>
              <w:left w:val="nil"/>
              <w:bottom w:val="nil"/>
              <w:right w:val="nil"/>
            </w:tcBorders>
          </w:tcPr>
          <w:p w:rsidR="0088729A" w:rsidRPr="003B486A" w:rsidRDefault="0088729A" w:rsidP="00B851D3">
            <w:pPr>
              <w:jc w:val="center"/>
              <w:rPr>
                <w:bCs/>
                <w:sz w:val="20"/>
                <w:lang w:val="en-US"/>
              </w:rPr>
            </w:pPr>
            <w:r w:rsidRPr="003B486A">
              <w:rPr>
                <w:bCs/>
                <w:sz w:val="20"/>
                <w:lang w:val="en-US"/>
              </w:rPr>
              <w:t>.04</w:t>
            </w:r>
          </w:p>
        </w:tc>
        <w:tc>
          <w:tcPr>
            <w:tcW w:w="690" w:type="dxa"/>
            <w:tcBorders>
              <w:left w:val="nil"/>
              <w:bottom w:val="nil"/>
              <w:right w:val="nil"/>
            </w:tcBorders>
          </w:tcPr>
          <w:p w:rsidR="0088729A" w:rsidRPr="003B486A" w:rsidRDefault="0088729A" w:rsidP="00B851D3">
            <w:pPr>
              <w:jc w:val="center"/>
              <w:rPr>
                <w:bCs/>
                <w:sz w:val="20"/>
                <w:lang w:val="en-US"/>
              </w:rPr>
            </w:pPr>
            <w:r w:rsidRPr="003B486A">
              <w:rPr>
                <w:bCs/>
                <w:sz w:val="20"/>
                <w:lang w:val="en-US"/>
              </w:rPr>
              <w:t>.01</w:t>
            </w:r>
          </w:p>
        </w:tc>
        <w:tc>
          <w:tcPr>
            <w:tcW w:w="691" w:type="dxa"/>
            <w:tcBorders>
              <w:left w:val="nil"/>
              <w:bottom w:val="nil"/>
              <w:right w:val="nil"/>
            </w:tcBorders>
          </w:tcPr>
          <w:p w:rsidR="0088729A" w:rsidRPr="003B486A" w:rsidRDefault="0088729A" w:rsidP="00B851D3">
            <w:pPr>
              <w:jc w:val="center"/>
              <w:rPr>
                <w:bCs/>
                <w:sz w:val="20"/>
                <w:lang w:val="en-US"/>
              </w:rPr>
            </w:pPr>
            <w:r w:rsidRPr="003B486A">
              <w:rPr>
                <w:bCs/>
                <w:sz w:val="20"/>
                <w:lang w:val="en-US"/>
              </w:rPr>
              <w:t>-.07</w:t>
            </w:r>
          </w:p>
        </w:tc>
        <w:tc>
          <w:tcPr>
            <w:tcW w:w="691" w:type="dxa"/>
            <w:tcBorders>
              <w:left w:val="nil"/>
              <w:bottom w:val="nil"/>
              <w:right w:val="nil"/>
            </w:tcBorders>
          </w:tcPr>
          <w:p w:rsidR="0088729A" w:rsidRPr="003B486A" w:rsidRDefault="0088729A" w:rsidP="00B851D3">
            <w:pPr>
              <w:jc w:val="center"/>
              <w:rPr>
                <w:bCs/>
                <w:sz w:val="20"/>
                <w:lang w:val="en-US"/>
              </w:rPr>
            </w:pPr>
            <w:r w:rsidRPr="003B486A">
              <w:rPr>
                <w:bCs/>
                <w:sz w:val="20"/>
                <w:lang w:val="en-US"/>
              </w:rPr>
              <w:t>-</w:t>
            </w:r>
          </w:p>
        </w:tc>
        <w:tc>
          <w:tcPr>
            <w:tcW w:w="691" w:type="dxa"/>
            <w:tcBorders>
              <w:left w:val="nil"/>
              <w:bottom w:val="nil"/>
              <w:right w:val="nil"/>
            </w:tcBorders>
          </w:tcPr>
          <w:p w:rsidR="0088729A" w:rsidRPr="003B486A" w:rsidRDefault="0088729A" w:rsidP="00B851D3">
            <w:pPr>
              <w:jc w:val="center"/>
              <w:rPr>
                <w:bCs/>
                <w:sz w:val="20"/>
                <w:lang w:val="en-US"/>
              </w:rPr>
            </w:pPr>
          </w:p>
        </w:tc>
      </w:tr>
      <w:tr w:rsidR="0088729A" w:rsidRPr="003B486A" w:rsidTr="00B851D3">
        <w:trPr>
          <w:trHeight w:val="20"/>
        </w:trPr>
        <w:tc>
          <w:tcPr>
            <w:tcW w:w="5812" w:type="dxa"/>
            <w:tcBorders>
              <w:left w:val="nil"/>
              <w:bottom w:val="single" w:sz="4" w:space="0" w:color="auto"/>
              <w:right w:val="nil"/>
            </w:tcBorders>
            <w:noWrap/>
            <w:vAlign w:val="bottom"/>
          </w:tcPr>
          <w:p w:rsidR="0088729A" w:rsidRPr="003B486A" w:rsidRDefault="0088729A" w:rsidP="00B851D3">
            <w:pPr>
              <w:jc w:val="left"/>
              <w:rPr>
                <w:bCs/>
                <w:sz w:val="20"/>
                <w:lang w:val="en-US"/>
              </w:rPr>
            </w:pPr>
            <w:r w:rsidRPr="003B486A">
              <w:rPr>
                <w:bCs/>
                <w:sz w:val="20"/>
                <w:lang w:val="en-US"/>
              </w:rPr>
              <w:t>8. Current BMI</w:t>
            </w:r>
          </w:p>
        </w:tc>
        <w:tc>
          <w:tcPr>
            <w:tcW w:w="690" w:type="dxa"/>
            <w:tcBorders>
              <w:left w:val="nil"/>
              <w:bottom w:val="single" w:sz="4" w:space="0" w:color="auto"/>
              <w:right w:val="nil"/>
            </w:tcBorders>
          </w:tcPr>
          <w:p w:rsidR="0088729A" w:rsidRPr="003B486A" w:rsidRDefault="0088729A" w:rsidP="00B851D3">
            <w:pPr>
              <w:jc w:val="center"/>
              <w:rPr>
                <w:bCs/>
                <w:sz w:val="20"/>
                <w:lang w:val="en-US"/>
              </w:rPr>
            </w:pPr>
            <w:r w:rsidRPr="003B486A">
              <w:rPr>
                <w:bCs/>
                <w:sz w:val="20"/>
                <w:lang w:val="en-US"/>
              </w:rPr>
              <w:t>-.02</w:t>
            </w:r>
          </w:p>
        </w:tc>
        <w:tc>
          <w:tcPr>
            <w:tcW w:w="690" w:type="dxa"/>
            <w:tcBorders>
              <w:left w:val="nil"/>
              <w:bottom w:val="single" w:sz="4" w:space="0" w:color="auto"/>
              <w:right w:val="nil"/>
            </w:tcBorders>
          </w:tcPr>
          <w:p w:rsidR="0088729A" w:rsidRPr="003B486A" w:rsidRDefault="0088729A" w:rsidP="00B851D3">
            <w:pPr>
              <w:jc w:val="center"/>
              <w:rPr>
                <w:bCs/>
                <w:sz w:val="20"/>
                <w:lang w:val="en-US"/>
              </w:rPr>
            </w:pPr>
            <w:r w:rsidRPr="003B486A">
              <w:rPr>
                <w:bCs/>
                <w:sz w:val="20"/>
                <w:lang w:val="en-US"/>
              </w:rPr>
              <w:t>-.08</w:t>
            </w:r>
          </w:p>
        </w:tc>
        <w:tc>
          <w:tcPr>
            <w:tcW w:w="690" w:type="dxa"/>
            <w:tcBorders>
              <w:left w:val="nil"/>
              <w:bottom w:val="single" w:sz="4" w:space="0" w:color="auto"/>
              <w:right w:val="nil"/>
            </w:tcBorders>
          </w:tcPr>
          <w:p w:rsidR="0088729A" w:rsidRPr="003B486A" w:rsidRDefault="0088729A" w:rsidP="00B851D3">
            <w:pPr>
              <w:jc w:val="center"/>
              <w:rPr>
                <w:bCs/>
                <w:sz w:val="20"/>
                <w:lang w:val="en-US"/>
              </w:rPr>
            </w:pPr>
            <w:r w:rsidRPr="003B486A">
              <w:rPr>
                <w:bCs/>
                <w:sz w:val="20"/>
                <w:lang w:val="en-US"/>
              </w:rPr>
              <w:t>.05</w:t>
            </w:r>
          </w:p>
        </w:tc>
        <w:tc>
          <w:tcPr>
            <w:tcW w:w="690" w:type="dxa"/>
            <w:tcBorders>
              <w:left w:val="nil"/>
              <w:bottom w:val="single" w:sz="4" w:space="0" w:color="auto"/>
              <w:right w:val="nil"/>
            </w:tcBorders>
          </w:tcPr>
          <w:p w:rsidR="0088729A" w:rsidRPr="003B486A" w:rsidRDefault="0088729A" w:rsidP="00B851D3">
            <w:pPr>
              <w:jc w:val="center"/>
              <w:rPr>
                <w:bCs/>
                <w:sz w:val="20"/>
                <w:lang w:val="en-US"/>
              </w:rPr>
            </w:pPr>
            <w:r w:rsidRPr="003B486A">
              <w:rPr>
                <w:bCs/>
                <w:sz w:val="20"/>
                <w:lang w:val="en-US"/>
              </w:rPr>
              <w:t>-.01</w:t>
            </w:r>
          </w:p>
        </w:tc>
        <w:tc>
          <w:tcPr>
            <w:tcW w:w="690" w:type="dxa"/>
            <w:tcBorders>
              <w:left w:val="nil"/>
              <w:bottom w:val="single" w:sz="4" w:space="0" w:color="auto"/>
              <w:right w:val="nil"/>
            </w:tcBorders>
          </w:tcPr>
          <w:p w:rsidR="0088729A" w:rsidRPr="003B486A" w:rsidRDefault="0088729A" w:rsidP="00B851D3">
            <w:pPr>
              <w:jc w:val="center"/>
              <w:rPr>
                <w:bCs/>
                <w:sz w:val="20"/>
                <w:lang w:val="en-US"/>
              </w:rPr>
            </w:pPr>
            <w:r w:rsidRPr="003B486A">
              <w:rPr>
                <w:bCs/>
                <w:sz w:val="20"/>
                <w:lang w:val="en-US"/>
              </w:rPr>
              <w:t>.15</w:t>
            </w:r>
          </w:p>
        </w:tc>
        <w:tc>
          <w:tcPr>
            <w:tcW w:w="691" w:type="dxa"/>
            <w:tcBorders>
              <w:left w:val="nil"/>
              <w:bottom w:val="single" w:sz="4" w:space="0" w:color="auto"/>
              <w:right w:val="nil"/>
            </w:tcBorders>
          </w:tcPr>
          <w:p w:rsidR="0088729A" w:rsidRPr="003B486A" w:rsidRDefault="0088729A" w:rsidP="00B851D3">
            <w:pPr>
              <w:jc w:val="center"/>
              <w:rPr>
                <w:bCs/>
                <w:sz w:val="20"/>
                <w:lang w:val="en-US"/>
              </w:rPr>
            </w:pPr>
            <w:r w:rsidRPr="003B486A">
              <w:rPr>
                <w:bCs/>
                <w:sz w:val="20"/>
                <w:lang w:val="en-US"/>
              </w:rPr>
              <w:t>.07</w:t>
            </w:r>
          </w:p>
        </w:tc>
        <w:tc>
          <w:tcPr>
            <w:tcW w:w="691" w:type="dxa"/>
            <w:tcBorders>
              <w:left w:val="nil"/>
              <w:bottom w:val="single" w:sz="4" w:space="0" w:color="auto"/>
              <w:right w:val="nil"/>
            </w:tcBorders>
          </w:tcPr>
          <w:p w:rsidR="0088729A" w:rsidRPr="003B486A" w:rsidRDefault="0088729A" w:rsidP="00B851D3">
            <w:pPr>
              <w:jc w:val="center"/>
              <w:rPr>
                <w:bCs/>
                <w:sz w:val="20"/>
                <w:lang w:val="en-US"/>
              </w:rPr>
            </w:pPr>
            <w:r w:rsidRPr="003B486A">
              <w:rPr>
                <w:bCs/>
                <w:sz w:val="20"/>
                <w:lang w:val="en-US"/>
              </w:rPr>
              <w:t>.12</w:t>
            </w:r>
          </w:p>
        </w:tc>
        <w:tc>
          <w:tcPr>
            <w:tcW w:w="691" w:type="dxa"/>
            <w:tcBorders>
              <w:left w:val="nil"/>
              <w:bottom w:val="single" w:sz="4" w:space="0" w:color="auto"/>
              <w:right w:val="nil"/>
            </w:tcBorders>
          </w:tcPr>
          <w:p w:rsidR="0088729A" w:rsidRPr="003B486A" w:rsidRDefault="0088729A" w:rsidP="00B851D3">
            <w:pPr>
              <w:jc w:val="center"/>
              <w:rPr>
                <w:bCs/>
                <w:sz w:val="20"/>
                <w:lang w:val="en-US"/>
              </w:rPr>
            </w:pPr>
            <w:r w:rsidRPr="003B486A">
              <w:rPr>
                <w:bCs/>
                <w:sz w:val="20"/>
                <w:lang w:val="en-US"/>
              </w:rPr>
              <w:t>-</w:t>
            </w:r>
          </w:p>
        </w:tc>
      </w:tr>
    </w:tbl>
    <w:p w:rsidR="0088729A" w:rsidRPr="003B486A" w:rsidRDefault="0088729A" w:rsidP="0088729A">
      <w:pPr>
        <w:ind w:right="3658"/>
        <w:rPr>
          <w:bCs/>
          <w:sz w:val="20"/>
          <w:lang w:val="en-US"/>
        </w:rPr>
      </w:pPr>
      <w:r w:rsidRPr="003B486A">
        <w:rPr>
          <w:bCs/>
          <w:i/>
          <w:sz w:val="20"/>
          <w:lang w:val="en-US"/>
        </w:rPr>
        <w:t>Note.</w:t>
      </w:r>
      <w:r w:rsidRPr="003B486A">
        <w:rPr>
          <w:bCs/>
          <w:sz w:val="20"/>
          <w:lang w:val="en-US"/>
        </w:rPr>
        <w:t xml:space="preserve"> We used Spearman’s correlation tests because some variables did not meet normality assumptions. BES: Binge Eating Scale; YFAS 2.0: Yale Food Addiction Scale 2.0; DIVA 2.0: Diagnostische Interview Voor ADHD bij volwassenes.</w:t>
      </w:r>
    </w:p>
    <w:p w:rsidR="0088729A" w:rsidRPr="0088729A" w:rsidRDefault="0088729A" w:rsidP="0088729A">
      <w:pPr>
        <w:rPr>
          <w:sz w:val="20"/>
        </w:rPr>
      </w:pPr>
      <w:r w:rsidRPr="0088729A">
        <w:rPr>
          <w:bCs/>
          <w:sz w:val="20"/>
          <w:vertAlign w:val="superscript"/>
        </w:rPr>
        <w:t>*</w:t>
      </w:r>
      <w:r w:rsidRPr="0088729A">
        <w:rPr>
          <w:bCs/>
          <w:sz w:val="20"/>
        </w:rPr>
        <w:t xml:space="preserve"> p&lt;.05; </w:t>
      </w:r>
      <w:r w:rsidRPr="0088729A">
        <w:rPr>
          <w:bCs/>
          <w:sz w:val="20"/>
          <w:vertAlign w:val="superscript"/>
        </w:rPr>
        <w:t>**</w:t>
      </w:r>
      <w:r w:rsidRPr="0088729A">
        <w:rPr>
          <w:bCs/>
          <w:sz w:val="20"/>
        </w:rPr>
        <w:t xml:space="preserve"> p&lt;.01; </w:t>
      </w:r>
      <w:r w:rsidRPr="0088729A">
        <w:rPr>
          <w:bCs/>
          <w:sz w:val="20"/>
          <w:vertAlign w:val="superscript"/>
        </w:rPr>
        <w:t>***</w:t>
      </w:r>
      <w:r w:rsidRPr="0088729A">
        <w:rPr>
          <w:bCs/>
          <w:sz w:val="20"/>
        </w:rPr>
        <w:t xml:space="preserve"> p&lt;.001</w:t>
      </w:r>
    </w:p>
    <w:p w:rsidR="0088729A" w:rsidRPr="0088729A" w:rsidRDefault="0088729A" w:rsidP="0088729A">
      <w:pPr>
        <w:spacing w:line="276" w:lineRule="auto"/>
        <w:rPr>
          <w:bCs/>
          <w:sz w:val="20"/>
        </w:rPr>
      </w:pPr>
    </w:p>
    <w:p w:rsidR="0088729A" w:rsidRPr="0088729A" w:rsidRDefault="0088729A" w:rsidP="0088729A">
      <w:pPr>
        <w:pStyle w:val="Caption"/>
        <w:keepNext/>
        <w:spacing w:line="276" w:lineRule="auto"/>
        <w:rPr>
          <w:b/>
          <w:sz w:val="20"/>
        </w:rPr>
      </w:pPr>
    </w:p>
    <w:p w:rsidR="0088729A" w:rsidRPr="0088729A" w:rsidRDefault="0088729A" w:rsidP="0088729A"/>
    <w:p w:rsidR="0088729A" w:rsidRPr="0088729A" w:rsidRDefault="0088729A">
      <w:pPr>
        <w:rPr>
          <w:color w:val="000000" w:themeColor="text1"/>
        </w:rPr>
        <w:sectPr w:rsidR="0088729A" w:rsidRPr="0088729A" w:rsidSect="0088729A">
          <w:pgSz w:w="16840" w:h="11900" w:orient="landscape"/>
          <w:pgMar w:top="1417" w:right="1417" w:bottom="1417" w:left="1417" w:header="708" w:footer="708" w:gutter="0"/>
          <w:cols w:space="720"/>
          <w:docGrid w:linePitch="326"/>
        </w:sectPr>
      </w:pPr>
    </w:p>
    <w:p w:rsidR="0088729A" w:rsidRPr="0088729A" w:rsidRDefault="0088729A" w:rsidP="0088729A">
      <w:pPr>
        <w:outlineLvl w:val="0"/>
        <w:rPr>
          <w:b/>
          <w:sz w:val="22"/>
        </w:rPr>
      </w:pPr>
      <w:r w:rsidRPr="0088729A">
        <w:rPr>
          <w:b/>
          <w:sz w:val="22"/>
        </w:rPr>
        <w:lastRenderedPageBreak/>
        <w:t>FIGURES</w:t>
      </w:r>
    </w:p>
    <w:p w:rsidR="0088729A" w:rsidRPr="0088729A" w:rsidRDefault="0088729A" w:rsidP="0088729A">
      <w:pPr>
        <w:spacing w:line="276" w:lineRule="auto"/>
        <w:ind w:right="277"/>
        <w:rPr>
          <w:bCs/>
          <w:sz w:val="21"/>
        </w:rPr>
      </w:pPr>
      <w:r w:rsidRPr="0088729A">
        <w:rPr>
          <w:bCs/>
          <w:sz w:val="21"/>
        </w:rPr>
        <w:tab/>
      </w:r>
    </w:p>
    <w:p w:rsidR="0088729A" w:rsidRPr="00EA76A3" w:rsidRDefault="0088729A" w:rsidP="0088729A">
      <w:pPr>
        <w:spacing w:line="480" w:lineRule="auto"/>
        <w:outlineLvl w:val="0"/>
        <w:rPr>
          <w:b/>
          <w:bCs/>
          <w:color w:val="000000"/>
          <w:sz w:val="22"/>
          <w:lang w:val="en-GB"/>
        </w:rPr>
      </w:pPr>
      <w:r w:rsidRPr="0088729A">
        <w:rPr>
          <w:b/>
          <w:bCs/>
          <w:color w:val="000000"/>
          <w:sz w:val="22"/>
        </w:rPr>
        <w:t xml:space="preserve">Figure 1. </w:t>
      </w:r>
      <w:r w:rsidRPr="00EA76A3">
        <w:rPr>
          <w:b/>
          <w:bCs/>
          <w:color w:val="000000"/>
          <w:sz w:val="22"/>
          <w:lang w:val="en-GB"/>
        </w:rPr>
        <w:t>Study flow chart</w:t>
      </w:r>
    </w:p>
    <w:p w:rsidR="0088729A" w:rsidRPr="00EA76A3" w:rsidRDefault="0088729A" w:rsidP="0088729A">
      <w:pPr>
        <w:spacing w:line="480" w:lineRule="auto"/>
        <w:rPr>
          <w:b/>
          <w:bCs/>
          <w:color w:val="000000"/>
          <w:sz w:val="21"/>
          <w:lang w:val="en-GB"/>
        </w:rPr>
      </w:pPr>
    </w:p>
    <w:p w:rsidR="0088729A" w:rsidRPr="00EA76A3" w:rsidRDefault="0088729A" w:rsidP="0088729A">
      <w:pPr>
        <w:rPr>
          <w:sz w:val="21"/>
          <w:lang w:val="en-GB"/>
        </w:rPr>
      </w:pPr>
      <w:r w:rsidRPr="00EA76A3">
        <w:rPr>
          <w:noProof/>
          <w:sz w:val="21"/>
          <w:lang w:eastAsia="fr-FR"/>
        </w:rPr>
        <mc:AlternateContent>
          <mc:Choice Requires="wps">
            <w:drawing>
              <wp:anchor distT="0" distB="0" distL="114300" distR="114300" simplePos="0" relativeHeight="251659264" behindDoc="0" locked="0" layoutInCell="1" allowOverlap="1" wp14:anchorId="12CE6430" wp14:editId="12E638D7">
                <wp:simplePos x="0" y="0"/>
                <wp:positionH relativeFrom="column">
                  <wp:posOffset>1538605</wp:posOffset>
                </wp:positionH>
                <wp:positionV relativeFrom="paragraph">
                  <wp:posOffset>-4445</wp:posOffset>
                </wp:positionV>
                <wp:extent cx="2809875" cy="628650"/>
                <wp:effectExtent l="1905" t="0" r="7620" b="1079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628650"/>
                        </a:xfrm>
                        <a:prstGeom prst="roundRect">
                          <a:avLst>
                            <a:gd name="adj" fmla="val 16667"/>
                          </a:avLst>
                        </a:prstGeom>
                        <a:solidFill>
                          <a:srgbClr val="FFFFFF"/>
                        </a:solidFill>
                        <a:ln w="9525">
                          <a:solidFill>
                            <a:srgbClr val="000000"/>
                          </a:solidFill>
                          <a:round/>
                          <a:headEnd/>
                          <a:tailEnd/>
                        </a:ln>
                      </wps:spPr>
                      <wps:txbx>
                        <w:txbxContent>
                          <w:p w:rsidR="0088729A" w:rsidRPr="00EA76A3" w:rsidRDefault="0088729A" w:rsidP="0088729A">
                            <w:pPr>
                              <w:jc w:val="center"/>
                              <w:rPr>
                                <w:b/>
                                <w:sz w:val="22"/>
                                <w:szCs w:val="22"/>
                                <w:lang w:val="en-US"/>
                              </w:rPr>
                            </w:pPr>
                            <w:r w:rsidRPr="00EA76A3">
                              <w:rPr>
                                <w:b/>
                                <w:sz w:val="22"/>
                                <w:szCs w:val="22"/>
                                <w:lang w:val="en-US"/>
                              </w:rPr>
                              <w:t>Initial population</w:t>
                            </w:r>
                          </w:p>
                          <w:p w:rsidR="0088729A" w:rsidRPr="00EA76A3" w:rsidRDefault="0088729A" w:rsidP="0088729A">
                            <w:pPr>
                              <w:jc w:val="center"/>
                              <w:rPr>
                                <w:sz w:val="22"/>
                                <w:szCs w:val="22"/>
                                <w:lang w:val="en-US"/>
                              </w:rPr>
                            </w:pPr>
                            <w:r w:rsidRPr="00EA76A3">
                              <w:rPr>
                                <w:sz w:val="22"/>
                                <w:szCs w:val="22"/>
                                <w:lang w:val="en-US"/>
                              </w:rPr>
                              <w:t>287 patients initially eligible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CE6430" id="AutoShape 2" o:spid="_x0000_s1026" style="position:absolute;left:0;text-align:left;margin-left:121.15pt;margin-top:-.35pt;width:221.2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">
                <v:textbox>
                  <w:txbxContent>
                    <w:p w:rsidR="0088729A" w:rsidRPr="00EA76A3" w:rsidRDefault="0088729A" w:rsidP="0088729A">
                      <w:pPr>
                        <w:jc w:val="center"/>
                        <w:rPr>
                          <w:b/>
                          <w:sz w:val="22"/>
                          <w:szCs w:val="22"/>
                          <w:lang w:val="en-US"/>
                        </w:rPr>
                      </w:pPr>
                      <w:r w:rsidRPr="00EA76A3">
                        <w:rPr>
                          <w:b/>
                          <w:sz w:val="22"/>
                          <w:szCs w:val="22"/>
                          <w:lang w:val="en-US"/>
                        </w:rPr>
                        <w:t>Initial population</w:t>
                      </w:r>
                    </w:p>
                    <w:p w:rsidR="0088729A" w:rsidRPr="00EA76A3" w:rsidRDefault="0088729A" w:rsidP="0088729A">
                      <w:pPr>
                        <w:jc w:val="center"/>
                        <w:rPr>
                          <w:sz w:val="22"/>
                          <w:szCs w:val="22"/>
                          <w:lang w:val="en-US"/>
                        </w:rPr>
                      </w:pPr>
                      <w:r w:rsidRPr="00EA76A3">
                        <w:rPr>
                          <w:sz w:val="22"/>
                          <w:szCs w:val="22"/>
                          <w:lang w:val="en-US"/>
                        </w:rPr>
                        <w:t>287 patients initially eligible</w:t>
                      </w:r>
                    </w:p>
                  </w:txbxContent>
                </v:textbox>
              </v:roundrect>
            </w:pict>
          </mc:Fallback>
        </mc:AlternateContent>
      </w:r>
    </w:p>
    <w:p w:rsidR="0088729A" w:rsidRPr="00EA76A3" w:rsidRDefault="0088729A" w:rsidP="0088729A">
      <w:pPr>
        <w:spacing w:line="480" w:lineRule="auto"/>
        <w:rPr>
          <w:sz w:val="21"/>
          <w:lang w:val="en-GB"/>
        </w:rPr>
      </w:pPr>
    </w:p>
    <w:p w:rsidR="0088729A" w:rsidRPr="00EA76A3" w:rsidRDefault="0088729A" w:rsidP="0088729A">
      <w:pPr>
        <w:spacing w:line="480" w:lineRule="auto"/>
        <w:rPr>
          <w:sz w:val="21"/>
          <w:lang w:val="en-GB"/>
        </w:rPr>
      </w:pPr>
      <w:r w:rsidRPr="00EA76A3">
        <w:rPr>
          <w:noProof/>
          <w:sz w:val="21"/>
          <w:lang w:eastAsia="fr-FR"/>
        </w:rPr>
        <mc:AlternateContent>
          <mc:Choice Requires="wps">
            <w:drawing>
              <wp:anchor distT="0" distB="0" distL="114300" distR="114300" simplePos="0" relativeHeight="251660288" behindDoc="0" locked="0" layoutInCell="1" allowOverlap="1" wp14:anchorId="251F5AD0" wp14:editId="3EEB94B6">
                <wp:simplePos x="0" y="0"/>
                <wp:positionH relativeFrom="column">
                  <wp:posOffset>2948305</wp:posOffset>
                </wp:positionH>
                <wp:positionV relativeFrom="paragraph">
                  <wp:posOffset>235605</wp:posOffset>
                </wp:positionV>
                <wp:extent cx="635" cy="285750"/>
                <wp:effectExtent l="63500" t="0" r="50165" b="31750"/>
                <wp:wrapNone/>
                <wp:docPr id="2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5750"/>
                        </a:xfrm>
                        <a:prstGeom prst="straightConnector1">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028DC9" id="_x0000_t32" coordsize="21600,21600" o:spt="32" o:oned="t" path="m,l21600,21600e" filled="f">
                <v:path arrowok="t" fillok="f" o:connecttype="none"/>
                <o:lock v:ext="edit" shapetype="t"/>
              </v:shapetype>
              <v:shape id="AutoShape 3" o:spid="_x0000_s1026" type="#_x0000_t32" style="position:absolute;margin-left:232.15pt;margin-top:18.55pt;width:.0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">
                <v:stroke endarrow="block"/>
              </v:shape>
            </w:pict>
          </mc:Fallback>
        </mc:AlternateContent>
      </w:r>
    </w:p>
    <w:p w:rsidR="0088729A" w:rsidRPr="00EA76A3" w:rsidRDefault="0088729A" w:rsidP="0088729A">
      <w:pPr>
        <w:spacing w:line="480" w:lineRule="auto"/>
        <w:rPr>
          <w:sz w:val="21"/>
          <w:lang w:val="en-GB"/>
        </w:rPr>
      </w:pPr>
      <w:r w:rsidRPr="00EA76A3">
        <w:rPr>
          <w:noProof/>
          <w:sz w:val="21"/>
          <w:lang w:eastAsia="fr-FR"/>
        </w:rPr>
        <mc:AlternateContent>
          <mc:Choice Requires="wps">
            <w:drawing>
              <wp:anchor distT="0" distB="0" distL="114300" distR="114300" simplePos="0" relativeHeight="251661312" behindDoc="0" locked="0" layoutInCell="1" allowOverlap="1" wp14:anchorId="6EB4D7F7" wp14:editId="2ACE145F">
                <wp:simplePos x="0" y="0"/>
                <wp:positionH relativeFrom="column">
                  <wp:posOffset>1538605</wp:posOffset>
                </wp:positionH>
                <wp:positionV relativeFrom="paragraph">
                  <wp:posOffset>334645</wp:posOffset>
                </wp:positionV>
                <wp:extent cx="2809875" cy="899795"/>
                <wp:effectExtent l="0" t="0" r="34925" b="1460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899795"/>
                        </a:xfrm>
                        <a:prstGeom prst="roundRect">
                          <a:avLst>
                            <a:gd name="adj" fmla="val 16667"/>
                          </a:avLst>
                        </a:prstGeom>
                        <a:solidFill>
                          <a:srgbClr val="FFFFFF"/>
                        </a:solidFill>
                        <a:ln w="9525">
                          <a:solidFill>
                            <a:srgbClr val="000000"/>
                          </a:solidFill>
                          <a:round/>
                          <a:headEnd/>
                          <a:tailEnd/>
                        </a:ln>
                      </wps:spPr>
                      <wps:txbx>
                        <w:txbxContent>
                          <w:p w:rsidR="0088729A" w:rsidRPr="00EA76A3" w:rsidRDefault="0088729A" w:rsidP="0088729A">
                            <w:pPr>
                              <w:jc w:val="center"/>
                              <w:rPr>
                                <w:b/>
                                <w:sz w:val="22"/>
                                <w:szCs w:val="22"/>
                                <w:lang w:val="en-US"/>
                              </w:rPr>
                            </w:pPr>
                            <w:r w:rsidRPr="00EA76A3">
                              <w:rPr>
                                <w:b/>
                                <w:sz w:val="22"/>
                                <w:szCs w:val="22"/>
                                <w:lang w:val="en-US"/>
                              </w:rPr>
                              <w:t>Population meeting inclusion/exclusion criteria</w:t>
                            </w:r>
                          </w:p>
                          <w:p w:rsidR="0088729A" w:rsidRPr="00EA76A3" w:rsidRDefault="0088729A" w:rsidP="0088729A">
                            <w:pPr>
                              <w:jc w:val="center"/>
                              <w:rPr>
                                <w:sz w:val="22"/>
                                <w:szCs w:val="22"/>
                                <w:lang w:val="en-US"/>
                              </w:rPr>
                            </w:pPr>
                            <w:r w:rsidRPr="00EA76A3">
                              <w:rPr>
                                <w:sz w:val="22"/>
                                <w:szCs w:val="22"/>
                                <w:lang w:val="en-US"/>
                              </w:rPr>
                              <w:t>286 patients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B4D7F7" id="AutoShape 4" o:spid="_x0000_s1027" style="position:absolute;left:0;text-align:left;margin-left:121.15pt;margin-top:26.35pt;width:221.25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">
                <v:textbox>
                  <w:txbxContent>
                    <w:p w:rsidR="0088729A" w:rsidRPr="00EA76A3" w:rsidRDefault="0088729A" w:rsidP="0088729A">
                      <w:pPr>
                        <w:jc w:val="center"/>
                        <w:rPr>
                          <w:b/>
                          <w:sz w:val="22"/>
                          <w:szCs w:val="22"/>
                          <w:lang w:val="en-US"/>
                        </w:rPr>
                      </w:pPr>
                      <w:r w:rsidRPr="00EA76A3">
                        <w:rPr>
                          <w:b/>
                          <w:sz w:val="22"/>
                          <w:szCs w:val="22"/>
                          <w:lang w:val="en-US"/>
                        </w:rPr>
                        <w:t>Population meeting inclusion/exclusion criteria</w:t>
                      </w:r>
                    </w:p>
                    <w:p w:rsidR="0088729A" w:rsidRPr="00EA76A3" w:rsidRDefault="0088729A" w:rsidP="0088729A">
                      <w:pPr>
                        <w:jc w:val="center"/>
                        <w:rPr>
                          <w:sz w:val="22"/>
                          <w:szCs w:val="22"/>
                          <w:lang w:val="en-US"/>
                        </w:rPr>
                      </w:pPr>
                      <w:r w:rsidRPr="00EA76A3">
                        <w:rPr>
                          <w:sz w:val="22"/>
                          <w:szCs w:val="22"/>
                          <w:lang w:val="en-US"/>
                        </w:rPr>
                        <w:t>286 patients</w:t>
                      </w:r>
                    </w:p>
                  </w:txbxContent>
                </v:textbox>
              </v:roundrect>
            </w:pict>
          </mc:Fallback>
        </mc:AlternateContent>
      </w:r>
    </w:p>
    <w:p w:rsidR="0088729A" w:rsidRPr="00EA76A3" w:rsidRDefault="0088729A" w:rsidP="0088729A">
      <w:pPr>
        <w:spacing w:line="480" w:lineRule="auto"/>
        <w:rPr>
          <w:sz w:val="21"/>
          <w:lang w:val="en-GB"/>
        </w:rPr>
      </w:pPr>
    </w:p>
    <w:p w:rsidR="0088729A" w:rsidRPr="00EA76A3" w:rsidRDefault="0088729A" w:rsidP="0088729A">
      <w:pPr>
        <w:spacing w:line="480" w:lineRule="auto"/>
        <w:rPr>
          <w:sz w:val="21"/>
          <w:lang w:val="en-GB"/>
        </w:rPr>
      </w:pPr>
    </w:p>
    <w:p w:rsidR="0088729A" w:rsidRPr="00EA76A3" w:rsidRDefault="0088729A" w:rsidP="0088729A">
      <w:pPr>
        <w:spacing w:line="480" w:lineRule="auto"/>
        <w:rPr>
          <w:sz w:val="21"/>
          <w:lang w:val="en-GB"/>
        </w:rPr>
      </w:pPr>
    </w:p>
    <w:p w:rsidR="0088729A" w:rsidRPr="00EA76A3" w:rsidRDefault="0088729A" w:rsidP="0088729A">
      <w:pPr>
        <w:spacing w:line="480" w:lineRule="auto"/>
        <w:rPr>
          <w:sz w:val="21"/>
          <w:lang w:val="en-GB"/>
        </w:rPr>
      </w:pPr>
      <w:r w:rsidRPr="00EA76A3">
        <w:rPr>
          <w:noProof/>
          <w:sz w:val="21"/>
          <w:lang w:eastAsia="fr-FR"/>
        </w:rPr>
        <mc:AlternateContent>
          <mc:Choice Requires="wps">
            <w:drawing>
              <wp:anchor distT="0" distB="0" distL="114300" distR="114300" simplePos="0" relativeHeight="251662336" behindDoc="0" locked="0" layoutInCell="1" allowOverlap="1" wp14:anchorId="3EF03AE2" wp14:editId="210FB6B0">
                <wp:simplePos x="0" y="0"/>
                <wp:positionH relativeFrom="column">
                  <wp:posOffset>2939415</wp:posOffset>
                </wp:positionH>
                <wp:positionV relativeFrom="paragraph">
                  <wp:posOffset>124153</wp:posOffset>
                </wp:positionV>
                <wp:extent cx="0" cy="257175"/>
                <wp:effectExtent l="50800" t="0" r="63500" b="34925"/>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E2B6F" id="AutoShape 14" o:spid="_x0000_s1026" type="#_x0000_t32" style="position:absolute;margin-left:231.45pt;margin-top:9.8pt;width:0;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">
                <v:stroke endarrow="block"/>
              </v:shape>
            </w:pict>
          </mc:Fallback>
        </mc:AlternateContent>
      </w:r>
    </w:p>
    <w:p w:rsidR="0088729A" w:rsidRPr="00EA76A3" w:rsidRDefault="0088729A" w:rsidP="0088729A">
      <w:pPr>
        <w:spacing w:line="480" w:lineRule="auto"/>
        <w:rPr>
          <w:sz w:val="21"/>
          <w:lang w:val="en-GB"/>
        </w:rPr>
      </w:pPr>
      <w:r w:rsidRPr="00EA76A3">
        <w:rPr>
          <w:noProof/>
          <w:sz w:val="21"/>
          <w:lang w:eastAsia="fr-FR"/>
        </w:rPr>
        <mc:AlternateContent>
          <mc:Choice Requires="wps">
            <w:drawing>
              <wp:anchor distT="0" distB="0" distL="114300" distR="114300" simplePos="0" relativeHeight="251663360" behindDoc="0" locked="0" layoutInCell="1" allowOverlap="1" wp14:anchorId="72E03575" wp14:editId="1E6FBA33">
                <wp:simplePos x="0" y="0"/>
                <wp:positionH relativeFrom="column">
                  <wp:posOffset>1533525</wp:posOffset>
                </wp:positionH>
                <wp:positionV relativeFrom="paragraph">
                  <wp:posOffset>154256</wp:posOffset>
                </wp:positionV>
                <wp:extent cx="2809875" cy="899795"/>
                <wp:effectExtent l="0" t="0" r="34925" b="14605"/>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899795"/>
                        </a:xfrm>
                        <a:prstGeom prst="roundRect">
                          <a:avLst>
                            <a:gd name="adj" fmla="val 16667"/>
                          </a:avLst>
                        </a:prstGeom>
                        <a:solidFill>
                          <a:srgbClr val="FFFFFF"/>
                        </a:solidFill>
                        <a:ln w="9525">
                          <a:solidFill>
                            <a:srgbClr val="000000"/>
                          </a:solidFill>
                          <a:round/>
                          <a:headEnd/>
                          <a:tailEnd/>
                        </a:ln>
                      </wps:spPr>
                      <wps:txbx>
                        <w:txbxContent>
                          <w:p w:rsidR="0088729A" w:rsidRPr="00EA76A3" w:rsidRDefault="0088729A" w:rsidP="0088729A">
                            <w:pPr>
                              <w:jc w:val="center"/>
                              <w:rPr>
                                <w:b/>
                                <w:sz w:val="22"/>
                                <w:szCs w:val="22"/>
                                <w:lang w:val="en-US"/>
                              </w:rPr>
                            </w:pPr>
                            <w:r w:rsidRPr="00EA76A3">
                              <w:rPr>
                                <w:b/>
                                <w:sz w:val="22"/>
                                <w:szCs w:val="22"/>
                                <w:lang w:val="en-US"/>
                              </w:rPr>
                              <w:t>Participation to the first study step</w:t>
                            </w:r>
                          </w:p>
                          <w:p w:rsidR="0088729A" w:rsidRPr="00EA76A3" w:rsidRDefault="0088729A" w:rsidP="0088729A">
                            <w:pPr>
                              <w:jc w:val="center"/>
                              <w:rPr>
                                <w:b/>
                                <w:sz w:val="22"/>
                                <w:szCs w:val="22"/>
                                <w:lang w:val="en-US"/>
                              </w:rPr>
                            </w:pPr>
                            <w:r w:rsidRPr="00EA76A3">
                              <w:rPr>
                                <w:b/>
                                <w:sz w:val="22"/>
                                <w:szCs w:val="22"/>
                                <w:lang w:val="en-US"/>
                              </w:rPr>
                              <w:t>(self-administered questionnaires)</w:t>
                            </w:r>
                          </w:p>
                          <w:p w:rsidR="0088729A" w:rsidRPr="00EA76A3" w:rsidRDefault="0088729A" w:rsidP="0088729A">
                            <w:pPr>
                              <w:jc w:val="center"/>
                              <w:rPr>
                                <w:sz w:val="22"/>
                                <w:szCs w:val="22"/>
                                <w:lang w:val="en-US"/>
                              </w:rPr>
                            </w:pPr>
                            <w:r w:rsidRPr="00EA76A3">
                              <w:rPr>
                                <w:sz w:val="22"/>
                                <w:szCs w:val="22"/>
                                <w:lang w:val="en-US"/>
                              </w:rPr>
                              <w:t>125 patients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E03575" id="_x0000_s1028" style="position:absolute;left:0;text-align:left;margin-left:120.75pt;margin-top:12.15pt;width:221.25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">
                <v:textbox>
                  <w:txbxContent>
                    <w:p w:rsidR="0088729A" w:rsidRPr="00EA76A3" w:rsidRDefault="0088729A" w:rsidP="0088729A">
                      <w:pPr>
                        <w:jc w:val="center"/>
                        <w:rPr>
                          <w:b/>
                          <w:sz w:val="22"/>
                          <w:szCs w:val="22"/>
                          <w:lang w:val="en-US"/>
                        </w:rPr>
                      </w:pPr>
                      <w:r w:rsidRPr="00EA76A3">
                        <w:rPr>
                          <w:b/>
                          <w:sz w:val="22"/>
                          <w:szCs w:val="22"/>
                          <w:lang w:val="en-US"/>
                        </w:rPr>
                        <w:t>Participation to the first study step</w:t>
                      </w:r>
                    </w:p>
                    <w:p w:rsidR="0088729A" w:rsidRPr="00EA76A3" w:rsidRDefault="0088729A" w:rsidP="0088729A">
                      <w:pPr>
                        <w:jc w:val="center"/>
                        <w:rPr>
                          <w:b/>
                          <w:sz w:val="22"/>
                          <w:szCs w:val="22"/>
                          <w:lang w:val="en-US"/>
                        </w:rPr>
                      </w:pPr>
                      <w:r w:rsidRPr="00EA76A3">
                        <w:rPr>
                          <w:b/>
                          <w:sz w:val="22"/>
                          <w:szCs w:val="22"/>
                          <w:lang w:val="en-US"/>
                        </w:rPr>
                        <w:t>(self-administered questionnaires)</w:t>
                      </w:r>
                    </w:p>
                    <w:p w:rsidR="0088729A" w:rsidRPr="00EA76A3" w:rsidRDefault="0088729A" w:rsidP="0088729A">
                      <w:pPr>
                        <w:jc w:val="center"/>
                        <w:rPr>
                          <w:sz w:val="22"/>
                          <w:szCs w:val="22"/>
                          <w:lang w:val="en-US"/>
                        </w:rPr>
                      </w:pPr>
                      <w:r w:rsidRPr="00EA76A3">
                        <w:rPr>
                          <w:sz w:val="22"/>
                          <w:szCs w:val="22"/>
                          <w:lang w:val="en-US"/>
                        </w:rPr>
                        <w:t>125 patients</w:t>
                      </w:r>
                    </w:p>
                  </w:txbxContent>
                </v:textbox>
              </v:roundrect>
            </w:pict>
          </mc:Fallback>
        </mc:AlternateContent>
      </w:r>
    </w:p>
    <w:p w:rsidR="0088729A" w:rsidRPr="00EA76A3" w:rsidRDefault="0088729A" w:rsidP="0088729A">
      <w:pPr>
        <w:spacing w:line="480" w:lineRule="auto"/>
        <w:rPr>
          <w:sz w:val="21"/>
          <w:lang w:val="en-GB"/>
        </w:rPr>
      </w:pPr>
    </w:p>
    <w:p w:rsidR="0088729A" w:rsidRPr="00EA76A3" w:rsidRDefault="0088729A" w:rsidP="0088729A">
      <w:pPr>
        <w:spacing w:line="480" w:lineRule="auto"/>
        <w:rPr>
          <w:sz w:val="21"/>
          <w:lang w:val="en-GB"/>
        </w:rPr>
      </w:pPr>
    </w:p>
    <w:p w:rsidR="0088729A" w:rsidRPr="00EA76A3" w:rsidRDefault="0088729A" w:rsidP="0088729A">
      <w:pPr>
        <w:spacing w:line="480" w:lineRule="auto"/>
        <w:rPr>
          <w:sz w:val="21"/>
          <w:lang w:val="en-GB"/>
        </w:rPr>
      </w:pPr>
      <w:r w:rsidRPr="00EA76A3">
        <w:rPr>
          <w:noProof/>
          <w:sz w:val="21"/>
          <w:lang w:eastAsia="fr-FR"/>
        </w:rPr>
        <mc:AlternateContent>
          <mc:Choice Requires="wps">
            <w:drawing>
              <wp:anchor distT="0" distB="0" distL="114300" distR="114300" simplePos="0" relativeHeight="251665408" behindDoc="0" locked="0" layoutInCell="1" allowOverlap="1" wp14:anchorId="3F46F132" wp14:editId="1F9FED9F">
                <wp:simplePos x="0" y="0"/>
                <wp:positionH relativeFrom="column">
                  <wp:posOffset>2938780</wp:posOffset>
                </wp:positionH>
                <wp:positionV relativeFrom="paragraph">
                  <wp:posOffset>280998</wp:posOffset>
                </wp:positionV>
                <wp:extent cx="0" cy="257175"/>
                <wp:effectExtent l="50800" t="0" r="63500" b="34925"/>
                <wp:wrapNone/>
                <wp:docPr id="2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936161" id="AutoShape 14" o:spid="_x0000_s1026" type="#_x0000_t32" style="position:absolute;margin-left:231.4pt;margin-top:22.15pt;width:0;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">
                <v:stroke endarrow="block"/>
              </v:shape>
            </w:pict>
          </mc:Fallback>
        </mc:AlternateContent>
      </w:r>
    </w:p>
    <w:p w:rsidR="0088729A" w:rsidRPr="00EA76A3" w:rsidRDefault="0088729A" w:rsidP="0088729A">
      <w:pPr>
        <w:spacing w:line="480" w:lineRule="auto"/>
        <w:rPr>
          <w:sz w:val="21"/>
          <w:lang w:val="en-GB"/>
        </w:rPr>
      </w:pPr>
      <w:r w:rsidRPr="00EA76A3">
        <w:rPr>
          <w:noProof/>
          <w:sz w:val="21"/>
          <w:lang w:eastAsia="fr-FR"/>
        </w:rPr>
        <mc:AlternateContent>
          <mc:Choice Requires="wps">
            <w:drawing>
              <wp:anchor distT="0" distB="0" distL="114300" distR="114300" simplePos="0" relativeHeight="251664384" behindDoc="0" locked="0" layoutInCell="1" allowOverlap="1" wp14:anchorId="556BBA29" wp14:editId="20D1A916">
                <wp:simplePos x="0" y="0"/>
                <wp:positionH relativeFrom="column">
                  <wp:posOffset>1533525</wp:posOffset>
                </wp:positionH>
                <wp:positionV relativeFrom="paragraph">
                  <wp:posOffset>329614</wp:posOffset>
                </wp:positionV>
                <wp:extent cx="2809875" cy="899795"/>
                <wp:effectExtent l="0" t="0" r="34925" b="14605"/>
                <wp:wrapNone/>
                <wp:docPr id="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899795"/>
                        </a:xfrm>
                        <a:prstGeom prst="roundRect">
                          <a:avLst>
                            <a:gd name="adj" fmla="val 16667"/>
                          </a:avLst>
                        </a:prstGeom>
                        <a:solidFill>
                          <a:srgbClr val="FFFFFF"/>
                        </a:solidFill>
                        <a:ln w="9525">
                          <a:solidFill>
                            <a:srgbClr val="000000"/>
                          </a:solidFill>
                          <a:round/>
                          <a:headEnd/>
                          <a:tailEnd/>
                        </a:ln>
                      </wps:spPr>
                      <wps:txbx>
                        <w:txbxContent>
                          <w:p w:rsidR="0088729A" w:rsidRPr="00EA76A3" w:rsidRDefault="0088729A" w:rsidP="0088729A">
                            <w:pPr>
                              <w:jc w:val="center"/>
                              <w:rPr>
                                <w:b/>
                                <w:sz w:val="22"/>
                                <w:szCs w:val="22"/>
                                <w:lang w:val="en-US"/>
                              </w:rPr>
                            </w:pPr>
                            <w:r w:rsidRPr="00EA76A3">
                              <w:rPr>
                                <w:b/>
                                <w:sz w:val="22"/>
                                <w:szCs w:val="22"/>
                                <w:lang w:val="en-US"/>
                              </w:rPr>
                              <w:t xml:space="preserve">Participation to the second study step </w:t>
                            </w:r>
                          </w:p>
                          <w:p w:rsidR="0088729A" w:rsidRPr="00EA76A3" w:rsidRDefault="0088729A" w:rsidP="0088729A">
                            <w:pPr>
                              <w:jc w:val="center"/>
                              <w:rPr>
                                <w:b/>
                                <w:sz w:val="22"/>
                                <w:szCs w:val="22"/>
                                <w:lang w:val="en-US"/>
                              </w:rPr>
                            </w:pPr>
                            <w:r w:rsidRPr="00EA76A3">
                              <w:rPr>
                                <w:b/>
                                <w:sz w:val="22"/>
                                <w:szCs w:val="22"/>
                                <w:lang w:val="en-US"/>
                              </w:rPr>
                              <w:t>(DIVA 2.0 assessment)</w:t>
                            </w:r>
                          </w:p>
                          <w:p w:rsidR="0088729A" w:rsidRPr="00EA76A3" w:rsidRDefault="0088729A" w:rsidP="0088729A">
                            <w:pPr>
                              <w:jc w:val="center"/>
                              <w:rPr>
                                <w:sz w:val="22"/>
                                <w:szCs w:val="22"/>
                                <w:lang w:val="en-US"/>
                              </w:rPr>
                            </w:pPr>
                            <w:r w:rsidRPr="00EA76A3">
                              <w:rPr>
                                <w:sz w:val="22"/>
                                <w:szCs w:val="22"/>
                                <w:lang w:val="en-US"/>
                              </w:rPr>
                              <w:t>Final population = 105 patients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6BBA29" id="_x0000_s1029" style="position:absolute;left:0;text-align:left;margin-left:120.75pt;margin-top:25.95pt;width:221.25pt;height:7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">
                <v:textbox>
                  <w:txbxContent>
                    <w:p w:rsidR="0088729A" w:rsidRPr="00EA76A3" w:rsidRDefault="0088729A" w:rsidP="0088729A">
                      <w:pPr>
                        <w:jc w:val="center"/>
                        <w:rPr>
                          <w:b/>
                          <w:sz w:val="22"/>
                          <w:szCs w:val="22"/>
                          <w:lang w:val="en-US"/>
                        </w:rPr>
                      </w:pPr>
                      <w:r w:rsidRPr="00EA76A3">
                        <w:rPr>
                          <w:b/>
                          <w:sz w:val="22"/>
                          <w:szCs w:val="22"/>
                          <w:lang w:val="en-US"/>
                        </w:rPr>
                        <w:t xml:space="preserve">Participation to the second study step </w:t>
                      </w:r>
                    </w:p>
                    <w:p w:rsidR="0088729A" w:rsidRPr="00EA76A3" w:rsidRDefault="0088729A" w:rsidP="0088729A">
                      <w:pPr>
                        <w:jc w:val="center"/>
                        <w:rPr>
                          <w:b/>
                          <w:sz w:val="22"/>
                          <w:szCs w:val="22"/>
                          <w:lang w:val="en-US"/>
                        </w:rPr>
                      </w:pPr>
                      <w:r w:rsidRPr="00EA76A3">
                        <w:rPr>
                          <w:b/>
                          <w:sz w:val="22"/>
                          <w:szCs w:val="22"/>
                          <w:lang w:val="en-US"/>
                        </w:rPr>
                        <w:t>(DIVA 2.0 assessment)</w:t>
                      </w:r>
                    </w:p>
                    <w:p w:rsidR="0088729A" w:rsidRPr="00EA76A3" w:rsidRDefault="0088729A" w:rsidP="0088729A">
                      <w:pPr>
                        <w:jc w:val="center"/>
                        <w:rPr>
                          <w:sz w:val="22"/>
                          <w:szCs w:val="22"/>
                          <w:lang w:val="en-US"/>
                        </w:rPr>
                      </w:pPr>
                      <w:r w:rsidRPr="00EA76A3">
                        <w:rPr>
                          <w:sz w:val="22"/>
                          <w:szCs w:val="22"/>
                          <w:lang w:val="en-US"/>
                        </w:rPr>
                        <w:t>Final population = 105 patients</w:t>
                      </w:r>
                    </w:p>
                  </w:txbxContent>
                </v:textbox>
              </v:roundrect>
            </w:pict>
          </mc:Fallback>
        </mc:AlternateContent>
      </w:r>
    </w:p>
    <w:p w:rsidR="0088729A" w:rsidRPr="00EA76A3" w:rsidRDefault="0088729A" w:rsidP="0088729A">
      <w:pPr>
        <w:spacing w:line="480" w:lineRule="auto"/>
        <w:rPr>
          <w:sz w:val="21"/>
          <w:lang w:val="en-GB"/>
        </w:rPr>
      </w:pPr>
    </w:p>
    <w:p w:rsidR="0088729A" w:rsidRPr="00EA76A3" w:rsidRDefault="0088729A" w:rsidP="0088729A">
      <w:pPr>
        <w:spacing w:line="480" w:lineRule="auto"/>
        <w:rPr>
          <w:sz w:val="21"/>
          <w:lang w:val="en-GB"/>
        </w:rPr>
      </w:pPr>
    </w:p>
    <w:p w:rsidR="0088729A" w:rsidRPr="00EA76A3" w:rsidRDefault="0088729A" w:rsidP="0088729A">
      <w:pPr>
        <w:spacing w:line="480" w:lineRule="auto"/>
        <w:rPr>
          <w:sz w:val="21"/>
          <w:lang w:val="en-GB"/>
        </w:rPr>
      </w:pPr>
    </w:p>
    <w:p w:rsidR="0088729A" w:rsidRPr="00EA76A3" w:rsidRDefault="0088729A" w:rsidP="0088729A">
      <w:pPr>
        <w:spacing w:line="480" w:lineRule="auto"/>
        <w:rPr>
          <w:sz w:val="21"/>
          <w:lang w:val="en-GB"/>
        </w:rPr>
      </w:pPr>
    </w:p>
    <w:p w:rsidR="0088729A" w:rsidRPr="00EA76A3" w:rsidRDefault="0088729A" w:rsidP="0088729A">
      <w:pPr>
        <w:spacing w:line="480" w:lineRule="auto"/>
        <w:rPr>
          <w:sz w:val="28"/>
          <w:lang w:val="en-GB"/>
        </w:rPr>
      </w:pPr>
    </w:p>
    <w:p w:rsidR="00D13D04" w:rsidRPr="002E5DBE" w:rsidRDefault="00D13D04">
      <w:pPr>
        <w:rPr>
          <w:color w:val="000000" w:themeColor="text1"/>
          <w:lang w:val="en-US"/>
        </w:rPr>
      </w:pPr>
    </w:p>
    <w:sectPr w:rsidR="00D13D04" w:rsidRPr="002E5DBE" w:rsidSect="00945937">
      <w:pgSz w:w="11900" w:h="16840"/>
      <w:pgMar w:top="1417" w:right="1694" w:bottom="1417"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ngs">
    <w:altName w:val="MS Mincho"/>
    <w:panose1 w:val="020B06040202020202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Arial Unicode MS"/>
    <w:panose1 w:val="020B0604020202020204"/>
    <w:charset w:val="80"/>
    <w:family w:val="auto"/>
    <w:notTrueType/>
    <w:pitch w:val="variable"/>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inherit">
    <w:altName w:val="Times New Roman"/>
    <w:panose1 w:val="020B06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Gill Sans Std">
    <w:altName w:val="Arial"/>
    <w:panose1 w:val="020B05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C3683B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D942798"/>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0B669712"/>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7DAA49D0"/>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D506C552"/>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65EA8C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E1093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83CF1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764271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4623926"/>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7F4894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835E2E"/>
    <w:multiLevelType w:val="multilevel"/>
    <w:tmpl w:val="3BAA5B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01F82F58"/>
    <w:multiLevelType w:val="hybridMultilevel"/>
    <w:tmpl w:val="A51EE260"/>
    <w:lvl w:ilvl="0" w:tplc="2EDE46A6">
      <w:numFmt w:val="bullet"/>
      <w:lvlText w:val="-"/>
      <w:lvlJc w:val="left"/>
      <w:pPr>
        <w:ind w:left="720" w:hanging="360"/>
      </w:pPr>
      <w:rPr>
        <w:rFonts w:ascii="Times New Roman" w:eastAsia="MS Minng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EFE6A29"/>
    <w:multiLevelType w:val="multilevel"/>
    <w:tmpl w:val="3F3E94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F7F3F91"/>
    <w:multiLevelType w:val="multilevel"/>
    <w:tmpl w:val="3BAA5B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19644CB8"/>
    <w:multiLevelType w:val="multilevel"/>
    <w:tmpl w:val="3BAA5B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19D531D2"/>
    <w:multiLevelType w:val="hybridMultilevel"/>
    <w:tmpl w:val="1D7A5AF8"/>
    <w:lvl w:ilvl="0" w:tplc="74D6C864">
      <w:numFmt w:val="bullet"/>
      <w:lvlText w:val="-"/>
      <w:lvlJc w:val="left"/>
      <w:pPr>
        <w:ind w:left="720" w:hanging="360"/>
      </w:pPr>
      <w:rPr>
        <w:rFonts w:ascii="Times New Roman" w:eastAsia="MS Minng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9E06D4D"/>
    <w:multiLevelType w:val="hybridMultilevel"/>
    <w:tmpl w:val="C36A6B74"/>
    <w:lvl w:ilvl="0" w:tplc="C23CF17C">
      <w:start w:val="1"/>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25975D0"/>
    <w:multiLevelType w:val="multilevel"/>
    <w:tmpl w:val="3F3E94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3651900"/>
    <w:multiLevelType w:val="multilevel"/>
    <w:tmpl w:val="3BAA5B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49644A2"/>
    <w:multiLevelType w:val="multilevel"/>
    <w:tmpl w:val="6A2A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0B3E4B"/>
    <w:multiLevelType w:val="multilevel"/>
    <w:tmpl w:val="3BAA5B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60B2CE8"/>
    <w:multiLevelType w:val="multilevel"/>
    <w:tmpl w:val="234EC9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29887BA6"/>
    <w:multiLevelType w:val="hybridMultilevel"/>
    <w:tmpl w:val="CBD2CE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F087609"/>
    <w:multiLevelType w:val="hybridMultilevel"/>
    <w:tmpl w:val="0972B1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657A48"/>
    <w:multiLevelType w:val="multilevel"/>
    <w:tmpl w:val="FD8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986855"/>
    <w:multiLevelType w:val="hybridMultilevel"/>
    <w:tmpl w:val="E8022934"/>
    <w:lvl w:ilvl="0" w:tplc="323A687C">
      <w:start w:val="250"/>
      <w:numFmt w:val="bullet"/>
      <w:lvlText w:val="-"/>
      <w:lvlJc w:val="left"/>
      <w:pPr>
        <w:ind w:left="720" w:hanging="360"/>
      </w:pPr>
      <w:rPr>
        <w:rFonts w:ascii="Times New Roman" w:eastAsia="MS Minng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857CD4"/>
    <w:multiLevelType w:val="hybridMultilevel"/>
    <w:tmpl w:val="6B54178E"/>
    <w:lvl w:ilvl="0" w:tplc="4A540EF6">
      <w:start w:val="2"/>
      <w:numFmt w:val="bullet"/>
      <w:lvlText w:val="-"/>
      <w:lvlJc w:val="left"/>
      <w:pPr>
        <w:ind w:left="720" w:hanging="360"/>
      </w:pPr>
      <w:rPr>
        <w:rFonts w:ascii="Times New Roman" w:eastAsia="MS Minngs"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D62F97"/>
    <w:multiLevelType w:val="multilevel"/>
    <w:tmpl w:val="3BAA5B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DAC0F04"/>
    <w:multiLevelType w:val="hybridMultilevel"/>
    <w:tmpl w:val="A8B6DCF6"/>
    <w:lvl w:ilvl="0" w:tplc="50DC880C">
      <w:start w:val="570"/>
      <w:numFmt w:val="bullet"/>
      <w:lvlText w:val="-"/>
      <w:lvlJc w:val="left"/>
      <w:pPr>
        <w:ind w:left="720" w:hanging="360"/>
      </w:pPr>
      <w:rPr>
        <w:rFonts w:ascii="Times New Roman" w:eastAsia="MS Minng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DB31EAC"/>
    <w:multiLevelType w:val="multilevel"/>
    <w:tmpl w:val="3BAA5B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4E6969AF"/>
    <w:multiLevelType w:val="hybridMultilevel"/>
    <w:tmpl w:val="7980BFC2"/>
    <w:lvl w:ilvl="0" w:tplc="69240CE2">
      <w:start w:val="1"/>
      <w:numFmt w:val="bullet"/>
      <w:lvlText w:val=""/>
      <w:lvlJc w:val="left"/>
      <w:pPr>
        <w:ind w:left="786" w:hanging="360"/>
      </w:pPr>
      <w:rPr>
        <w:rFonts w:ascii="Wingdings" w:eastAsia="Times New Roman" w:hAnsi="Wingdings" w:hint="default"/>
        <w:color w:val="000000"/>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2" w15:restartNumberingAfterBreak="0">
    <w:nsid w:val="4F27470C"/>
    <w:multiLevelType w:val="hybridMultilevel"/>
    <w:tmpl w:val="66822776"/>
    <w:lvl w:ilvl="0" w:tplc="95DA352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22A5D4F"/>
    <w:multiLevelType w:val="multilevel"/>
    <w:tmpl w:val="3BAA5B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90972A2"/>
    <w:multiLevelType w:val="hybridMultilevel"/>
    <w:tmpl w:val="E30860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674113"/>
    <w:multiLevelType w:val="hybridMultilevel"/>
    <w:tmpl w:val="DCBA58EE"/>
    <w:lvl w:ilvl="0" w:tplc="05A6F74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D7476C"/>
    <w:multiLevelType w:val="hybridMultilevel"/>
    <w:tmpl w:val="9AD6B282"/>
    <w:lvl w:ilvl="0" w:tplc="040C0005">
      <w:start w:val="1"/>
      <w:numFmt w:val="bullet"/>
      <w:lvlText w:val=""/>
      <w:lvlJc w:val="left"/>
      <w:pPr>
        <w:tabs>
          <w:tab w:val="num" w:pos="1425"/>
        </w:tabs>
        <w:ind w:left="1425" w:hanging="360"/>
      </w:pPr>
      <w:rPr>
        <w:rFonts w:ascii="Wingdings" w:hAnsi="Wingdings" w:hint="default"/>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37" w15:restartNumberingAfterBreak="0">
    <w:nsid w:val="678A6E1B"/>
    <w:multiLevelType w:val="hybridMultilevel"/>
    <w:tmpl w:val="4C967902"/>
    <w:lvl w:ilvl="0" w:tplc="DFD8E16A">
      <w:numFmt w:val="bullet"/>
      <w:lvlText w:val=""/>
      <w:lvlJc w:val="left"/>
      <w:pPr>
        <w:ind w:left="720" w:hanging="360"/>
      </w:pPr>
      <w:rPr>
        <w:rFonts w:ascii="Wingdings" w:eastAsia="MS Minngs"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ADE244F"/>
    <w:multiLevelType w:val="hybridMultilevel"/>
    <w:tmpl w:val="42D8A736"/>
    <w:lvl w:ilvl="0" w:tplc="040C0005">
      <w:start w:val="1"/>
      <w:numFmt w:val="bullet"/>
      <w:lvlText w:val=""/>
      <w:lvlJc w:val="left"/>
      <w:pPr>
        <w:tabs>
          <w:tab w:val="num" w:pos="1425"/>
        </w:tabs>
        <w:ind w:left="1425" w:hanging="360"/>
      </w:pPr>
      <w:rPr>
        <w:rFonts w:ascii="Wingdings" w:hAnsi="Wingdings" w:hint="default"/>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39" w15:restartNumberingAfterBreak="0">
    <w:nsid w:val="736362BB"/>
    <w:multiLevelType w:val="multilevel"/>
    <w:tmpl w:val="3BAA5B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B9962C8"/>
    <w:multiLevelType w:val="hybridMultilevel"/>
    <w:tmpl w:val="BD94864A"/>
    <w:lvl w:ilvl="0" w:tplc="6C486394">
      <w:start w:val="2"/>
      <w:numFmt w:val="bullet"/>
      <w:lvlText w:val=""/>
      <w:lvlJc w:val="left"/>
      <w:pPr>
        <w:ind w:left="720" w:hanging="360"/>
      </w:pPr>
      <w:rPr>
        <w:rFonts w:ascii="Wingdings" w:eastAsia="MS Minngs" w:hAnsi="Wingding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21"/>
  </w:num>
  <w:num w:numId="4">
    <w:abstractNumId w:val="32"/>
  </w:num>
  <w:num w:numId="5">
    <w:abstractNumId w:val="40"/>
  </w:num>
  <w:num w:numId="6">
    <w:abstractNumId w:val="30"/>
  </w:num>
  <w:num w:numId="7">
    <w:abstractNumId w:val="39"/>
  </w:num>
  <w:num w:numId="8">
    <w:abstractNumId w:val="14"/>
  </w:num>
  <w:num w:numId="9">
    <w:abstractNumId w:val="11"/>
  </w:num>
  <w:num w:numId="10">
    <w:abstractNumId w:val="28"/>
  </w:num>
  <w:num w:numId="11">
    <w:abstractNumId w:val="15"/>
  </w:num>
  <w:num w:numId="12">
    <w:abstractNumId w:val="33"/>
  </w:num>
  <w:num w:numId="13">
    <w:abstractNumId w:val="19"/>
  </w:num>
  <w:num w:numId="14">
    <w:abstractNumId w:val="37"/>
  </w:num>
  <w:num w:numId="15">
    <w:abstractNumId w:val="13"/>
  </w:num>
  <w:num w:numId="16">
    <w:abstractNumId w:val="29"/>
  </w:num>
  <w:num w:numId="17">
    <w:abstractNumId w:val="24"/>
  </w:num>
  <w:num w:numId="18">
    <w:abstractNumId w:val="34"/>
  </w:num>
  <w:num w:numId="19">
    <w:abstractNumId w:val="23"/>
  </w:num>
  <w:num w:numId="20">
    <w:abstractNumId w:val="36"/>
  </w:num>
  <w:num w:numId="21">
    <w:abstractNumId w:val="38"/>
  </w:num>
  <w:num w:numId="22">
    <w:abstractNumId w:val="17"/>
  </w:num>
  <w:num w:numId="23">
    <w:abstractNumId w:val="31"/>
  </w:num>
  <w:num w:numId="24">
    <w:abstractNumId w:val="35"/>
  </w:num>
  <w:num w:numId="25">
    <w:abstractNumId w:val="25"/>
  </w:num>
  <w:num w:numId="26">
    <w:abstractNumId w:val="0"/>
  </w:num>
  <w:num w:numId="27">
    <w:abstractNumId w:val="9"/>
  </w:num>
  <w:num w:numId="28">
    <w:abstractNumId w:val="4"/>
  </w:num>
  <w:num w:numId="29">
    <w:abstractNumId w:val="3"/>
  </w:num>
  <w:num w:numId="30">
    <w:abstractNumId w:val="2"/>
  </w:num>
  <w:num w:numId="31">
    <w:abstractNumId w:val="1"/>
  </w:num>
  <w:num w:numId="32">
    <w:abstractNumId w:val="10"/>
  </w:num>
  <w:num w:numId="33">
    <w:abstractNumId w:val="8"/>
  </w:num>
  <w:num w:numId="34">
    <w:abstractNumId w:val="7"/>
  </w:num>
  <w:num w:numId="35">
    <w:abstractNumId w:val="6"/>
  </w:num>
  <w:num w:numId="36">
    <w:abstractNumId w:val="5"/>
  </w:num>
  <w:num w:numId="37">
    <w:abstractNumId w:val="20"/>
  </w:num>
  <w:num w:numId="38">
    <w:abstractNumId w:val="16"/>
  </w:num>
  <w:num w:numId="39">
    <w:abstractNumId w:val="26"/>
  </w:num>
  <w:num w:numId="40">
    <w:abstractNumId w:val="12"/>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04"/>
    <w:rsid w:val="002E5DBE"/>
    <w:rsid w:val="005B63CA"/>
    <w:rsid w:val="006E420C"/>
    <w:rsid w:val="0088729A"/>
    <w:rsid w:val="008D52BA"/>
    <w:rsid w:val="00AB3C5A"/>
    <w:rsid w:val="00CF433D"/>
    <w:rsid w:val="00D13D04"/>
    <w:rsid w:val="00E50105"/>
    <w:rsid w:val="00FB59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66C7B-628D-2045-B8BE-76334420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3D04"/>
    <w:pPr>
      <w:spacing w:line="360" w:lineRule="auto"/>
      <w:jc w:val="both"/>
    </w:pPr>
    <w:rPr>
      <w:rFonts w:ascii="Times New Roman" w:eastAsia="MS Minngs" w:hAnsi="Times New Roman" w:cs="Times New Roman"/>
      <w:szCs w:val="20"/>
    </w:rPr>
  </w:style>
  <w:style w:type="paragraph" w:styleId="Heading1">
    <w:name w:val="heading 1"/>
    <w:basedOn w:val="Normal"/>
    <w:link w:val="Heading1Char"/>
    <w:uiPriority w:val="99"/>
    <w:qFormat/>
    <w:rsid w:val="00D13D04"/>
    <w:pPr>
      <w:spacing w:before="240" w:after="120" w:line="240" w:lineRule="auto"/>
      <w:jc w:val="left"/>
      <w:outlineLvl w:val="0"/>
    </w:pPr>
    <w:rPr>
      <w:rFonts w:eastAsia="Times New Roman"/>
      <w:b/>
      <w:bCs/>
      <w:color w:val="000000"/>
      <w:kern w:val="36"/>
      <w:sz w:val="33"/>
      <w:szCs w:val="33"/>
      <w:lang w:eastAsia="fr-FR"/>
    </w:rPr>
  </w:style>
  <w:style w:type="paragraph" w:styleId="Heading2">
    <w:name w:val="heading 2"/>
    <w:basedOn w:val="Normal"/>
    <w:next w:val="Normal"/>
    <w:link w:val="Heading2Char"/>
    <w:qFormat/>
    <w:rsid w:val="00D13D04"/>
    <w:pPr>
      <w:keepNext/>
      <w:spacing w:before="240" w:after="60" w:line="276" w:lineRule="auto"/>
      <w:jc w:val="left"/>
      <w:outlineLvl w:val="1"/>
    </w:pPr>
    <w:rPr>
      <w:rFonts w:ascii="Arial" w:eastAsia="Calibri" w:hAnsi="Arial" w:cs="Arial"/>
      <w:b/>
      <w:bCs/>
      <w:i/>
      <w:iCs/>
      <w:sz w:val="28"/>
      <w:szCs w:val="28"/>
    </w:rPr>
  </w:style>
  <w:style w:type="paragraph" w:styleId="Heading3">
    <w:name w:val="heading 3"/>
    <w:basedOn w:val="Normal"/>
    <w:link w:val="Heading3Char"/>
    <w:uiPriority w:val="99"/>
    <w:qFormat/>
    <w:rsid w:val="00D13D04"/>
    <w:pPr>
      <w:spacing w:before="100" w:beforeAutospacing="1" w:after="100" w:afterAutospacing="1" w:line="240" w:lineRule="auto"/>
      <w:jc w:val="left"/>
      <w:outlineLvl w:val="2"/>
    </w:pPr>
    <w:rPr>
      <w:rFonts w:eastAsia="Times New Roman"/>
      <w:b/>
      <w:bCs/>
      <w:sz w:val="27"/>
      <w:szCs w:val="27"/>
    </w:rPr>
  </w:style>
  <w:style w:type="paragraph" w:styleId="Heading4">
    <w:name w:val="heading 4"/>
    <w:basedOn w:val="Normal"/>
    <w:next w:val="Normal"/>
    <w:link w:val="Heading4Char"/>
    <w:uiPriority w:val="99"/>
    <w:qFormat/>
    <w:rsid w:val="00D13D04"/>
    <w:pPr>
      <w:keepNext/>
      <w:keepLines/>
      <w:spacing w:before="200" w:line="276" w:lineRule="auto"/>
      <w:jc w:val="left"/>
      <w:outlineLvl w:val="3"/>
    </w:pPr>
    <w:rPr>
      <w:rFonts w:ascii="Cambria" w:eastAsia="MS ????" w:hAnsi="Cambria"/>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13D04"/>
    <w:rPr>
      <w:rFonts w:ascii="Times New Roman" w:eastAsia="Times New Roman" w:hAnsi="Times New Roman" w:cs="Times New Roman"/>
      <w:b/>
      <w:bCs/>
      <w:color w:val="000000"/>
      <w:kern w:val="36"/>
      <w:sz w:val="33"/>
      <w:szCs w:val="33"/>
      <w:lang w:eastAsia="fr-FR"/>
    </w:rPr>
  </w:style>
  <w:style w:type="character" w:customStyle="1" w:styleId="Heading2Char">
    <w:name w:val="Heading 2 Char"/>
    <w:basedOn w:val="DefaultParagraphFont"/>
    <w:link w:val="Heading2"/>
    <w:rsid w:val="00D13D04"/>
    <w:rPr>
      <w:rFonts w:ascii="Arial" w:eastAsia="Calibri" w:hAnsi="Arial" w:cs="Arial"/>
      <w:b/>
      <w:bCs/>
      <w:i/>
      <w:iCs/>
      <w:sz w:val="28"/>
      <w:szCs w:val="28"/>
    </w:rPr>
  </w:style>
  <w:style w:type="character" w:customStyle="1" w:styleId="Heading3Char">
    <w:name w:val="Heading 3 Char"/>
    <w:basedOn w:val="DefaultParagraphFont"/>
    <w:link w:val="Heading3"/>
    <w:uiPriority w:val="99"/>
    <w:rsid w:val="00D13D0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9"/>
    <w:rsid w:val="00D13D04"/>
    <w:rPr>
      <w:rFonts w:ascii="Cambria" w:eastAsia="MS ????" w:hAnsi="Cambria" w:cs="Times New Roman"/>
      <w:bCs/>
      <w:i/>
      <w:iCs/>
      <w:color w:val="4F81BD"/>
      <w:sz w:val="22"/>
      <w:szCs w:val="22"/>
    </w:rPr>
  </w:style>
  <w:style w:type="paragraph" w:styleId="Caption">
    <w:name w:val="caption"/>
    <w:basedOn w:val="Normal"/>
    <w:next w:val="Normal"/>
    <w:uiPriority w:val="99"/>
    <w:qFormat/>
    <w:rsid w:val="00D13D04"/>
    <w:pPr>
      <w:spacing w:before="120" w:after="120"/>
    </w:pPr>
  </w:style>
  <w:style w:type="character" w:styleId="CommentReference">
    <w:name w:val="annotation reference"/>
    <w:basedOn w:val="DefaultParagraphFont"/>
    <w:uiPriority w:val="99"/>
    <w:unhideWhenUsed/>
    <w:rsid w:val="00D13D04"/>
    <w:rPr>
      <w:sz w:val="18"/>
      <w:szCs w:val="18"/>
    </w:rPr>
  </w:style>
  <w:style w:type="paragraph" w:styleId="CommentText">
    <w:name w:val="annotation text"/>
    <w:aliases w:val="'"/>
    <w:basedOn w:val="Normal"/>
    <w:link w:val="CommentTextChar"/>
    <w:uiPriority w:val="99"/>
    <w:unhideWhenUsed/>
    <w:rsid w:val="00D13D04"/>
    <w:pPr>
      <w:spacing w:line="240" w:lineRule="auto"/>
    </w:pPr>
    <w:rPr>
      <w:szCs w:val="24"/>
    </w:rPr>
  </w:style>
  <w:style w:type="character" w:customStyle="1" w:styleId="CommentTextChar">
    <w:name w:val="Comment Text Char"/>
    <w:aliases w:val="' Char"/>
    <w:basedOn w:val="DefaultParagraphFont"/>
    <w:link w:val="CommentText"/>
    <w:uiPriority w:val="99"/>
    <w:rsid w:val="00D13D04"/>
    <w:rPr>
      <w:rFonts w:ascii="Times New Roman" w:eastAsia="MS Minngs" w:hAnsi="Times New Roman" w:cs="Times New Roman"/>
    </w:rPr>
  </w:style>
  <w:style w:type="paragraph" w:styleId="ListParagraph">
    <w:name w:val="List Paragraph"/>
    <w:basedOn w:val="Normal"/>
    <w:uiPriority w:val="34"/>
    <w:qFormat/>
    <w:rsid w:val="00D13D04"/>
    <w:pPr>
      <w:ind w:left="720"/>
      <w:contextualSpacing/>
    </w:pPr>
  </w:style>
  <w:style w:type="paragraph" w:styleId="BalloonText">
    <w:name w:val="Balloon Text"/>
    <w:basedOn w:val="Normal"/>
    <w:link w:val="BalloonTextChar"/>
    <w:uiPriority w:val="99"/>
    <w:unhideWhenUsed/>
    <w:rsid w:val="00D13D0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D13D04"/>
    <w:rPr>
      <w:rFonts w:ascii="Lucida Grande" w:eastAsia="MS Minngs" w:hAnsi="Lucida Grande" w:cs="Lucida Grande"/>
      <w:sz w:val="18"/>
      <w:szCs w:val="18"/>
    </w:rPr>
  </w:style>
  <w:style w:type="paragraph" w:styleId="CommentSubject">
    <w:name w:val="annotation subject"/>
    <w:basedOn w:val="CommentText"/>
    <w:next w:val="CommentText"/>
    <w:link w:val="CommentSubjectChar"/>
    <w:uiPriority w:val="99"/>
    <w:unhideWhenUsed/>
    <w:rsid w:val="00D13D04"/>
    <w:rPr>
      <w:b/>
      <w:bCs/>
      <w:sz w:val="20"/>
      <w:szCs w:val="20"/>
    </w:rPr>
  </w:style>
  <w:style w:type="character" w:customStyle="1" w:styleId="CommentSubjectChar">
    <w:name w:val="Comment Subject Char"/>
    <w:basedOn w:val="CommentTextChar"/>
    <w:link w:val="CommentSubject"/>
    <w:uiPriority w:val="99"/>
    <w:rsid w:val="00D13D04"/>
    <w:rPr>
      <w:rFonts w:ascii="Times New Roman" w:eastAsia="MS Minngs" w:hAnsi="Times New Roman" w:cs="Times New Roman"/>
      <w:b/>
      <w:bCs/>
      <w:sz w:val="20"/>
      <w:szCs w:val="20"/>
    </w:rPr>
  </w:style>
  <w:style w:type="character" w:customStyle="1" w:styleId="highlight2">
    <w:name w:val="highlight2"/>
    <w:basedOn w:val="DefaultParagraphFont"/>
    <w:rsid w:val="00D13D04"/>
  </w:style>
  <w:style w:type="character" w:styleId="Emphasis">
    <w:name w:val="Emphasis"/>
    <w:basedOn w:val="DefaultParagraphFont"/>
    <w:uiPriority w:val="99"/>
    <w:qFormat/>
    <w:rsid w:val="00D13D04"/>
    <w:rPr>
      <w:i/>
      <w:iCs/>
    </w:rPr>
  </w:style>
  <w:style w:type="paragraph" w:styleId="NormalWeb">
    <w:name w:val="Normal (Web)"/>
    <w:basedOn w:val="Normal"/>
    <w:uiPriority w:val="99"/>
    <w:unhideWhenUsed/>
    <w:rsid w:val="00D13D04"/>
    <w:pPr>
      <w:spacing w:line="240" w:lineRule="auto"/>
      <w:jc w:val="left"/>
    </w:pPr>
    <w:rPr>
      <w:rFonts w:ascii="inherit" w:eastAsia="Times New Roman" w:hAnsi="inherit"/>
      <w:szCs w:val="24"/>
      <w:lang w:eastAsia="fr-FR"/>
    </w:rPr>
  </w:style>
  <w:style w:type="character" w:styleId="Hyperlink">
    <w:name w:val="Hyperlink"/>
    <w:basedOn w:val="DefaultParagraphFont"/>
    <w:uiPriority w:val="99"/>
    <w:rsid w:val="00D13D04"/>
    <w:rPr>
      <w:rFonts w:cs="Times New Roman"/>
      <w:color w:val="0563C1"/>
      <w:u w:val="single"/>
    </w:rPr>
  </w:style>
  <w:style w:type="paragraph" w:styleId="Bibliography">
    <w:name w:val="Bibliography"/>
    <w:basedOn w:val="Normal"/>
    <w:next w:val="Normal"/>
    <w:uiPriority w:val="99"/>
    <w:unhideWhenUsed/>
    <w:rsid w:val="00D13D04"/>
    <w:pPr>
      <w:spacing w:line="480" w:lineRule="auto"/>
      <w:ind w:left="720" w:hanging="720"/>
    </w:pPr>
  </w:style>
  <w:style w:type="paragraph" w:customStyle="1" w:styleId="Bibliographie1">
    <w:name w:val="Bibliographie1"/>
    <w:basedOn w:val="Normal"/>
    <w:rsid w:val="00D13D04"/>
    <w:pPr>
      <w:spacing w:line="240" w:lineRule="auto"/>
      <w:ind w:left="720" w:hanging="720"/>
    </w:pPr>
    <w:rPr>
      <w:szCs w:val="24"/>
      <w:lang w:val="en"/>
    </w:rPr>
  </w:style>
  <w:style w:type="character" w:customStyle="1" w:styleId="gsa">
    <w:name w:val="gs_a"/>
    <w:uiPriority w:val="99"/>
    <w:rsid w:val="00D13D04"/>
    <w:rPr>
      <w:rFonts w:cs="Times New Roman"/>
    </w:rPr>
  </w:style>
  <w:style w:type="character" w:customStyle="1" w:styleId="med11">
    <w:name w:val="med11"/>
    <w:uiPriority w:val="99"/>
    <w:rsid w:val="00D13D04"/>
    <w:rPr>
      <w:sz w:val="18"/>
    </w:rPr>
  </w:style>
  <w:style w:type="paragraph" w:customStyle="1" w:styleId="Rapptexte">
    <w:name w:val="Rapp_texte"/>
    <w:uiPriority w:val="99"/>
    <w:rsid w:val="00D13D04"/>
    <w:pPr>
      <w:suppressAutoHyphens/>
      <w:spacing w:before="120" w:after="120" w:line="312" w:lineRule="auto"/>
      <w:ind w:firstLine="454"/>
      <w:jc w:val="both"/>
    </w:pPr>
    <w:rPr>
      <w:rFonts w:ascii="Calibri" w:eastAsia="Times New Roman" w:hAnsi="Calibri" w:cs="Book Antiqua"/>
      <w:lang w:eastAsia="ar-SA"/>
    </w:rPr>
  </w:style>
  <w:style w:type="character" w:customStyle="1" w:styleId="searchword">
    <w:name w:val="searchword"/>
    <w:uiPriority w:val="99"/>
    <w:rsid w:val="00D13D04"/>
    <w:rPr>
      <w:rFonts w:cs="Times New Roman"/>
    </w:rPr>
  </w:style>
  <w:style w:type="character" w:styleId="HTMLAcronym">
    <w:name w:val="HTML Acronym"/>
    <w:uiPriority w:val="99"/>
    <w:rsid w:val="00D13D04"/>
    <w:rPr>
      <w:rFonts w:cs="Times New Roman"/>
    </w:rPr>
  </w:style>
  <w:style w:type="paragraph" w:customStyle="1" w:styleId="citation">
    <w:name w:val="citation"/>
    <w:basedOn w:val="Normal"/>
    <w:uiPriority w:val="99"/>
    <w:rsid w:val="00D13D04"/>
    <w:pPr>
      <w:spacing w:before="100" w:beforeAutospacing="1" w:after="100" w:afterAutospacing="1" w:line="240" w:lineRule="auto"/>
      <w:jc w:val="left"/>
    </w:pPr>
    <w:rPr>
      <w:rFonts w:eastAsia="Times New Roman"/>
      <w:szCs w:val="24"/>
      <w:lang w:eastAsia="fr-FR"/>
    </w:rPr>
  </w:style>
  <w:style w:type="paragraph" w:customStyle="1" w:styleId="authlist">
    <w:name w:val="auth_list"/>
    <w:basedOn w:val="Normal"/>
    <w:uiPriority w:val="99"/>
    <w:rsid w:val="00D13D04"/>
    <w:pPr>
      <w:spacing w:before="100" w:beforeAutospacing="1" w:after="100" w:afterAutospacing="1" w:line="240" w:lineRule="auto"/>
      <w:jc w:val="left"/>
    </w:pPr>
    <w:rPr>
      <w:rFonts w:eastAsia="Times New Roman"/>
      <w:szCs w:val="24"/>
      <w:lang w:eastAsia="fr-FR"/>
    </w:rPr>
  </w:style>
  <w:style w:type="paragraph" w:styleId="Header">
    <w:name w:val="header"/>
    <w:basedOn w:val="Normal"/>
    <w:link w:val="HeaderChar"/>
    <w:uiPriority w:val="99"/>
    <w:rsid w:val="00D13D04"/>
    <w:pPr>
      <w:tabs>
        <w:tab w:val="center" w:pos="4536"/>
        <w:tab w:val="right" w:pos="9072"/>
      </w:tabs>
      <w:spacing w:line="240" w:lineRule="auto"/>
      <w:jc w:val="left"/>
    </w:pPr>
    <w:rPr>
      <w:rFonts w:eastAsia="Times New Roman"/>
      <w:szCs w:val="24"/>
    </w:rPr>
  </w:style>
  <w:style w:type="character" w:customStyle="1" w:styleId="HeaderChar">
    <w:name w:val="Header Char"/>
    <w:basedOn w:val="DefaultParagraphFont"/>
    <w:link w:val="Header"/>
    <w:uiPriority w:val="99"/>
    <w:rsid w:val="00D13D04"/>
    <w:rPr>
      <w:rFonts w:ascii="Times New Roman" w:eastAsia="Times New Roman" w:hAnsi="Times New Roman" w:cs="Times New Roman"/>
    </w:rPr>
  </w:style>
  <w:style w:type="paragraph" w:styleId="Footer">
    <w:name w:val="footer"/>
    <w:basedOn w:val="Normal"/>
    <w:link w:val="FooterChar"/>
    <w:uiPriority w:val="99"/>
    <w:rsid w:val="00D13D04"/>
    <w:pPr>
      <w:tabs>
        <w:tab w:val="center" w:pos="4536"/>
        <w:tab w:val="right" w:pos="9072"/>
      </w:tabs>
      <w:spacing w:line="240" w:lineRule="auto"/>
      <w:jc w:val="left"/>
    </w:pPr>
    <w:rPr>
      <w:rFonts w:eastAsia="Times New Roman"/>
      <w:szCs w:val="24"/>
    </w:rPr>
  </w:style>
  <w:style w:type="character" w:customStyle="1" w:styleId="FooterChar">
    <w:name w:val="Footer Char"/>
    <w:basedOn w:val="DefaultParagraphFont"/>
    <w:link w:val="Footer"/>
    <w:uiPriority w:val="99"/>
    <w:rsid w:val="00D13D04"/>
    <w:rPr>
      <w:rFonts w:ascii="Times New Roman" w:eastAsia="Times New Roman" w:hAnsi="Times New Roman" w:cs="Times New Roman"/>
    </w:rPr>
  </w:style>
  <w:style w:type="character" w:customStyle="1" w:styleId="ft">
    <w:name w:val="ft"/>
    <w:uiPriority w:val="99"/>
    <w:rsid w:val="00D13D04"/>
  </w:style>
  <w:style w:type="character" w:customStyle="1" w:styleId="src1">
    <w:name w:val="src1"/>
    <w:uiPriority w:val="99"/>
    <w:rsid w:val="00D13D04"/>
  </w:style>
  <w:style w:type="paragraph" w:styleId="HTMLPreformatted">
    <w:name w:val="HTML Preformatted"/>
    <w:basedOn w:val="Normal"/>
    <w:link w:val="HTMLPreformattedChar"/>
    <w:uiPriority w:val="99"/>
    <w:rsid w:val="00D13D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9"/>
      <w:szCs w:val="29"/>
      <w:lang w:eastAsia="fr-FR"/>
    </w:rPr>
  </w:style>
  <w:style w:type="character" w:customStyle="1" w:styleId="HTMLPreformattedChar">
    <w:name w:val="HTML Preformatted Char"/>
    <w:basedOn w:val="DefaultParagraphFont"/>
    <w:link w:val="HTMLPreformatted"/>
    <w:uiPriority w:val="99"/>
    <w:rsid w:val="00D13D04"/>
    <w:rPr>
      <w:rFonts w:ascii="Courier New" w:eastAsia="Times New Roman" w:hAnsi="Courier New" w:cs="Courier New"/>
      <w:sz w:val="29"/>
      <w:szCs w:val="29"/>
      <w:lang w:eastAsia="fr-FR"/>
    </w:rPr>
  </w:style>
  <w:style w:type="character" w:customStyle="1" w:styleId="displaynone1">
    <w:name w:val="displaynone1"/>
    <w:uiPriority w:val="99"/>
    <w:rsid w:val="00D13D04"/>
    <w:rPr>
      <w:rFonts w:cs="Times New Roman"/>
      <w:vanish/>
    </w:rPr>
  </w:style>
  <w:style w:type="paragraph" w:customStyle="1" w:styleId="Default">
    <w:name w:val="Default"/>
    <w:uiPriority w:val="99"/>
    <w:rsid w:val="00D13D04"/>
    <w:pPr>
      <w:autoSpaceDE w:val="0"/>
      <w:autoSpaceDN w:val="0"/>
      <w:adjustRightInd w:val="0"/>
    </w:pPr>
    <w:rPr>
      <w:rFonts w:ascii="Gill Sans Std" w:eastAsia="Calibri" w:hAnsi="Gill Sans Std" w:cs="Gill Sans Std"/>
      <w:color w:val="000000"/>
      <w:lang w:eastAsia="fr-FR"/>
    </w:rPr>
  </w:style>
  <w:style w:type="character" w:customStyle="1" w:styleId="A5">
    <w:name w:val="A5"/>
    <w:uiPriority w:val="99"/>
    <w:rsid w:val="00D13D04"/>
    <w:rPr>
      <w:color w:val="000000"/>
      <w:sz w:val="10"/>
    </w:rPr>
  </w:style>
  <w:style w:type="character" w:customStyle="1" w:styleId="gi">
    <w:name w:val="gi"/>
    <w:uiPriority w:val="99"/>
    <w:rsid w:val="00D13D04"/>
    <w:rPr>
      <w:rFonts w:cs="Times New Roman"/>
    </w:rPr>
  </w:style>
  <w:style w:type="paragraph" w:customStyle="1" w:styleId="Bibliography1">
    <w:name w:val="Bibliography1"/>
    <w:basedOn w:val="Normal"/>
    <w:uiPriority w:val="99"/>
    <w:rsid w:val="00D13D04"/>
    <w:pPr>
      <w:spacing w:line="480" w:lineRule="auto"/>
      <w:ind w:left="720" w:hanging="720"/>
      <w:jc w:val="left"/>
    </w:pPr>
    <w:rPr>
      <w:rFonts w:eastAsia="Calibri"/>
      <w:bCs/>
      <w:sz w:val="20"/>
      <w:lang w:val="en-GB"/>
    </w:rPr>
  </w:style>
  <w:style w:type="character" w:styleId="Strong">
    <w:name w:val="Strong"/>
    <w:qFormat/>
    <w:rsid w:val="00D13D04"/>
    <w:rPr>
      <w:b/>
      <w:bCs/>
    </w:rPr>
  </w:style>
  <w:style w:type="paragraph" w:customStyle="1" w:styleId="toplink">
    <w:name w:val="top_link"/>
    <w:basedOn w:val="Normal"/>
    <w:rsid w:val="00D13D04"/>
    <w:pPr>
      <w:spacing w:after="150" w:line="195" w:lineRule="atLeast"/>
      <w:jc w:val="left"/>
    </w:pPr>
    <w:rPr>
      <w:rFonts w:eastAsia="MS Mincho"/>
      <w:sz w:val="15"/>
      <w:szCs w:val="15"/>
      <w:lang w:eastAsia="ja-JP"/>
    </w:rPr>
  </w:style>
  <w:style w:type="character" w:customStyle="1" w:styleId="highlight">
    <w:name w:val="highlight"/>
    <w:basedOn w:val="DefaultParagraphFont"/>
    <w:rsid w:val="00D13D04"/>
  </w:style>
  <w:style w:type="paragraph" w:styleId="FootnoteText">
    <w:name w:val="footnote text"/>
    <w:basedOn w:val="Normal"/>
    <w:link w:val="FootnoteTextChar"/>
    <w:uiPriority w:val="99"/>
    <w:semiHidden/>
    <w:unhideWhenUsed/>
    <w:rsid w:val="00D13D04"/>
    <w:pPr>
      <w:spacing w:line="240" w:lineRule="auto"/>
    </w:pPr>
    <w:rPr>
      <w:sz w:val="20"/>
    </w:rPr>
  </w:style>
  <w:style w:type="character" w:customStyle="1" w:styleId="FootnoteTextChar">
    <w:name w:val="Footnote Text Char"/>
    <w:basedOn w:val="DefaultParagraphFont"/>
    <w:link w:val="FootnoteText"/>
    <w:uiPriority w:val="99"/>
    <w:semiHidden/>
    <w:rsid w:val="00D13D04"/>
    <w:rPr>
      <w:rFonts w:ascii="Times New Roman" w:eastAsia="MS Minngs" w:hAnsi="Times New Roman" w:cs="Times New Roman"/>
      <w:sz w:val="20"/>
      <w:szCs w:val="20"/>
    </w:rPr>
  </w:style>
  <w:style w:type="paragraph" w:customStyle="1" w:styleId="Bibliography2">
    <w:name w:val="Bibliography2"/>
    <w:basedOn w:val="Normal"/>
    <w:link w:val="BibliographyCar"/>
    <w:rsid w:val="00D13D04"/>
    <w:pPr>
      <w:spacing w:line="240" w:lineRule="auto"/>
      <w:ind w:left="720" w:hanging="720"/>
    </w:pPr>
    <w:rPr>
      <w:sz w:val="20"/>
      <w:lang w:val="en-GB"/>
    </w:rPr>
  </w:style>
  <w:style w:type="character" w:customStyle="1" w:styleId="BibliographyCar">
    <w:name w:val="Bibliography Car"/>
    <w:basedOn w:val="DefaultParagraphFont"/>
    <w:link w:val="Bibliography2"/>
    <w:rsid w:val="00D13D04"/>
    <w:rPr>
      <w:rFonts w:ascii="Times New Roman" w:eastAsia="MS Minngs" w:hAnsi="Times New Roman" w:cs="Times New Roman"/>
      <w:sz w:val="20"/>
      <w:szCs w:val="20"/>
      <w:lang w:val="en-GB"/>
    </w:rPr>
  </w:style>
  <w:style w:type="paragraph" w:customStyle="1" w:styleId="Bibliographie2">
    <w:name w:val="Bibliographie2"/>
    <w:basedOn w:val="Normal"/>
    <w:rsid w:val="00D13D04"/>
    <w:pPr>
      <w:tabs>
        <w:tab w:val="left" w:pos="3713"/>
      </w:tabs>
      <w:spacing w:line="240" w:lineRule="auto"/>
      <w:ind w:left="720" w:hanging="720"/>
      <w:jc w:val="left"/>
    </w:pPr>
    <w:rPr>
      <w:rFonts w:asciiTheme="minorHAnsi" w:eastAsiaTheme="minorHAnsi" w:hAnsiTheme="minorHAnsi" w:cstheme="minorBidi"/>
      <w:szCs w:val="24"/>
    </w:rPr>
  </w:style>
  <w:style w:type="paragraph" w:customStyle="1" w:styleId="Bibliographie3">
    <w:name w:val="Bibliographie3"/>
    <w:basedOn w:val="Normal"/>
    <w:link w:val="BibliographyCar1"/>
    <w:rsid w:val="00D13D04"/>
    <w:pPr>
      <w:tabs>
        <w:tab w:val="left" w:pos="500"/>
      </w:tabs>
      <w:spacing w:line="480" w:lineRule="auto"/>
      <w:ind w:left="720" w:hanging="720"/>
    </w:pPr>
    <w:rPr>
      <w:szCs w:val="24"/>
      <w:lang w:val="en-GB"/>
    </w:rPr>
  </w:style>
  <w:style w:type="character" w:customStyle="1" w:styleId="BibliographyCar1">
    <w:name w:val="Bibliography Car1"/>
    <w:basedOn w:val="DefaultParagraphFont"/>
    <w:link w:val="Bibliographie3"/>
    <w:rsid w:val="00D13D04"/>
    <w:rPr>
      <w:rFonts w:ascii="Times New Roman" w:eastAsia="MS Minngs" w:hAnsi="Times New Roman" w:cs="Times New Roman"/>
      <w:lang w:val="en-GB"/>
    </w:rPr>
  </w:style>
  <w:style w:type="paragraph" w:customStyle="1" w:styleId="Bibliographie4">
    <w:name w:val="Bibliographie4"/>
    <w:basedOn w:val="Normal"/>
    <w:rsid w:val="00D13D04"/>
    <w:pPr>
      <w:spacing w:line="480" w:lineRule="auto"/>
      <w:ind w:left="720" w:hanging="720"/>
      <w:jc w:val="left"/>
    </w:pPr>
    <w:rPr>
      <w:rFonts w:asciiTheme="minorHAnsi" w:eastAsiaTheme="minorHAnsi"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ul.brunault@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44A69-0D68-994B-8522-6484E998E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28929</Words>
  <Characters>164899</Characters>
  <Application>Microsoft Office Word</Application>
  <DocSecurity>0</DocSecurity>
  <Lines>1374</Lines>
  <Paragraphs>386</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193442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2019-01-10T20:28:00Z</dcterms:created>
  <dcterms:modified xsi:type="dcterms:W3CDTF">2019-01-10T20:28:00Z</dcterms:modified>
</cp:coreProperties>
</file>