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6DCFC" w14:textId="334CA1FF" w:rsidR="00D727CA" w:rsidRPr="0040743B" w:rsidRDefault="00F9485C">
      <w:pPr>
        <w:pStyle w:val="TextA"/>
        <w:spacing w:after="120" w:line="480" w:lineRule="auto"/>
        <w:rPr>
          <w:rFonts w:ascii="Times New Roman" w:hAnsi="Times New Roman" w:cs="Times New Roman"/>
          <w:b/>
          <w:bCs/>
          <w:sz w:val="24"/>
          <w:szCs w:val="24"/>
          <w:lang w:val="en-GB"/>
        </w:rPr>
      </w:pPr>
      <w:r w:rsidRPr="0040743B">
        <w:rPr>
          <w:rFonts w:ascii="Times New Roman" w:hAnsi="Times New Roman" w:cs="Times New Roman"/>
          <w:b/>
          <w:bCs/>
          <w:sz w:val="24"/>
          <w:szCs w:val="24"/>
          <w:lang w:val="en-GB"/>
        </w:rPr>
        <w:t>Title</w:t>
      </w:r>
      <w:r w:rsidRPr="0040743B">
        <w:rPr>
          <w:rFonts w:ascii="Times New Roman" w:eastAsia="Arial Unicode MS" w:hAnsi="Times New Roman" w:cs="Times New Roman"/>
          <w:sz w:val="24"/>
          <w:szCs w:val="24"/>
          <w:lang w:val="en-GB"/>
        </w:rPr>
        <w:br/>
      </w:r>
      <w:r w:rsidRPr="0040743B">
        <w:rPr>
          <w:rFonts w:ascii="Times New Roman" w:hAnsi="Times New Roman" w:cs="Times New Roman"/>
          <w:b/>
          <w:bCs/>
          <w:sz w:val="24"/>
          <w:szCs w:val="24"/>
          <w:lang w:val="en-GB"/>
        </w:rPr>
        <w:t>Actively personalized vaccination trial for</w:t>
      </w:r>
      <w:bookmarkStart w:id="0" w:name="_Hlk517434874"/>
      <w:r w:rsidRPr="0040743B">
        <w:rPr>
          <w:rFonts w:ascii="Times New Roman" w:hAnsi="Times New Roman" w:cs="Times New Roman"/>
          <w:b/>
          <w:bCs/>
          <w:sz w:val="24"/>
          <w:szCs w:val="24"/>
          <w:lang w:val="en-GB"/>
        </w:rPr>
        <w:t xml:space="preserve"> newly diagnosed glioblastoma</w:t>
      </w:r>
    </w:p>
    <w:p w14:paraId="4186DCFD" w14:textId="77777777" w:rsidR="00D727CA" w:rsidRPr="0040743B" w:rsidRDefault="00F9485C">
      <w:pPr>
        <w:pStyle w:val="TextA"/>
        <w:spacing w:before="240" w:after="120" w:line="480" w:lineRule="auto"/>
        <w:rPr>
          <w:rFonts w:ascii="Times New Roman" w:eastAsia="Times New Roman" w:hAnsi="Times New Roman" w:cs="Times New Roman"/>
          <w:sz w:val="24"/>
          <w:szCs w:val="24"/>
          <w:lang w:val="en-GB"/>
        </w:rPr>
      </w:pPr>
      <w:r w:rsidRPr="0040743B">
        <w:rPr>
          <w:rFonts w:ascii="Times New Roman" w:hAnsi="Times New Roman" w:cs="Times New Roman"/>
          <w:b/>
          <w:bCs/>
          <w:sz w:val="24"/>
          <w:szCs w:val="24"/>
          <w:lang w:val="en-GB"/>
        </w:rPr>
        <w:t>Authors</w:t>
      </w:r>
      <w:r w:rsidRPr="0040743B">
        <w:rPr>
          <w:rFonts w:ascii="Times New Roman" w:hAnsi="Times New Roman" w:cs="Times New Roman"/>
          <w:sz w:val="24"/>
          <w:szCs w:val="24"/>
          <w:lang w:val="en-GB"/>
        </w:rPr>
        <w:t xml:space="preserve"> </w:t>
      </w:r>
      <w:bookmarkEnd w:id="0"/>
    </w:p>
    <w:p w14:paraId="4186DCFE" w14:textId="37429383" w:rsidR="00D727CA" w:rsidRPr="0040743B" w:rsidRDefault="00F9485C">
      <w:pPr>
        <w:pStyle w:val="TextA"/>
        <w:spacing w:after="120" w:line="480" w:lineRule="auto"/>
        <w:rPr>
          <w:rFonts w:ascii="Times New Roman" w:hAnsi="Times New Roman" w:cs="Times New Roman"/>
          <w:sz w:val="24"/>
          <w:szCs w:val="24"/>
          <w:lang w:val="en-GB"/>
        </w:rPr>
      </w:pPr>
      <w:bookmarkStart w:id="1" w:name="_Hlk510625877"/>
      <w:r w:rsidRPr="0040743B">
        <w:rPr>
          <w:rFonts w:ascii="Times New Roman" w:hAnsi="Times New Roman" w:cs="Times New Roman"/>
          <w:sz w:val="24"/>
          <w:szCs w:val="24"/>
          <w:lang w:val="en-GB"/>
        </w:rPr>
        <w:t>Norbert Hilf</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Sabrina Kuttruff-Coqui</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Katrin Frenzel</w:t>
      </w:r>
      <w:r w:rsidRPr="0040743B">
        <w:rPr>
          <w:rFonts w:ascii="Times New Roman" w:hAnsi="Times New Roman" w:cs="Times New Roman"/>
          <w:sz w:val="24"/>
          <w:szCs w:val="24"/>
          <w:vertAlign w:val="superscript"/>
          <w:lang w:val="en-GB"/>
        </w:rPr>
        <w:t>2</w:t>
      </w:r>
      <w:r w:rsidRPr="0040743B">
        <w:rPr>
          <w:rFonts w:ascii="Times New Roman" w:hAnsi="Times New Roman" w:cs="Times New Roman"/>
          <w:sz w:val="24"/>
          <w:szCs w:val="24"/>
          <w:lang w:val="en-GB"/>
        </w:rPr>
        <w:t>, Valesca Bukur</w:t>
      </w:r>
      <w:r w:rsidRPr="0040743B">
        <w:rPr>
          <w:rFonts w:ascii="Times New Roman" w:hAnsi="Times New Roman" w:cs="Times New Roman"/>
          <w:sz w:val="24"/>
          <w:szCs w:val="24"/>
          <w:vertAlign w:val="superscript"/>
          <w:lang w:val="en-GB"/>
        </w:rPr>
        <w:t>2</w:t>
      </w:r>
      <w:r w:rsidRPr="0040743B">
        <w:rPr>
          <w:rFonts w:ascii="Times New Roman" w:hAnsi="Times New Roman" w:cs="Times New Roman"/>
          <w:sz w:val="24"/>
          <w:szCs w:val="24"/>
          <w:lang w:val="en-GB"/>
        </w:rPr>
        <w:t>, Stefan Stevanovic</w:t>
      </w:r>
      <w:r w:rsidRPr="0040743B">
        <w:rPr>
          <w:rFonts w:ascii="Times New Roman" w:hAnsi="Times New Roman" w:cs="Times New Roman"/>
          <w:sz w:val="24"/>
          <w:szCs w:val="24"/>
          <w:vertAlign w:val="superscript"/>
          <w:lang w:val="en-GB"/>
        </w:rPr>
        <w:t>3</w:t>
      </w:r>
      <w:r w:rsidRPr="0040743B">
        <w:rPr>
          <w:rFonts w:ascii="Times New Roman" w:hAnsi="Times New Roman" w:cs="Times New Roman"/>
          <w:sz w:val="24"/>
          <w:szCs w:val="24"/>
          <w:lang w:val="en-GB"/>
        </w:rPr>
        <w:t>, Cécile Gouttefangeas</w:t>
      </w:r>
      <w:r w:rsidRPr="0040743B">
        <w:rPr>
          <w:rFonts w:ascii="Times New Roman" w:hAnsi="Times New Roman" w:cs="Times New Roman"/>
          <w:sz w:val="24"/>
          <w:szCs w:val="24"/>
          <w:vertAlign w:val="superscript"/>
          <w:lang w:val="en-GB"/>
        </w:rPr>
        <w:t>4,3</w:t>
      </w:r>
      <w:r w:rsidRPr="0040743B">
        <w:rPr>
          <w:rFonts w:ascii="Times New Roman" w:hAnsi="Times New Roman" w:cs="Times New Roman"/>
          <w:sz w:val="24"/>
          <w:szCs w:val="24"/>
          <w:lang w:val="en-GB"/>
        </w:rPr>
        <w:t>, Michael Platten</w:t>
      </w:r>
      <w:r w:rsidRPr="0040743B">
        <w:rPr>
          <w:rFonts w:ascii="Times New Roman" w:hAnsi="Times New Roman" w:cs="Times New Roman"/>
          <w:sz w:val="24"/>
          <w:szCs w:val="24"/>
          <w:vertAlign w:val="superscript"/>
          <w:lang w:val="en-GB"/>
        </w:rPr>
        <w:t>5,6,7</w:t>
      </w:r>
      <w:r w:rsidRPr="0040743B">
        <w:rPr>
          <w:rFonts w:ascii="Times New Roman" w:hAnsi="Times New Roman" w:cs="Times New Roman"/>
          <w:sz w:val="24"/>
          <w:szCs w:val="24"/>
          <w:lang w:val="en-GB"/>
        </w:rPr>
        <w:t>, Ghazaleh Tabatabai</w:t>
      </w:r>
      <w:r w:rsidRPr="0040743B">
        <w:rPr>
          <w:rFonts w:ascii="Times New Roman" w:hAnsi="Times New Roman" w:cs="Times New Roman"/>
          <w:sz w:val="24"/>
          <w:szCs w:val="24"/>
          <w:vertAlign w:val="superscript"/>
          <w:lang w:val="en-GB"/>
        </w:rPr>
        <w:t>8,3</w:t>
      </w:r>
      <w:r w:rsidRPr="0040743B">
        <w:rPr>
          <w:rFonts w:ascii="Times New Roman" w:hAnsi="Times New Roman" w:cs="Times New Roman"/>
          <w:sz w:val="24"/>
          <w:szCs w:val="24"/>
          <w:lang w:val="en-GB"/>
        </w:rPr>
        <w:t>, Valerie Dutoit</w:t>
      </w:r>
      <w:r w:rsidRPr="0040743B">
        <w:rPr>
          <w:rFonts w:ascii="Times New Roman" w:hAnsi="Times New Roman" w:cs="Times New Roman"/>
          <w:sz w:val="24"/>
          <w:szCs w:val="24"/>
          <w:vertAlign w:val="superscript"/>
          <w:lang w:val="en-GB"/>
        </w:rPr>
        <w:t>9</w:t>
      </w:r>
      <w:r w:rsidRPr="0040743B">
        <w:rPr>
          <w:rFonts w:ascii="Times New Roman" w:hAnsi="Times New Roman" w:cs="Times New Roman"/>
          <w:sz w:val="24"/>
          <w:szCs w:val="24"/>
          <w:lang w:val="en-GB"/>
        </w:rPr>
        <w:t>, Sjoerd H. van der Burg</w:t>
      </w:r>
      <w:r w:rsidRPr="0040743B">
        <w:rPr>
          <w:rFonts w:ascii="Times New Roman" w:hAnsi="Times New Roman" w:cs="Times New Roman"/>
          <w:sz w:val="24"/>
          <w:szCs w:val="24"/>
          <w:vertAlign w:val="superscript"/>
          <w:lang w:val="en-GB"/>
        </w:rPr>
        <w:t>10,4</w:t>
      </w:r>
      <w:r w:rsidRPr="0040743B">
        <w:rPr>
          <w:rFonts w:ascii="Times New Roman" w:hAnsi="Times New Roman" w:cs="Times New Roman"/>
          <w:sz w:val="24"/>
          <w:szCs w:val="24"/>
          <w:lang w:val="en-GB"/>
        </w:rPr>
        <w:t>, Per thor Straten</w:t>
      </w:r>
      <w:r w:rsidRPr="0040743B">
        <w:rPr>
          <w:rFonts w:ascii="Times New Roman" w:hAnsi="Times New Roman" w:cs="Times New Roman"/>
          <w:sz w:val="24"/>
          <w:szCs w:val="24"/>
          <w:vertAlign w:val="superscript"/>
          <w:lang w:val="en-GB"/>
        </w:rPr>
        <w:t>11,4</w:t>
      </w:r>
      <w:r w:rsidRPr="0040743B">
        <w:rPr>
          <w:rFonts w:ascii="Times New Roman" w:hAnsi="Times New Roman" w:cs="Times New Roman"/>
          <w:sz w:val="24"/>
          <w:szCs w:val="24"/>
          <w:lang w:val="en-GB"/>
        </w:rPr>
        <w:t>, Francisco Martínez-Ricarte</w:t>
      </w:r>
      <w:r w:rsidRPr="0040743B">
        <w:rPr>
          <w:rFonts w:ascii="Times New Roman" w:hAnsi="Times New Roman" w:cs="Times New Roman"/>
          <w:sz w:val="24"/>
          <w:szCs w:val="24"/>
          <w:vertAlign w:val="superscript"/>
          <w:lang w:val="en-GB"/>
        </w:rPr>
        <w:t>12</w:t>
      </w:r>
      <w:r w:rsidRPr="0040743B">
        <w:rPr>
          <w:rFonts w:ascii="Times New Roman" w:hAnsi="Times New Roman" w:cs="Times New Roman"/>
          <w:sz w:val="24"/>
          <w:szCs w:val="24"/>
          <w:lang w:val="en-GB"/>
        </w:rPr>
        <w:t>, Berta Ponsati</w:t>
      </w:r>
      <w:r w:rsidRPr="0040743B">
        <w:rPr>
          <w:rFonts w:ascii="Times New Roman" w:hAnsi="Times New Roman" w:cs="Times New Roman"/>
          <w:sz w:val="24"/>
          <w:szCs w:val="24"/>
          <w:vertAlign w:val="superscript"/>
          <w:lang w:val="en-GB"/>
        </w:rPr>
        <w:t>13</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Hideho</w:t>
      </w:r>
      <w:proofErr w:type="spellEnd"/>
      <w:r w:rsidRPr="0040743B">
        <w:rPr>
          <w:rFonts w:ascii="Times New Roman" w:hAnsi="Times New Roman" w:cs="Times New Roman"/>
          <w:sz w:val="24"/>
          <w:szCs w:val="24"/>
          <w:lang w:val="en-GB"/>
        </w:rPr>
        <w:t xml:space="preserve"> Okada</w:t>
      </w:r>
      <w:r w:rsidRPr="0040743B">
        <w:rPr>
          <w:rFonts w:ascii="Times New Roman" w:hAnsi="Times New Roman" w:cs="Times New Roman"/>
          <w:sz w:val="24"/>
          <w:szCs w:val="24"/>
          <w:vertAlign w:val="superscript"/>
          <w:lang w:val="en-GB"/>
        </w:rPr>
        <w:t>14</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Ulrik</w:t>
      </w:r>
      <w:proofErr w:type="spellEnd"/>
      <w:r w:rsidRPr="0040743B">
        <w:rPr>
          <w:rFonts w:ascii="Times New Roman" w:hAnsi="Times New Roman" w:cs="Times New Roman"/>
          <w:sz w:val="24"/>
          <w:szCs w:val="24"/>
          <w:lang w:val="en-GB"/>
        </w:rPr>
        <w:t xml:space="preserve"> Lassen</w:t>
      </w:r>
      <w:r w:rsidRPr="0040743B">
        <w:rPr>
          <w:rFonts w:ascii="Times New Roman" w:hAnsi="Times New Roman" w:cs="Times New Roman"/>
          <w:sz w:val="24"/>
          <w:szCs w:val="24"/>
          <w:vertAlign w:val="superscript"/>
          <w:lang w:val="en-GB"/>
        </w:rPr>
        <w:t>15</w:t>
      </w:r>
      <w:r w:rsidRPr="0040743B">
        <w:rPr>
          <w:rFonts w:ascii="Times New Roman" w:hAnsi="Times New Roman" w:cs="Times New Roman"/>
          <w:sz w:val="24"/>
          <w:szCs w:val="24"/>
          <w:lang w:val="en-GB"/>
        </w:rPr>
        <w:t>, Arie Admon</w:t>
      </w:r>
      <w:r w:rsidRPr="0040743B">
        <w:rPr>
          <w:rFonts w:ascii="Times New Roman" w:hAnsi="Times New Roman" w:cs="Times New Roman"/>
          <w:sz w:val="24"/>
          <w:szCs w:val="24"/>
          <w:vertAlign w:val="superscript"/>
          <w:lang w:val="en-GB"/>
        </w:rPr>
        <w:t>16</w:t>
      </w:r>
      <w:r w:rsidRPr="0040743B">
        <w:rPr>
          <w:rFonts w:ascii="Times New Roman" w:hAnsi="Times New Roman" w:cs="Times New Roman"/>
          <w:sz w:val="24"/>
          <w:szCs w:val="24"/>
          <w:lang w:val="en-GB"/>
        </w:rPr>
        <w:t>, Christian H. Ottensmeier</w:t>
      </w:r>
      <w:r w:rsidRPr="0040743B">
        <w:rPr>
          <w:rFonts w:ascii="Times New Roman" w:hAnsi="Times New Roman" w:cs="Times New Roman"/>
          <w:sz w:val="24"/>
          <w:szCs w:val="24"/>
          <w:vertAlign w:val="superscript"/>
          <w:lang w:val="en-GB"/>
        </w:rPr>
        <w:t>17</w:t>
      </w:r>
      <w:r w:rsidRPr="0040743B">
        <w:rPr>
          <w:rFonts w:ascii="Times New Roman" w:hAnsi="Times New Roman" w:cs="Times New Roman"/>
          <w:sz w:val="24"/>
          <w:szCs w:val="24"/>
          <w:lang w:val="en-GB"/>
        </w:rPr>
        <w:t>, Alexander Ulges</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Sebastian Kreiter</w:t>
      </w:r>
      <w:r w:rsidRPr="0040743B">
        <w:rPr>
          <w:rFonts w:ascii="Times New Roman" w:hAnsi="Times New Roman" w:cs="Times New Roman"/>
          <w:sz w:val="24"/>
          <w:szCs w:val="24"/>
          <w:vertAlign w:val="superscript"/>
          <w:lang w:val="en-GB"/>
        </w:rPr>
        <w:t>2,4</w:t>
      </w:r>
      <w:r w:rsidRPr="0040743B">
        <w:rPr>
          <w:rFonts w:ascii="Times New Roman" w:hAnsi="Times New Roman" w:cs="Times New Roman"/>
          <w:sz w:val="24"/>
          <w:szCs w:val="24"/>
          <w:lang w:val="en-GB"/>
        </w:rPr>
        <w:t>, Andreas von Deimling</w:t>
      </w:r>
      <w:r w:rsidRPr="0040743B">
        <w:rPr>
          <w:rFonts w:ascii="Times New Roman" w:hAnsi="Times New Roman" w:cs="Times New Roman"/>
          <w:sz w:val="24"/>
          <w:szCs w:val="24"/>
          <w:vertAlign w:val="superscript"/>
          <w:lang w:val="en-GB"/>
        </w:rPr>
        <w:t>5,6</w:t>
      </w:r>
      <w:r w:rsidRPr="0040743B">
        <w:rPr>
          <w:rFonts w:ascii="Times New Roman" w:hAnsi="Times New Roman" w:cs="Times New Roman"/>
          <w:sz w:val="24"/>
          <w:szCs w:val="24"/>
          <w:lang w:val="en-GB"/>
        </w:rPr>
        <w:t>, Marco Skardelly</w:t>
      </w:r>
      <w:r w:rsidRPr="0040743B">
        <w:rPr>
          <w:rFonts w:ascii="Times New Roman" w:hAnsi="Times New Roman" w:cs="Times New Roman"/>
          <w:sz w:val="24"/>
          <w:szCs w:val="24"/>
          <w:vertAlign w:val="superscript"/>
          <w:lang w:val="en-GB"/>
        </w:rPr>
        <w:t>8</w:t>
      </w:r>
      <w:r w:rsidRPr="0040743B">
        <w:rPr>
          <w:rFonts w:ascii="Times New Roman" w:hAnsi="Times New Roman" w:cs="Times New Roman"/>
          <w:sz w:val="24"/>
          <w:szCs w:val="24"/>
          <w:lang w:val="en-GB"/>
        </w:rPr>
        <w:t>, Denis Migliorini</w:t>
      </w:r>
      <w:r w:rsidRPr="0040743B">
        <w:rPr>
          <w:rFonts w:ascii="Times New Roman" w:hAnsi="Times New Roman" w:cs="Times New Roman"/>
          <w:sz w:val="24"/>
          <w:szCs w:val="24"/>
          <w:vertAlign w:val="superscript"/>
          <w:lang w:val="en-GB"/>
        </w:rPr>
        <w:t>9</w:t>
      </w:r>
      <w:r w:rsidRPr="0040743B">
        <w:rPr>
          <w:rFonts w:ascii="Times New Roman" w:hAnsi="Times New Roman" w:cs="Times New Roman"/>
          <w:sz w:val="24"/>
          <w:szCs w:val="24"/>
          <w:lang w:val="en-GB"/>
        </w:rPr>
        <w:t>, Judith R. Kroep</w:t>
      </w:r>
      <w:r w:rsidRPr="0040743B">
        <w:rPr>
          <w:rFonts w:ascii="Times New Roman" w:hAnsi="Times New Roman" w:cs="Times New Roman"/>
          <w:sz w:val="24"/>
          <w:szCs w:val="24"/>
          <w:vertAlign w:val="superscript"/>
          <w:lang w:val="en-GB"/>
        </w:rPr>
        <w:t>10</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Manja</w:t>
      </w:r>
      <w:proofErr w:type="spellEnd"/>
      <w:r w:rsidRPr="0040743B">
        <w:rPr>
          <w:rFonts w:ascii="Times New Roman" w:hAnsi="Times New Roman" w:cs="Times New Roman"/>
          <w:sz w:val="24"/>
          <w:szCs w:val="24"/>
          <w:lang w:val="en-GB"/>
        </w:rPr>
        <w:t xml:space="preserve"> Idorn</w:t>
      </w:r>
      <w:r w:rsidRPr="0040743B">
        <w:rPr>
          <w:rFonts w:ascii="Times New Roman" w:hAnsi="Times New Roman" w:cs="Times New Roman"/>
          <w:sz w:val="24"/>
          <w:szCs w:val="24"/>
          <w:vertAlign w:val="superscript"/>
          <w:lang w:val="en-GB"/>
        </w:rPr>
        <w:t>11</w:t>
      </w:r>
      <w:r w:rsidRPr="0040743B">
        <w:rPr>
          <w:rFonts w:ascii="Times New Roman" w:hAnsi="Times New Roman" w:cs="Times New Roman"/>
          <w:sz w:val="24"/>
          <w:szCs w:val="24"/>
          <w:lang w:val="en-GB"/>
        </w:rPr>
        <w:t>, Jordi Rodon</w:t>
      </w:r>
      <w:r w:rsidRPr="0040743B">
        <w:rPr>
          <w:rFonts w:ascii="Times New Roman" w:hAnsi="Times New Roman" w:cs="Times New Roman"/>
          <w:sz w:val="24"/>
          <w:szCs w:val="24"/>
          <w:vertAlign w:val="superscript"/>
          <w:lang w:val="en-GB"/>
        </w:rPr>
        <w:t>12,19</w:t>
      </w:r>
      <w:r w:rsidRPr="0040743B">
        <w:rPr>
          <w:rFonts w:ascii="Times New Roman" w:hAnsi="Times New Roman" w:cs="Times New Roman"/>
          <w:sz w:val="24"/>
          <w:szCs w:val="24"/>
          <w:lang w:val="en-GB"/>
        </w:rPr>
        <w:t>, Jordi Piro</w:t>
      </w:r>
      <w:r w:rsidRPr="0040743B">
        <w:rPr>
          <w:rFonts w:ascii="Times New Roman" w:hAnsi="Times New Roman" w:cs="Times New Roman"/>
          <w:sz w:val="24"/>
          <w:szCs w:val="24"/>
          <w:vertAlign w:val="superscript"/>
          <w:lang w:val="en-GB"/>
        </w:rPr>
        <w:t>13</w:t>
      </w:r>
      <w:r w:rsidRPr="0040743B">
        <w:rPr>
          <w:rFonts w:ascii="Times New Roman" w:hAnsi="Times New Roman" w:cs="Times New Roman"/>
          <w:sz w:val="24"/>
          <w:szCs w:val="24"/>
          <w:lang w:val="en-GB"/>
        </w:rPr>
        <w:t>, Hans S. Poulsen</w:t>
      </w:r>
      <w:r w:rsidRPr="0040743B">
        <w:rPr>
          <w:rFonts w:ascii="Times New Roman" w:hAnsi="Times New Roman" w:cs="Times New Roman"/>
          <w:sz w:val="24"/>
          <w:szCs w:val="24"/>
          <w:vertAlign w:val="superscript"/>
          <w:lang w:val="en-GB"/>
        </w:rPr>
        <w:t>15</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Bracha</w:t>
      </w:r>
      <w:proofErr w:type="spellEnd"/>
      <w:r w:rsidRPr="0040743B">
        <w:rPr>
          <w:rFonts w:ascii="Times New Roman" w:hAnsi="Times New Roman" w:cs="Times New Roman"/>
          <w:sz w:val="24"/>
          <w:szCs w:val="24"/>
          <w:lang w:val="en-GB"/>
        </w:rPr>
        <w:t xml:space="preserve"> Shraibman</w:t>
      </w:r>
      <w:r w:rsidRPr="0040743B">
        <w:rPr>
          <w:rFonts w:ascii="Times New Roman" w:hAnsi="Times New Roman" w:cs="Times New Roman"/>
          <w:sz w:val="24"/>
          <w:szCs w:val="24"/>
          <w:vertAlign w:val="superscript"/>
          <w:lang w:val="en-GB"/>
        </w:rPr>
        <w:t>16</w:t>
      </w:r>
      <w:r w:rsidRPr="0040743B">
        <w:rPr>
          <w:rFonts w:ascii="Times New Roman" w:hAnsi="Times New Roman" w:cs="Times New Roman"/>
          <w:sz w:val="24"/>
          <w:szCs w:val="24"/>
          <w:lang w:val="en-GB"/>
        </w:rPr>
        <w:t>, Katy McCann</w:t>
      </w:r>
      <w:r w:rsidRPr="0040743B">
        <w:rPr>
          <w:rFonts w:ascii="Times New Roman" w:hAnsi="Times New Roman" w:cs="Times New Roman"/>
          <w:sz w:val="24"/>
          <w:szCs w:val="24"/>
          <w:vertAlign w:val="superscript"/>
          <w:lang w:val="en-GB"/>
        </w:rPr>
        <w:t>17</w:t>
      </w:r>
      <w:r w:rsidRPr="0040743B">
        <w:rPr>
          <w:rFonts w:ascii="Times New Roman" w:hAnsi="Times New Roman" w:cs="Times New Roman"/>
          <w:sz w:val="24"/>
          <w:szCs w:val="24"/>
          <w:lang w:val="en-GB"/>
        </w:rPr>
        <w:t>, Regina Mendrzyk</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Martin Löwer</w:t>
      </w:r>
      <w:r w:rsidRPr="0040743B">
        <w:rPr>
          <w:rFonts w:ascii="Times New Roman" w:hAnsi="Times New Roman" w:cs="Times New Roman"/>
          <w:sz w:val="24"/>
          <w:szCs w:val="24"/>
          <w:vertAlign w:val="superscript"/>
          <w:lang w:val="en-GB"/>
        </w:rPr>
        <w:t>2</w:t>
      </w:r>
      <w:r w:rsidRPr="0040743B">
        <w:rPr>
          <w:rFonts w:ascii="Times New Roman" w:hAnsi="Times New Roman" w:cs="Times New Roman"/>
          <w:sz w:val="24"/>
          <w:szCs w:val="24"/>
          <w:lang w:val="en-GB"/>
        </w:rPr>
        <w:t>, Monika Stieglbauer</w:t>
      </w:r>
      <w:r w:rsidRPr="0040743B">
        <w:rPr>
          <w:rFonts w:ascii="Times New Roman" w:hAnsi="Times New Roman" w:cs="Times New Roman"/>
          <w:sz w:val="24"/>
          <w:szCs w:val="24"/>
          <w:vertAlign w:val="superscript"/>
          <w:lang w:val="en-GB"/>
        </w:rPr>
        <w:t>3</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Cedrik</w:t>
      </w:r>
      <w:proofErr w:type="spellEnd"/>
      <w:r w:rsidRPr="0040743B">
        <w:rPr>
          <w:rFonts w:ascii="Times New Roman" w:hAnsi="Times New Roman" w:cs="Times New Roman"/>
          <w:sz w:val="24"/>
          <w:szCs w:val="24"/>
          <w:lang w:val="en-GB"/>
        </w:rPr>
        <w:t xml:space="preserve"> M. Britten</w:t>
      </w:r>
      <w:r w:rsidRPr="0040743B">
        <w:rPr>
          <w:rFonts w:ascii="Times New Roman" w:hAnsi="Times New Roman" w:cs="Times New Roman"/>
          <w:sz w:val="24"/>
          <w:szCs w:val="24"/>
          <w:vertAlign w:val="superscript"/>
          <w:lang w:val="en-GB"/>
        </w:rPr>
        <w:t>4,2,20</w:t>
      </w:r>
      <w:r w:rsidRPr="0040743B">
        <w:rPr>
          <w:rFonts w:ascii="Times New Roman" w:hAnsi="Times New Roman" w:cs="Times New Roman"/>
          <w:sz w:val="24"/>
          <w:szCs w:val="24"/>
          <w:lang w:val="en-GB"/>
        </w:rPr>
        <w:t>, David Capper</w:t>
      </w:r>
      <w:r w:rsidRPr="0040743B">
        <w:rPr>
          <w:rFonts w:ascii="Times New Roman" w:hAnsi="Times New Roman" w:cs="Times New Roman"/>
          <w:sz w:val="24"/>
          <w:szCs w:val="24"/>
          <w:vertAlign w:val="superscript"/>
          <w:lang w:val="en-GB"/>
        </w:rPr>
        <w:t>5,6,21</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Marij</w:t>
      </w:r>
      <w:proofErr w:type="spellEnd"/>
      <w:r w:rsidRPr="0040743B">
        <w:rPr>
          <w:rFonts w:ascii="Times New Roman" w:hAnsi="Times New Roman" w:cs="Times New Roman"/>
          <w:sz w:val="24"/>
          <w:szCs w:val="24"/>
          <w:lang w:val="en-GB"/>
        </w:rPr>
        <w:t xml:space="preserve"> J.P. Welters</w:t>
      </w:r>
      <w:r w:rsidRPr="0040743B">
        <w:rPr>
          <w:rFonts w:ascii="Times New Roman" w:hAnsi="Times New Roman" w:cs="Times New Roman"/>
          <w:sz w:val="24"/>
          <w:szCs w:val="24"/>
          <w:vertAlign w:val="superscript"/>
          <w:lang w:val="en-GB"/>
        </w:rPr>
        <w:t>10,4</w:t>
      </w:r>
      <w:r w:rsidRPr="0040743B">
        <w:rPr>
          <w:rFonts w:ascii="Times New Roman" w:hAnsi="Times New Roman" w:cs="Times New Roman"/>
          <w:sz w:val="24"/>
          <w:szCs w:val="24"/>
          <w:lang w:val="en-GB"/>
        </w:rPr>
        <w:t>, Juan Sahuquillo</w:t>
      </w:r>
      <w:r w:rsidRPr="0040743B">
        <w:rPr>
          <w:rFonts w:ascii="Times New Roman" w:hAnsi="Times New Roman" w:cs="Times New Roman"/>
          <w:sz w:val="24"/>
          <w:szCs w:val="24"/>
          <w:vertAlign w:val="superscript"/>
          <w:lang w:val="en-GB"/>
        </w:rPr>
        <w:t>12</w:t>
      </w:r>
      <w:r w:rsidRPr="0040743B">
        <w:rPr>
          <w:rFonts w:ascii="Times New Roman" w:hAnsi="Times New Roman" w:cs="Times New Roman"/>
          <w:sz w:val="24"/>
          <w:szCs w:val="24"/>
          <w:lang w:val="en-GB"/>
        </w:rPr>
        <w:t>, Katharina Kiesel</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Evelyna Derhovanessian</w:t>
      </w:r>
      <w:r w:rsidRPr="0040743B">
        <w:rPr>
          <w:rFonts w:ascii="Times New Roman" w:hAnsi="Times New Roman" w:cs="Times New Roman"/>
          <w:sz w:val="24"/>
          <w:szCs w:val="24"/>
          <w:vertAlign w:val="superscript"/>
          <w:lang w:val="en-GB"/>
        </w:rPr>
        <w:t>2</w:t>
      </w:r>
      <w:r w:rsidRPr="0040743B">
        <w:rPr>
          <w:rFonts w:ascii="Times New Roman" w:hAnsi="Times New Roman" w:cs="Times New Roman"/>
          <w:sz w:val="24"/>
          <w:szCs w:val="24"/>
          <w:lang w:val="en-GB"/>
        </w:rPr>
        <w:t>, Elisa Rusch</w:t>
      </w:r>
      <w:r w:rsidRPr="0040743B">
        <w:rPr>
          <w:rFonts w:ascii="Times New Roman" w:hAnsi="Times New Roman" w:cs="Times New Roman"/>
          <w:sz w:val="24"/>
          <w:szCs w:val="24"/>
          <w:vertAlign w:val="superscript"/>
          <w:lang w:val="en-GB"/>
        </w:rPr>
        <w:t>3</w:t>
      </w:r>
      <w:r w:rsidRPr="0040743B">
        <w:rPr>
          <w:rFonts w:ascii="Times New Roman" w:hAnsi="Times New Roman" w:cs="Times New Roman"/>
          <w:sz w:val="24"/>
          <w:szCs w:val="24"/>
          <w:lang w:val="en-GB"/>
        </w:rPr>
        <w:t>, Lukas Bunse</w:t>
      </w:r>
      <w:r w:rsidRPr="0040743B">
        <w:rPr>
          <w:rFonts w:ascii="Times New Roman" w:hAnsi="Times New Roman" w:cs="Times New Roman"/>
          <w:sz w:val="24"/>
          <w:szCs w:val="24"/>
          <w:vertAlign w:val="superscript"/>
          <w:lang w:val="en-GB"/>
        </w:rPr>
        <w:t>5,6</w:t>
      </w:r>
      <w:r w:rsidRPr="0040743B">
        <w:rPr>
          <w:rFonts w:ascii="Times New Roman" w:hAnsi="Times New Roman" w:cs="Times New Roman"/>
          <w:sz w:val="24"/>
          <w:szCs w:val="24"/>
          <w:lang w:val="en-GB"/>
        </w:rPr>
        <w:t>, Colette Song</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Sandra Heesch</w:t>
      </w:r>
      <w:r w:rsidRPr="0040743B">
        <w:rPr>
          <w:rFonts w:ascii="Times New Roman" w:hAnsi="Times New Roman" w:cs="Times New Roman"/>
          <w:sz w:val="24"/>
          <w:szCs w:val="24"/>
          <w:vertAlign w:val="superscript"/>
          <w:lang w:val="en-GB"/>
        </w:rPr>
        <w:t>2</w:t>
      </w:r>
      <w:r w:rsidRPr="0040743B">
        <w:rPr>
          <w:rFonts w:ascii="Times New Roman" w:hAnsi="Times New Roman" w:cs="Times New Roman"/>
          <w:sz w:val="24"/>
          <w:szCs w:val="24"/>
          <w:lang w:val="en-GB"/>
        </w:rPr>
        <w:t>, Claudia Wagner</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Alexandra Kemmer-</w:t>
      </w:r>
      <w:r w:rsidR="00050EE3" w:rsidRPr="0040743B">
        <w:rPr>
          <w:rFonts w:ascii="Times New Roman" w:hAnsi="Times New Roman" w:cs="Times New Roman"/>
          <w:sz w:val="24"/>
          <w:szCs w:val="24"/>
          <w:lang w:val="en-GB"/>
        </w:rPr>
        <w:t>Brück</w:t>
      </w:r>
      <w:r w:rsidR="00050EE3" w:rsidRPr="0040743B">
        <w:rPr>
          <w:rFonts w:ascii="Times New Roman" w:hAnsi="Times New Roman" w:cs="Times New Roman"/>
          <w:sz w:val="24"/>
          <w:szCs w:val="24"/>
          <w:vertAlign w:val="superscript"/>
          <w:lang w:val="en-GB"/>
        </w:rPr>
        <w:t>2</w:t>
      </w:r>
      <w:r w:rsidRPr="0040743B">
        <w:rPr>
          <w:rFonts w:ascii="Times New Roman" w:hAnsi="Times New Roman" w:cs="Times New Roman"/>
          <w:sz w:val="24"/>
          <w:szCs w:val="24"/>
          <w:lang w:val="en-GB"/>
        </w:rPr>
        <w:t>, Jörg Ludwig</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John C. Castle</w:t>
      </w:r>
      <w:r w:rsidRPr="0040743B">
        <w:rPr>
          <w:rFonts w:ascii="Times New Roman" w:hAnsi="Times New Roman" w:cs="Times New Roman"/>
          <w:sz w:val="24"/>
          <w:szCs w:val="24"/>
          <w:vertAlign w:val="superscript"/>
          <w:lang w:val="en-GB"/>
        </w:rPr>
        <w:t>2,22</w:t>
      </w:r>
      <w:r w:rsidRPr="0040743B">
        <w:rPr>
          <w:rFonts w:ascii="Times New Roman" w:hAnsi="Times New Roman" w:cs="Times New Roman"/>
          <w:sz w:val="24"/>
          <w:szCs w:val="24"/>
          <w:lang w:val="en-GB"/>
        </w:rPr>
        <w:t>, Oliver Schoor</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Arbel D. Tadmor</w:t>
      </w:r>
      <w:r w:rsidRPr="0040743B">
        <w:rPr>
          <w:rFonts w:ascii="Times New Roman" w:hAnsi="Times New Roman" w:cs="Times New Roman"/>
          <w:sz w:val="24"/>
          <w:szCs w:val="24"/>
          <w:vertAlign w:val="superscript"/>
          <w:lang w:val="en-GB"/>
        </w:rPr>
        <w:t>18</w:t>
      </w:r>
      <w:r w:rsidRPr="0040743B">
        <w:rPr>
          <w:rFonts w:ascii="Times New Roman" w:hAnsi="Times New Roman" w:cs="Times New Roman"/>
          <w:sz w:val="24"/>
          <w:szCs w:val="24"/>
          <w:lang w:val="en-GB"/>
        </w:rPr>
        <w:t>, Edward Green</w:t>
      </w:r>
      <w:r w:rsidRPr="0040743B">
        <w:rPr>
          <w:rFonts w:ascii="Times New Roman" w:hAnsi="Times New Roman" w:cs="Times New Roman"/>
          <w:sz w:val="24"/>
          <w:szCs w:val="24"/>
          <w:vertAlign w:val="superscript"/>
          <w:lang w:val="en-GB"/>
        </w:rPr>
        <w:t>7,6</w:t>
      </w:r>
      <w:r w:rsidRPr="0040743B">
        <w:rPr>
          <w:rFonts w:ascii="Times New Roman" w:hAnsi="Times New Roman" w:cs="Times New Roman"/>
          <w:sz w:val="24"/>
          <w:szCs w:val="24"/>
          <w:lang w:val="en-GB"/>
        </w:rPr>
        <w:t>, Jens Fritsche</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Miriam Meyer</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Nina Pawlowski</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Sonja Dorner</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Franziska Hoffgaard</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Bernhard Rössler</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Dominik Maurer</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Toni Weinschenk</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Carsten Reinhardt</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Christoph Huber</w:t>
      </w:r>
      <w:r w:rsidRPr="0040743B">
        <w:rPr>
          <w:rFonts w:ascii="Times New Roman" w:hAnsi="Times New Roman" w:cs="Times New Roman"/>
          <w:sz w:val="24"/>
          <w:szCs w:val="24"/>
          <w:vertAlign w:val="superscript"/>
          <w:lang w:val="en-GB"/>
        </w:rPr>
        <w:t>2</w:t>
      </w:r>
      <w:r w:rsidRPr="0040743B">
        <w:rPr>
          <w:rFonts w:ascii="Times New Roman" w:hAnsi="Times New Roman" w:cs="Times New Roman"/>
          <w:sz w:val="24"/>
          <w:szCs w:val="24"/>
          <w:lang w:val="en-GB"/>
        </w:rPr>
        <w:t>, Hans-Georg Rammensee</w:t>
      </w:r>
      <w:r w:rsidRPr="0040743B">
        <w:rPr>
          <w:rFonts w:ascii="Times New Roman" w:hAnsi="Times New Roman" w:cs="Times New Roman"/>
          <w:sz w:val="24"/>
          <w:szCs w:val="24"/>
          <w:vertAlign w:val="superscript"/>
          <w:lang w:val="en-GB"/>
        </w:rPr>
        <w:t>3</w:t>
      </w:r>
      <w:r w:rsidRPr="0040743B">
        <w:rPr>
          <w:rFonts w:ascii="Times New Roman" w:hAnsi="Times New Roman" w:cs="Times New Roman"/>
          <w:sz w:val="24"/>
          <w:szCs w:val="24"/>
          <w:lang w:val="en-GB"/>
        </w:rPr>
        <w:t>, Harpreet Singh</w:t>
      </w: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Ugur Sahin², Pierre-Yves Dietrich</w:t>
      </w:r>
      <w:r w:rsidRPr="0040743B">
        <w:rPr>
          <w:rFonts w:ascii="Times New Roman" w:hAnsi="Times New Roman" w:cs="Times New Roman"/>
          <w:sz w:val="24"/>
          <w:szCs w:val="24"/>
          <w:vertAlign w:val="superscript"/>
          <w:lang w:val="en-GB"/>
        </w:rPr>
        <w:t>9</w:t>
      </w:r>
      <w:r w:rsidRPr="0040743B">
        <w:rPr>
          <w:rFonts w:ascii="Times New Roman" w:hAnsi="Times New Roman" w:cs="Times New Roman"/>
          <w:sz w:val="24"/>
          <w:szCs w:val="24"/>
          <w:lang w:val="en-GB"/>
        </w:rPr>
        <w:t>, Wolfgang Wick</w:t>
      </w:r>
      <w:r w:rsidRPr="0040743B">
        <w:rPr>
          <w:rFonts w:ascii="Times New Roman" w:hAnsi="Times New Roman" w:cs="Times New Roman"/>
          <w:sz w:val="24"/>
          <w:szCs w:val="24"/>
          <w:vertAlign w:val="superscript"/>
          <w:lang w:val="en-GB"/>
        </w:rPr>
        <w:t>5,6,</w:t>
      </w:r>
      <w:r w:rsidRPr="0040743B">
        <w:rPr>
          <w:rFonts w:ascii="Times New Roman" w:hAnsi="Times New Roman" w:cs="Times New Roman"/>
          <w:sz w:val="24"/>
          <w:szCs w:val="24"/>
          <w:lang w:val="en-GB"/>
        </w:rPr>
        <w:t>*</w:t>
      </w:r>
      <w:bookmarkStart w:id="2" w:name="_Hlk511738509"/>
      <w:bookmarkEnd w:id="1"/>
    </w:p>
    <w:p w14:paraId="3A154FC3" w14:textId="77777777" w:rsidR="00B512CF" w:rsidRPr="0040743B" w:rsidRDefault="00F9485C">
      <w:pPr>
        <w:pStyle w:val="TextA"/>
        <w:spacing w:before="240" w:after="120" w:line="480" w:lineRule="auto"/>
        <w:rPr>
          <w:rFonts w:ascii="Times New Roman" w:hAnsi="Times New Roman" w:cs="Times New Roman"/>
          <w:b/>
          <w:bCs/>
          <w:sz w:val="24"/>
          <w:szCs w:val="24"/>
          <w:lang w:val="en-GB"/>
        </w:rPr>
      </w:pPr>
      <w:r w:rsidRPr="0040743B">
        <w:rPr>
          <w:rFonts w:ascii="Times New Roman" w:hAnsi="Times New Roman" w:cs="Times New Roman"/>
          <w:b/>
          <w:bCs/>
          <w:sz w:val="24"/>
          <w:szCs w:val="24"/>
          <w:lang w:val="en-GB"/>
        </w:rPr>
        <w:t>Affiliations</w:t>
      </w:r>
    </w:p>
    <w:p w14:paraId="4186DCFF" w14:textId="587CC390" w:rsidR="00D727CA" w:rsidRPr="0040743B" w:rsidRDefault="00F9485C">
      <w:pPr>
        <w:pStyle w:val="TextA"/>
        <w:spacing w:before="240"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vertAlign w:val="superscript"/>
          <w:lang w:val="en-GB"/>
        </w:rPr>
        <w:t>1</w:t>
      </w:r>
      <w:r w:rsidRPr="0040743B">
        <w:rPr>
          <w:rFonts w:ascii="Times New Roman" w:hAnsi="Times New Roman" w:cs="Times New Roman"/>
          <w:sz w:val="24"/>
          <w:szCs w:val="24"/>
          <w:lang w:val="en-GB"/>
        </w:rPr>
        <w:t xml:space="preserve">Immatics </w:t>
      </w:r>
      <w:r w:rsidR="00382CDD" w:rsidRPr="0040743B">
        <w:rPr>
          <w:rFonts w:ascii="Times New Roman" w:hAnsi="Times New Roman" w:cs="Times New Roman"/>
          <w:sz w:val="24"/>
          <w:szCs w:val="24"/>
          <w:lang w:val="en-GB"/>
        </w:rPr>
        <w:t>B</w:t>
      </w:r>
      <w:r w:rsidRPr="0040743B">
        <w:rPr>
          <w:rFonts w:ascii="Times New Roman" w:hAnsi="Times New Roman" w:cs="Times New Roman"/>
          <w:sz w:val="24"/>
          <w:szCs w:val="24"/>
          <w:lang w:val="en-GB"/>
        </w:rPr>
        <w:t xml:space="preserve">iotechnologies GmbH, Tübingen, Germany; </w:t>
      </w:r>
      <w:r w:rsidRPr="0040743B">
        <w:rPr>
          <w:rFonts w:ascii="Times New Roman" w:hAnsi="Times New Roman" w:cs="Times New Roman"/>
          <w:sz w:val="24"/>
          <w:szCs w:val="24"/>
          <w:vertAlign w:val="superscript"/>
          <w:lang w:val="en-GB"/>
        </w:rPr>
        <w:t>2</w:t>
      </w:r>
      <w:r w:rsidRPr="0040743B">
        <w:rPr>
          <w:rFonts w:ascii="Times New Roman" w:hAnsi="Times New Roman" w:cs="Times New Roman"/>
          <w:sz w:val="24"/>
          <w:szCs w:val="24"/>
          <w:lang w:val="en-GB"/>
        </w:rPr>
        <w:t xml:space="preserve">BioNTech AG, Mainz, Germany; </w:t>
      </w:r>
      <w:r w:rsidRPr="0040743B">
        <w:rPr>
          <w:rFonts w:ascii="Times New Roman" w:hAnsi="Times New Roman" w:cs="Times New Roman"/>
          <w:sz w:val="24"/>
          <w:szCs w:val="24"/>
          <w:vertAlign w:val="superscript"/>
          <w:lang w:val="en-GB"/>
        </w:rPr>
        <w:t>3</w:t>
      </w:r>
      <w:r w:rsidRPr="0040743B">
        <w:rPr>
          <w:rFonts w:ascii="Times New Roman" w:hAnsi="Times New Roman" w:cs="Times New Roman"/>
          <w:sz w:val="24"/>
          <w:szCs w:val="24"/>
          <w:lang w:val="en-GB"/>
        </w:rPr>
        <w:t xml:space="preserve">Eberhard </w:t>
      </w:r>
      <w:proofErr w:type="spellStart"/>
      <w:r w:rsidRPr="0040743B">
        <w:rPr>
          <w:rFonts w:ascii="Times New Roman" w:hAnsi="Times New Roman" w:cs="Times New Roman"/>
          <w:sz w:val="24"/>
          <w:szCs w:val="24"/>
          <w:lang w:val="en-GB"/>
        </w:rPr>
        <w:t>Karls</w:t>
      </w:r>
      <w:proofErr w:type="spellEnd"/>
      <w:r w:rsidRPr="0040743B">
        <w:rPr>
          <w:rFonts w:ascii="Times New Roman" w:hAnsi="Times New Roman" w:cs="Times New Roman"/>
          <w:sz w:val="24"/>
          <w:szCs w:val="24"/>
          <w:lang w:val="en-GB"/>
        </w:rPr>
        <w:t xml:space="preserve"> Universität Tübingen, Tübingen, Germany, and German Cancer Consortium (DKTK), German Cancer Research </w:t>
      </w:r>
      <w:proofErr w:type="spellStart"/>
      <w:r w:rsidRPr="0040743B">
        <w:rPr>
          <w:rFonts w:ascii="Times New Roman" w:hAnsi="Times New Roman" w:cs="Times New Roman"/>
          <w:sz w:val="24"/>
          <w:szCs w:val="24"/>
          <w:lang w:val="en-GB"/>
        </w:rPr>
        <w:t>Center</w:t>
      </w:r>
      <w:proofErr w:type="spellEnd"/>
      <w:r w:rsidRPr="0040743B">
        <w:rPr>
          <w:rFonts w:ascii="Times New Roman" w:hAnsi="Times New Roman" w:cs="Times New Roman"/>
          <w:sz w:val="24"/>
          <w:szCs w:val="24"/>
          <w:lang w:val="en-GB"/>
        </w:rPr>
        <w:t xml:space="preserve"> Partner Site Tübingen</w:t>
      </w:r>
      <w:r w:rsidR="00C97202" w:rsidRPr="0040743B">
        <w:rPr>
          <w:rFonts w:ascii="Times New Roman" w:hAnsi="Times New Roman" w:cs="Times New Roman"/>
          <w:sz w:val="24"/>
          <w:szCs w:val="24"/>
          <w:lang w:val="en-GB"/>
        </w:rPr>
        <w:t>, Tübingen, Germany</w:t>
      </w:r>
      <w:r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vertAlign w:val="superscript"/>
          <w:lang w:val="en-GB"/>
        </w:rPr>
        <w:t>4</w:t>
      </w:r>
      <w:r w:rsidRPr="0040743B">
        <w:rPr>
          <w:rFonts w:ascii="Times New Roman" w:hAnsi="Times New Roman" w:cs="Times New Roman"/>
          <w:sz w:val="24"/>
          <w:szCs w:val="24"/>
          <w:lang w:val="en-GB"/>
        </w:rPr>
        <w:t xml:space="preserve">CIMT/CIP - Association for Cancer Immunotherapy, working group Cancer </w:t>
      </w:r>
      <w:proofErr w:type="spellStart"/>
      <w:r w:rsidRPr="0040743B">
        <w:rPr>
          <w:rFonts w:ascii="Times New Roman" w:hAnsi="Times New Roman" w:cs="Times New Roman"/>
          <w:sz w:val="24"/>
          <w:szCs w:val="24"/>
          <w:lang w:val="en-GB"/>
        </w:rPr>
        <w:t>Immunoguiding</w:t>
      </w:r>
      <w:proofErr w:type="spellEnd"/>
      <w:r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lastRenderedPageBreak/>
        <w:t xml:space="preserve">Program, Mainz, Germany; </w:t>
      </w:r>
      <w:r w:rsidRPr="0040743B">
        <w:rPr>
          <w:rFonts w:ascii="Times New Roman" w:hAnsi="Times New Roman" w:cs="Times New Roman"/>
          <w:sz w:val="24"/>
          <w:szCs w:val="24"/>
          <w:vertAlign w:val="superscript"/>
          <w:lang w:val="en-GB"/>
        </w:rPr>
        <w:t>5</w:t>
      </w:r>
      <w:r w:rsidRPr="0040743B">
        <w:rPr>
          <w:rFonts w:ascii="Times New Roman" w:hAnsi="Times New Roman" w:cs="Times New Roman"/>
          <w:sz w:val="24"/>
          <w:szCs w:val="24"/>
          <w:lang w:val="en-GB"/>
        </w:rPr>
        <w:t xml:space="preserve">University Hospital Heidelberg, Heidelberg, Germany; </w:t>
      </w:r>
      <w:r w:rsidRPr="0040743B">
        <w:rPr>
          <w:rFonts w:ascii="Times New Roman" w:hAnsi="Times New Roman" w:cs="Times New Roman"/>
          <w:sz w:val="24"/>
          <w:szCs w:val="24"/>
          <w:vertAlign w:val="superscript"/>
          <w:lang w:val="en-GB"/>
        </w:rPr>
        <w:t>6</w:t>
      </w:r>
      <w:r w:rsidRPr="0040743B">
        <w:rPr>
          <w:rFonts w:ascii="Times New Roman" w:hAnsi="Times New Roman" w:cs="Times New Roman"/>
          <w:sz w:val="24"/>
          <w:szCs w:val="24"/>
          <w:lang w:val="en-GB"/>
        </w:rPr>
        <w:t xml:space="preserve">German Cancer Consortium (DKTK), German Cancer Research </w:t>
      </w:r>
      <w:proofErr w:type="spellStart"/>
      <w:r w:rsidRPr="0040743B">
        <w:rPr>
          <w:rFonts w:ascii="Times New Roman" w:hAnsi="Times New Roman" w:cs="Times New Roman"/>
          <w:sz w:val="24"/>
          <w:szCs w:val="24"/>
          <w:lang w:val="en-GB"/>
        </w:rPr>
        <w:t>Center</w:t>
      </w:r>
      <w:proofErr w:type="spellEnd"/>
      <w:r w:rsidRPr="0040743B">
        <w:rPr>
          <w:rFonts w:ascii="Times New Roman" w:hAnsi="Times New Roman" w:cs="Times New Roman"/>
          <w:sz w:val="24"/>
          <w:szCs w:val="24"/>
          <w:lang w:val="en-GB"/>
        </w:rPr>
        <w:t xml:space="preserve">, Heidelberg, Germany; </w:t>
      </w:r>
      <w:r w:rsidRPr="0040743B">
        <w:rPr>
          <w:rFonts w:ascii="Times New Roman" w:hAnsi="Times New Roman" w:cs="Times New Roman"/>
          <w:sz w:val="24"/>
          <w:szCs w:val="24"/>
          <w:vertAlign w:val="superscript"/>
          <w:lang w:val="en-GB"/>
        </w:rPr>
        <w:t>7</w:t>
      </w:r>
      <w:r w:rsidRPr="0040743B">
        <w:rPr>
          <w:rFonts w:ascii="Times New Roman" w:hAnsi="Times New Roman" w:cs="Times New Roman"/>
          <w:sz w:val="24"/>
          <w:szCs w:val="24"/>
          <w:lang w:val="en-GB"/>
        </w:rPr>
        <w:t xml:space="preserve">Medical Faculty Mannheim, Mannheim, Germany; </w:t>
      </w:r>
      <w:r w:rsidRPr="0040743B">
        <w:rPr>
          <w:rFonts w:ascii="Times New Roman" w:hAnsi="Times New Roman" w:cs="Times New Roman"/>
          <w:sz w:val="24"/>
          <w:szCs w:val="24"/>
          <w:vertAlign w:val="superscript"/>
          <w:lang w:val="en-GB"/>
        </w:rPr>
        <w:t>8</w:t>
      </w:r>
      <w:r w:rsidRPr="0040743B">
        <w:rPr>
          <w:rFonts w:ascii="Times New Roman" w:hAnsi="Times New Roman" w:cs="Times New Roman"/>
          <w:sz w:val="24"/>
          <w:szCs w:val="24"/>
          <w:lang w:val="en-GB"/>
        </w:rPr>
        <w:t xml:space="preserve">University Hospital Tübingen, Tübingen, Germany; </w:t>
      </w:r>
      <w:r w:rsidRPr="0040743B">
        <w:rPr>
          <w:rFonts w:ascii="Times New Roman" w:hAnsi="Times New Roman" w:cs="Times New Roman"/>
          <w:sz w:val="24"/>
          <w:szCs w:val="24"/>
          <w:vertAlign w:val="superscript"/>
          <w:lang w:val="en-GB"/>
        </w:rPr>
        <w:t>9</w:t>
      </w:r>
      <w:r w:rsidRPr="0040743B">
        <w:rPr>
          <w:rFonts w:ascii="Times New Roman" w:hAnsi="Times New Roman" w:cs="Times New Roman"/>
          <w:sz w:val="24"/>
          <w:szCs w:val="24"/>
          <w:lang w:val="en-GB"/>
        </w:rPr>
        <w:t>Geneva University Hospital, Geneva, Switzerland;</w:t>
      </w:r>
      <w:r w:rsidRPr="0040743B">
        <w:rPr>
          <w:rFonts w:ascii="Times New Roman" w:hAnsi="Times New Roman" w:cs="Times New Roman"/>
          <w:sz w:val="24"/>
          <w:szCs w:val="24"/>
          <w:vertAlign w:val="superscript"/>
          <w:lang w:val="en-GB"/>
        </w:rPr>
        <w:t xml:space="preserve"> 10</w:t>
      </w:r>
      <w:r w:rsidRPr="0040743B">
        <w:rPr>
          <w:rFonts w:ascii="Times New Roman" w:hAnsi="Times New Roman" w:cs="Times New Roman"/>
          <w:sz w:val="24"/>
          <w:szCs w:val="24"/>
          <w:lang w:val="en-GB"/>
        </w:rPr>
        <w:t xml:space="preserve">Leiden University Medical </w:t>
      </w:r>
      <w:proofErr w:type="spellStart"/>
      <w:r w:rsidRPr="0040743B">
        <w:rPr>
          <w:rFonts w:ascii="Times New Roman" w:hAnsi="Times New Roman" w:cs="Times New Roman"/>
          <w:sz w:val="24"/>
          <w:szCs w:val="24"/>
          <w:lang w:val="en-GB"/>
        </w:rPr>
        <w:t>Center</w:t>
      </w:r>
      <w:proofErr w:type="spellEnd"/>
      <w:r w:rsidRPr="0040743B">
        <w:rPr>
          <w:rFonts w:ascii="Times New Roman" w:hAnsi="Times New Roman" w:cs="Times New Roman"/>
          <w:sz w:val="24"/>
          <w:szCs w:val="24"/>
          <w:lang w:val="en-GB"/>
        </w:rPr>
        <w:t xml:space="preserve">, Leiden, The Netherlands; </w:t>
      </w:r>
      <w:r w:rsidRPr="0040743B">
        <w:rPr>
          <w:rFonts w:ascii="Times New Roman" w:hAnsi="Times New Roman" w:cs="Times New Roman"/>
          <w:sz w:val="24"/>
          <w:szCs w:val="24"/>
          <w:vertAlign w:val="superscript"/>
          <w:lang w:val="en-GB"/>
        </w:rPr>
        <w:t>11</w:t>
      </w:r>
      <w:r w:rsidRPr="0040743B">
        <w:rPr>
          <w:rFonts w:ascii="Times New Roman" w:hAnsi="Times New Roman" w:cs="Times New Roman"/>
          <w:sz w:val="24"/>
          <w:szCs w:val="24"/>
          <w:lang w:val="en-GB"/>
        </w:rPr>
        <w:t xml:space="preserve">Center for Cancer Immune Therapy (CCIT), Department of </w:t>
      </w:r>
      <w:proofErr w:type="spellStart"/>
      <w:r w:rsidRPr="0040743B">
        <w:rPr>
          <w:rFonts w:ascii="Times New Roman" w:hAnsi="Times New Roman" w:cs="Times New Roman"/>
          <w:sz w:val="24"/>
          <w:szCs w:val="24"/>
          <w:lang w:val="en-GB"/>
        </w:rPr>
        <w:t>Hematology</w:t>
      </w:r>
      <w:proofErr w:type="spellEnd"/>
      <w:r w:rsidRPr="0040743B">
        <w:rPr>
          <w:rFonts w:ascii="Times New Roman" w:hAnsi="Times New Roman" w:cs="Times New Roman"/>
          <w:sz w:val="24"/>
          <w:szCs w:val="24"/>
          <w:lang w:val="en-GB"/>
        </w:rPr>
        <w:t xml:space="preserve">, University Hospital </w:t>
      </w:r>
      <w:proofErr w:type="spellStart"/>
      <w:r w:rsidRPr="0040743B">
        <w:rPr>
          <w:rFonts w:ascii="Times New Roman" w:hAnsi="Times New Roman" w:cs="Times New Roman"/>
          <w:sz w:val="24"/>
          <w:szCs w:val="24"/>
          <w:lang w:val="en-GB"/>
        </w:rPr>
        <w:t>Herlev</w:t>
      </w:r>
      <w:proofErr w:type="spellEnd"/>
      <w:r w:rsidRPr="0040743B">
        <w:rPr>
          <w:rFonts w:ascii="Times New Roman" w:hAnsi="Times New Roman" w:cs="Times New Roman"/>
          <w:sz w:val="24"/>
          <w:szCs w:val="24"/>
          <w:lang w:val="en-GB"/>
        </w:rPr>
        <w:t xml:space="preserve">, Denmark, and Department of Immunology and Microbiology, University of Copenhagen, Denmark; </w:t>
      </w:r>
      <w:r w:rsidRPr="0040743B">
        <w:rPr>
          <w:rFonts w:ascii="Times New Roman" w:hAnsi="Times New Roman" w:cs="Times New Roman"/>
          <w:sz w:val="24"/>
          <w:szCs w:val="24"/>
          <w:vertAlign w:val="superscript"/>
          <w:lang w:val="en-GB"/>
        </w:rPr>
        <w:t>12</w:t>
      </w:r>
      <w:r w:rsidRPr="0040743B">
        <w:rPr>
          <w:rFonts w:ascii="Times New Roman" w:hAnsi="Times New Roman" w:cs="Times New Roman"/>
          <w:sz w:val="24"/>
          <w:szCs w:val="24"/>
          <w:lang w:val="en-GB"/>
        </w:rPr>
        <w:t xml:space="preserve">Vall </w:t>
      </w:r>
      <w:proofErr w:type="spellStart"/>
      <w:r w:rsidRPr="0040743B">
        <w:rPr>
          <w:rFonts w:ascii="Times New Roman" w:hAnsi="Times New Roman" w:cs="Times New Roman"/>
          <w:sz w:val="24"/>
          <w:szCs w:val="24"/>
          <w:lang w:val="en-GB"/>
        </w:rPr>
        <w:t>d’Hebron</w:t>
      </w:r>
      <w:proofErr w:type="spellEnd"/>
      <w:r w:rsidRPr="0040743B">
        <w:rPr>
          <w:rFonts w:ascii="Times New Roman" w:hAnsi="Times New Roman" w:cs="Times New Roman"/>
          <w:sz w:val="24"/>
          <w:szCs w:val="24"/>
          <w:lang w:val="en-GB"/>
        </w:rPr>
        <w:t xml:space="preserve"> University Hospital, Barcelona, Spain; </w:t>
      </w:r>
      <w:r w:rsidRPr="0040743B">
        <w:rPr>
          <w:rFonts w:ascii="Times New Roman" w:hAnsi="Times New Roman" w:cs="Times New Roman"/>
          <w:sz w:val="24"/>
          <w:szCs w:val="24"/>
          <w:vertAlign w:val="superscript"/>
          <w:lang w:val="en-GB"/>
        </w:rPr>
        <w:t>13</w:t>
      </w:r>
      <w:r w:rsidRPr="0040743B">
        <w:rPr>
          <w:rFonts w:ascii="Times New Roman" w:hAnsi="Times New Roman" w:cs="Times New Roman"/>
          <w:sz w:val="24"/>
          <w:szCs w:val="24"/>
          <w:lang w:val="en-GB"/>
        </w:rPr>
        <w:t xml:space="preserve">BCN Peptides S.A., Barcelona, Spain; </w:t>
      </w:r>
      <w:r w:rsidRPr="0040743B">
        <w:rPr>
          <w:rFonts w:ascii="Times New Roman" w:hAnsi="Times New Roman" w:cs="Times New Roman"/>
          <w:sz w:val="24"/>
          <w:szCs w:val="24"/>
          <w:vertAlign w:val="superscript"/>
          <w:lang w:val="en-GB"/>
        </w:rPr>
        <w:t>14</w:t>
      </w:r>
      <w:r w:rsidRPr="0040743B">
        <w:rPr>
          <w:rFonts w:ascii="Times New Roman" w:hAnsi="Times New Roman" w:cs="Times New Roman"/>
          <w:sz w:val="24"/>
          <w:szCs w:val="24"/>
          <w:lang w:val="en-GB"/>
        </w:rPr>
        <w:t xml:space="preserve">University of California San Francisco, San Francisco, USA, and Parker Institute for Cancer Immunotherapy, San Francisco, USA; </w:t>
      </w:r>
      <w:r w:rsidRPr="0040743B">
        <w:rPr>
          <w:rFonts w:ascii="Times New Roman" w:hAnsi="Times New Roman" w:cs="Times New Roman"/>
          <w:sz w:val="24"/>
          <w:szCs w:val="24"/>
          <w:vertAlign w:val="superscript"/>
          <w:lang w:val="en-GB"/>
        </w:rPr>
        <w:t>15</w:t>
      </w:r>
      <w:r w:rsidRPr="0040743B">
        <w:rPr>
          <w:rFonts w:ascii="Times New Roman" w:hAnsi="Times New Roman" w:cs="Times New Roman"/>
          <w:sz w:val="24"/>
          <w:szCs w:val="24"/>
          <w:lang w:val="en-GB"/>
        </w:rPr>
        <w:t xml:space="preserve">Ringhospitalet, Copenhagen, Denmark; </w:t>
      </w:r>
      <w:r w:rsidRPr="0040743B">
        <w:rPr>
          <w:rFonts w:ascii="Times New Roman" w:hAnsi="Times New Roman" w:cs="Times New Roman"/>
          <w:sz w:val="24"/>
          <w:szCs w:val="24"/>
          <w:vertAlign w:val="superscript"/>
          <w:lang w:val="en-GB"/>
        </w:rPr>
        <w:t>16</w:t>
      </w:r>
      <w:r w:rsidRPr="0040743B">
        <w:rPr>
          <w:rFonts w:ascii="Times New Roman" w:hAnsi="Times New Roman" w:cs="Times New Roman"/>
          <w:sz w:val="24"/>
          <w:szCs w:val="24"/>
          <w:lang w:val="en-GB"/>
        </w:rPr>
        <w:t xml:space="preserve">Technion - Israel Institute of Technology, Haifa, Israel; </w:t>
      </w:r>
      <w:r w:rsidRPr="0040743B">
        <w:rPr>
          <w:rFonts w:ascii="Times New Roman" w:hAnsi="Times New Roman" w:cs="Times New Roman"/>
          <w:sz w:val="24"/>
          <w:szCs w:val="24"/>
          <w:vertAlign w:val="superscript"/>
          <w:lang w:val="en-GB"/>
        </w:rPr>
        <w:t>17</w:t>
      </w:r>
      <w:r w:rsidRPr="0040743B">
        <w:rPr>
          <w:rFonts w:ascii="Times New Roman" w:hAnsi="Times New Roman" w:cs="Times New Roman"/>
          <w:sz w:val="24"/>
          <w:szCs w:val="24"/>
          <w:lang w:val="en-GB"/>
        </w:rPr>
        <w:t xml:space="preserve">University of Southampton, Southampton, UK; </w:t>
      </w:r>
      <w:r w:rsidRPr="0040743B">
        <w:rPr>
          <w:rFonts w:ascii="Times New Roman" w:hAnsi="Times New Roman" w:cs="Times New Roman"/>
          <w:sz w:val="24"/>
          <w:szCs w:val="24"/>
          <w:vertAlign w:val="superscript"/>
          <w:lang w:val="en-GB"/>
        </w:rPr>
        <w:t>18</w:t>
      </w:r>
      <w:r w:rsidRPr="0040743B">
        <w:rPr>
          <w:rFonts w:ascii="Times New Roman" w:hAnsi="Times New Roman" w:cs="Times New Roman"/>
          <w:sz w:val="24"/>
          <w:szCs w:val="24"/>
          <w:lang w:val="en-GB"/>
        </w:rPr>
        <w:t xml:space="preserve">TRON - Translational Oncology at the University Medical </w:t>
      </w:r>
      <w:proofErr w:type="spellStart"/>
      <w:r w:rsidRPr="0040743B">
        <w:rPr>
          <w:rFonts w:ascii="Times New Roman" w:hAnsi="Times New Roman" w:cs="Times New Roman"/>
          <w:sz w:val="24"/>
          <w:szCs w:val="24"/>
          <w:lang w:val="en-GB"/>
        </w:rPr>
        <w:t>Center</w:t>
      </w:r>
      <w:proofErr w:type="spellEnd"/>
      <w:r w:rsidRPr="0040743B">
        <w:rPr>
          <w:rFonts w:ascii="Times New Roman" w:hAnsi="Times New Roman" w:cs="Times New Roman"/>
          <w:sz w:val="24"/>
          <w:szCs w:val="24"/>
          <w:lang w:val="en-GB"/>
        </w:rPr>
        <w:t xml:space="preserve"> of Johannes Gutenberg University GmbH, Mainz, Germany; </w:t>
      </w:r>
      <w:r w:rsidRPr="0040743B">
        <w:rPr>
          <w:rFonts w:ascii="Times New Roman" w:hAnsi="Times New Roman" w:cs="Times New Roman"/>
          <w:sz w:val="24"/>
          <w:szCs w:val="24"/>
          <w:vertAlign w:val="superscript"/>
          <w:lang w:val="en-GB"/>
        </w:rPr>
        <w:t>19</w:t>
      </w:r>
      <w:r w:rsidRPr="0040743B">
        <w:rPr>
          <w:rFonts w:ascii="Times New Roman" w:hAnsi="Times New Roman" w:cs="Times New Roman"/>
          <w:sz w:val="24"/>
          <w:szCs w:val="24"/>
          <w:lang w:val="en-GB"/>
        </w:rPr>
        <w:t xml:space="preserve">current affiliation: U. T. M. D. Anderson Cancer </w:t>
      </w:r>
      <w:proofErr w:type="spellStart"/>
      <w:r w:rsidRPr="0040743B">
        <w:rPr>
          <w:rFonts w:ascii="Times New Roman" w:hAnsi="Times New Roman" w:cs="Times New Roman"/>
          <w:sz w:val="24"/>
          <w:szCs w:val="24"/>
          <w:lang w:val="en-GB"/>
        </w:rPr>
        <w:t>Center</w:t>
      </w:r>
      <w:proofErr w:type="spellEnd"/>
      <w:r w:rsidRPr="0040743B">
        <w:rPr>
          <w:rFonts w:ascii="Times New Roman" w:hAnsi="Times New Roman" w:cs="Times New Roman"/>
          <w:sz w:val="24"/>
          <w:szCs w:val="24"/>
          <w:lang w:val="en-GB"/>
        </w:rPr>
        <w:t xml:space="preserve">, Houston, USA; </w:t>
      </w:r>
      <w:r w:rsidRPr="0040743B">
        <w:rPr>
          <w:rFonts w:ascii="Times New Roman" w:hAnsi="Times New Roman" w:cs="Times New Roman"/>
          <w:sz w:val="24"/>
          <w:szCs w:val="24"/>
          <w:vertAlign w:val="superscript"/>
          <w:lang w:val="en-GB"/>
        </w:rPr>
        <w:t>20</w:t>
      </w:r>
      <w:r w:rsidRPr="0040743B">
        <w:rPr>
          <w:rFonts w:ascii="Times New Roman" w:hAnsi="Times New Roman" w:cs="Times New Roman"/>
          <w:sz w:val="24"/>
          <w:szCs w:val="24"/>
          <w:lang w:val="en-GB"/>
        </w:rPr>
        <w:t xml:space="preserve">current affiliation: Glaxo-Smith-Kline, Oncology R&amp;D, Stevenage, UK; </w:t>
      </w:r>
      <w:r w:rsidRPr="0040743B">
        <w:rPr>
          <w:rFonts w:ascii="Times New Roman" w:hAnsi="Times New Roman" w:cs="Times New Roman"/>
          <w:sz w:val="24"/>
          <w:szCs w:val="24"/>
          <w:vertAlign w:val="superscript"/>
          <w:lang w:val="en-GB"/>
        </w:rPr>
        <w:t>21</w:t>
      </w:r>
      <w:r w:rsidRPr="0040743B">
        <w:rPr>
          <w:rFonts w:ascii="Times New Roman" w:hAnsi="Times New Roman" w:cs="Times New Roman"/>
          <w:sz w:val="24"/>
          <w:szCs w:val="24"/>
          <w:lang w:val="en-GB"/>
        </w:rPr>
        <w:t xml:space="preserve">current affiliation: </w:t>
      </w:r>
      <w:proofErr w:type="spellStart"/>
      <w:r w:rsidRPr="0040743B">
        <w:rPr>
          <w:rFonts w:ascii="Times New Roman" w:hAnsi="Times New Roman" w:cs="Times New Roman"/>
          <w:sz w:val="24"/>
          <w:szCs w:val="24"/>
          <w:lang w:val="en-GB"/>
        </w:rPr>
        <w:t>Charité</w:t>
      </w:r>
      <w:proofErr w:type="spellEnd"/>
      <w:r w:rsidRPr="0040743B">
        <w:rPr>
          <w:rFonts w:ascii="Times New Roman" w:hAnsi="Times New Roman" w:cs="Times New Roman"/>
          <w:sz w:val="24"/>
          <w:szCs w:val="24"/>
          <w:lang w:val="en-GB"/>
        </w:rPr>
        <w:t xml:space="preserve">, University Medicine Berlin, Berlin, Germany; </w:t>
      </w:r>
      <w:r w:rsidRPr="0040743B">
        <w:rPr>
          <w:rFonts w:ascii="Times New Roman" w:hAnsi="Times New Roman" w:cs="Times New Roman"/>
          <w:sz w:val="24"/>
          <w:szCs w:val="24"/>
          <w:vertAlign w:val="superscript"/>
          <w:lang w:val="en-GB"/>
        </w:rPr>
        <w:t>22</w:t>
      </w:r>
      <w:r w:rsidRPr="0040743B">
        <w:rPr>
          <w:rFonts w:ascii="Times New Roman" w:hAnsi="Times New Roman" w:cs="Times New Roman"/>
          <w:sz w:val="24"/>
          <w:szCs w:val="24"/>
          <w:lang w:val="en-GB"/>
        </w:rPr>
        <w:t xml:space="preserve">current affiliation: Agenus Inc., Lexington, USA; </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Contributed equally; *Corresponding author</w:t>
      </w:r>
      <w:bookmarkEnd w:id="2"/>
      <w:r w:rsidRPr="0040743B">
        <w:rPr>
          <w:rFonts w:ascii="Times New Roman" w:eastAsia="Arial Unicode MS" w:hAnsi="Times New Roman" w:cs="Times New Roman"/>
          <w:sz w:val="24"/>
          <w:szCs w:val="24"/>
          <w:lang w:val="en-GB"/>
        </w:rPr>
        <w:br w:type="page"/>
      </w:r>
    </w:p>
    <w:p w14:paraId="4186DD01" w14:textId="0633C090" w:rsidR="00D727CA" w:rsidRPr="0040743B" w:rsidRDefault="00F9485C">
      <w:pPr>
        <w:pStyle w:val="TextA"/>
        <w:spacing w:line="480" w:lineRule="auto"/>
        <w:rPr>
          <w:rFonts w:ascii="Times New Roman" w:hAnsi="Times New Roman" w:cs="Times New Roman"/>
          <w:b/>
          <w:sz w:val="24"/>
          <w:szCs w:val="24"/>
          <w:lang w:val="en-GB"/>
        </w:rPr>
      </w:pPr>
      <w:r w:rsidRPr="0040743B">
        <w:rPr>
          <w:rFonts w:ascii="Times New Roman" w:hAnsi="Times New Roman" w:cs="Times New Roman"/>
          <w:b/>
          <w:sz w:val="24"/>
          <w:szCs w:val="24"/>
          <w:lang w:val="en-GB"/>
        </w:rPr>
        <w:lastRenderedPageBreak/>
        <w:t>Patients with glioblastoma</w:t>
      </w:r>
      <w:r w:rsidR="001B5232" w:rsidRPr="0040743B">
        <w:rPr>
          <w:rFonts w:ascii="Times New Roman" w:hAnsi="Times New Roman" w:cs="Times New Roman"/>
          <w:b/>
          <w:sz w:val="24"/>
          <w:szCs w:val="24"/>
          <w:lang w:val="en-GB"/>
        </w:rPr>
        <w:t xml:space="preserve"> (GB)</w:t>
      </w:r>
      <w:r w:rsidRPr="0040743B">
        <w:rPr>
          <w:rFonts w:ascii="Times New Roman" w:hAnsi="Times New Roman" w:cs="Times New Roman"/>
          <w:b/>
          <w:sz w:val="24"/>
          <w:szCs w:val="24"/>
          <w:lang w:val="en-GB"/>
        </w:rPr>
        <w:t xml:space="preserve"> so far </w:t>
      </w:r>
      <w:r w:rsidR="00576029" w:rsidRPr="0040743B">
        <w:rPr>
          <w:rFonts w:ascii="Times New Roman" w:hAnsi="Times New Roman" w:cs="Times New Roman"/>
          <w:b/>
          <w:sz w:val="24"/>
          <w:szCs w:val="24"/>
          <w:lang w:val="en-GB"/>
        </w:rPr>
        <w:t xml:space="preserve">do </w:t>
      </w:r>
      <w:r w:rsidRPr="0040743B">
        <w:rPr>
          <w:rFonts w:ascii="Times New Roman" w:hAnsi="Times New Roman" w:cs="Times New Roman"/>
          <w:b/>
          <w:sz w:val="24"/>
          <w:szCs w:val="24"/>
          <w:lang w:val="en-GB"/>
        </w:rPr>
        <w:t>not sufficiently benefit from recent breakthroughs with checkpoint inhibitors (CPI)</w:t>
      </w:r>
      <w:r w:rsidR="00D42266" w:rsidRPr="0040743B">
        <w:rPr>
          <w:rFonts w:ascii="Times New Roman" w:hAnsi="Times New Roman" w:cs="Times New Roman"/>
          <w:b/>
          <w:noProof/>
          <w:sz w:val="24"/>
          <w:szCs w:val="24"/>
          <w:vertAlign w:val="superscript"/>
          <w:lang w:val="en-GB"/>
        </w:rPr>
        <w:t>1,2</w:t>
      </w:r>
      <w:r w:rsidRPr="0040743B">
        <w:rPr>
          <w:rFonts w:ascii="Times New Roman" w:hAnsi="Times New Roman" w:cs="Times New Roman"/>
          <w:b/>
          <w:sz w:val="24"/>
          <w:szCs w:val="24"/>
          <w:lang w:val="en-GB"/>
        </w:rPr>
        <w:t xml:space="preserve">, </w:t>
      </w:r>
      <w:bookmarkStart w:id="3" w:name="_Hlk511596160"/>
      <w:r w:rsidRPr="0040743B">
        <w:rPr>
          <w:rFonts w:ascii="Times New Roman" w:hAnsi="Times New Roman" w:cs="Times New Roman"/>
          <w:b/>
          <w:sz w:val="24"/>
          <w:szCs w:val="24"/>
          <w:lang w:val="en-GB"/>
        </w:rPr>
        <w:t xml:space="preserve">for which </w:t>
      </w:r>
      <w:r w:rsidR="008313D9" w:rsidRPr="0040743B">
        <w:rPr>
          <w:rFonts w:ascii="Times New Roman" w:hAnsi="Times New Roman" w:cs="Times New Roman"/>
          <w:b/>
          <w:sz w:val="24"/>
          <w:szCs w:val="24"/>
          <w:lang w:val="en-GB"/>
        </w:rPr>
        <w:t xml:space="preserve">high </w:t>
      </w:r>
      <w:r w:rsidRPr="0040743B">
        <w:rPr>
          <w:rFonts w:ascii="Times New Roman" w:hAnsi="Times New Roman" w:cs="Times New Roman"/>
          <w:b/>
          <w:sz w:val="24"/>
          <w:szCs w:val="24"/>
          <w:lang w:val="en-GB"/>
        </w:rPr>
        <w:t>mutational load and response</w:t>
      </w:r>
      <w:r w:rsidR="008313D9" w:rsidRPr="0040743B">
        <w:rPr>
          <w:rFonts w:ascii="Times New Roman" w:hAnsi="Times New Roman" w:cs="Times New Roman"/>
          <w:b/>
          <w:sz w:val="24"/>
          <w:szCs w:val="24"/>
          <w:lang w:val="en-GB"/>
        </w:rPr>
        <w:t>s</w:t>
      </w:r>
      <w:r w:rsidRPr="0040743B">
        <w:rPr>
          <w:rFonts w:ascii="Times New Roman" w:hAnsi="Times New Roman" w:cs="Times New Roman"/>
          <w:b/>
          <w:sz w:val="24"/>
          <w:szCs w:val="24"/>
          <w:lang w:val="en-GB"/>
        </w:rPr>
        <w:t xml:space="preserve"> to neo-epitopes are regarded essential</w:t>
      </w:r>
      <w:r w:rsidR="00D42266" w:rsidRPr="0040743B">
        <w:rPr>
          <w:rFonts w:ascii="Times New Roman" w:hAnsi="Times New Roman" w:cs="Times New Roman"/>
          <w:b/>
          <w:noProof/>
          <w:sz w:val="24"/>
          <w:szCs w:val="24"/>
          <w:vertAlign w:val="superscript"/>
          <w:lang w:val="en-GB"/>
        </w:rPr>
        <w:t>3</w:t>
      </w:r>
      <w:r w:rsidRPr="0040743B">
        <w:rPr>
          <w:rFonts w:ascii="Times New Roman" w:hAnsi="Times New Roman" w:cs="Times New Roman"/>
          <w:b/>
          <w:sz w:val="24"/>
          <w:szCs w:val="24"/>
          <w:lang w:val="en-GB"/>
        </w:rPr>
        <w:t xml:space="preserve">. </w:t>
      </w:r>
      <w:r w:rsidR="002326C7" w:rsidRPr="0040743B">
        <w:rPr>
          <w:rFonts w:ascii="Times New Roman" w:hAnsi="Times New Roman" w:cs="Times New Roman"/>
          <w:b/>
          <w:sz w:val="24"/>
          <w:szCs w:val="24"/>
          <w:lang w:val="en-GB"/>
        </w:rPr>
        <w:t>GB tumours</w:t>
      </w:r>
      <w:r w:rsidRPr="0040743B">
        <w:rPr>
          <w:rFonts w:ascii="Times New Roman" w:hAnsi="Times New Roman" w:cs="Times New Roman"/>
          <w:b/>
          <w:sz w:val="24"/>
          <w:szCs w:val="24"/>
          <w:lang w:val="en-GB"/>
        </w:rPr>
        <w:t xml:space="preserve"> show limited intra-tumoral immune cell infiltration</w:t>
      </w:r>
      <w:r w:rsidR="00D42266" w:rsidRPr="0040743B">
        <w:rPr>
          <w:rFonts w:ascii="Times New Roman" w:hAnsi="Times New Roman" w:cs="Times New Roman"/>
          <w:b/>
          <w:noProof/>
          <w:sz w:val="24"/>
          <w:szCs w:val="24"/>
          <w:vertAlign w:val="superscript"/>
          <w:lang w:val="en-GB"/>
        </w:rPr>
        <w:t>4</w:t>
      </w:r>
      <w:r w:rsidRPr="0040743B">
        <w:rPr>
          <w:rFonts w:ascii="Times New Roman" w:hAnsi="Times New Roman" w:cs="Times New Roman"/>
          <w:b/>
          <w:sz w:val="24"/>
          <w:szCs w:val="24"/>
          <w:lang w:val="en-GB"/>
        </w:rPr>
        <w:t xml:space="preserve"> and carry 30-50 non-synonymous mutations</w:t>
      </w:r>
      <w:r w:rsidR="0073644D" w:rsidRPr="0040743B">
        <w:rPr>
          <w:rFonts w:ascii="Times New Roman" w:hAnsi="Times New Roman" w:cs="Times New Roman"/>
          <w:b/>
          <w:sz w:val="24"/>
          <w:szCs w:val="24"/>
          <w:lang w:val="en-GB"/>
        </w:rPr>
        <w:t xml:space="preserve"> only</w:t>
      </w:r>
      <w:r w:rsidR="00D42266" w:rsidRPr="0040743B">
        <w:rPr>
          <w:rFonts w:ascii="Times New Roman" w:hAnsi="Times New Roman" w:cs="Times New Roman"/>
          <w:b/>
          <w:noProof/>
          <w:sz w:val="24"/>
          <w:szCs w:val="24"/>
          <w:vertAlign w:val="superscript"/>
          <w:lang w:val="en-GB"/>
        </w:rPr>
        <w:t>5</w:t>
      </w:r>
      <w:r w:rsidRPr="0040743B">
        <w:rPr>
          <w:rFonts w:ascii="Times New Roman" w:hAnsi="Times New Roman" w:cs="Times New Roman"/>
          <w:b/>
          <w:sz w:val="24"/>
          <w:szCs w:val="24"/>
          <w:lang w:val="en-GB"/>
        </w:rPr>
        <w:t xml:space="preserve">. Exploitation of the full repertoire of tumour antigens - non-mutated and neo-epitopes – may offer more effective immunotherapies, especially for tumours with low mutational </w:t>
      </w:r>
      <w:r w:rsidR="00DC2AB3" w:rsidRPr="0040743B">
        <w:rPr>
          <w:rFonts w:ascii="Times New Roman" w:hAnsi="Times New Roman" w:cs="Times New Roman"/>
          <w:b/>
          <w:sz w:val="24"/>
          <w:szCs w:val="24"/>
          <w:lang w:val="en-GB"/>
        </w:rPr>
        <w:t>load</w:t>
      </w:r>
      <w:r w:rsidRPr="0040743B">
        <w:rPr>
          <w:rFonts w:ascii="Times New Roman" w:hAnsi="Times New Roman" w:cs="Times New Roman"/>
          <w:b/>
          <w:sz w:val="24"/>
          <w:szCs w:val="24"/>
          <w:lang w:val="en-GB"/>
        </w:rPr>
        <w:t xml:space="preserve">. </w:t>
      </w:r>
      <w:r w:rsidR="00444696" w:rsidRPr="0040743B">
        <w:rPr>
          <w:rFonts w:ascii="Times New Roman" w:hAnsi="Times New Roman" w:cs="Times New Roman"/>
          <w:b/>
          <w:sz w:val="24"/>
          <w:szCs w:val="24"/>
          <w:lang w:val="en-GB"/>
        </w:rPr>
        <w:t xml:space="preserve">In </w:t>
      </w:r>
      <w:r w:rsidR="00C24118" w:rsidRPr="0040743B">
        <w:rPr>
          <w:rFonts w:ascii="Times New Roman" w:hAnsi="Times New Roman" w:cs="Times New Roman"/>
          <w:b/>
          <w:sz w:val="24"/>
          <w:szCs w:val="24"/>
          <w:lang w:val="en-GB"/>
        </w:rPr>
        <w:t xml:space="preserve">the first-in-human trial GAPVAC-101, the </w:t>
      </w:r>
      <w:r w:rsidRPr="0040743B">
        <w:rPr>
          <w:rFonts w:ascii="Times New Roman" w:hAnsi="Times New Roman" w:cs="Times New Roman"/>
          <w:b/>
          <w:sz w:val="24"/>
          <w:szCs w:val="24"/>
          <w:lang w:val="en-GB"/>
        </w:rPr>
        <w:t xml:space="preserve">Glioma Actively Personalized Vaccine Consortium (GAPVAC) integrated both tracks </w:t>
      </w:r>
      <w:r w:rsidR="00B6476D" w:rsidRPr="0040743B">
        <w:rPr>
          <w:rFonts w:ascii="Times New Roman" w:hAnsi="Times New Roman" w:cs="Times New Roman"/>
          <w:b/>
          <w:sz w:val="24"/>
          <w:szCs w:val="24"/>
          <w:lang w:val="en-GB"/>
        </w:rPr>
        <w:t xml:space="preserve">highly individualized </w:t>
      </w:r>
      <w:r w:rsidR="00302FC6" w:rsidRPr="0040743B">
        <w:rPr>
          <w:rFonts w:ascii="Times New Roman" w:hAnsi="Times New Roman" w:cs="Times New Roman"/>
          <w:b/>
          <w:sz w:val="24"/>
          <w:szCs w:val="24"/>
          <w:lang w:val="en-GB"/>
        </w:rPr>
        <w:t xml:space="preserve">into standard treatment </w:t>
      </w:r>
      <w:r w:rsidRPr="0040743B">
        <w:rPr>
          <w:rFonts w:ascii="Times New Roman" w:hAnsi="Times New Roman" w:cs="Times New Roman"/>
          <w:b/>
          <w:sz w:val="24"/>
          <w:szCs w:val="24"/>
          <w:lang w:val="en-GB"/>
        </w:rPr>
        <w:t xml:space="preserve">to optimally exploit the limited target space for patients with newly diagnosed </w:t>
      </w:r>
      <w:r w:rsidR="001B5232" w:rsidRPr="0040743B">
        <w:rPr>
          <w:rFonts w:ascii="Times New Roman" w:hAnsi="Times New Roman" w:cs="Times New Roman"/>
          <w:b/>
          <w:sz w:val="24"/>
          <w:szCs w:val="24"/>
          <w:lang w:val="en-GB"/>
        </w:rPr>
        <w:t>GB</w:t>
      </w:r>
      <w:r w:rsidRPr="0040743B">
        <w:rPr>
          <w:rFonts w:ascii="Times New Roman" w:hAnsi="Times New Roman" w:cs="Times New Roman"/>
          <w:b/>
          <w:sz w:val="24"/>
          <w:szCs w:val="24"/>
          <w:lang w:val="en-GB"/>
        </w:rPr>
        <w:t xml:space="preserve">. Fifteen </w:t>
      </w:r>
      <w:r w:rsidRPr="0040743B">
        <w:rPr>
          <w:rFonts w:ascii="Times New Roman" w:hAnsi="Times New Roman" w:cs="Times New Roman"/>
          <w:b/>
          <w:sz w:val="24"/>
          <w:szCs w:val="24"/>
          <w:u w:color="808080"/>
          <w:lang w:val="en-GB"/>
        </w:rPr>
        <w:t>HLA-A*02:01</w:t>
      </w:r>
      <w:r w:rsidRPr="0040743B">
        <w:rPr>
          <w:rFonts w:ascii="Times New Roman" w:hAnsi="Times New Roman" w:cs="Times New Roman"/>
          <w:b/>
          <w:sz w:val="24"/>
          <w:szCs w:val="24"/>
          <w:u w:color="808080"/>
          <w:vertAlign w:val="superscript"/>
          <w:lang w:val="en-GB"/>
        </w:rPr>
        <w:t>+</w:t>
      </w:r>
      <w:r w:rsidRPr="0040743B">
        <w:rPr>
          <w:rFonts w:ascii="Times New Roman" w:hAnsi="Times New Roman" w:cs="Times New Roman"/>
          <w:b/>
          <w:sz w:val="24"/>
          <w:szCs w:val="24"/>
          <w:u w:color="808080"/>
          <w:lang w:val="en-GB"/>
        </w:rPr>
        <w:t xml:space="preserve"> or -A*24:02</w:t>
      </w:r>
      <w:r w:rsidRPr="0040743B">
        <w:rPr>
          <w:rFonts w:ascii="Times New Roman" w:hAnsi="Times New Roman" w:cs="Times New Roman"/>
          <w:b/>
          <w:sz w:val="24"/>
          <w:szCs w:val="24"/>
          <w:u w:color="808080"/>
          <w:vertAlign w:val="superscript"/>
          <w:lang w:val="en-GB"/>
        </w:rPr>
        <w:t>+</w:t>
      </w:r>
      <w:r w:rsidRPr="0040743B">
        <w:rPr>
          <w:rFonts w:ascii="Times New Roman" w:hAnsi="Times New Roman" w:cs="Times New Roman"/>
          <w:b/>
          <w:sz w:val="24"/>
          <w:szCs w:val="24"/>
          <w:u w:color="808080"/>
          <w:lang w:val="en-GB"/>
        </w:rPr>
        <w:t xml:space="preserve"> </w:t>
      </w:r>
      <w:r w:rsidRPr="0040743B">
        <w:rPr>
          <w:rFonts w:ascii="Times New Roman" w:hAnsi="Times New Roman" w:cs="Times New Roman"/>
          <w:b/>
          <w:sz w:val="24"/>
          <w:szCs w:val="24"/>
          <w:lang w:val="en-GB"/>
        </w:rPr>
        <w:t>patients were treated with a warehouse-based vaccine (APVAC1) targeting non-mutated antigens followed by APVAC2</w:t>
      </w:r>
      <w:r w:rsidR="00120BDB" w:rsidRPr="0040743B">
        <w:rPr>
          <w:rFonts w:ascii="Times New Roman" w:hAnsi="Times New Roman" w:cs="Times New Roman"/>
          <w:b/>
          <w:sz w:val="24"/>
          <w:szCs w:val="24"/>
          <w:lang w:val="en-GB"/>
        </w:rPr>
        <w:t xml:space="preserve">, </w:t>
      </w:r>
      <w:r w:rsidRPr="0040743B">
        <w:rPr>
          <w:rFonts w:ascii="Times New Roman" w:hAnsi="Times New Roman" w:cs="Times New Roman"/>
          <w:b/>
          <w:sz w:val="24"/>
          <w:szCs w:val="24"/>
          <w:lang w:val="en-GB"/>
        </w:rPr>
        <w:t>targeting preferentially neo-epitopes. Personalization was based on mutations, transcriptome, and immunopeptidome of the individual tumours. The GAPVAC approach was feasible</w:t>
      </w:r>
      <w:r w:rsidR="00E7222A" w:rsidRPr="0040743B">
        <w:rPr>
          <w:rFonts w:ascii="Times New Roman" w:hAnsi="Times New Roman" w:cs="Times New Roman"/>
          <w:b/>
          <w:sz w:val="24"/>
          <w:szCs w:val="24"/>
          <w:lang w:val="en-GB"/>
        </w:rPr>
        <w:t xml:space="preserve"> </w:t>
      </w:r>
      <w:r w:rsidR="00FD1056" w:rsidRPr="0040743B">
        <w:rPr>
          <w:rFonts w:ascii="Times New Roman" w:hAnsi="Times New Roman" w:cs="Times New Roman"/>
          <w:b/>
          <w:sz w:val="24"/>
          <w:szCs w:val="24"/>
          <w:lang w:val="en-GB"/>
        </w:rPr>
        <w:t xml:space="preserve">and </w:t>
      </w:r>
      <w:r w:rsidR="00E7222A" w:rsidRPr="0040743B">
        <w:rPr>
          <w:rFonts w:ascii="Times New Roman" w:hAnsi="Times New Roman" w:cs="Times New Roman"/>
          <w:b/>
          <w:sz w:val="24"/>
          <w:szCs w:val="24"/>
          <w:lang w:val="en-GB"/>
        </w:rPr>
        <w:t xml:space="preserve">vaccinations </w:t>
      </w:r>
      <w:r w:rsidR="001C7A14" w:rsidRPr="0040743B">
        <w:rPr>
          <w:rFonts w:ascii="Times New Roman" w:hAnsi="Times New Roman" w:cs="Times New Roman"/>
          <w:b/>
          <w:sz w:val="24"/>
          <w:szCs w:val="24"/>
          <w:lang w:val="en-GB"/>
        </w:rPr>
        <w:t xml:space="preserve">adjuvanted by </w:t>
      </w:r>
      <w:r w:rsidRPr="0040743B">
        <w:rPr>
          <w:rFonts w:ascii="Times New Roman" w:hAnsi="Times New Roman" w:cs="Times New Roman"/>
          <w:b/>
          <w:sz w:val="24"/>
          <w:szCs w:val="24"/>
          <w:lang w:val="en-GB"/>
        </w:rPr>
        <w:t>poly-ICLC</w:t>
      </w:r>
      <w:r w:rsidR="00D330D4" w:rsidRPr="0040743B">
        <w:rPr>
          <w:rFonts w:ascii="Times New Roman" w:hAnsi="Times New Roman" w:cs="Times New Roman"/>
          <w:b/>
          <w:sz w:val="24"/>
          <w:szCs w:val="24"/>
          <w:lang w:val="en-GB"/>
        </w:rPr>
        <w:t xml:space="preserve"> (</w:t>
      </w:r>
      <w:proofErr w:type="spellStart"/>
      <w:r w:rsidR="00D330D4" w:rsidRPr="0040743B">
        <w:rPr>
          <w:rFonts w:ascii="Times New Roman" w:hAnsi="Times New Roman" w:cs="Times New Roman"/>
          <w:b/>
          <w:sz w:val="24"/>
          <w:szCs w:val="24"/>
          <w:lang w:val="en-GB"/>
        </w:rPr>
        <w:t>polyriboinosinic-polyribocytidylic</w:t>
      </w:r>
      <w:proofErr w:type="spellEnd"/>
      <w:r w:rsidR="00D330D4" w:rsidRPr="0040743B">
        <w:rPr>
          <w:rFonts w:ascii="Times New Roman" w:hAnsi="Times New Roman" w:cs="Times New Roman"/>
          <w:b/>
          <w:sz w:val="24"/>
          <w:szCs w:val="24"/>
          <w:lang w:val="en-GB"/>
        </w:rPr>
        <w:t xml:space="preserve"> acid-</w:t>
      </w:r>
      <w:proofErr w:type="spellStart"/>
      <w:r w:rsidR="00D330D4" w:rsidRPr="0040743B">
        <w:rPr>
          <w:rFonts w:ascii="Times New Roman" w:hAnsi="Times New Roman" w:cs="Times New Roman"/>
          <w:b/>
          <w:sz w:val="24"/>
          <w:szCs w:val="24"/>
          <w:lang w:val="en-GB"/>
        </w:rPr>
        <w:t>polylysine</w:t>
      </w:r>
      <w:proofErr w:type="spellEnd"/>
      <w:r w:rsidR="00D330D4" w:rsidRPr="0040743B">
        <w:rPr>
          <w:rFonts w:ascii="Times New Roman" w:hAnsi="Times New Roman" w:cs="Times New Roman"/>
          <w:b/>
          <w:sz w:val="24"/>
          <w:szCs w:val="24"/>
          <w:lang w:val="en-GB"/>
        </w:rPr>
        <w:t xml:space="preserve"> carboxymethylcellulose)</w:t>
      </w:r>
      <w:r w:rsidRPr="0040743B">
        <w:rPr>
          <w:rFonts w:ascii="Times New Roman" w:hAnsi="Times New Roman" w:cs="Times New Roman"/>
          <w:b/>
          <w:sz w:val="24"/>
          <w:szCs w:val="24"/>
          <w:lang w:val="en-GB"/>
        </w:rPr>
        <w:t xml:space="preserve"> and GM-CSF</w:t>
      </w:r>
      <w:r w:rsidR="00D330D4" w:rsidRPr="0040743B">
        <w:rPr>
          <w:rFonts w:ascii="Times New Roman" w:hAnsi="Times New Roman" w:cs="Times New Roman"/>
          <w:b/>
          <w:sz w:val="24"/>
          <w:szCs w:val="24"/>
          <w:lang w:val="en-GB"/>
        </w:rPr>
        <w:t xml:space="preserve"> (granulocyte macrophage colony stimulating factor</w:t>
      </w:r>
      <w:r w:rsidR="00515B37" w:rsidRPr="0040743B">
        <w:rPr>
          <w:rFonts w:ascii="Times New Roman" w:hAnsi="Times New Roman" w:cs="Times New Roman"/>
          <w:b/>
          <w:sz w:val="24"/>
          <w:szCs w:val="24"/>
          <w:lang w:val="en-GB"/>
        </w:rPr>
        <w:t>)</w:t>
      </w:r>
      <w:r w:rsidRPr="0040743B">
        <w:rPr>
          <w:rFonts w:ascii="Times New Roman" w:hAnsi="Times New Roman" w:cs="Times New Roman"/>
          <w:b/>
          <w:sz w:val="24"/>
          <w:szCs w:val="24"/>
          <w:lang w:val="en-GB"/>
        </w:rPr>
        <w:t xml:space="preserve"> displayed favourable safety and excellent immunogenicity: </w:t>
      </w:r>
      <w:r w:rsidR="00957F23" w:rsidRPr="0040743B">
        <w:rPr>
          <w:rFonts w:ascii="Times New Roman" w:hAnsi="Times New Roman" w:cs="Times New Roman"/>
          <w:b/>
          <w:sz w:val="24"/>
          <w:szCs w:val="24"/>
          <w:lang w:val="en-GB"/>
        </w:rPr>
        <w:t>N</w:t>
      </w:r>
      <w:r w:rsidRPr="0040743B">
        <w:rPr>
          <w:rFonts w:ascii="Times New Roman" w:hAnsi="Times New Roman" w:cs="Times New Roman"/>
          <w:b/>
          <w:sz w:val="24"/>
          <w:szCs w:val="24"/>
          <w:lang w:val="en-GB"/>
        </w:rPr>
        <w:t>on-mutated APVAC1 antigens induced sustained central memory CD8</w:t>
      </w:r>
      <w:r w:rsidRPr="0040743B">
        <w:rPr>
          <w:rFonts w:ascii="Times New Roman" w:hAnsi="Times New Roman" w:cs="Times New Roman"/>
          <w:b/>
          <w:sz w:val="24"/>
          <w:szCs w:val="24"/>
          <w:vertAlign w:val="superscript"/>
          <w:lang w:val="en-GB"/>
        </w:rPr>
        <w:t>+</w:t>
      </w:r>
      <w:r w:rsidRPr="0040743B">
        <w:rPr>
          <w:rFonts w:ascii="Times New Roman" w:hAnsi="Times New Roman" w:cs="Times New Roman"/>
          <w:b/>
          <w:sz w:val="24"/>
          <w:szCs w:val="24"/>
          <w:lang w:val="en-GB"/>
        </w:rPr>
        <w:t xml:space="preserve"> T-cell responses</w:t>
      </w:r>
      <w:r w:rsidR="00FD1056" w:rsidRPr="0040743B">
        <w:rPr>
          <w:rFonts w:ascii="Times New Roman" w:hAnsi="Times New Roman" w:cs="Times New Roman"/>
          <w:b/>
          <w:sz w:val="24"/>
          <w:szCs w:val="24"/>
          <w:lang w:val="en-GB"/>
        </w:rPr>
        <w:t>.</w:t>
      </w:r>
      <w:r w:rsidRPr="0040743B">
        <w:rPr>
          <w:rFonts w:ascii="Times New Roman" w:hAnsi="Times New Roman" w:cs="Times New Roman"/>
          <w:b/>
          <w:sz w:val="24"/>
          <w:szCs w:val="24"/>
          <w:lang w:val="en-GB"/>
        </w:rPr>
        <w:t xml:space="preserve"> APVAC2 induced predominantly </w:t>
      </w:r>
      <w:r w:rsidR="003671CC" w:rsidRPr="0040743B">
        <w:rPr>
          <w:rFonts w:ascii="Times New Roman" w:hAnsi="Times New Roman" w:cs="Times New Roman"/>
          <w:b/>
          <w:sz w:val="24"/>
          <w:szCs w:val="24"/>
          <w:lang w:val="en-GB"/>
        </w:rPr>
        <w:t>T helper cell type 1 (</w:t>
      </w:r>
      <w:r w:rsidRPr="0040743B">
        <w:rPr>
          <w:rFonts w:ascii="Times New Roman" w:hAnsi="Times New Roman" w:cs="Times New Roman"/>
          <w:b/>
          <w:sz w:val="24"/>
          <w:szCs w:val="24"/>
          <w:lang w:val="en-GB"/>
        </w:rPr>
        <w:t>T</w:t>
      </w:r>
      <w:r w:rsidRPr="0040743B">
        <w:rPr>
          <w:rFonts w:ascii="Times New Roman" w:hAnsi="Times New Roman" w:cs="Times New Roman"/>
          <w:b/>
          <w:sz w:val="24"/>
          <w:szCs w:val="24"/>
          <w:vertAlign w:val="subscript"/>
          <w:lang w:val="en-GB"/>
        </w:rPr>
        <w:t>H</w:t>
      </w:r>
      <w:r w:rsidRPr="0040743B">
        <w:rPr>
          <w:rFonts w:ascii="Times New Roman" w:hAnsi="Times New Roman" w:cs="Times New Roman"/>
          <w:b/>
          <w:sz w:val="24"/>
          <w:szCs w:val="24"/>
          <w:lang w:val="en-GB"/>
        </w:rPr>
        <w:t>1</w:t>
      </w:r>
      <w:r w:rsidR="003671CC" w:rsidRPr="0040743B">
        <w:rPr>
          <w:rFonts w:ascii="Times New Roman" w:hAnsi="Times New Roman" w:cs="Times New Roman"/>
          <w:b/>
          <w:sz w:val="24"/>
          <w:szCs w:val="24"/>
          <w:lang w:val="en-GB"/>
        </w:rPr>
        <w:t>)</w:t>
      </w:r>
      <w:r w:rsidRPr="0040743B">
        <w:rPr>
          <w:rFonts w:ascii="Times New Roman" w:hAnsi="Times New Roman" w:cs="Times New Roman"/>
          <w:b/>
          <w:sz w:val="24"/>
          <w:szCs w:val="24"/>
          <w:lang w:val="en-GB"/>
        </w:rPr>
        <w:t xml:space="preserve"> CD4</w:t>
      </w:r>
      <w:r w:rsidRPr="0040743B">
        <w:rPr>
          <w:rFonts w:ascii="Times New Roman" w:hAnsi="Times New Roman" w:cs="Times New Roman"/>
          <w:b/>
          <w:sz w:val="24"/>
          <w:szCs w:val="24"/>
          <w:vertAlign w:val="superscript"/>
          <w:lang w:val="en-GB"/>
        </w:rPr>
        <w:t>+</w:t>
      </w:r>
      <w:r w:rsidRPr="0040743B">
        <w:rPr>
          <w:rFonts w:ascii="Times New Roman" w:hAnsi="Times New Roman" w:cs="Times New Roman"/>
          <w:b/>
          <w:sz w:val="24"/>
          <w:szCs w:val="24"/>
          <w:lang w:val="en-GB"/>
        </w:rPr>
        <w:t xml:space="preserve"> T-cell responses against predicted neo-epitopes.</w:t>
      </w:r>
      <w:bookmarkEnd w:id="3"/>
    </w:p>
    <w:p w14:paraId="4186DD05" w14:textId="719E4DC8" w:rsidR="00D727CA" w:rsidRPr="0040743B" w:rsidRDefault="00260D0B" w:rsidP="00FB1176">
      <w:pPr>
        <w:pStyle w:val="TextA"/>
        <w:spacing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T</w:t>
      </w:r>
      <w:r w:rsidR="00F9485C" w:rsidRPr="0040743B">
        <w:rPr>
          <w:rFonts w:ascii="Times New Roman" w:hAnsi="Times New Roman" w:cs="Times New Roman"/>
          <w:sz w:val="24"/>
          <w:szCs w:val="24"/>
          <w:lang w:val="en-GB"/>
        </w:rPr>
        <w:t>argeting of selected neo-epitopes by vaccination in melanoma – a tumour showing many mutations – has demonstrated high immunogenicity and clinical efficacy</w:t>
      </w:r>
      <w:r w:rsidR="00C14F79" w:rsidRPr="0040743B">
        <w:rPr>
          <w:rFonts w:ascii="Times New Roman" w:hAnsi="Times New Roman" w:cs="Times New Roman"/>
          <w:noProof/>
          <w:sz w:val="24"/>
          <w:szCs w:val="24"/>
          <w:vertAlign w:val="superscript"/>
          <w:lang w:val="en-GB"/>
        </w:rPr>
        <w:t>6,7</w:t>
      </w:r>
      <w:r w:rsidR="00F9485C" w:rsidRPr="0040743B">
        <w:rPr>
          <w:rFonts w:ascii="Times New Roman" w:hAnsi="Times New Roman" w:cs="Times New Roman"/>
          <w:sz w:val="24"/>
          <w:szCs w:val="24"/>
          <w:lang w:val="en-GB"/>
        </w:rPr>
        <w:t>. However, only a minor</w:t>
      </w:r>
      <w:r w:rsidR="00612ECD" w:rsidRPr="0040743B">
        <w:rPr>
          <w:rFonts w:ascii="Times New Roman" w:hAnsi="Times New Roman" w:cs="Times New Roman"/>
          <w:sz w:val="24"/>
          <w:szCs w:val="24"/>
          <w:lang w:val="en-GB"/>
        </w:rPr>
        <w:t>ity</w:t>
      </w:r>
      <w:r w:rsidR="00F9485C" w:rsidRPr="0040743B">
        <w:rPr>
          <w:rFonts w:ascii="Times New Roman" w:hAnsi="Times New Roman" w:cs="Times New Roman"/>
          <w:sz w:val="24"/>
          <w:szCs w:val="24"/>
          <w:lang w:val="en-GB"/>
        </w:rPr>
        <w:t xml:space="preserve"> of mutations is processed to human leukocyte antigen (HLA)-presented neo-epitopes and </w:t>
      </w:r>
      <w:r w:rsidR="002F419D" w:rsidRPr="0040743B">
        <w:rPr>
          <w:rFonts w:ascii="Times New Roman" w:hAnsi="Times New Roman" w:cs="Times New Roman"/>
          <w:sz w:val="24"/>
          <w:szCs w:val="24"/>
          <w:lang w:val="en-GB"/>
        </w:rPr>
        <w:t xml:space="preserve">can be targeted </w:t>
      </w:r>
      <w:r w:rsidR="00B2599E" w:rsidRPr="0040743B">
        <w:rPr>
          <w:rFonts w:ascii="Times New Roman" w:hAnsi="Times New Roman" w:cs="Times New Roman"/>
          <w:sz w:val="24"/>
          <w:szCs w:val="24"/>
          <w:lang w:val="en-GB"/>
        </w:rPr>
        <w:t>by</w:t>
      </w:r>
      <w:r w:rsidR="00F9485C" w:rsidRPr="0040743B">
        <w:rPr>
          <w:rFonts w:ascii="Times New Roman" w:hAnsi="Times New Roman" w:cs="Times New Roman"/>
          <w:sz w:val="24"/>
          <w:szCs w:val="24"/>
          <w:lang w:val="en-GB"/>
        </w:rPr>
        <w:t xml:space="preserve"> T</w:t>
      </w:r>
      <w:r w:rsidR="00B2599E" w:rsidRPr="0040743B">
        <w:rPr>
          <w:rFonts w:ascii="Times New Roman" w:hAnsi="Times New Roman" w:cs="Times New Roman"/>
          <w:sz w:val="24"/>
          <w:szCs w:val="24"/>
          <w:lang w:val="en-GB"/>
        </w:rPr>
        <w:t xml:space="preserve"> </w:t>
      </w:r>
      <w:r w:rsidR="00F9485C" w:rsidRPr="0040743B">
        <w:rPr>
          <w:rFonts w:ascii="Times New Roman" w:hAnsi="Times New Roman" w:cs="Times New Roman"/>
          <w:sz w:val="24"/>
          <w:szCs w:val="24"/>
          <w:lang w:val="en-GB"/>
        </w:rPr>
        <w:t>cell</w:t>
      </w:r>
      <w:r w:rsidR="00B2599E" w:rsidRPr="0040743B">
        <w:rPr>
          <w:rFonts w:ascii="Times New Roman" w:hAnsi="Times New Roman" w:cs="Times New Roman"/>
          <w:sz w:val="24"/>
          <w:szCs w:val="24"/>
          <w:lang w:val="en-GB"/>
        </w:rPr>
        <w:t>s</w:t>
      </w:r>
      <w:r w:rsidR="00C14F79" w:rsidRPr="0040743B">
        <w:rPr>
          <w:rFonts w:ascii="Times New Roman" w:hAnsi="Times New Roman" w:cs="Times New Roman"/>
          <w:noProof/>
          <w:sz w:val="24"/>
          <w:szCs w:val="24"/>
          <w:vertAlign w:val="superscript"/>
          <w:lang w:val="en-GB"/>
        </w:rPr>
        <w:t>8-10</w:t>
      </w:r>
      <w:r w:rsidR="00F9485C" w:rsidRPr="0040743B">
        <w:rPr>
          <w:rFonts w:ascii="Times New Roman" w:hAnsi="Times New Roman" w:cs="Times New Roman"/>
          <w:sz w:val="24"/>
          <w:szCs w:val="24"/>
          <w:lang w:val="en-GB"/>
        </w:rPr>
        <w:t xml:space="preserve">. </w:t>
      </w:r>
      <w:r w:rsidR="00D85E57" w:rsidRPr="0040743B">
        <w:rPr>
          <w:rFonts w:ascii="Times New Roman" w:hAnsi="Times New Roman" w:cs="Times New Roman"/>
          <w:sz w:val="24"/>
          <w:szCs w:val="24"/>
          <w:lang w:val="en-GB"/>
        </w:rPr>
        <w:t xml:space="preserve">For </w:t>
      </w:r>
      <w:r w:rsidR="002F4BC4" w:rsidRPr="0040743B">
        <w:rPr>
          <w:rFonts w:ascii="Times New Roman" w:hAnsi="Times New Roman" w:cs="Times New Roman"/>
          <w:sz w:val="24"/>
          <w:szCs w:val="24"/>
          <w:lang w:val="en-GB"/>
        </w:rPr>
        <w:t>cancers</w:t>
      </w:r>
      <w:r w:rsidR="00D85E57" w:rsidRPr="0040743B">
        <w:rPr>
          <w:rFonts w:ascii="Times New Roman" w:hAnsi="Times New Roman" w:cs="Times New Roman"/>
          <w:sz w:val="24"/>
          <w:szCs w:val="24"/>
          <w:lang w:val="en-GB"/>
        </w:rPr>
        <w:t xml:space="preserve"> with </w:t>
      </w:r>
      <w:r w:rsidR="005528B4" w:rsidRPr="0040743B">
        <w:rPr>
          <w:rFonts w:ascii="Times New Roman" w:hAnsi="Times New Roman" w:cs="Times New Roman"/>
          <w:sz w:val="24"/>
          <w:szCs w:val="24"/>
          <w:lang w:val="en-GB"/>
        </w:rPr>
        <w:t>fe</w:t>
      </w:r>
      <w:r w:rsidR="00D85E57" w:rsidRPr="0040743B">
        <w:rPr>
          <w:rFonts w:ascii="Times New Roman" w:hAnsi="Times New Roman" w:cs="Times New Roman"/>
          <w:sz w:val="24"/>
          <w:szCs w:val="24"/>
          <w:lang w:val="en-GB"/>
        </w:rPr>
        <w:t>w mutation</w:t>
      </w:r>
      <w:r w:rsidR="005528B4" w:rsidRPr="0040743B">
        <w:rPr>
          <w:rFonts w:ascii="Times New Roman" w:hAnsi="Times New Roman" w:cs="Times New Roman"/>
          <w:sz w:val="24"/>
          <w:szCs w:val="24"/>
          <w:lang w:val="en-GB"/>
        </w:rPr>
        <w:t>s</w:t>
      </w:r>
      <w:r w:rsidR="00D85E57" w:rsidRPr="0040743B">
        <w:rPr>
          <w:rFonts w:ascii="Times New Roman" w:hAnsi="Times New Roman" w:cs="Times New Roman"/>
          <w:sz w:val="24"/>
          <w:szCs w:val="24"/>
          <w:lang w:val="en-GB"/>
        </w:rPr>
        <w:t xml:space="preserve">, this </w:t>
      </w:r>
      <w:r w:rsidR="00F9485C" w:rsidRPr="0040743B">
        <w:rPr>
          <w:rFonts w:ascii="Times New Roman" w:hAnsi="Times New Roman" w:cs="Times New Roman"/>
          <w:sz w:val="24"/>
          <w:szCs w:val="24"/>
          <w:lang w:val="en-GB"/>
        </w:rPr>
        <w:t xml:space="preserve">is likely a limitation for </w:t>
      </w:r>
      <w:r w:rsidR="00F9485C" w:rsidRPr="0040743B">
        <w:rPr>
          <w:rFonts w:ascii="Times New Roman" w:hAnsi="Times New Roman" w:cs="Times New Roman"/>
          <w:sz w:val="24"/>
          <w:szCs w:val="24"/>
          <w:lang w:val="en-GB"/>
        </w:rPr>
        <w:lastRenderedPageBreak/>
        <w:t xml:space="preserve">antigen-unspecific immunotherapies </w:t>
      </w:r>
      <w:r w:rsidR="00CB32E2" w:rsidRPr="0040743B">
        <w:rPr>
          <w:rFonts w:ascii="Times New Roman" w:hAnsi="Times New Roman" w:cs="Times New Roman"/>
          <w:sz w:val="24"/>
          <w:szCs w:val="24"/>
          <w:lang w:val="en-GB"/>
        </w:rPr>
        <w:t>as</w:t>
      </w:r>
      <w:r w:rsidR="00F9485C" w:rsidRPr="0040743B">
        <w:rPr>
          <w:rFonts w:ascii="Times New Roman" w:hAnsi="Times New Roman" w:cs="Times New Roman"/>
          <w:sz w:val="24"/>
          <w:szCs w:val="24"/>
          <w:lang w:val="en-GB"/>
        </w:rPr>
        <w:t xml:space="preserve"> CPI</w:t>
      </w:r>
      <w:r w:rsidR="00B76E2C" w:rsidRPr="0040743B">
        <w:rPr>
          <w:rFonts w:ascii="Times New Roman" w:hAnsi="Times New Roman" w:cs="Times New Roman"/>
          <w:sz w:val="24"/>
          <w:szCs w:val="24"/>
          <w:lang w:val="en-GB"/>
        </w:rPr>
        <w:t xml:space="preserve">, </w:t>
      </w:r>
      <w:r w:rsidR="00F9485C" w:rsidRPr="0040743B">
        <w:rPr>
          <w:rFonts w:ascii="Times New Roman" w:hAnsi="Times New Roman" w:cs="Times New Roman"/>
          <w:sz w:val="24"/>
          <w:szCs w:val="24"/>
          <w:lang w:val="en-GB"/>
        </w:rPr>
        <w:t>as the</w:t>
      </w:r>
      <w:r w:rsidR="002F4BC4" w:rsidRPr="0040743B">
        <w:rPr>
          <w:rFonts w:ascii="Times New Roman" w:hAnsi="Times New Roman" w:cs="Times New Roman"/>
          <w:sz w:val="24"/>
          <w:szCs w:val="24"/>
          <w:lang w:val="en-GB"/>
        </w:rPr>
        <w:t>se tumours</w:t>
      </w:r>
      <w:r w:rsidR="00F9485C" w:rsidRPr="0040743B">
        <w:rPr>
          <w:rFonts w:ascii="Times New Roman" w:hAnsi="Times New Roman" w:cs="Times New Roman"/>
          <w:sz w:val="24"/>
          <w:szCs w:val="24"/>
          <w:lang w:val="en-GB"/>
        </w:rPr>
        <w:t xml:space="preserve"> may frequently lack </w:t>
      </w:r>
      <w:proofErr w:type="gramStart"/>
      <w:r w:rsidR="00F9485C" w:rsidRPr="0040743B">
        <w:rPr>
          <w:rFonts w:ascii="Times New Roman" w:hAnsi="Times New Roman" w:cs="Times New Roman"/>
          <w:sz w:val="24"/>
          <w:szCs w:val="24"/>
          <w:lang w:val="en-GB"/>
        </w:rPr>
        <w:t>sufficient</w:t>
      </w:r>
      <w:proofErr w:type="gramEnd"/>
      <w:r w:rsidR="00F9485C" w:rsidRPr="0040743B">
        <w:rPr>
          <w:rFonts w:ascii="Times New Roman" w:hAnsi="Times New Roman" w:cs="Times New Roman"/>
          <w:sz w:val="24"/>
          <w:szCs w:val="24"/>
          <w:lang w:val="en-GB"/>
        </w:rPr>
        <w:t xml:space="preserve"> targetable neo-epitopes. </w:t>
      </w:r>
      <w:bookmarkStart w:id="4" w:name="_Hlk512595967"/>
      <w:r w:rsidR="00F9485C" w:rsidRPr="0040743B">
        <w:rPr>
          <w:rFonts w:ascii="Times New Roman" w:hAnsi="Times New Roman" w:cs="Times New Roman"/>
          <w:sz w:val="24"/>
          <w:szCs w:val="24"/>
          <w:lang w:val="en-GB"/>
        </w:rPr>
        <w:t>Nonetheless, c</w:t>
      </w:r>
      <w:bookmarkEnd w:id="4"/>
      <w:r w:rsidR="00F9485C" w:rsidRPr="0040743B">
        <w:rPr>
          <w:rFonts w:ascii="Times New Roman" w:hAnsi="Times New Roman" w:cs="Times New Roman"/>
          <w:sz w:val="24"/>
          <w:szCs w:val="24"/>
          <w:lang w:val="en-GB"/>
        </w:rPr>
        <w:t>linical and radiographic responses to CPI have been observed in GB patients with a hypermutator phenotype</w:t>
      </w:r>
      <w:r w:rsidR="00C14F79" w:rsidRPr="0040743B">
        <w:rPr>
          <w:rFonts w:ascii="Times New Roman" w:hAnsi="Times New Roman" w:cs="Times New Roman"/>
          <w:noProof/>
          <w:sz w:val="24"/>
          <w:szCs w:val="24"/>
          <w:vertAlign w:val="superscript"/>
          <w:lang w:val="en-GB"/>
        </w:rPr>
        <w:t>11,12</w:t>
      </w:r>
      <w:r w:rsidR="00F9485C" w:rsidRPr="0040743B">
        <w:rPr>
          <w:rFonts w:ascii="Times New Roman" w:hAnsi="Times New Roman" w:cs="Times New Roman"/>
          <w:sz w:val="24"/>
          <w:szCs w:val="24"/>
          <w:lang w:val="en-GB"/>
        </w:rPr>
        <w:t>, suggesting that GB is in principle susceptible to immunotherapy</w:t>
      </w:r>
      <w:r w:rsidR="00AE4FE1" w:rsidRPr="0040743B">
        <w:rPr>
          <w:rFonts w:ascii="Times New Roman" w:hAnsi="Times New Roman" w:cs="Times New Roman"/>
          <w:noProof/>
          <w:sz w:val="24"/>
          <w:szCs w:val="24"/>
          <w:vertAlign w:val="superscript"/>
          <w:lang w:val="en-GB"/>
        </w:rPr>
        <w:t>13</w:t>
      </w:r>
      <w:r w:rsidR="00F9485C" w:rsidRPr="0040743B">
        <w:rPr>
          <w:rFonts w:ascii="Times New Roman" w:hAnsi="Times New Roman" w:cs="Times New Roman"/>
          <w:sz w:val="24"/>
          <w:szCs w:val="24"/>
          <w:lang w:val="en-GB"/>
        </w:rPr>
        <w:t>. T-cell responses to non-mutated</w:t>
      </w:r>
      <w:r w:rsidR="00130CC1" w:rsidRPr="0040743B">
        <w:rPr>
          <w:rFonts w:ascii="Times New Roman" w:hAnsi="Times New Roman" w:cs="Times New Roman"/>
          <w:sz w:val="24"/>
          <w:szCs w:val="24"/>
          <w:lang w:val="en-GB"/>
        </w:rPr>
        <w:t>,</w:t>
      </w:r>
      <w:r w:rsidR="00F9485C" w:rsidRPr="0040743B">
        <w:rPr>
          <w:rFonts w:ascii="Times New Roman" w:hAnsi="Times New Roman" w:cs="Times New Roman"/>
          <w:sz w:val="24"/>
          <w:szCs w:val="24"/>
          <w:lang w:val="en-GB"/>
        </w:rPr>
        <w:t xml:space="preserve"> over-presented antigens </w:t>
      </w:r>
      <w:bookmarkStart w:id="5" w:name="_Hlk512854434"/>
      <w:r w:rsidR="00F9485C" w:rsidRPr="0040743B">
        <w:rPr>
          <w:rFonts w:ascii="Times New Roman" w:hAnsi="Times New Roman" w:cs="Times New Roman"/>
          <w:sz w:val="24"/>
          <w:szCs w:val="24"/>
          <w:lang w:val="en-GB"/>
        </w:rPr>
        <w:t>have likewise demonstrated encouraging clinical data</w:t>
      </w:r>
      <w:bookmarkEnd w:id="5"/>
      <w:r w:rsidR="00F9485C" w:rsidRPr="0040743B">
        <w:rPr>
          <w:rFonts w:ascii="Times New Roman" w:hAnsi="Times New Roman" w:cs="Times New Roman"/>
          <w:sz w:val="24"/>
          <w:szCs w:val="24"/>
          <w:lang w:val="en-GB"/>
        </w:rPr>
        <w:t xml:space="preserve"> in GB</w:t>
      </w:r>
      <w:r w:rsidR="00AE4FE1" w:rsidRPr="0040743B">
        <w:rPr>
          <w:rFonts w:ascii="Times New Roman" w:hAnsi="Times New Roman" w:cs="Times New Roman"/>
          <w:noProof/>
          <w:sz w:val="24"/>
          <w:szCs w:val="24"/>
          <w:vertAlign w:val="superscript"/>
        </w:rPr>
        <w:t>14-16</w:t>
      </w:r>
      <w:r w:rsidR="00D6220D" w:rsidRPr="0040743B">
        <w:rPr>
          <w:rFonts w:ascii="Times New Roman" w:hAnsi="Times New Roman" w:cs="Times New Roman"/>
          <w:sz w:val="24"/>
          <w:szCs w:val="24"/>
        </w:rPr>
        <w:t xml:space="preserve"> </w:t>
      </w:r>
      <w:r w:rsidR="00970C42" w:rsidRPr="0040743B">
        <w:rPr>
          <w:rFonts w:ascii="Times New Roman" w:hAnsi="Times New Roman" w:cs="Times New Roman"/>
          <w:sz w:val="24"/>
          <w:szCs w:val="24"/>
          <w:lang w:val="en-GB"/>
        </w:rPr>
        <w:t>and</w:t>
      </w:r>
      <w:r w:rsidR="00F9485C" w:rsidRPr="0040743B">
        <w:rPr>
          <w:rFonts w:ascii="Times New Roman" w:hAnsi="Times New Roman" w:cs="Times New Roman"/>
          <w:sz w:val="24"/>
          <w:szCs w:val="24"/>
          <w:lang w:val="en-GB"/>
        </w:rPr>
        <w:t xml:space="preserve"> may perfectly supplement targeting of neo-epitopes to achieve broad anti-tumour responses.</w:t>
      </w:r>
    </w:p>
    <w:p w14:paraId="62DB2416" w14:textId="16734E67" w:rsidR="00DF2D76" w:rsidRPr="0040743B" w:rsidRDefault="00F9485C">
      <w:pPr>
        <w:pStyle w:val="TextA"/>
        <w:spacing w:after="120" w:line="480" w:lineRule="auto"/>
        <w:rPr>
          <w:rFonts w:ascii="Times New Roman" w:hAnsi="Times New Roman" w:cs="Times New Roman"/>
          <w:bCs/>
          <w:iCs/>
          <w:sz w:val="24"/>
          <w:szCs w:val="24"/>
          <w:lang w:val="en-GB"/>
        </w:rPr>
      </w:pPr>
      <w:r w:rsidRPr="0040743B">
        <w:rPr>
          <w:rFonts w:ascii="Times New Roman" w:hAnsi="Times New Roman" w:cs="Times New Roman"/>
          <w:sz w:val="24"/>
          <w:szCs w:val="24"/>
          <w:lang w:val="en-GB"/>
        </w:rPr>
        <w:t>To establish a warehouse of pre-manufactured, synthetic peptides directly available for ‘off-the-shelf’ formulation, non-mutated HLA-presented antigens were identified from 30 GB specimens using the XPRESIDENT</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technology</w:t>
      </w:r>
      <w:r w:rsidR="00183097" w:rsidRPr="0040743B">
        <w:rPr>
          <w:rFonts w:ascii="Times New Roman" w:hAnsi="Times New Roman" w:cs="Times New Roman"/>
          <w:noProof/>
          <w:sz w:val="24"/>
          <w:szCs w:val="24"/>
          <w:vertAlign w:val="superscript"/>
        </w:rPr>
        <w:t>17</w:t>
      </w:r>
      <w:r w:rsidRPr="0040743B">
        <w:rPr>
          <w:rFonts w:ascii="Times New Roman" w:hAnsi="Times New Roman" w:cs="Times New Roman"/>
          <w:sz w:val="24"/>
          <w:szCs w:val="24"/>
          <w:lang w:val="en-GB"/>
        </w:rPr>
        <w:t>; preferred antigens were either frequently over-presented</w:t>
      </w:r>
      <w:r w:rsidR="00C4661B" w:rsidRPr="0040743B">
        <w:rPr>
          <w:rFonts w:ascii="Times New Roman" w:hAnsi="Times New Roman" w:cs="Times New Roman"/>
          <w:noProof/>
          <w:sz w:val="24"/>
          <w:szCs w:val="24"/>
          <w:vertAlign w:val="superscript"/>
          <w:lang w:val="en-GB"/>
        </w:rPr>
        <w:t>18</w:t>
      </w:r>
      <w:r w:rsidRPr="0040743B">
        <w:rPr>
          <w:rFonts w:ascii="Times New Roman" w:hAnsi="Times New Roman" w:cs="Times New Roman"/>
          <w:sz w:val="24"/>
          <w:szCs w:val="24"/>
          <w:lang w:val="en-GB"/>
        </w:rPr>
        <w:t xml:space="preserve"> or tumour-</w:t>
      </w:r>
      <w:proofErr w:type="gramStart"/>
      <w:r w:rsidRPr="0040743B">
        <w:rPr>
          <w:rFonts w:ascii="Times New Roman" w:hAnsi="Times New Roman" w:cs="Times New Roman"/>
          <w:sz w:val="24"/>
          <w:szCs w:val="24"/>
          <w:lang w:val="en-GB"/>
        </w:rPr>
        <w:t>exclusive, but</w:t>
      </w:r>
      <w:proofErr w:type="gramEnd"/>
      <w:r w:rsidRPr="0040743B">
        <w:rPr>
          <w:rFonts w:ascii="Times New Roman" w:hAnsi="Times New Roman" w:cs="Times New Roman"/>
          <w:sz w:val="24"/>
          <w:szCs w:val="24"/>
          <w:lang w:val="en-GB"/>
        </w:rPr>
        <w:t xml:space="preserve"> </w:t>
      </w:r>
      <w:r w:rsidR="007042BA" w:rsidRPr="0040743B">
        <w:rPr>
          <w:rFonts w:ascii="Times New Roman" w:hAnsi="Times New Roman" w:cs="Times New Roman"/>
          <w:sz w:val="24"/>
          <w:szCs w:val="24"/>
          <w:lang w:val="en-GB"/>
        </w:rPr>
        <w:t>pres</w:t>
      </w:r>
      <w:r w:rsidR="00D224B5" w:rsidRPr="0040743B">
        <w:rPr>
          <w:rFonts w:ascii="Times New Roman" w:hAnsi="Times New Roman" w:cs="Times New Roman"/>
          <w:sz w:val="24"/>
          <w:szCs w:val="24"/>
          <w:lang w:val="en-GB"/>
        </w:rPr>
        <w:t>ented only occasionally</w:t>
      </w:r>
      <w:r w:rsidR="00A645AF" w:rsidRPr="0040743B">
        <w:rPr>
          <w:rFonts w:ascii="Times New Roman" w:hAnsi="Times New Roman" w:cs="Times New Roman"/>
          <w:sz w:val="24"/>
          <w:szCs w:val="24"/>
          <w:lang w:val="en-GB"/>
        </w:rPr>
        <w:t xml:space="preserve"> on</w:t>
      </w:r>
      <w:r w:rsidRPr="0040743B">
        <w:rPr>
          <w:rFonts w:ascii="Times New Roman" w:hAnsi="Times New Roman" w:cs="Times New Roman"/>
          <w:sz w:val="24"/>
          <w:szCs w:val="24"/>
          <w:lang w:val="en-GB"/>
        </w:rPr>
        <w:t xml:space="preserve"> tumours. Finally, 33 HLA-A*02:01-binding and 26 HLA-A*24:02-binding peptides (predominantly 9 amino acids (aa)</w:t>
      </w:r>
      <w:r w:rsidR="009A245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00A43066" w:rsidRPr="0040743B">
        <w:rPr>
          <w:rFonts w:ascii="Times New Roman" w:hAnsi="Times New Roman" w:cs="Times New Roman"/>
          <w:sz w:val="24"/>
          <w:szCs w:val="24"/>
          <w:lang w:val="en-GB"/>
        </w:rPr>
        <w:t xml:space="preserve">Supplementary </w:t>
      </w:r>
      <w:r w:rsidRPr="0040743B">
        <w:rPr>
          <w:rFonts w:ascii="Times New Roman" w:hAnsi="Times New Roman" w:cs="Times New Roman"/>
          <w:sz w:val="24"/>
          <w:szCs w:val="24"/>
          <w:lang w:val="en-GB"/>
        </w:rPr>
        <w:t xml:space="preserve">Table 1) were selected into the warehouse, favouring candidates with good immunogenicity (see Online Methods). To address </w:t>
      </w:r>
      <w:r w:rsidR="00101951" w:rsidRPr="0040743B">
        <w:rPr>
          <w:rFonts w:ascii="Times New Roman" w:hAnsi="Times New Roman" w:cs="Times New Roman"/>
          <w:sz w:val="24"/>
          <w:szCs w:val="24"/>
          <w:lang w:val="en-GB"/>
        </w:rPr>
        <w:t xml:space="preserve">for </w:t>
      </w:r>
      <w:r w:rsidR="00867A73" w:rsidRPr="0040743B">
        <w:rPr>
          <w:rFonts w:ascii="Times New Roman" w:hAnsi="Times New Roman" w:cs="Times New Roman"/>
          <w:sz w:val="24"/>
          <w:szCs w:val="24"/>
          <w:lang w:val="en-GB"/>
        </w:rPr>
        <w:t>every</w:t>
      </w:r>
      <w:r w:rsidR="00101951" w:rsidRPr="0040743B">
        <w:rPr>
          <w:rFonts w:ascii="Times New Roman" w:hAnsi="Times New Roman" w:cs="Times New Roman"/>
          <w:sz w:val="24"/>
          <w:szCs w:val="24"/>
          <w:lang w:val="en-GB"/>
        </w:rPr>
        <w:t xml:space="preserve"> GAPVAC-101 patient </w:t>
      </w:r>
      <w:r w:rsidRPr="0040743B">
        <w:rPr>
          <w:rFonts w:ascii="Times New Roman" w:hAnsi="Times New Roman" w:cs="Times New Roman"/>
          <w:sz w:val="24"/>
          <w:szCs w:val="24"/>
          <w:lang w:val="en-GB"/>
        </w:rPr>
        <w:t>the relevance</w:t>
      </w:r>
      <w:r w:rsidR="00562B56" w:rsidRPr="0040743B">
        <w:rPr>
          <w:rFonts w:ascii="Times New Roman" w:hAnsi="Times New Roman" w:cs="Times New Roman"/>
          <w:sz w:val="24"/>
          <w:szCs w:val="24"/>
          <w:lang w:val="en-GB"/>
        </w:rPr>
        <w:t xml:space="preserve"> of</w:t>
      </w:r>
      <w:r w:rsidRPr="0040743B">
        <w:rPr>
          <w:rFonts w:ascii="Times New Roman" w:hAnsi="Times New Roman" w:cs="Times New Roman"/>
          <w:sz w:val="24"/>
          <w:szCs w:val="24"/>
          <w:lang w:val="en-GB"/>
        </w:rPr>
        <w:t xml:space="preserve"> </w:t>
      </w:r>
      <w:r w:rsidR="00562B56" w:rsidRPr="0040743B">
        <w:rPr>
          <w:rFonts w:ascii="Times New Roman" w:hAnsi="Times New Roman" w:cs="Times New Roman"/>
          <w:sz w:val="24"/>
          <w:szCs w:val="24"/>
          <w:lang w:val="en-GB"/>
        </w:rPr>
        <w:t xml:space="preserve">each warehouse peptide </w:t>
      </w:r>
      <w:r w:rsidRPr="0040743B">
        <w:rPr>
          <w:rFonts w:ascii="Times New Roman" w:hAnsi="Times New Roman" w:cs="Times New Roman"/>
          <w:sz w:val="24"/>
          <w:szCs w:val="24"/>
          <w:lang w:val="en-GB"/>
        </w:rPr>
        <w:t xml:space="preserve">as tumour antigen, the </w:t>
      </w:r>
      <w:r w:rsidR="00867A73" w:rsidRPr="0040743B">
        <w:rPr>
          <w:rFonts w:ascii="Times New Roman" w:hAnsi="Times New Roman" w:cs="Times New Roman"/>
          <w:sz w:val="24"/>
          <w:szCs w:val="24"/>
          <w:lang w:val="en-GB"/>
        </w:rPr>
        <w:t xml:space="preserve">individual </w:t>
      </w:r>
      <w:r w:rsidRPr="0040743B">
        <w:rPr>
          <w:rFonts w:ascii="Times New Roman" w:hAnsi="Times New Roman" w:cs="Times New Roman"/>
          <w:sz w:val="24"/>
          <w:szCs w:val="24"/>
          <w:lang w:val="en-GB"/>
        </w:rPr>
        <w:t xml:space="preserve">tumour’s HLA </w:t>
      </w:r>
      <w:r w:rsidR="00B91CF5" w:rsidRPr="0040743B">
        <w:rPr>
          <w:rFonts w:ascii="Times New Roman" w:hAnsi="Times New Roman" w:cs="Times New Roman"/>
          <w:sz w:val="24"/>
          <w:szCs w:val="24"/>
          <w:lang w:val="en-GB"/>
        </w:rPr>
        <w:t>immuno</w:t>
      </w:r>
      <w:r w:rsidRPr="0040743B">
        <w:rPr>
          <w:rFonts w:ascii="Times New Roman" w:hAnsi="Times New Roman" w:cs="Times New Roman"/>
          <w:sz w:val="24"/>
          <w:szCs w:val="24"/>
          <w:lang w:val="en-GB"/>
        </w:rPr>
        <w:t>peptidome</w:t>
      </w:r>
      <w:r w:rsidR="00101951" w:rsidRPr="0040743B">
        <w:rPr>
          <w:rFonts w:ascii="Times New Roman" w:hAnsi="Times New Roman" w:cs="Times New Roman"/>
          <w:sz w:val="24"/>
          <w:szCs w:val="24"/>
          <w:lang w:val="en-GB"/>
        </w:rPr>
        <w:t xml:space="preserve"> and transcriptome</w:t>
      </w:r>
      <w:r w:rsidRPr="0040743B">
        <w:rPr>
          <w:rFonts w:ascii="Times New Roman" w:hAnsi="Times New Roman" w:cs="Times New Roman"/>
          <w:sz w:val="24"/>
          <w:szCs w:val="24"/>
          <w:lang w:val="en-GB"/>
        </w:rPr>
        <w:t xml:space="preserve"> w</w:t>
      </w:r>
      <w:r w:rsidR="00101951" w:rsidRPr="0040743B">
        <w:rPr>
          <w:rFonts w:ascii="Times New Roman" w:hAnsi="Times New Roman" w:cs="Times New Roman"/>
          <w:sz w:val="24"/>
          <w:szCs w:val="24"/>
          <w:lang w:val="en-GB"/>
        </w:rPr>
        <w:t>ere</w:t>
      </w:r>
      <w:r w:rsidRPr="0040743B">
        <w:rPr>
          <w:rFonts w:ascii="Times New Roman" w:hAnsi="Times New Roman" w:cs="Times New Roman"/>
          <w:sz w:val="24"/>
          <w:szCs w:val="24"/>
          <w:lang w:val="en-GB"/>
        </w:rPr>
        <w:t xml:space="preserve"> characterized by mass spectrometry (MS) and microarray analysis</w:t>
      </w:r>
      <w:r w:rsidR="00101951" w:rsidRPr="0040743B">
        <w:rPr>
          <w:rFonts w:ascii="Times New Roman" w:hAnsi="Times New Roman" w:cs="Times New Roman"/>
          <w:sz w:val="24"/>
          <w:szCs w:val="24"/>
          <w:lang w:val="en-GB"/>
        </w:rPr>
        <w:t>, respectively</w:t>
      </w:r>
      <w:r w:rsidRPr="0040743B">
        <w:rPr>
          <w:rFonts w:ascii="Times New Roman" w:hAnsi="Times New Roman" w:cs="Times New Roman"/>
          <w:sz w:val="24"/>
          <w:szCs w:val="24"/>
          <w:lang w:val="en-GB"/>
        </w:rPr>
        <w:t xml:space="preserve"> (Fig. 1). Pre-vaccine T-cell reactivity completed the dataset used to</w:t>
      </w:r>
      <w:r w:rsidR="00457A22" w:rsidRPr="0040743B">
        <w:rPr>
          <w:rFonts w:ascii="Times New Roman" w:hAnsi="Times New Roman" w:cs="Times New Roman"/>
          <w:sz w:val="24"/>
          <w:szCs w:val="24"/>
          <w:lang w:val="en-GB"/>
        </w:rPr>
        <w:t xml:space="preserve"> generate a</w:t>
      </w:r>
      <w:r w:rsidRPr="0040743B">
        <w:rPr>
          <w:rFonts w:ascii="Times New Roman" w:hAnsi="Times New Roman" w:cs="Times New Roman"/>
          <w:sz w:val="24"/>
          <w:szCs w:val="24"/>
          <w:lang w:val="en-GB"/>
        </w:rPr>
        <w:t xml:space="preserve"> </w:t>
      </w:r>
      <w:r w:rsidR="00DD1E83" w:rsidRPr="0040743B">
        <w:rPr>
          <w:rFonts w:ascii="Times New Roman" w:hAnsi="Times New Roman" w:cs="Times New Roman"/>
          <w:sz w:val="24"/>
          <w:szCs w:val="24"/>
          <w:lang w:val="en-GB"/>
        </w:rPr>
        <w:t xml:space="preserve">patient-specific </w:t>
      </w:r>
      <w:r w:rsidRPr="0040743B">
        <w:rPr>
          <w:rFonts w:ascii="Times New Roman" w:hAnsi="Times New Roman" w:cs="Times New Roman"/>
          <w:sz w:val="24"/>
          <w:szCs w:val="24"/>
          <w:lang w:val="en-GB"/>
        </w:rPr>
        <w:t>rank</w:t>
      </w:r>
      <w:r w:rsidR="00457A22" w:rsidRPr="0040743B">
        <w:rPr>
          <w:rFonts w:ascii="Times New Roman" w:hAnsi="Times New Roman" w:cs="Times New Roman"/>
          <w:sz w:val="24"/>
          <w:szCs w:val="24"/>
          <w:lang w:val="en-GB"/>
        </w:rPr>
        <w:t>ing of</w:t>
      </w:r>
      <w:r w:rsidRPr="0040743B">
        <w:rPr>
          <w:rFonts w:ascii="Times New Roman" w:hAnsi="Times New Roman" w:cs="Times New Roman"/>
          <w:sz w:val="24"/>
          <w:szCs w:val="24"/>
          <w:lang w:val="en-GB"/>
        </w:rPr>
        <w:t xml:space="preserve"> the warehouse peptides (</w:t>
      </w:r>
      <w:r w:rsidR="00CE2D20" w:rsidRPr="0040743B">
        <w:rPr>
          <w:rFonts w:ascii="Times New Roman" w:hAnsi="Times New Roman" w:cs="Times New Roman"/>
          <w:sz w:val="24"/>
          <w:szCs w:val="24"/>
          <w:lang w:val="en-GB"/>
        </w:rPr>
        <w:t xml:space="preserve">exemplarily shown in </w:t>
      </w:r>
      <w:r w:rsidR="001E0BDC" w:rsidRPr="0040743B">
        <w:rPr>
          <w:rFonts w:ascii="Times New Roman" w:hAnsi="Times New Roman" w:cs="Times New Roman"/>
          <w:bCs/>
          <w:sz w:val="24"/>
          <w:szCs w:val="24"/>
          <w:lang w:val="en-GB"/>
        </w:rPr>
        <w:t>Extended Data</w:t>
      </w:r>
      <w:r w:rsidRPr="0040743B">
        <w:rPr>
          <w:rFonts w:ascii="Times New Roman" w:hAnsi="Times New Roman" w:cs="Times New Roman"/>
          <w:bCs/>
          <w:sz w:val="24"/>
          <w:szCs w:val="24"/>
          <w:lang w:val="en-GB"/>
        </w:rPr>
        <w:t xml:space="preserve"> Fig. 1a</w:t>
      </w:r>
      <w:r w:rsidR="00857D20" w:rsidRPr="0040743B">
        <w:rPr>
          <w:rFonts w:ascii="Times New Roman" w:hAnsi="Times New Roman" w:cs="Times New Roman"/>
          <w:bCs/>
          <w:sz w:val="24"/>
          <w:szCs w:val="24"/>
          <w:lang w:val="en-GB"/>
        </w:rPr>
        <w:t>-d</w:t>
      </w:r>
      <w:r w:rsidRPr="0040743B">
        <w:rPr>
          <w:rFonts w:ascii="Times New Roman" w:hAnsi="Times New Roman" w:cs="Times New Roman"/>
          <w:sz w:val="24"/>
          <w:szCs w:val="24"/>
          <w:lang w:val="en-GB"/>
        </w:rPr>
        <w:t xml:space="preserve">). </w:t>
      </w:r>
      <w:r w:rsidR="00857D20" w:rsidRPr="0040743B">
        <w:rPr>
          <w:rFonts w:ascii="Times New Roman" w:hAnsi="Times New Roman" w:cs="Times New Roman"/>
          <w:sz w:val="24"/>
          <w:szCs w:val="24"/>
          <w:lang w:val="en-GB"/>
        </w:rPr>
        <w:t>T</w:t>
      </w:r>
      <w:r w:rsidR="009600AA" w:rsidRPr="0040743B">
        <w:rPr>
          <w:rFonts w:ascii="Times New Roman" w:hAnsi="Times New Roman" w:cs="Times New Roman"/>
          <w:sz w:val="24"/>
          <w:szCs w:val="24"/>
          <w:lang w:val="en-GB"/>
        </w:rPr>
        <w:t>he peptide PTP-013 ranked high for patient 05</w:t>
      </w:r>
      <w:r w:rsidR="001E494D" w:rsidRPr="0040743B">
        <w:rPr>
          <w:rFonts w:ascii="Times New Roman" w:hAnsi="Times New Roman" w:cs="Times New Roman"/>
          <w:sz w:val="24"/>
          <w:szCs w:val="24"/>
          <w:lang w:val="en-GB"/>
        </w:rPr>
        <w:t>:</w:t>
      </w:r>
      <w:r w:rsidR="009600AA" w:rsidRPr="0040743B">
        <w:rPr>
          <w:rFonts w:ascii="Times New Roman" w:hAnsi="Times New Roman" w:cs="Times New Roman"/>
          <w:sz w:val="24"/>
          <w:szCs w:val="24"/>
          <w:lang w:val="en-GB"/>
        </w:rPr>
        <w:t xml:space="preserve"> </w:t>
      </w:r>
      <w:r w:rsidR="009A33EF" w:rsidRPr="0040743B">
        <w:rPr>
          <w:rFonts w:ascii="Times New Roman" w:hAnsi="Times New Roman" w:cs="Times New Roman"/>
          <w:sz w:val="24"/>
          <w:szCs w:val="24"/>
          <w:lang w:val="en-GB"/>
        </w:rPr>
        <w:t>It show</w:t>
      </w:r>
      <w:r w:rsidR="00782E74" w:rsidRPr="0040743B">
        <w:rPr>
          <w:rFonts w:ascii="Times New Roman" w:hAnsi="Times New Roman" w:cs="Times New Roman"/>
          <w:sz w:val="24"/>
          <w:szCs w:val="24"/>
          <w:lang w:val="en-GB"/>
        </w:rPr>
        <w:t>ed</w:t>
      </w:r>
      <w:r w:rsidR="009A33EF" w:rsidRPr="0040743B">
        <w:rPr>
          <w:rFonts w:ascii="Times New Roman" w:hAnsi="Times New Roman" w:cs="Times New Roman"/>
          <w:sz w:val="24"/>
          <w:szCs w:val="24"/>
          <w:lang w:val="en-GB"/>
        </w:rPr>
        <w:t xml:space="preserve"> t</w:t>
      </w:r>
      <w:r w:rsidRPr="0040743B">
        <w:rPr>
          <w:rFonts w:ascii="Times New Roman" w:hAnsi="Times New Roman" w:cs="Times New Roman"/>
          <w:sz w:val="24"/>
          <w:szCs w:val="24"/>
          <w:lang w:val="en-GB"/>
        </w:rPr>
        <w:t>umour-specific over-presentation (</w:t>
      </w:r>
      <w:r w:rsidR="00C5285F" w:rsidRPr="0040743B">
        <w:rPr>
          <w:rFonts w:ascii="Times New Roman" w:hAnsi="Times New Roman" w:cs="Times New Roman"/>
          <w:sz w:val="24"/>
          <w:szCs w:val="24"/>
          <w:lang w:val="en-GB"/>
        </w:rPr>
        <w:t>Extended Data Fig</w:t>
      </w:r>
      <w:r w:rsidRPr="0040743B">
        <w:rPr>
          <w:rFonts w:ascii="Times New Roman" w:hAnsi="Times New Roman" w:cs="Times New Roman"/>
          <w:sz w:val="24"/>
          <w:szCs w:val="24"/>
          <w:lang w:val="en-GB"/>
        </w:rPr>
        <w:t xml:space="preserve">. 1b) and </w:t>
      </w:r>
      <w:r w:rsidR="00B4335E" w:rsidRPr="0040743B">
        <w:rPr>
          <w:rFonts w:ascii="Times New Roman" w:hAnsi="Times New Roman" w:cs="Times New Roman"/>
          <w:sz w:val="24"/>
          <w:szCs w:val="24"/>
          <w:lang w:val="en-GB"/>
        </w:rPr>
        <w:t>messenger ribonucleic acid (</w:t>
      </w:r>
      <w:r w:rsidR="00BB7707" w:rsidRPr="0040743B">
        <w:rPr>
          <w:rFonts w:ascii="Times New Roman" w:hAnsi="Times New Roman" w:cs="Times New Roman"/>
          <w:sz w:val="24"/>
          <w:szCs w:val="24"/>
          <w:lang w:val="en-GB"/>
        </w:rPr>
        <w:t>mRNA</w:t>
      </w:r>
      <w:r w:rsidR="00B4335E" w:rsidRPr="0040743B">
        <w:rPr>
          <w:rFonts w:ascii="Times New Roman" w:hAnsi="Times New Roman" w:cs="Times New Roman"/>
          <w:sz w:val="24"/>
          <w:szCs w:val="24"/>
          <w:lang w:val="en-GB"/>
        </w:rPr>
        <w:t>)</w:t>
      </w:r>
      <w:r w:rsidR="00BB7707"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over-expression </w:t>
      </w:r>
      <w:r w:rsidR="00BB7707" w:rsidRPr="0040743B">
        <w:rPr>
          <w:rFonts w:ascii="Times New Roman" w:hAnsi="Times New Roman" w:cs="Times New Roman"/>
          <w:sz w:val="24"/>
          <w:szCs w:val="24"/>
          <w:lang w:val="en-GB"/>
        </w:rPr>
        <w:t xml:space="preserve">of </w:t>
      </w:r>
      <w:r w:rsidR="009A33EF" w:rsidRPr="0040743B">
        <w:rPr>
          <w:rFonts w:ascii="Times New Roman" w:hAnsi="Times New Roman" w:cs="Times New Roman"/>
          <w:sz w:val="24"/>
          <w:szCs w:val="24"/>
          <w:lang w:val="en-GB"/>
        </w:rPr>
        <w:t>the</w:t>
      </w:r>
      <w:r w:rsidR="00BB7707" w:rsidRPr="0040743B">
        <w:rPr>
          <w:rFonts w:ascii="Times New Roman" w:hAnsi="Times New Roman" w:cs="Times New Roman"/>
          <w:sz w:val="24"/>
          <w:szCs w:val="24"/>
          <w:lang w:val="en-GB"/>
        </w:rPr>
        <w:t xml:space="preserve"> source gene</w:t>
      </w:r>
      <w:r w:rsidRPr="0040743B">
        <w:rPr>
          <w:rFonts w:ascii="Times New Roman" w:hAnsi="Times New Roman" w:cs="Times New Roman"/>
          <w:sz w:val="24"/>
          <w:szCs w:val="24"/>
          <w:lang w:val="en-GB"/>
        </w:rPr>
        <w:t xml:space="preserve"> </w:t>
      </w:r>
      <w:r w:rsidR="009C180C" w:rsidRPr="0040743B">
        <w:rPr>
          <w:rFonts w:ascii="Times New Roman" w:hAnsi="Times New Roman" w:cs="Times New Roman"/>
          <w:sz w:val="24"/>
          <w:szCs w:val="24"/>
          <w:lang w:val="en-GB"/>
        </w:rPr>
        <w:t>(Extended Data Fig. 1c</w:t>
      </w:r>
      <w:r w:rsidR="009C180C" w:rsidRPr="0040743B">
        <w:rPr>
          <w:rFonts w:ascii="Times New Roman" w:hAnsi="Times New Roman" w:cs="Times New Roman"/>
          <w:bCs/>
          <w:sz w:val="24"/>
          <w:szCs w:val="24"/>
          <w:lang w:val="en-GB"/>
        </w:rPr>
        <w:t>)</w:t>
      </w:r>
      <w:r w:rsidRPr="0040743B">
        <w:rPr>
          <w:rFonts w:ascii="Times New Roman" w:hAnsi="Times New Roman" w:cs="Times New Roman"/>
          <w:sz w:val="24"/>
          <w:szCs w:val="24"/>
          <w:lang w:val="en-GB"/>
        </w:rPr>
        <w:t xml:space="preserve">. </w:t>
      </w:r>
      <w:r w:rsidR="00E42B66" w:rsidRPr="0040743B">
        <w:rPr>
          <w:rFonts w:ascii="Times New Roman" w:hAnsi="Times New Roman" w:cs="Times New Roman"/>
          <w:sz w:val="24"/>
          <w:szCs w:val="24"/>
          <w:lang w:val="en-GB"/>
        </w:rPr>
        <w:t xml:space="preserve">Pre-vaccination </w:t>
      </w:r>
      <w:r w:rsidR="001E0D27" w:rsidRPr="0040743B">
        <w:rPr>
          <w:rFonts w:ascii="Times New Roman" w:hAnsi="Times New Roman" w:cs="Times New Roman"/>
          <w:sz w:val="24"/>
          <w:szCs w:val="24"/>
          <w:lang w:val="en-GB"/>
        </w:rPr>
        <w:t>peripheral blood mononuclear cells (</w:t>
      </w:r>
      <w:r w:rsidR="005D45E1" w:rsidRPr="0040743B">
        <w:rPr>
          <w:rFonts w:ascii="Times New Roman" w:hAnsi="Times New Roman" w:cs="Times New Roman"/>
          <w:sz w:val="24"/>
          <w:szCs w:val="24"/>
          <w:lang w:val="en-GB"/>
        </w:rPr>
        <w:t>PB</w:t>
      </w:r>
      <w:r w:rsidR="00E42B66" w:rsidRPr="0040743B">
        <w:rPr>
          <w:rFonts w:ascii="Times New Roman" w:hAnsi="Times New Roman" w:cs="Times New Roman"/>
          <w:sz w:val="24"/>
          <w:szCs w:val="24"/>
          <w:lang w:val="en-GB"/>
        </w:rPr>
        <w:t>M</w:t>
      </w:r>
      <w:r w:rsidR="005D45E1" w:rsidRPr="0040743B">
        <w:rPr>
          <w:rFonts w:ascii="Times New Roman" w:hAnsi="Times New Roman" w:cs="Times New Roman"/>
          <w:sz w:val="24"/>
          <w:szCs w:val="24"/>
          <w:lang w:val="en-GB"/>
        </w:rPr>
        <w:t>C</w:t>
      </w:r>
      <w:r w:rsidR="001E0D27" w:rsidRPr="0040743B">
        <w:rPr>
          <w:rFonts w:ascii="Times New Roman" w:hAnsi="Times New Roman" w:cs="Times New Roman"/>
          <w:sz w:val="24"/>
          <w:szCs w:val="24"/>
          <w:lang w:val="en-GB"/>
        </w:rPr>
        <w:t>)</w:t>
      </w:r>
      <w:r w:rsidR="005D45E1" w:rsidRPr="0040743B">
        <w:rPr>
          <w:rFonts w:ascii="Times New Roman" w:hAnsi="Times New Roman" w:cs="Times New Roman"/>
          <w:sz w:val="24"/>
          <w:szCs w:val="24"/>
          <w:lang w:val="en-GB"/>
        </w:rPr>
        <w:t xml:space="preserve"> of patient</w:t>
      </w:r>
      <w:r w:rsidRPr="0040743B">
        <w:rPr>
          <w:rFonts w:ascii="Times New Roman" w:hAnsi="Times New Roman" w:cs="Times New Roman"/>
          <w:sz w:val="24"/>
          <w:szCs w:val="24"/>
          <w:lang w:val="en-GB"/>
        </w:rPr>
        <w:t xml:space="preserve"> </w:t>
      </w:r>
      <w:r w:rsidR="0041247E" w:rsidRPr="0040743B">
        <w:rPr>
          <w:rFonts w:ascii="Times New Roman" w:hAnsi="Times New Roman" w:cs="Times New Roman"/>
          <w:sz w:val="24"/>
          <w:szCs w:val="24"/>
          <w:lang w:val="en-GB"/>
        </w:rPr>
        <w:t xml:space="preserve">05 </w:t>
      </w:r>
      <w:r w:rsidRPr="0040743B">
        <w:rPr>
          <w:rFonts w:ascii="Times New Roman" w:hAnsi="Times New Roman" w:cs="Times New Roman"/>
          <w:sz w:val="24"/>
          <w:szCs w:val="24"/>
          <w:lang w:val="en-GB"/>
        </w:rPr>
        <w:t>contained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specific for PTP-013 - a pre-requisite for a</w:t>
      </w:r>
      <w:r w:rsidR="002C5B5E" w:rsidRPr="0040743B">
        <w:rPr>
          <w:rFonts w:ascii="Times New Roman" w:hAnsi="Times New Roman" w:cs="Times New Roman"/>
          <w:sz w:val="24"/>
          <w:szCs w:val="24"/>
          <w:lang w:val="en-GB"/>
        </w:rPr>
        <w:t xml:space="preserve"> later</w:t>
      </w:r>
      <w:r w:rsidRPr="0040743B">
        <w:rPr>
          <w:rFonts w:ascii="Times New Roman" w:hAnsi="Times New Roman" w:cs="Times New Roman"/>
          <w:sz w:val="24"/>
          <w:szCs w:val="24"/>
          <w:lang w:val="en-GB"/>
        </w:rPr>
        <w:t xml:space="preserve"> immune response (</w:t>
      </w:r>
      <w:r w:rsidR="00855956" w:rsidRPr="0040743B">
        <w:rPr>
          <w:rFonts w:ascii="Times New Roman" w:hAnsi="Times New Roman" w:cs="Times New Roman"/>
          <w:sz w:val="24"/>
          <w:szCs w:val="24"/>
          <w:lang w:val="en-GB"/>
        </w:rPr>
        <w:t>Extended Data Fig. 1</w:t>
      </w:r>
      <w:r w:rsidRPr="0040743B">
        <w:rPr>
          <w:rFonts w:ascii="Times New Roman" w:hAnsi="Times New Roman" w:cs="Times New Roman"/>
          <w:sz w:val="24"/>
          <w:szCs w:val="24"/>
          <w:lang w:val="en-GB"/>
        </w:rPr>
        <w:t>d). Actively Personalized Vaccines 1 (APVAC1) were then composed of the seven best-ranking HLA class I peptides, two peptides</w:t>
      </w:r>
      <w:r w:rsidR="007B5344" w:rsidRPr="0040743B">
        <w:rPr>
          <w:rFonts w:ascii="Times New Roman" w:hAnsi="Times New Roman" w:cs="Times New Roman"/>
          <w:sz w:val="24"/>
          <w:szCs w:val="24"/>
          <w:lang w:val="en-GB"/>
        </w:rPr>
        <w:t xml:space="preserve"> binding </w:t>
      </w:r>
      <w:r w:rsidR="00802AA5" w:rsidRPr="0040743B">
        <w:rPr>
          <w:rFonts w:ascii="Times New Roman" w:hAnsi="Times New Roman" w:cs="Times New Roman"/>
          <w:sz w:val="24"/>
          <w:szCs w:val="24"/>
          <w:lang w:val="en-GB"/>
        </w:rPr>
        <w:t xml:space="preserve">promiscuously </w:t>
      </w:r>
      <w:r w:rsidR="00802AA5" w:rsidRPr="0040743B">
        <w:rPr>
          <w:rFonts w:ascii="Times New Roman" w:hAnsi="Times New Roman" w:cs="Times New Roman"/>
          <w:sz w:val="24"/>
          <w:szCs w:val="24"/>
          <w:lang w:val="en-GB"/>
        </w:rPr>
        <w:lastRenderedPageBreak/>
        <w:t xml:space="preserve">to different HLA-DR (class </w:t>
      </w:r>
      <w:r w:rsidR="00BE1D7F" w:rsidRPr="0040743B">
        <w:rPr>
          <w:rFonts w:ascii="Times New Roman" w:hAnsi="Times New Roman" w:cs="Times New Roman"/>
          <w:sz w:val="24"/>
          <w:szCs w:val="24"/>
          <w:lang w:val="en-GB"/>
        </w:rPr>
        <w:t>II) molecules (</w:t>
      </w:r>
      <w:r w:rsidR="002A578A" w:rsidRPr="0040743B">
        <w:rPr>
          <w:rFonts w:ascii="Times New Roman" w:hAnsi="Times New Roman" w:cs="Times New Roman"/>
          <w:sz w:val="24"/>
          <w:szCs w:val="24"/>
          <w:lang w:val="en-GB"/>
        </w:rPr>
        <w:t>‘</w:t>
      </w:r>
      <w:r w:rsidR="00BE1D7F" w:rsidRPr="0040743B">
        <w:rPr>
          <w:rFonts w:ascii="Times New Roman" w:hAnsi="Times New Roman" w:cs="Times New Roman"/>
          <w:sz w:val="24"/>
          <w:szCs w:val="24"/>
          <w:lang w:val="en-GB"/>
        </w:rPr>
        <w:t>pan-DR</w:t>
      </w:r>
      <w:r w:rsidR="002A578A" w:rsidRPr="0040743B">
        <w:rPr>
          <w:rFonts w:ascii="Times New Roman" w:hAnsi="Times New Roman" w:cs="Times New Roman"/>
          <w:sz w:val="24"/>
          <w:szCs w:val="24"/>
          <w:lang w:val="en-GB"/>
        </w:rPr>
        <w:t>’</w:t>
      </w:r>
      <w:r w:rsidR="00BE1D7F" w:rsidRPr="0040743B">
        <w:rPr>
          <w:rFonts w:ascii="Times New Roman" w:hAnsi="Times New Roman" w:cs="Times New Roman"/>
          <w:sz w:val="24"/>
          <w:szCs w:val="24"/>
          <w:lang w:val="en-GB"/>
        </w:rPr>
        <w:t xml:space="preserve"> </w:t>
      </w:r>
      <w:r w:rsidR="002F3D94" w:rsidRPr="0040743B">
        <w:rPr>
          <w:rFonts w:ascii="Times New Roman" w:hAnsi="Times New Roman" w:cs="Times New Roman"/>
          <w:sz w:val="24"/>
          <w:szCs w:val="24"/>
          <w:lang w:val="en-GB"/>
        </w:rPr>
        <w:t>antigen</w:t>
      </w:r>
      <w:r w:rsidR="00BE1D7F"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and a viral marker peptide (</w:t>
      </w:r>
      <w:r w:rsidR="00460F92" w:rsidRPr="0040743B">
        <w:rPr>
          <w:rFonts w:ascii="Times New Roman" w:hAnsi="Times New Roman" w:cs="Times New Roman"/>
          <w:sz w:val="24"/>
          <w:szCs w:val="24"/>
          <w:lang w:val="en-GB"/>
        </w:rPr>
        <w:t xml:space="preserve">Extended Data </w:t>
      </w:r>
      <w:r w:rsidRPr="0040743B">
        <w:rPr>
          <w:rFonts w:ascii="Times New Roman" w:hAnsi="Times New Roman" w:cs="Times New Roman"/>
          <w:sz w:val="24"/>
          <w:szCs w:val="24"/>
          <w:lang w:val="en-GB"/>
        </w:rPr>
        <w:t xml:space="preserve">Fig. 2a). </w:t>
      </w:r>
      <w:r w:rsidR="00A50CFB" w:rsidRPr="0040743B">
        <w:rPr>
          <w:rFonts w:ascii="Times New Roman" w:hAnsi="Times New Roman" w:cs="Times New Roman"/>
          <w:sz w:val="24"/>
          <w:szCs w:val="24"/>
          <w:lang w:val="en-GB"/>
        </w:rPr>
        <w:t>All</w:t>
      </w:r>
      <w:r w:rsidRPr="0040743B">
        <w:rPr>
          <w:rFonts w:ascii="Times New Roman" w:hAnsi="Times New Roman" w:cs="Times New Roman"/>
          <w:sz w:val="24"/>
          <w:szCs w:val="24"/>
          <w:lang w:val="en-GB"/>
        </w:rPr>
        <w:t xml:space="preserve"> APVAC1 compositions were different (</w:t>
      </w:r>
      <w:r w:rsidR="004C645C" w:rsidRPr="0040743B">
        <w:rPr>
          <w:rFonts w:ascii="Times New Roman" w:hAnsi="Times New Roman" w:cs="Times New Roman"/>
          <w:sz w:val="24"/>
          <w:szCs w:val="24"/>
          <w:lang w:val="en-GB"/>
        </w:rPr>
        <w:t>n</w:t>
      </w:r>
      <w:r w:rsidRPr="0040743B">
        <w:rPr>
          <w:rFonts w:ascii="Times New Roman" w:hAnsi="Times New Roman" w:cs="Times New Roman"/>
          <w:sz w:val="24"/>
          <w:szCs w:val="24"/>
          <w:lang w:val="en-GB"/>
        </w:rPr>
        <w:t xml:space="preserve">=16; </w:t>
      </w:r>
      <w:r w:rsidR="00A50CFB" w:rsidRPr="0040743B">
        <w:rPr>
          <w:rFonts w:ascii="Times New Roman" w:hAnsi="Times New Roman" w:cs="Times New Roman"/>
          <w:sz w:val="24"/>
          <w:szCs w:val="24"/>
          <w:lang w:val="en-GB"/>
        </w:rPr>
        <w:t>Supplementary</w:t>
      </w:r>
      <w:r w:rsidRPr="0040743B">
        <w:rPr>
          <w:rFonts w:ascii="Times New Roman" w:hAnsi="Times New Roman" w:cs="Times New Roman"/>
          <w:sz w:val="24"/>
          <w:szCs w:val="24"/>
          <w:lang w:val="en-GB"/>
        </w:rPr>
        <w:t xml:space="preserve"> Table 2), also illustrated by the selection frequencies of HLA-A*02:01 warehouse peptides for HLA-A*02:01</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patients (</w:t>
      </w:r>
      <w:r w:rsidR="003F2730" w:rsidRPr="0040743B">
        <w:rPr>
          <w:rFonts w:ascii="Times New Roman" w:hAnsi="Times New Roman" w:cs="Times New Roman"/>
          <w:sz w:val="24"/>
          <w:szCs w:val="24"/>
          <w:lang w:val="en-GB"/>
        </w:rPr>
        <w:t xml:space="preserve">n=13; </w:t>
      </w:r>
      <w:r w:rsidR="00345FB8" w:rsidRPr="0040743B">
        <w:rPr>
          <w:rFonts w:ascii="Times New Roman" w:hAnsi="Times New Roman" w:cs="Times New Roman"/>
          <w:sz w:val="24"/>
          <w:szCs w:val="24"/>
          <w:lang w:val="en-GB"/>
        </w:rPr>
        <w:t>Extended Data Fig. 1e</w:t>
      </w:r>
      <w:r w:rsidRPr="0040743B">
        <w:rPr>
          <w:rFonts w:ascii="Times New Roman" w:hAnsi="Times New Roman" w:cs="Times New Roman"/>
          <w:sz w:val="24"/>
          <w:szCs w:val="24"/>
          <w:lang w:val="en-GB"/>
        </w:rPr>
        <w:t>)</w:t>
      </w:r>
      <w:r w:rsidR="00CE790D" w:rsidRPr="0040743B">
        <w:rPr>
          <w:rFonts w:ascii="Times New Roman" w:hAnsi="Times New Roman" w:cs="Times New Roman"/>
          <w:sz w:val="24"/>
          <w:szCs w:val="24"/>
          <w:lang w:val="en-GB"/>
        </w:rPr>
        <w:t>, supporting the warehouse concept for personalization</w:t>
      </w:r>
      <w:r w:rsidRPr="0040743B">
        <w:rPr>
          <w:rFonts w:ascii="Times New Roman" w:hAnsi="Times New Roman" w:cs="Times New Roman"/>
          <w:sz w:val="24"/>
          <w:szCs w:val="24"/>
          <w:lang w:val="en-GB"/>
        </w:rPr>
        <w:t>. Median</w:t>
      </w:r>
      <w:r w:rsidR="005E1EB7" w:rsidRPr="0040743B">
        <w:rPr>
          <w:rFonts w:ascii="Times New Roman" w:hAnsi="Times New Roman" w:cs="Times New Roman"/>
          <w:sz w:val="24"/>
          <w:szCs w:val="24"/>
          <w:lang w:val="en-GB"/>
        </w:rPr>
        <w:t xml:space="preserve"> definition</w:t>
      </w:r>
      <w:r w:rsidRPr="0040743B">
        <w:rPr>
          <w:rFonts w:ascii="Times New Roman" w:hAnsi="Times New Roman" w:cs="Times New Roman"/>
          <w:sz w:val="24"/>
          <w:szCs w:val="24"/>
          <w:lang w:val="en-GB"/>
        </w:rPr>
        <w:t xml:space="preserve"> time from enrolment to </w:t>
      </w:r>
      <w:r w:rsidR="004E0227" w:rsidRPr="0040743B">
        <w:rPr>
          <w:rFonts w:ascii="Times New Roman" w:hAnsi="Times New Roman" w:cs="Times New Roman"/>
          <w:sz w:val="24"/>
          <w:szCs w:val="24"/>
          <w:lang w:val="en-GB"/>
        </w:rPr>
        <w:t xml:space="preserve">start of APVAC1 </w:t>
      </w:r>
      <w:r w:rsidR="0038228D" w:rsidRPr="0040743B">
        <w:rPr>
          <w:rFonts w:ascii="Times New Roman" w:hAnsi="Times New Roman" w:cs="Times New Roman"/>
          <w:sz w:val="24"/>
          <w:szCs w:val="24"/>
          <w:lang w:val="en-GB"/>
        </w:rPr>
        <w:t xml:space="preserve">manufacturing </w:t>
      </w:r>
      <w:r w:rsidRPr="0040743B">
        <w:rPr>
          <w:rFonts w:ascii="Times New Roman" w:hAnsi="Times New Roman" w:cs="Times New Roman"/>
          <w:sz w:val="24"/>
          <w:szCs w:val="24"/>
          <w:lang w:val="en-GB"/>
        </w:rPr>
        <w:t xml:space="preserve">was 52 (42-74) </w:t>
      </w:r>
      <w:r w:rsidR="00A84210" w:rsidRPr="0040743B">
        <w:rPr>
          <w:rFonts w:ascii="Times New Roman" w:hAnsi="Times New Roman" w:cs="Times New Roman"/>
          <w:sz w:val="24"/>
          <w:szCs w:val="24"/>
          <w:lang w:val="en-GB"/>
        </w:rPr>
        <w:t>days</w:t>
      </w:r>
      <w:r w:rsidR="007A3AB8"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median production time </w:t>
      </w:r>
      <w:r w:rsidR="0038228D" w:rsidRPr="0040743B">
        <w:rPr>
          <w:rFonts w:ascii="Times New Roman" w:hAnsi="Times New Roman" w:cs="Times New Roman"/>
          <w:sz w:val="24"/>
          <w:szCs w:val="24"/>
          <w:lang w:val="en-GB"/>
        </w:rPr>
        <w:t>until</w:t>
      </w:r>
      <w:r w:rsidRPr="0040743B">
        <w:rPr>
          <w:rFonts w:ascii="Times New Roman" w:hAnsi="Times New Roman" w:cs="Times New Roman"/>
          <w:sz w:val="24"/>
          <w:szCs w:val="24"/>
          <w:lang w:val="en-GB"/>
        </w:rPr>
        <w:t xml:space="preserve"> release of APVAC1 was 41 (33-51) days</w:t>
      </w:r>
      <w:r w:rsidR="00DE44DD" w:rsidRPr="0040743B">
        <w:rPr>
          <w:rFonts w:ascii="Times New Roman" w:hAnsi="Times New Roman" w:cs="Times New Roman"/>
          <w:sz w:val="24"/>
          <w:szCs w:val="24"/>
          <w:lang w:val="en-GB"/>
        </w:rPr>
        <w:t>, enabling</w:t>
      </w:r>
      <w:r w:rsidRPr="0040743B">
        <w:rPr>
          <w:rFonts w:ascii="Times New Roman" w:hAnsi="Times New Roman" w:cs="Times New Roman"/>
          <w:sz w:val="24"/>
          <w:szCs w:val="24"/>
          <w:lang w:val="en-GB"/>
        </w:rPr>
        <w:t xml:space="preserve"> the planned vaccination </w:t>
      </w:r>
      <w:proofErr w:type="gramStart"/>
      <w:r w:rsidRPr="0040743B">
        <w:rPr>
          <w:rFonts w:ascii="Times New Roman" w:hAnsi="Times New Roman" w:cs="Times New Roman"/>
          <w:sz w:val="24"/>
          <w:szCs w:val="24"/>
          <w:lang w:val="en-GB"/>
        </w:rPr>
        <w:t>start</w:t>
      </w:r>
      <w:proofErr w:type="gramEnd"/>
      <w:r w:rsidRPr="0040743B">
        <w:rPr>
          <w:rFonts w:ascii="Times New Roman" w:hAnsi="Times New Roman" w:cs="Times New Roman"/>
          <w:sz w:val="24"/>
          <w:szCs w:val="24"/>
          <w:lang w:val="en-GB"/>
        </w:rPr>
        <w:t xml:space="preserve"> during the 1</w:t>
      </w:r>
      <w:r w:rsidRPr="0040743B">
        <w:rPr>
          <w:rFonts w:ascii="Times New Roman" w:hAnsi="Times New Roman" w:cs="Times New Roman"/>
          <w:sz w:val="24"/>
          <w:szCs w:val="24"/>
          <w:vertAlign w:val="superscript"/>
          <w:lang w:val="en-GB"/>
        </w:rPr>
        <w:t>st</w:t>
      </w:r>
      <w:r w:rsidRPr="0040743B">
        <w:rPr>
          <w:rFonts w:ascii="Times New Roman" w:hAnsi="Times New Roman" w:cs="Times New Roman"/>
          <w:sz w:val="24"/>
          <w:szCs w:val="24"/>
          <w:lang w:val="en-GB"/>
        </w:rPr>
        <w:t xml:space="preserve"> </w:t>
      </w:r>
      <w:r w:rsidR="00080C78" w:rsidRPr="0040743B">
        <w:rPr>
          <w:rFonts w:ascii="Times New Roman" w:hAnsi="Times New Roman" w:cs="Times New Roman"/>
          <w:sz w:val="24"/>
          <w:szCs w:val="24"/>
          <w:lang w:val="en-GB"/>
        </w:rPr>
        <w:t>maintenance</w:t>
      </w:r>
      <w:r w:rsidRPr="0040743B">
        <w:rPr>
          <w:rFonts w:ascii="Times New Roman" w:hAnsi="Times New Roman" w:cs="Times New Roman"/>
          <w:sz w:val="24"/>
          <w:szCs w:val="24"/>
          <w:lang w:val="en-GB"/>
        </w:rPr>
        <w:t xml:space="preserve"> temozolomide (TMZ) cycle.</w:t>
      </w:r>
    </w:p>
    <w:p w14:paraId="4186DD0B" w14:textId="60937E83" w:rsidR="00D727CA" w:rsidRPr="0040743B" w:rsidRDefault="00F9485C">
      <w:pPr>
        <w:pStyle w:val="TextA"/>
        <w:spacing w:after="120" w:line="480" w:lineRule="auto"/>
        <w:rPr>
          <w:rFonts w:ascii="Times New Roman" w:hAnsi="Times New Roman" w:cs="Times New Roman"/>
          <w:b/>
          <w:bCs/>
          <w:sz w:val="24"/>
          <w:szCs w:val="24"/>
          <w:lang w:val="en-GB"/>
        </w:rPr>
      </w:pPr>
      <w:r w:rsidRPr="0040743B">
        <w:rPr>
          <w:rFonts w:ascii="Times New Roman" w:hAnsi="Times New Roman" w:cs="Times New Roman"/>
          <w:sz w:val="24"/>
          <w:szCs w:val="24"/>
          <w:lang w:val="en-GB"/>
        </w:rPr>
        <w:t>For APVAC2</w:t>
      </w:r>
      <w:r w:rsidR="007F703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one of the following strategies was applied </w:t>
      </w:r>
      <w:r w:rsidR="00684591" w:rsidRPr="0040743B">
        <w:rPr>
          <w:rFonts w:ascii="Times New Roman" w:hAnsi="Times New Roman" w:cs="Times New Roman"/>
          <w:sz w:val="24"/>
          <w:szCs w:val="24"/>
          <w:lang w:val="en-GB"/>
        </w:rPr>
        <w:t xml:space="preserve">to select two peptides </w:t>
      </w:r>
      <w:r w:rsidR="007A44BA" w:rsidRPr="0040743B">
        <w:rPr>
          <w:rFonts w:ascii="Times New Roman" w:hAnsi="Times New Roman" w:cs="Times New Roman"/>
          <w:sz w:val="24"/>
          <w:szCs w:val="24"/>
          <w:lang w:val="en-GB"/>
        </w:rPr>
        <w:t xml:space="preserve">for </w:t>
      </w:r>
      <w:r w:rsidR="00FC06DC" w:rsidRPr="0040743B">
        <w:rPr>
          <w:rFonts w:ascii="Times New Roman" w:hAnsi="Times New Roman" w:cs="Times New Roman"/>
          <w:sz w:val="24"/>
          <w:szCs w:val="24"/>
          <w:lang w:val="en-GB"/>
        </w:rPr>
        <w:t>Good Manufacturing Practice (</w:t>
      </w:r>
      <w:r w:rsidR="007A44BA" w:rsidRPr="0040743B">
        <w:rPr>
          <w:rFonts w:ascii="Times New Roman" w:hAnsi="Times New Roman" w:cs="Times New Roman"/>
          <w:sz w:val="24"/>
          <w:szCs w:val="24"/>
          <w:lang w:val="en-GB"/>
        </w:rPr>
        <w:t>GMP</w:t>
      </w:r>
      <w:r w:rsidR="00FC06DC" w:rsidRPr="0040743B">
        <w:rPr>
          <w:rFonts w:ascii="Times New Roman" w:hAnsi="Times New Roman" w:cs="Times New Roman"/>
          <w:sz w:val="24"/>
          <w:szCs w:val="24"/>
          <w:lang w:val="en-GB"/>
        </w:rPr>
        <w:t>)</w:t>
      </w:r>
      <w:r w:rsidR="007A44BA" w:rsidRPr="0040743B">
        <w:rPr>
          <w:rFonts w:ascii="Times New Roman" w:hAnsi="Times New Roman" w:cs="Times New Roman"/>
          <w:sz w:val="24"/>
          <w:szCs w:val="24"/>
          <w:lang w:val="en-GB"/>
        </w:rPr>
        <w:t xml:space="preserve"> synthesis and to formulate the vaccine </w:t>
      </w:r>
      <w:r w:rsidRPr="0040743B">
        <w:rPr>
          <w:rFonts w:ascii="Times New Roman" w:hAnsi="Times New Roman" w:cs="Times New Roman"/>
          <w:sz w:val="24"/>
          <w:szCs w:val="24"/>
          <w:lang w:val="en-GB"/>
        </w:rPr>
        <w:t>(</w:t>
      </w:r>
      <w:r w:rsidR="007F7030"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w:t>
      </w:r>
      <w:r w:rsidR="00632117"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1f</w:t>
      </w:r>
      <w:r w:rsidR="00632117" w:rsidRPr="0040743B">
        <w:rPr>
          <w:rFonts w:ascii="Times New Roman" w:hAnsi="Times New Roman" w:cs="Times New Roman"/>
          <w:sz w:val="24"/>
          <w:szCs w:val="24"/>
          <w:lang w:val="en-GB"/>
        </w:rPr>
        <w:t>, 2a</w:t>
      </w:r>
      <w:r w:rsidRPr="0040743B">
        <w:rPr>
          <w:rFonts w:ascii="Times New Roman" w:hAnsi="Times New Roman" w:cs="Times New Roman"/>
          <w:sz w:val="24"/>
          <w:szCs w:val="24"/>
          <w:lang w:val="en-GB"/>
        </w:rPr>
        <w:t>): I. Mutation-containing peptides confirmed as HLA ligands by MS; II. mutation-containing peptides with a predicted high likelihood for HLA class I binding and immunogenicity (usually 19mers</w:t>
      </w:r>
      <w:r w:rsidR="00AA0AB9"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mutation at position 10), but not </w:t>
      </w:r>
      <w:r w:rsidR="006B1CF7" w:rsidRPr="0040743B">
        <w:rPr>
          <w:rFonts w:ascii="Times New Roman" w:hAnsi="Times New Roman" w:cs="Times New Roman"/>
          <w:sz w:val="24"/>
          <w:szCs w:val="24"/>
          <w:lang w:val="en-GB"/>
        </w:rPr>
        <w:t>MS-</w:t>
      </w:r>
      <w:r w:rsidRPr="0040743B">
        <w:rPr>
          <w:rFonts w:ascii="Times New Roman" w:hAnsi="Times New Roman" w:cs="Times New Roman"/>
          <w:sz w:val="24"/>
          <w:szCs w:val="24"/>
          <w:lang w:val="en-GB"/>
        </w:rPr>
        <w:t xml:space="preserve">confirmed </w:t>
      </w:r>
      <w:r w:rsidR="00C36753" w:rsidRPr="0040743B">
        <w:rPr>
          <w:rFonts w:ascii="Times New Roman" w:hAnsi="Times New Roman" w:cs="Times New Roman"/>
          <w:sz w:val="24"/>
          <w:szCs w:val="24"/>
          <w:lang w:val="en-GB"/>
        </w:rPr>
        <w:t xml:space="preserve">as </w:t>
      </w:r>
      <w:r w:rsidRPr="0040743B">
        <w:rPr>
          <w:rFonts w:ascii="Times New Roman" w:hAnsi="Times New Roman" w:cs="Times New Roman"/>
          <w:sz w:val="24"/>
          <w:szCs w:val="24"/>
          <w:lang w:val="en-GB"/>
        </w:rPr>
        <w:t xml:space="preserve">HLA ligands; III. if none of the two strategies identified suitable neo-epitopes, non-mutated GB-associated HLA class I epitopes identified in the individual </w:t>
      </w:r>
      <w:r w:rsidR="008B4D69" w:rsidRPr="0040743B">
        <w:rPr>
          <w:rFonts w:ascii="Times New Roman" w:hAnsi="Times New Roman" w:cs="Times New Roman"/>
          <w:sz w:val="24"/>
          <w:szCs w:val="24"/>
          <w:lang w:val="en-GB"/>
        </w:rPr>
        <w:t>immuno</w:t>
      </w:r>
      <w:r w:rsidRPr="0040743B">
        <w:rPr>
          <w:rFonts w:ascii="Times New Roman" w:hAnsi="Times New Roman" w:cs="Times New Roman"/>
          <w:sz w:val="24"/>
          <w:szCs w:val="24"/>
          <w:lang w:val="en-GB"/>
        </w:rPr>
        <w:t>peptidome</w:t>
      </w:r>
      <w:r w:rsidR="00A87C1B" w:rsidRPr="0040743B">
        <w:rPr>
          <w:rFonts w:ascii="Times New Roman" w:hAnsi="Times New Roman" w:cs="Times New Roman"/>
          <w:sz w:val="24"/>
          <w:szCs w:val="24"/>
          <w:lang w:val="en-GB"/>
        </w:rPr>
        <w:t xml:space="preserve">, but not part of </w:t>
      </w:r>
      <w:r w:rsidR="00784C60" w:rsidRPr="0040743B">
        <w:rPr>
          <w:rFonts w:ascii="Times New Roman" w:hAnsi="Times New Roman" w:cs="Times New Roman"/>
          <w:sz w:val="24"/>
          <w:szCs w:val="24"/>
          <w:lang w:val="en-GB"/>
        </w:rPr>
        <w:t>the APVAC1 warehouse</w:t>
      </w:r>
      <w:r w:rsidR="00A87C1B" w:rsidRPr="0040743B">
        <w:rPr>
          <w:rFonts w:ascii="Times New Roman" w:hAnsi="Times New Roman" w:cs="Times New Roman"/>
          <w:sz w:val="24"/>
          <w:szCs w:val="24"/>
          <w:lang w:val="en-GB"/>
        </w:rPr>
        <w:t>,</w:t>
      </w:r>
      <w:r w:rsidR="00784C60"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were selected (9 to 10 </w:t>
      </w:r>
      <w:r w:rsidR="0018166A" w:rsidRPr="0040743B">
        <w:rPr>
          <w:rFonts w:ascii="Times New Roman" w:hAnsi="Times New Roman" w:cs="Times New Roman"/>
          <w:sz w:val="24"/>
          <w:szCs w:val="24"/>
          <w:lang w:val="en-GB"/>
        </w:rPr>
        <w:t>aa</w:t>
      </w:r>
      <w:r w:rsidRPr="0040743B">
        <w:rPr>
          <w:rFonts w:ascii="Times New Roman" w:hAnsi="Times New Roman" w:cs="Times New Roman"/>
          <w:sz w:val="24"/>
          <w:szCs w:val="24"/>
          <w:lang w:val="en-GB"/>
        </w:rPr>
        <w:t>).</w:t>
      </w:r>
      <w:r w:rsidR="0006178E"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A median of 36 (19-84) somatic, non-synonymous mutations were detected </w:t>
      </w:r>
      <w:r w:rsidR="0007076A" w:rsidRPr="0040743B">
        <w:rPr>
          <w:rFonts w:ascii="Times New Roman" w:hAnsi="Times New Roman" w:cs="Times New Roman"/>
          <w:sz w:val="24"/>
          <w:szCs w:val="24"/>
          <w:lang w:val="en-GB"/>
        </w:rPr>
        <w:t xml:space="preserve">by next generation sequencing </w:t>
      </w:r>
      <w:r w:rsidRPr="0040743B">
        <w:rPr>
          <w:rFonts w:ascii="Times New Roman" w:hAnsi="Times New Roman" w:cs="Times New Roman"/>
          <w:sz w:val="24"/>
          <w:szCs w:val="24"/>
          <w:lang w:val="en-GB"/>
        </w:rPr>
        <w:t>within the analysed GB specimens from GAPVAC-101 patients (Table 1</w:t>
      </w:r>
      <w:r w:rsidR="0006178E"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Suppl</w:t>
      </w:r>
      <w:r w:rsidR="0006178E" w:rsidRPr="0040743B">
        <w:rPr>
          <w:rFonts w:ascii="Times New Roman" w:hAnsi="Times New Roman" w:cs="Times New Roman"/>
          <w:sz w:val="24"/>
          <w:szCs w:val="24"/>
          <w:lang w:val="en-GB"/>
        </w:rPr>
        <w:t>ementary</w:t>
      </w:r>
      <w:r w:rsidRPr="0040743B">
        <w:rPr>
          <w:rFonts w:ascii="Times New Roman" w:hAnsi="Times New Roman" w:cs="Times New Roman"/>
          <w:sz w:val="24"/>
          <w:szCs w:val="24"/>
          <w:lang w:val="en-GB"/>
        </w:rPr>
        <w:t xml:space="preserve"> Table 3). None of the</w:t>
      </w:r>
      <w:r w:rsidR="0007076A" w:rsidRPr="0040743B">
        <w:rPr>
          <w:rFonts w:ascii="Times New Roman" w:hAnsi="Times New Roman" w:cs="Times New Roman"/>
          <w:sz w:val="24"/>
          <w:szCs w:val="24"/>
          <w:lang w:val="en-GB"/>
        </w:rPr>
        <w:t>se</w:t>
      </w:r>
      <w:r w:rsidRPr="0040743B">
        <w:rPr>
          <w:rFonts w:ascii="Times New Roman" w:hAnsi="Times New Roman" w:cs="Times New Roman"/>
          <w:sz w:val="24"/>
          <w:szCs w:val="24"/>
          <w:lang w:val="en-GB"/>
        </w:rPr>
        <w:t xml:space="preserve"> 643 </w:t>
      </w:r>
      <w:r w:rsidR="0000248C" w:rsidRPr="0040743B">
        <w:rPr>
          <w:rFonts w:ascii="Times New Roman" w:hAnsi="Times New Roman" w:cs="Times New Roman"/>
          <w:sz w:val="24"/>
          <w:szCs w:val="24"/>
          <w:lang w:val="en-GB"/>
        </w:rPr>
        <w:t xml:space="preserve">genomic </w:t>
      </w:r>
      <w:r w:rsidRPr="0040743B">
        <w:rPr>
          <w:rFonts w:ascii="Times New Roman" w:hAnsi="Times New Roman" w:cs="Times New Roman"/>
          <w:sz w:val="24"/>
          <w:szCs w:val="24"/>
          <w:lang w:val="en-GB"/>
        </w:rPr>
        <w:t>mutations was identified in the HLA class I and II peptidome</w:t>
      </w:r>
      <w:r w:rsidR="0000248C"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xml:space="preserve"> of the respective patients (</w:t>
      </w:r>
      <w:r w:rsidR="005D7924" w:rsidRPr="0040743B">
        <w:rPr>
          <w:rFonts w:ascii="Times New Roman" w:hAnsi="Times New Roman" w:cs="Times New Roman"/>
          <w:sz w:val="24"/>
          <w:szCs w:val="24"/>
          <w:lang w:val="en-GB"/>
        </w:rPr>
        <w:t>n</w:t>
      </w:r>
      <w:r w:rsidRPr="0040743B">
        <w:rPr>
          <w:rFonts w:ascii="Times New Roman" w:hAnsi="Times New Roman" w:cs="Times New Roman"/>
          <w:sz w:val="24"/>
          <w:szCs w:val="24"/>
          <w:lang w:val="en-GB"/>
        </w:rPr>
        <w:t>=15)</w:t>
      </w:r>
      <w:r w:rsidR="000F670F" w:rsidRPr="0040743B">
        <w:rPr>
          <w:rFonts w:ascii="Times New Roman" w:hAnsi="Times New Roman" w:cs="Times New Roman"/>
          <w:sz w:val="24"/>
          <w:szCs w:val="24"/>
          <w:lang w:val="en-GB"/>
        </w:rPr>
        <w:t xml:space="preserve"> employing high-sensitivity MS</w:t>
      </w:r>
      <w:r w:rsidRPr="0040743B">
        <w:rPr>
          <w:rFonts w:ascii="Times New Roman" w:hAnsi="Times New Roman" w:cs="Times New Roman"/>
          <w:sz w:val="24"/>
          <w:szCs w:val="24"/>
          <w:lang w:val="en-GB"/>
        </w:rPr>
        <w:t xml:space="preserve">, while </w:t>
      </w:r>
      <w:r w:rsidR="004363CF" w:rsidRPr="0040743B">
        <w:rPr>
          <w:rFonts w:ascii="Times New Roman" w:hAnsi="Times New Roman" w:cs="Times New Roman"/>
          <w:sz w:val="24"/>
          <w:szCs w:val="24"/>
          <w:lang w:val="en-GB"/>
        </w:rPr>
        <w:t xml:space="preserve">the identical process </w:t>
      </w:r>
      <w:r w:rsidRPr="0040743B">
        <w:rPr>
          <w:rFonts w:ascii="Times New Roman" w:hAnsi="Times New Roman" w:cs="Times New Roman"/>
          <w:sz w:val="24"/>
          <w:szCs w:val="24"/>
          <w:lang w:val="en-GB"/>
        </w:rPr>
        <w:t>identifi</w:t>
      </w:r>
      <w:r w:rsidR="001945C1" w:rsidRPr="0040743B">
        <w:rPr>
          <w:rFonts w:ascii="Times New Roman" w:hAnsi="Times New Roman" w:cs="Times New Roman"/>
          <w:sz w:val="24"/>
          <w:szCs w:val="24"/>
          <w:lang w:val="en-GB"/>
        </w:rPr>
        <w:t>ed</w:t>
      </w:r>
      <w:r w:rsidRPr="0040743B">
        <w:rPr>
          <w:rFonts w:ascii="Times New Roman" w:hAnsi="Times New Roman" w:cs="Times New Roman"/>
          <w:sz w:val="24"/>
          <w:szCs w:val="24"/>
          <w:lang w:val="en-GB"/>
        </w:rPr>
        <w:t xml:space="preserve"> a mutated HLA-presented peptide in another patient with hypermutated </w:t>
      </w:r>
      <w:r w:rsidR="004D14B8" w:rsidRPr="0040743B">
        <w:rPr>
          <w:rFonts w:ascii="Times New Roman" w:hAnsi="Times New Roman" w:cs="Times New Roman"/>
          <w:sz w:val="24"/>
          <w:szCs w:val="24"/>
          <w:lang w:val="en-GB"/>
        </w:rPr>
        <w:t>GB</w:t>
      </w:r>
      <w:r w:rsidRPr="0040743B">
        <w:rPr>
          <w:rFonts w:ascii="Times New Roman" w:hAnsi="Times New Roman" w:cs="Times New Roman"/>
          <w:sz w:val="24"/>
          <w:szCs w:val="24"/>
          <w:lang w:val="en-GB"/>
        </w:rPr>
        <w:t>, but not participating in G</w:t>
      </w:r>
      <w:r w:rsidR="00F4413F" w:rsidRPr="0040743B">
        <w:rPr>
          <w:rFonts w:ascii="Times New Roman" w:hAnsi="Times New Roman" w:cs="Times New Roman"/>
          <w:sz w:val="24"/>
          <w:szCs w:val="24"/>
          <w:lang w:val="en-GB"/>
        </w:rPr>
        <w:t>A</w:t>
      </w:r>
      <w:r w:rsidRPr="0040743B">
        <w:rPr>
          <w:rFonts w:ascii="Times New Roman" w:hAnsi="Times New Roman" w:cs="Times New Roman"/>
          <w:sz w:val="24"/>
          <w:szCs w:val="24"/>
          <w:lang w:val="en-GB"/>
        </w:rPr>
        <w:t xml:space="preserve">PVAC-101 (data not shown). </w:t>
      </w:r>
      <w:r w:rsidR="003E12F2" w:rsidRPr="0040743B">
        <w:rPr>
          <w:rFonts w:ascii="Times New Roman" w:hAnsi="Times New Roman" w:cs="Times New Roman"/>
          <w:sz w:val="24"/>
          <w:szCs w:val="24"/>
          <w:lang w:val="en-GB"/>
        </w:rPr>
        <w:t>Consequently</w:t>
      </w:r>
      <w:r w:rsidRPr="0040743B">
        <w:rPr>
          <w:rFonts w:ascii="Times New Roman" w:hAnsi="Times New Roman" w:cs="Times New Roman"/>
          <w:sz w:val="24"/>
          <w:szCs w:val="24"/>
          <w:lang w:val="en-GB"/>
        </w:rPr>
        <w:t xml:space="preserve">, the selection of </w:t>
      </w:r>
      <w:r w:rsidR="00E8562D" w:rsidRPr="0040743B">
        <w:rPr>
          <w:rFonts w:ascii="Times New Roman" w:hAnsi="Times New Roman" w:cs="Times New Roman"/>
          <w:sz w:val="24"/>
          <w:szCs w:val="24"/>
          <w:lang w:val="en-GB"/>
        </w:rPr>
        <w:t xml:space="preserve">the two APVAC2 </w:t>
      </w:r>
      <w:r w:rsidRPr="0040743B">
        <w:rPr>
          <w:rFonts w:ascii="Times New Roman" w:hAnsi="Times New Roman" w:cs="Times New Roman"/>
          <w:sz w:val="24"/>
          <w:szCs w:val="24"/>
          <w:lang w:val="en-GB"/>
        </w:rPr>
        <w:t>peptides was based on the second and third strategies presented above</w:t>
      </w:r>
      <w:r w:rsidR="002B306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002B3066" w:rsidRPr="0040743B">
        <w:rPr>
          <w:rFonts w:ascii="Times New Roman" w:hAnsi="Times New Roman" w:cs="Times New Roman"/>
          <w:sz w:val="24"/>
          <w:szCs w:val="24"/>
          <w:lang w:val="en-GB"/>
        </w:rPr>
        <w:t>preferring</w:t>
      </w:r>
      <w:r w:rsidRPr="0040743B">
        <w:rPr>
          <w:rFonts w:ascii="Times New Roman" w:hAnsi="Times New Roman" w:cs="Times New Roman"/>
          <w:sz w:val="24"/>
          <w:szCs w:val="24"/>
          <w:lang w:val="en-GB"/>
        </w:rPr>
        <w:t xml:space="preserve"> predicted, mutation-containing neo-epitopes</w:t>
      </w:r>
      <w:r w:rsidR="00074F53" w:rsidRPr="0040743B">
        <w:rPr>
          <w:rFonts w:ascii="Times New Roman" w:hAnsi="Times New Roman" w:cs="Times New Roman"/>
          <w:sz w:val="24"/>
          <w:szCs w:val="24"/>
          <w:lang w:val="en-GB"/>
        </w:rPr>
        <w:t xml:space="preserve"> (</w:t>
      </w:r>
      <w:r w:rsidR="00E8562D" w:rsidRPr="0040743B">
        <w:rPr>
          <w:rFonts w:ascii="Times New Roman" w:hAnsi="Times New Roman" w:cs="Times New Roman"/>
          <w:sz w:val="24"/>
          <w:szCs w:val="24"/>
          <w:lang w:val="en-GB"/>
        </w:rPr>
        <w:t>example</w:t>
      </w:r>
      <w:r w:rsidR="00074F53" w:rsidRPr="0040743B">
        <w:rPr>
          <w:rFonts w:ascii="Times New Roman" w:hAnsi="Times New Roman" w:cs="Times New Roman"/>
          <w:sz w:val="24"/>
          <w:szCs w:val="24"/>
          <w:lang w:val="en-GB"/>
        </w:rPr>
        <w:t xml:space="preserve"> in Extended Data Fig. 1</w:t>
      </w:r>
      <w:r w:rsidR="00E8562D" w:rsidRPr="0040743B">
        <w:rPr>
          <w:rFonts w:ascii="Times New Roman" w:hAnsi="Times New Roman" w:cs="Times New Roman"/>
          <w:sz w:val="24"/>
          <w:szCs w:val="24"/>
          <w:lang w:val="en-GB"/>
        </w:rPr>
        <w:t>g)</w:t>
      </w:r>
      <w:r w:rsidRPr="0040743B">
        <w:rPr>
          <w:rFonts w:ascii="Times New Roman" w:hAnsi="Times New Roman" w:cs="Times New Roman"/>
          <w:sz w:val="24"/>
          <w:szCs w:val="24"/>
          <w:lang w:val="en-GB"/>
        </w:rPr>
        <w:t xml:space="preserve">. Eleven patients received APVAC2 compositions with a total of 20 </w:t>
      </w:r>
      <w:r w:rsidRPr="0040743B">
        <w:rPr>
          <w:rFonts w:ascii="Times New Roman" w:hAnsi="Times New Roman" w:cs="Times New Roman"/>
          <w:i/>
          <w:iCs/>
          <w:sz w:val="24"/>
          <w:szCs w:val="24"/>
          <w:lang w:val="en-GB"/>
        </w:rPr>
        <w:t>de novo</w:t>
      </w:r>
      <w:r w:rsidRPr="0040743B">
        <w:rPr>
          <w:rFonts w:ascii="Times New Roman" w:hAnsi="Times New Roman" w:cs="Times New Roman"/>
          <w:sz w:val="24"/>
          <w:szCs w:val="24"/>
          <w:lang w:val="en-GB"/>
        </w:rPr>
        <w:t xml:space="preserve"> synthesized </w:t>
      </w:r>
      <w:r w:rsidRPr="0040743B">
        <w:rPr>
          <w:rFonts w:ascii="Times New Roman" w:hAnsi="Times New Roman" w:cs="Times New Roman"/>
          <w:sz w:val="24"/>
          <w:szCs w:val="24"/>
          <w:lang w:val="en-GB"/>
        </w:rPr>
        <w:lastRenderedPageBreak/>
        <w:t>peptides (14 mutated, 6 non-mutated</w:t>
      </w:r>
      <w:r w:rsidR="00D475A4" w:rsidRPr="0040743B">
        <w:rPr>
          <w:rFonts w:ascii="Times New Roman" w:hAnsi="Times New Roman" w:cs="Times New Roman"/>
          <w:sz w:val="24"/>
          <w:szCs w:val="24"/>
          <w:lang w:val="en-GB"/>
        </w:rPr>
        <w:t>;</w:t>
      </w:r>
      <w:r w:rsidR="00C902DF" w:rsidRPr="0040743B">
        <w:rPr>
          <w:rFonts w:ascii="Times New Roman" w:hAnsi="Times New Roman" w:cs="Times New Roman"/>
          <w:sz w:val="24"/>
          <w:szCs w:val="24"/>
          <w:lang w:val="en-GB"/>
        </w:rPr>
        <w:t xml:space="preserve"> Extended Data </w:t>
      </w:r>
      <w:r w:rsidRPr="0040743B">
        <w:rPr>
          <w:rFonts w:ascii="Times New Roman" w:hAnsi="Times New Roman" w:cs="Times New Roman"/>
          <w:sz w:val="24"/>
          <w:szCs w:val="24"/>
          <w:lang w:val="en-GB"/>
        </w:rPr>
        <w:t>Fig. 1h</w:t>
      </w:r>
      <w:r w:rsidR="00C902DF"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Suppl</w:t>
      </w:r>
      <w:r w:rsidR="00C902DF" w:rsidRPr="0040743B">
        <w:rPr>
          <w:rFonts w:ascii="Times New Roman" w:hAnsi="Times New Roman" w:cs="Times New Roman"/>
          <w:sz w:val="24"/>
          <w:szCs w:val="24"/>
          <w:lang w:val="en-GB"/>
        </w:rPr>
        <w:t>ementary</w:t>
      </w:r>
      <w:r w:rsidRPr="0040743B">
        <w:rPr>
          <w:rFonts w:ascii="Times New Roman" w:hAnsi="Times New Roman" w:cs="Times New Roman"/>
          <w:sz w:val="24"/>
          <w:szCs w:val="24"/>
          <w:lang w:val="en-GB"/>
        </w:rPr>
        <w:t xml:space="preserve"> Table 4). Median definition time for APVAC2 was 96 (85-114) days and median production time 86 (63-138) days.</w:t>
      </w:r>
    </w:p>
    <w:p w14:paraId="4186DD0D" w14:textId="2F254AA3" w:rsidR="00D727CA" w:rsidRPr="0040743B" w:rsidRDefault="00F9485C">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 xml:space="preserve">APVAC1 and APVAC2 were applied independently </w:t>
      </w:r>
      <w:r w:rsidR="00C60192" w:rsidRPr="0040743B">
        <w:rPr>
          <w:rFonts w:ascii="Times New Roman" w:hAnsi="Times New Roman" w:cs="Times New Roman"/>
          <w:sz w:val="24"/>
          <w:szCs w:val="24"/>
          <w:lang w:val="en-GB"/>
        </w:rPr>
        <w:t>intradermally</w:t>
      </w:r>
      <w:r w:rsidRPr="0040743B">
        <w:rPr>
          <w:rFonts w:ascii="Times New Roman" w:hAnsi="Times New Roman" w:cs="Times New Roman"/>
          <w:sz w:val="24"/>
          <w:szCs w:val="24"/>
          <w:lang w:val="en-GB"/>
        </w:rPr>
        <w:t xml:space="preserve"> during TMZ maintenance therapy to HLA-A*02:01</w:t>
      </w:r>
      <w:r w:rsidR="004302ED"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or -A*24:02</w:t>
      </w:r>
      <w:r w:rsidR="004302ED"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positive patients with newly diagnosed GB following gross total resection and standard chemoradiotherapy with TMZ (</w:t>
      </w:r>
      <w:r w:rsidR="006E316B" w:rsidRPr="0040743B">
        <w:rPr>
          <w:rFonts w:ascii="Times New Roman" w:hAnsi="Times New Roman" w:cs="Times New Roman"/>
          <w:sz w:val="24"/>
          <w:szCs w:val="24"/>
          <w:lang w:val="en-GB"/>
        </w:rPr>
        <w:t xml:space="preserve">see </w:t>
      </w:r>
      <w:r w:rsidR="00BE2714"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 2b for a detailed vaccination schedule). </w:t>
      </w:r>
      <w:r w:rsidR="00EB138C" w:rsidRPr="0040743B">
        <w:rPr>
          <w:rFonts w:ascii="Times New Roman" w:hAnsi="Times New Roman" w:cs="Times New Roman"/>
          <w:sz w:val="24"/>
          <w:szCs w:val="24"/>
          <w:lang w:val="en-GB"/>
        </w:rPr>
        <w:t>GM-CSF (i.d.) and poly-ICLC (</w:t>
      </w:r>
      <w:proofErr w:type="spellStart"/>
      <w:r w:rsidR="00EB138C" w:rsidRPr="0040743B">
        <w:rPr>
          <w:rFonts w:ascii="Times New Roman" w:hAnsi="Times New Roman" w:cs="Times New Roman"/>
          <w:sz w:val="24"/>
          <w:szCs w:val="24"/>
          <w:lang w:val="en-GB"/>
        </w:rPr>
        <w:t>s.c.</w:t>
      </w:r>
      <w:proofErr w:type="spellEnd"/>
      <w:r w:rsidR="00EB138C" w:rsidRPr="0040743B">
        <w:rPr>
          <w:rFonts w:ascii="Times New Roman" w:hAnsi="Times New Roman" w:cs="Times New Roman"/>
          <w:sz w:val="24"/>
          <w:szCs w:val="24"/>
          <w:lang w:val="en-GB"/>
        </w:rPr>
        <w:t xml:space="preserve">) were co-applied as adjuvants and </w:t>
      </w:r>
      <w:r w:rsidRPr="0040743B">
        <w:rPr>
          <w:rFonts w:ascii="Times New Roman" w:hAnsi="Times New Roman" w:cs="Times New Roman"/>
          <w:sz w:val="24"/>
          <w:szCs w:val="24"/>
          <w:lang w:val="en-GB"/>
        </w:rPr>
        <w:t>may enhance immune responses in a synergistic fashion</w:t>
      </w:r>
      <w:r w:rsidR="00C4661B" w:rsidRPr="0040743B">
        <w:rPr>
          <w:rFonts w:ascii="Times New Roman" w:hAnsi="Times New Roman" w:cs="Times New Roman"/>
          <w:noProof/>
          <w:sz w:val="24"/>
          <w:szCs w:val="24"/>
          <w:vertAlign w:val="superscript"/>
          <w:lang w:val="en-GB"/>
        </w:rPr>
        <w:t>19</w:t>
      </w:r>
      <w:r w:rsidRPr="0040743B">
        <w:rPr>
          <w:rFonts w:ascii="Times New Roman" w:hAnsi="Times New Roman" w:cs="Times New Roman"/>
          <w:sz w:val="24"/>
          <w:szCs w:val="24"/>
          <w:lang w:val="en-GB"/>
        </w:rPr>
        <w:t xml:space="preserve">. Clinical trial authorization (NCT02149225) was obtained in five European countries based on a standardized drug definition and GMP manufacturing process, </w:t>
      </w:r>
      <w:r w:rsidR="00270C95" w:rsidRPr="0040743B">
        <w:rPr>
          <w:rFonts w:ascii="Times New Roman" w:hAnsi="Times New Roman" w:cs="Times New Roman"/>
          <w:sz w:val="24"/>
          <w:szCs w:val="24"/>
          <w:lang w:val="en-GB"/>
        </w:rPr>
        <w:t>leading to</w:t>
      </w:r>
      <w:r w:rsidRPr="0040743B">
        <w:rPr>
          <w:rFonts w:ascii="Times New Roman" w:hAnsi="Times New Roman" w:cs="Times New Roman"/>
          <w:sz w:val="24"/>
          <w:szCs w:val="24"/>
          <w:lang w:val="en-GB"/>
        </w:rPr>
        <w:t xml:space="preserve"> variable vaccine compositions for each patient (E</w:t>
      </w:r>
      <w:r w:rsidR="00760DA5" w:rsidRPr="0040743B">
        <w:rPr>
          <w:rFonts w:ascii="Times New Roman" w:hAnsi="Times New Roman" w:cs="Times New Roman"/>
          <w:sz w:val="24"/>
          <w:szCs w:val="24"/>
          <w:lang w:val="en-GB"/>
        </w:rPr>
        <w:t xml:space="preserve">xtended Data </w:t>
      </w:r>
      <w:r w:rsidRPr="0040743B">
        <w:rPr>
          <w:rFonts w:ascii="Times New Roman" w:hAnsi="Times New Roman" w:cs="Times New Roman"/>
          <w:sz w:val="24"/>
          <w:szCs w:val="24"/>
          <w:lang w:val="en-GB"/>
        </w:rPr>
        <w:t>Fig. 9</w:t>
      </w:r>
      <w:r w:rsidR="00EB4819" w:rsidRPr="0040743B">
        <w:rPr>
          <w:rFonts w:ascii="Times New Roman" w:hAnsi="Times New Roman" w:cs="Times New Roman"/>
          <w:sz w:val="24"/>
          <w:szCs w:val="24"/>
          <w:lang w:val="en-GB"/>
        </w:rPr>
        <w:t>c</w:t>
      </w:r>
      <w:r w:rsidRPr="0040743B">
        <w:rPr>
          <w:rFonts w:ascii="Times New Roman" w:hAnsi="Times New Roman" w:cs="Times New Roman"/>
          <w:sz w:val="24"/>
          <w:szCs w:val="24"/>
          <w:lang w:val="en-GB"/>
        </w:rPr>
        <w:t>)</w:t>
      </w:r>
      <w:r w:rsidR="000C5C44" w:rsidRPr="0040743B">
        <w:rPr>
          <w:rFonts w:ascii="Times New Roman" w:hAnsi="Times New Roman" w:cs="Times New Roman"/>
          <w:sz w:val="24"/>
          <w:szCs w:val="24"/>
          <w:lang w:val="en-GB"/>
        </w:rPr>
        <w:t xml:space="preserve"> and </w:t>
      </w:r>
      <w:r w:rsidRPr="0040743B">
        <w:rPr>
          <w:rFonts w:ascii="Times New Roman" w:hAnsi="Times New Roman" w:cs="Times New Roman"/>
          <w:sz w:val="24"/>
          <w:szCs w:val="24"/>
          <w:lang w:val="en-GB"/>
        </w:rPr>
        <w:t>potentially serving as a model for future trials.</w:t>
      </w:r>
    </w:p>
    <w:p w14:paraId="4186DD0E" w14:textId="315CEE61" w:rsidR="00D727CA" w:rsidRPr="0040743B" w:rsidRDefault="00F9485C">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Primary endpoints were safety, tolerability</w:t>
      </w:r>
      <w:r w:rsidR="00D45F0D"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immunogenicity</w:t>
      </w:r>
      <w:r w:rsidR="00D45F0D"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and operational feasibility of the </w:t>
      </w:r>
      <w:r w:rsidR="000C60B7" w:rsidRPr="0040743B">
        <w:rPr>
          <w:rFonts w:ascii="Times New Roman" w:hAnsi="Times New Roman" w:cs="Times New Roman"/>
          <w:sz w:val="24"/>
          <w:szCs w:val="24"/>
          <w:lang w:val="en-GB"/>
        </w:rPr>
        <w:t>concept</w:t>
      </w:r>
      <w:r w:rsidRPr="0040743B">
        <w:rPr>
          <w:rFonts w:ascii="Times New Roman" w:hAnsi="Times New Roman" w:cs="Times New Roman"/>
          <w:sz w:val="24"/>
          <w:szCs w:val="24"/>
          <w:lang w:val="en-GB"/>
        </w:rPr>
        <w:t>. Of 58 screened patients (</w:t>
      </w:r>
      <w:r w:rsidR="000C60B7"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 2e), 33 failed eligibility criteria and nine were not enrolled due to limited GMP production capacity (1-2 patients </w:t>
      </w:r>
      <w:r w:rsidR="00575A1F"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month). Sixteen patients were</w:t>
      </w:r>
      <w:r w:rsidR="004E3484"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enrolled </w:t>
      </w:r>
      <w:r w:rsidR="00392F1B" w:rsidRPr="0040743B">
        <w:rPr>
          <w:rFonts w:ascii="Times New Roman" w:hAnsi="Times New Roman" w:cs="Times New Roman"/>
          <w:sz w:val="24"/>
          <w:szCs w:val="24"/>
          <w:lang w:val="en-GB"/>
        </w:rPr>
        <w:t>before entering</w:t>
      </w:r>
      <w:r w:rsidRPr="0040743B">
        <w:rPr>
          <w:rFonts w:ascii="Times New Roman" w:hAnsi="Times New Roman" w:cs="Times New Roman"/>
          <w:sz w:val="24"/>
          <w:szCs w:val="24"/>
          <w:lang w:val="en-GB"/>
        </w:rPr>
        <w:t xml:space="preserve"> chemoradiotherapy. Baseline characteristics of the</w:t>
      </w:r>
      <w:r w:rsidR="00616B2C" w:rsidRPr="0040743B">
        <w:rPr>
          <w:rFonts w:ascii="Times New Roman" w:hAnsi="Times New Roman" w:cs="Times New Roman"/>
          <w:sz w:val="24"/>
          <w:szCs w:val="24"/>
          <w:lang w:val="en-GB"/>
        </w:rPr>
        <w:t>se</w:t>
      </w:r>
      <w:r w:rsidRPr="0040743B">
        <w:rPr>
          <w:rFonts w:ascii="Times New Roman" w:hAnsi="Times New Roman" w:cs="Times New Roman"/>
          <w:sz w:val="24"/>
          <w:szCs w:val="24"/>
          <w:lang w:val="en-GB"/>
        </w:rPr>
        <w:t xml:space="preserve"> patients reflect a standard GB patient population (Table 1</w:t>
      </w:r>
      <w:r w:rsidRPr="0040743B">
        <w:rPr>
          <w:rFonts w:ascii="Times New Roman" w:hAnsi="Times New Roman" w:cs="Times New Roman"/>
          <w:bCs/>
          <w:sz w:val="24"/>
          <w:szCs w:val="24"/>
          <w:lang w:val="en-GB"/>
        </w:rPr>
        <w:t>)</w:t>
      </w:r>
      <w:r w:rsidRPr="0040743B">
        <w:rPr>
          <w:rFonts w:ascii="Times New Roman" w:hAnsi="Times New Roman" w:cs="Times New Roman"/>
          <w:sz w:val="24"/>
          <w:szCs w:val="24"/>
          <w:lang w:val="en-GB"/>
        </w:rPr>
        <w:t xml:space="preserve">. Fifteen patients received APVAC1 </w:t>
      </w:r>
      <w:r w:rsidR="007420AE"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median</w:t>
      </w:r>
      <w:r w:rsidR="003A2C7D"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12 applications)</w:t>
      </w:r>
      <w:r w:rsidR="00E17800" w:rsidRPr="0040743B">
        <w:rPr>
          <w:rFonts w:ascii="Times New Roman" w:hAnsi="Times New Roman" w:cs="Times New Roman"/>
          <w:sz w:val="24"/>
          <w:szCs w:val="24"/>
          <w:lang w:val="en-GB"/>
        </w:rPr>
        <w:t xml:space="preserve"> </w:t>
      </w:r>
      <w:r w:rsidR="00807859" w:rsidRPr="0040743B">
        <w:rPr>
          <w:rFonts w:ascii="Times New Roman" w:hAnsi="Times New Roman" w:cs="Times New Roman"/>
          <w:sz w:val="24"/>
          <w:szCs w:val="24"/>
          <w:lang w:val="en-GB"/>
        </w:rPr>
        <w:t>and</w:t>
      </w:r>
      <w:r w:rsidRPr="0040743B">
        <w:rPr>
          <w:rFonts w:ascii="Times New Roman" w:hAnsi="Times New Roman" w:cs="Times New Roman"/>
          <w:sz w:val="24"/>
          <w:szCs w:val="24"/>
          <w:lang w:val="en-GB"/>
        </w:rPr>
        <w:t xml:space="preserve"> </w:t>
      </w:r>
      <w:r w:rsidR="00E17800" w:rsidRPr="0040743B">
        <w:rPr>
          <w:rFonts w:ascii="Times New Roman" w:hAnsi="Times New Roman" w:cs="Times New Roman"/>
          <w:sz w:val="24"/>
          <w:szCs w:val="24"/>
          <w:lang w:val="en-GB"/>
        </w:rPr>
        <w:t>e</w:t>
      </w:r>
      <w:r w:rsidRPr="0040743B">
        <w:rPr>
          <w:rFonts w:ascii="Times New Roman" w:hAnsi="Times New Roman" w:cs="Times New Roman"/>
          <w:sz w:val="24"/>
          <w:szCs w:val="24"/>
          <w:lang w:val="en-GB"/>
        </w:rPr>
        <w:t xml:space="preserve">leven patients received APVAC2 </w:t>
      </w:r>
      <w:r w:rsidR="00FF3FE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median</w:t>
      </w:r>
      <w:r w:rsidR="003A2C7D"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10 applications</w:t>
      </w:r>
      <w:r w:rsidR="00E17800" w:rsidRPr="0040743B">
        <w:rPr>
          <w:rFonts w:ascii="Times New Roman" w:hAnsi="Times New Roman" w:cs="Times New Roman"/>
          <w:sz w:val="24"/>
          <w:szCs w:val="24"/>
          <w:lang w:val="en-GB"/>
        </w:rPr>
        <w:t>; Extended Data Fig. 2c</w:t>
      </w:r>
      <w:r w:rsidR="00765C13"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t>
      </w:r>
    </w:p>
    <w:p w14:paraId="5C34734E" w14:textId="7359FF86" w:rsidR="00BC5E51" w:rsidRPr="0040743B" w:rsidRDefault="00F9485C" w:rsidP="00BC5E51">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All vaccinated patients experienced study drug-related adverse events (</w:t>
      </w:r>
      <w:r w:rsidR="00C61B13" w:rsidRPr="0040743B">
        <w:rPr>
          <w:rFonts w:ascii="Times New Roman" w:hAnsi="Times New Roman" w:cs="Times New Roman"/>
          <w:sz w:val="24"/>
          <w:szCs w:val="24"/>
          <w:lang w:val="en-GB"/>
        </w:rPr>
        <w:t xml:space="preserve">AE; </w:t>
      </w:r>
      <w:r w:rsidRPr="0040743B">
        <w:rPr>
          <w:rFonts w:ascii="Times New Roman" w:hAnsi="Times New Roman" w:cs="Times New Roman"/>
          <w:sz w:val="24"/>
          <w:szCs w:val="24"/>
          <w:lang w:val="en-GB"/>
        </w:rPr>
        <w:t>Suppl</w:t>
      </w:r>
      <w:r w:rsidR="00D13B33" w:rsidRPr="0040743B">
        <w:rPr>
          <w:rFonts w:ascii="Times New Roman" w:hAnsi="Times New Roman" w:cs="Times New Roman"/>
          <w:sz w:val="24"/>
          <w:szCs w:val="24"/>
          <w:lang w:val="en-GB"/>
        </w:rPr>
        <w:t>ementary</w:t>
      </w:r>
      <w:r w:rsidRPr="0040743B">
        <w:rPr>
          <w:rFonts w:ascii="Times New Roman" w:hAnsi="Times New Roman" w:cs="Times New Roman"/>
          <w:sz w:val="24"/>
          <w:szCs w:val="24"/>
          <w:lang w:val="en-GB"/>
        </w:rPr>
        <w:t xml:space="preserve"> Table 5) within expectations. </w:t>
      </w:r>
      <w:r w:rsidR="00A436D8" w:rsidRPr="0040743B">
        <w:rPr>
          <w:rFonts w:ascii="Times New Roman" w:hAnsi="Times New Roman" w:cs="Times New Roman"/>
          <w:sz w:val="24"/>
          <w:szCs w:val="24"/>
          <w:lang w:val="en-GB"/>
        </w:rPr>
        <w:t>Mild to moderate i</w:t>
      </w:r>
      <w:r w:rsidRPr="0040743B">
        <w:rPr>
          <w:rFonts w:ascii="Times New Roman" w:hAnsi="Times New Roman" w:cs="Times New Roman"/>
          <w:sz w:val="24"/>
          <w:szCs w:val="24"/>
          <w:lang w:val="en-GB"/>
        </w:rPr>
        <w:t>njection site disorders</w:t>
      </w:r>
      <w:r w:rsidR="00A436D8"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were most frequent</w:t>
      </w:r>
      <w:r w:rsidR="00D82931"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consistent with the expected mechanism of action of the </w:t>
      </w:r>
      <w:r w:rsidR="00D82931" w:rsidRPr="0040743B">
        <w:rPr>
          <w:rFonts w:ascii="Times New Roman" w:hAnsi="Times New Roman" w:cs="Times New Roman"/>
          <w:sz w:val="24"/>
          <w:szCs w:val="24"/>
          <w:lang w:val="en-GB"/>
        </w:rPr>
        <w:t>vaccinations</w:t>
      </w:r>
      <w:r w:rsidRPr="0040743B">
        <w:rPr>
          <w:rFonts w:ascii="Times New Roman" w:hAnsi="Times New Roman" w:cs="Times New Roman"/>
          <w:sz w:val="24"/>
          <w:szCs w:val="24"/>
          <w:lang w:val="en-GB"/>
        </w:rPr>
        <w:t xml:space="preserve">. Eleven patients experienced </w:t>
      </w:r>
      <w:r w:rsidR="0007746F" w:rsidRPr="0040743B">
        <w:rPr>
          <w:rFonts w:ascii="Times New Roman" w:hAnsi="Times New Roman" w:cs="Times New Roman"/>
          <w:sz w:val="24"/>
          <w:szCs w:val="24"/>
          <w:lang w:val="en-GB"/>
        </w:rPr>
        <w:t xml:space="preserve">AE ≥ </w:t>
      </w:r>
      <w:r w:rsidR="00D82931" w:rsidRPr="0040743B">
        <w:rPr>
          <w:rFonts w:ascii="Times New Roman" w:hAnsi="Times New Roman" w:cs="Times New Roman"/>
          <w:sz w:val="24"/>
          <w:szCs w:val="24"/>
          <w:lang w:val="en-GB"/>
        </w:rPr>
        <w:t>grade</w:t>
      </w:r>
      <w:r w:rsidR="009A48BD" w:rsidRPr="0040743B">
        <w:rPr>
          <w:rFonts w:ascii="Times New Roman" w:hAnsi="Times New Roman" w:cs="Times New Roman"/>
          <w:sz w:val="24"/>
          <w:szCs w:val="24"/>
          <w:lang w:val="en-GB"/>
        </w:rPr>
        <w:t xml:space="preserve"> </w:t>
      </w:r>
      <w:r w:rsidR="00D82931" w:rsidRPr="0040743B">
        <w:rPr>
          <w:rFonts w:ascii="Times New Roman" w:hAnsi="Times New Roman" w:cs="Times New Roman"/>
          <w:sz w:val="24"/>
          <w:szCs w:val="24"/>
          <w:lang w:val="en-GB"/>
        </w:rPr>
        <w:t>3</w:t>
      </w:r>
      <w:r w:rsidRPr="0040743B">
        <w:rPr>
          <w:rFonts w:ascii="Times New Roman" w:hAnsi="Times New Roman" w:cs="Times New Roman"/>
          <w:sz w:val="24"/>
          <w:szCs w:val="24"/>
          <w:lang w:val="en-GB"/>
        </w:rPr>
        <w:t xml:space="preserve">, mainly bone marrow suppression, frequently observed in patients undergoing chemoradiotherapy with TMZ. Two patients experienced an anaphylactic reaction after receiving </w:t>
      </w:r>
      <w:r w:rsidRPr="0040743B">
        <w:rPr>
          <w:rFonts w:ascii="Times New Roman" w:hAnsi="Times New Roman" w:cs="Times New Roman"/>
          <w:sz w:val="24"/>
          <w:szCs w:val="24"/>
          <w:lang w:val="en-GB"/>
        </w:rPr>
        <w:lastRenderedPageBreak/>
        <w:t>vaccinations, potentially related to repeated application of GM-CSF</w:t>
      </w:r>
      <w:r w:rsidR="00C4661B" w:rsidRPr="0040743B">
        <w:rPr>
          <w:rFonts w:ascii="Times New Roman" w:hAnsi="Times New Roman" w:cs="Times New Roman"/>
          <w:noProof/>
          <w:sz w:val="24"/>
          <w:szCs w:val="24"/>
          <w:vertAlign w:val="superscript"/>
        </w:rPr>
        <w:t>20</w:t>
      </w:r>
      <w:r w:rsidRPr="0040743B">
        <w:rPr>
          <w:rFonts w:ascii="Times New Roman" w:hAnsi="Times New Roman" w:cs="Times New Roman"/>
          <w:sz w:val="24"/>
          <w:szCs w:val="24"/>
          <w:lang w:val="en-GB"/>
        </w:rPr>
        <w:t xml:space="preserve">. Patient 09 required high-dose steroid treatment due to potentially immune-associated </w:t>
      </w:r>
      <w:r w:rsidR="001204AD" w:rsidRPr="0040743B">
        <w:rPr>
          <w:rFonts w:ascii="Times New Roman" w:hAnsi="Times New Roman" w:cs="Times New Roman"/>
          <w:sz w:val="24"/>
          <w:szCs w:val="24"/>
          <w:lang w:val="en-GB"/>
        </w:rPr>
        <w:t xml:space="preserve">grade 3 </w:t>
      </w:r>
      <w:r w:rsidRPr="0040743B">
        <w:rPr>
          <w:rFonts w:ascii="Times New Roman" w:hAnsi="Times New Roman" w:cs="Times New Roman"/>
          <w:sz w:val="24"/>
          <w:szCs w:val="24"/>
          <w:lang w:val="en-GB"/>
        </w:rPr>
        <w:t>brain oedema.</w:t>
      </w:r>
    </w:p>
    <w:p w14:paraId="4186DD11" w14:textId="67F64E1F" w:rsidR="00D727CA" w:rsidRPr="0040743B" w:rsidRDefault="00F9485C" w:rsidP="00BC5E51">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i/>
          <w:iCs/>
          <w:sz w:val="24"/>
          <w:szCs w:val="24"/>
          <w:lang w:val="en-GB"/>
        </w:rPr>
        <w:t>Ex vivo</w:t>
      </w:r>
      <w:r w:rsidRPr="0040743B">
        <w:rPr>
          <w:rFonts w:ascii="Times New Roman" w:hAnsi="Times New Roman" w:cs="Times New Roman"/>
          <w:sz w:val="24"/>
          <w:szCs w:val="24"/>
          <w:lang w:val="en-GB"/>
        </w:rPr>
        <w:t xml:space="preserve"> multimer analysis revealed </w:t>
      </w:r>
      <w:r w:rsidR="00D85297" w:rsidRPr="0040743B">
        <w:rPr>
          <w:rFonts w:ascii="Times New Roman" w:hAnsi="Times New Roman" w:cs="Times New Roman"/>
          <w:sz w:val="24"/>
          <w:szCs w:val="24"/>
          <w:lang w:val="en-GB"/>
        </w:rPr>
        <w:t>vaccine-induced CD8</w:t>
      </w:r>
      <w:r w:rsidR="00D85297" w:rsidRPr="0040743B">
        <w:rPr>
          <w:rFonts w:ascii="Times New Roman" w:hAnsi="Times New Roman" w:cs="Times New Roman"/>
          <w:sz w:val="24"/>
          <w:szCs w:val="24"/>
          <w:vertAlign w:val="superscript"/>
          <w:lang w:val="en-GB"/>
        </w:rPr>
        <w:t>+</w:t>
      </w:r>
      <w:r w:rsidR="00D85297" w:rsidRPr="0040743B">
        <w:rPr>
          <w:rFonts w:ascii="Times New Roman" w:hAnsi="Times New Roman" w:cs="Times New Roman"/>
          <w:sz w:val="24"/>
          <w:szCs w:val="24"/>
          <w:lang w:val="en-GB"/>
        </w:rPr>
        <w:t xml:space="preserve"> T-cell responses to at least one APVAC1 HLA class I peptide in</w:t>
      </w:r>
      <w:r w:rsidRPr="0040743B">
        <w:rPr>
          <w:rFonts w:ascii="Times New Roman" w:hAnsi="Times New Roman" w:cs="Times New Roman"/>
          <w:sz w:val="24"/>
          <w:szCs w:val="24"/>
          <w:lang w:val="en-GB"/>
        </w:rPr>
        <w:t xml:space="preserve"> 12 out of 13 patients (92.3%</w:t>
      </w:r>
      <w:r w:rsidR="00D85297"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median</w:t>
      </w:r>
      <w:r w:rsidR="00740F92" w:rsidRPr="0040743B">
        <w:rPr>
          <w:rFonts w:ascii="Times New Roman" w:hAnsi="Times New Roman" w:cs="Times New Roman"/>
          <w:sz w:val="24"/>
          <w:szCs w:val="24"/>
          <w:lang w:val="en-GB"/>
        </w:rPr>
        <w:t xml:space="preserve">: 3 </w:t>
      </w:r>
      <w:r w:rsidRPr="0040743B">
        <w:rPr>
          <w:rFonts w:ascii="Times New Roman" w:hAnsi="Times New Roman" w:cs="Times New Roman"/>
          <w:sz w:val="24"/>
          <w:szCs w:val="24"/>
          <w:lang w:val="en-GB"/>
        </w:rPr>
        <w:t>responses</w:t>
      </w:r>
      <w:r w:rsidR="00E7109E"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Fig. 2a). </w:t>
      </w:r>
      <w:r w:rsidR="00034B63" w:rsidRPr="0040743B">
        <w:rPr>
          <w:rFonts w:ascii="Times New Roman" w:hAnsi="Times New Roman" w:cs="Times New Roman"/>
          <w:sz w:val="24"/>
          <w:szCs w:val="24"/>
          <w:lang w:val="en-GB"/>
        </w:rPr>
        <w:t>These</w:t>
      </w:r>
      <w:r w:rsidRPr="0040743B">
        <w:rPr>
          <w:rFonts w:ascii="Times New Roman" w:hAnsi="Times New Roman" w:cs="Times New Roman"/>
          <w:sz w:val="24"/>
          <w:szCs w:val="24"/>
          <w:lang w:val="en-GB"/>
        </w:rPr>
        <w:t xml:space="preserve"> responses persisted </w:t>
      </w:r>
      <w:r w:rsidR="00E7109E" w:rsidRPr="0040743B">
        <w:rPr>
          <w:rFonts w:ascii="Times New Roman" w:hAnsi="Times New Roman" w:cs="Times New Roman"/>
          <w:sz w:val="24"/>
          <w:szCs w:val="24"/>
          <w:lang w:val="en-GB"/>
        </w:rPr>
        <w:t>usually</w:t>
      </w:r>
      <w:r w:rsidRPr="0040743B">
        <w:rPr>
          <w:rFonts w:ascii="Times New Roman" w:hAnsi="Times New Roman" w:cs="Times New Roman"/>
          <w:sz w:val="24"/>
          <w:szCs w:val="24"/>
          <w:lang w:val="en-GB"/>
        </w:rPr>
        <w:t xml:space="preserve"> for several months. Presence of specific precursor T cells in the patients’ blood was a strong selection criterion for APVAC1. </w:t>
      </w:r>
      <w:r w:rsidR="00AC11D8" w:rsidRPr="0040743B">
        <w:rPr>
          <w:rFonts w:ascii="Times New Roman" w:hAnsi="Times New Roman" w:cs="Times New Roman"/>
          <w:sz w:val="24"/>
          <w:szCs w:val="24"/>
          <w:lang w:val="en-GB"/>
        </w:rPr>
        <w:t xml:space="preserve">Consequently, </w:t>
      </w:r>
      <w:r w:rsidRPr="0040743B">
        <w:rPr>
          <w:rFonts w:ascii="Times New Roman" w:hAnsi="Times New Roman" w:cs="Times New Roman"/>
          <w:sz w:val="24"/>
          <w:szCs w:val="24"/>
          <w:lang w:val="en-GB"/>
        </w:rPr>
        <w:t>APVAC1-reactive T cells were frequently observed</w:t>
      </w:r>
      <w:r w:rsidR="00705FD8" w:rsidRPr="0040743B">
        <w:rPr>
          <w:rFonts w:ascii="Times New Roman" w:hAnsi="Times New Roman" w:cs="Times New Roman"/>
          <w:sz w:val="24"/>
          <w:szCs w:val="24"/>
          <w:lang w:val="en-GB"/>
        </w:rPr>
        <w:t xml:space="preserve"> pre-vaccination</w:t>
      </w:r>
      <w:r w:rsidRPr="0040743B">
        <w:rPr>
          <w:rFonts w:ascii="Times New Roman" w:hAnsi="Times New Roman" w:cs="Times New Roman"/>
          <w:sz w:val="24"/>
          <w:szCs w:val="24"/>
          <w:lang w:val="en-GB"/>
        </w:rPr>
        <w:t xml:space="preserve">, usually at low frequency and of naïve phenotype. After vaccination, APVAC1-specific T cells shifted to a memory phenotype and in most cases </w:t>
      </w:r>
      <w:r w:rsidR="00AC11D8" w:rsidRPr="0040743B">
        <w:rPr>
          <w:rFonts w:ascii="Times New Roman" w:hAnsi="Times New Roman" w:cs="Times New Roman"/>
          <w:sz w:val="24"/>
          <w:szCs w:val="24"/>
          <w:lang w:val="en-GB"/>
        </w:rPr>
        <w:t>showed increased</w:t>
      </w:r>
      <w:r w:rsidRPr="0040743B">
        <w:rPr>
          <w:rFonts w:ascii="Times New Roman" w:hAnsi="Times New Roman" w:cs="Times New Roman"/>
          <w:sz w:val="24"/>
          <w:szCs w:val="24"/>
          <w:lang w:val="en-GB"/>
        </w:rPr>
        <w:t xml:space="preserve"> frequenc</w:t>
      </w:r>
      <w:r w:rsidR="00AC11D8" w:rsidRPr="0040743B">
        <w:rPr>
          <w:rFonts w:ascii="Times New Roman" w:hAnsi="Times New Roman" w:cs="Times New Roman"/>
          <w:sz w:val="24"/>
          <w:szCs w:val="24"/>
          <w:lang w:val="en-GB"/>
        </w:rPr>
        <w:t>y</w:t>
      </w:r>
      <w:r w:rsidRPr="0040743B">
        <w:rPr>
          <w:rFonts w:ascii="Times New Roman" w:hAnsi="Times New Roman" w:cs="Times New Roman"/>
          <w:sz w:val="24"/>
          <w:szCs w:val="24"/>
          <w:lang w:val="en-GB"/>
        </w:rPr>
        <w:t xml:space="preserve"> (Fig. 2b). </w:t>
      </w:r>
      <w:r w:rsidR="00346B5C" w:rsidRPr="0040743B">
        <w:rPr>
          <w:rFonts w:ascii="Times New Roman" w:hAnsi="Times New Roman" w:cs="Times New Roman"/>
          <w:sz w:val="24"/>
          <w:szCs w:val="24"/>
          <w:lang w:val="en-GB"/>
        </w:rPr>
        <w:t>For single specificities, t</w:t>
      </w:r>
      <w:r w:rsidRPr="0040743B">
        <w:rPr>
          <w:rFonts w:ascii="Times New Roman" w:hAnsi="Times New Roman" w:cs="Times New Roman"/>
          <w:sz w:val="24"/>
          <w:szCs w:val="24"/>
          <w:lang w:val="en-GB"/>
        </w:rPr>
        <w:t xml:space="preserve">he magnitude </w:t>
      </w:r>
      <w:r w:rsidR="00F41D22" w:rsidRPr="0040743B">
        <w:rPr>
          <w:rFonts w:ascii="Times New Roman" w:hAnsi="Times New Roman" w:cs="Times New Roman"/>
          <w:sz w:val="24"/>
          <w:szCs w:val="24"/>
          <w:lang w:val="en-GB"/>
        </w:rPr>
        <w:t xml:space="preserve">of </w:t>
      </w:r>
      <w:r w:rsidRPr="0040743B">
        <w:rPr>
          <w:rFonts w:ascii="Times New Roman" w:hAnsi="Times New Roman" w:cs="Times New Roman"/>
          <w:i/>
          <w:iCs/>
          <w:sz w:val="24"/>
          <w:szCs w:val="24"/>
          <w:lang w:val="en-GB"/>
        </w:rPr>
        <w:t>ex vivo</w:t>
      </w:r>
      <w:r w:rsidRPr="0040743B">
        <w:rPr>
          <w:rFonts w:ascii="Times New Roman" w:hAnsi="Times New Roman" w:cs="Times New Roman"/>
          <w:sz w:val="24"/>
          <w:szCs w:val="24"/>
          <w:lang w:val="en-GB"/>
        </w:rPr>
        <w:t xml:space="preserve"> measured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was up to 0.02% of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Increase in </w:t>
      </w:r>
      <w:r w:rsidR="00F5062C" w:rsidRPr="0040743B">
        <w:rPr>
          <w:rFonts w:ascii="Times New Roman" w:hAnsi="Times New Roman" w:cs="Times New Roman"/>
          <w:sz w:val="24"/>
          <w:szCs w:val="24"/>
          <w:lang w:val="en-GB"/>
        </w:rPr>
        <w:t>P</w:t>
      </w:r>
      <w:r w:rsidR="00B5518C" w:rsidRPr="0040743B">
        <w:rPr>
          <w:rFonts w:ascii="Times New Roman" w:hAnsi="Times New Roman" w:cs="Times New Roman"/>
          <w:sz w:val="24"/>
          <w:szCs w:val="24"/>
          <w:lang w:val="en-GB"/>
        </w:rPr>
        <w:t xml:space="preserve">rogrammed </w:t>
      </w:r>
      <w:r w:rsidR="00F5062C" w:rsidRPr="0040743B">
        <w:rPr>
          <w:rFonts w:ascii="Times New Roman" w:hAnsi="Times New Roman" w:cs="Times New Roman"/>
          <w:sz w:val="24"/>
          <w:szCs w:val="24"/>
          <w:lang w:val="en-GB"/>
        </w:rPr>
        <w:t>C</w:t>
      </w:r>
      <w:r w:rsidR="00B5518C" w:rsidRPr="0040743B">
        <w:rPr>
          <w:rFonts w:ascii="Times New Roman" w:hAnsi="Times New Roman" w:cs="Times New Roman"/>
          <w:sz w:val="24"/>
          <w:szCs w:val="24"/>
          <w:lang w:val="en-GB"/>
        </w:rPr>
        <w:t xml:space="preserve">ell </w:t>
      </w:r>
      <w:r w:rsidR="00F5062C" w:rsidRPr="0040743B">
        <w:rPr>
          <w:rFonts w:ascii="Times New Roman" w:hAnsi="Times New Roman" w:cs="Times New Roman"/>
          <w:sz w:val="24"/>
          <w:szCs w:val="24"/>
          <w:lang w:val="en-GB"/>
        </w:rPr>
        <w:t>D</w:t>
      </w:r>
      <w:r w:rsidR="00B5518C" w:rsidRPr="0040743B">
        <w:rPr>
          <w:rFonts w:ascii="Times New Roman" w:hAnsi="Times New Roman" w:cs="Times New Roman"/>
          <w:sz w:val="24"/>
          <w:szCs w:val="24"/>
          <w:lang w:val="en-GB"/>
        </w:rPr>
        <w:t xml:space="preserve">eath </w:t>
      </w:r>
      <w:r w:rsidR="00F5062C" w:rsidRPr="0040743B">
        <w:rPr>
          <w:rFonts w:ascii="Times New Roman" w:hAnsi="Times New Roman" w:cs="Times New Roman"/>
          <w:sz w:val="24"/>
          <w:szCs w:val="24"/>
          <w:lang w:val="en-GB"/>
        </w:rPr>
        <w:t>P</w:t>
      </w:r>
      <w:r w:rsidR="00B5518C" w:rsidRPr="0040743B">
        <w:rPr>
          <w:rFonts w:ascii="Times New Roman" w:hAnsi="Times New Roman" w:cs="Times New Roman"/>
          <w:sz w:val="24"/>
          <w:szCs w:val="24"/>
          <w:lang w:val="en-GB"/>
        </w:rPr>
        <w:t>rotein 1 (</w:t>
      </w:r>
      <w:r w:rsidRPr="0040743B">
        <w:rPr>
          <w:rFonts w:ascii="Times New Roman" w:hAnsi="Times New Roman" w:cs="Times New Roman"/>
          <w:sz w:val="24"/>
          <w:szCs w:val="24"/>
          <w:lang w:val="en-GB"/>
        </w:rPr>
        <w:t>PD-1</w:t>
      </w:r>
      <w:r w:rsidR="00B5518C"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expression</w:t>
      </w:r>
      <w:r w:rsidR="000B44CA"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was </w:t>
      </w:r>
      <w:r w:rsidR="000B44CA" w:rsidRPr="0040743B">
        <w:rPr>
          <w:rFonts w:ascii="Times New Roman" w:hAnsi="Times New Roman" w:cs="Times New Roman"/>
          <w:sz w:val="24"/>
          <w:szCs w:val="24"/>
          <w:lang w:val="en-GB"/>
        </w:rPr>
        <w:t>low to</w:t>
      </w:r>
      <w:r w:rsidRPr="0040743B">
        <w:rPr>
          <w:rFonts w:ascii="Times New Roman" w:hAnsi="Times New Roman" w:cs="Times New Roman"/>
          <w:sz w:val="24"/>
          <w:szCs w:val="24"/>
          <w:lang w:val="en-GB"/>
        </w:rPr>
        <w:t xml:space="preserve"> moderate, not indicative of T-cell exhaustion (</w:t>
      </w:r>
      <w:r w:rsidR="002E50D9"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w:t>
      </w:r>
      <w:r w:rsidR="002E50D9"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3a</w:t>
      </w:r>
      <w:r w:rsidR="00D1285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b). In total, 45 of 87 (51.7%) vaccinated</w:t>
      </w:r>
      <w:r w:rsidR="00750ECA"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immune-evaluable APVAC1 peptides were immunogenic (Fig</w:t>
      </w:r>
      <w:r w:rsidR="0066431D"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2a</w:t>
      </w:r>
      <w:r w:rsidR="00A53D14" w:rsidRPr="0040743B">
        <w:rPr>
          <w:rFonts w:ascii="Times New Roman" w:hAnsi="Times New Roman" w:cs="Times New Roman"/>
          <w:sz w:val="24"/>
          <w:szCs w:val="24"/>
          <w:lang w:val="en-GB"/>
        </w:rPr>
        <w:t xml:space="preserve">, </w:t>
      </w:r>
      <w:r w:rsidR="00453E39" w:rsidRPr="0040743B">
        <w:rPr>
          <w:rFonts w:ascii="Times New Roman" w:hAnsi="Times New Roman" w:cs="Times New Roman"/>
          <w:sz w:val="24"/>
          <w:szCs w:val="24"/>
          <w:lang w:val="en-GB"/>
        </w:rPr>
        <w:t>4</w:t>
      </w:r>
      <w:r w:rsidR="00D1285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Suppl</w:t>
      </w:r>
      <w:r w:rsidR="0037290B" w:rsidRPr="0040743B">
        <w:rPr>
          <w:rFonts w:ascii="Times New Roman" w:hAnsi="Times New Roman" w:cs="Times New Roman"/>
          <w:sz w:val="24"/>
          <w:szCs w:val="24"/>
          <w:lang w:val="en-GB"/>
        </w:rPr>
        <w:t>ementary</w:t>
      </w:r>
      <w:r w:rsidRPr="0040743B">
        <w:rPr>
          <w:rFonts w:ascii="Times New Roman" w:hAnsi="Times New Roman" w:cs="Times New Roman"/>
          <w:sz w:val="24"/>
          <w:szCs w:val="24"/>
          <w:lang w:val="en-GB"/>
        </w:rPr>
        <w:t xml:space="preserve"> Table 2).</w:t>
      </w:r>
    </w:p>
    <w:p w14:paraId="4186DD14" w14:textId="7E9F5747" w:rsidR="00D727CA" w:rsidRPr="0040743B" w:rsidRDefault="00F9485C">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APVAC1-</w:t>
      </w:r>
      <w:r w:rsidR="006915E9" w:rsidRPr="0040743B">
        <w:rPr>
          <w:rFonts w:ascii="Times New Roman" w:hAnsi="Times New Roman" w:cs="Times New Roman"/>
          <w:sz w:val="24"/>
          <w:szCs w:val="24"/>
          <w:lang w:val="en-GB"/>
        </w:rPr>
        <w:t>induced</w:t>
      </w:r>
      <w:r w:rsidRPr="0040743B">
        <w:rPr>
          <w:rFonts w:ascii="Times New Roman" w:hAnsi="Times New Roman" w:cs="Times New Roman"/>
          <w:sz w:val="24"/>
          <w:szCs w:val="24"/>
          <w:lang w:val="en-GB"/>
        </w:rPr>
        <w:t xml:space="preserve"> PTP-013-reactive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w:t>
      </w:r>
      <w:r w:rsidR="00BE4E51" w:rsidRPr="0040743B">
        <w:rPr>
          <w:rFonts w:ascii="Times New Roman" w:hAnsi="Times New Roman" w:cs="Times New Roman"/>
          <w:sz w:val="24"/>
          <w:szCs w:val="24"/>
          <w:lang w:val="en-GB"/>
        </w:rPr>
        <w:t>cloned from post-vaccination PBMC of patient 16</w:t>
      </w:r>
      <w:r w:rsidRPr="0040743B">
        <w:rPr>
          <w:rFonts w:ascii="Times New Roman" w:hAnsi="Times New Roman" w:cs="Times New Roman"/>
          <w:sz w:val="24"/>
          <w:szCs w:val="24"/>
          <w:lang w:val="en-GB"/>
        </w:rPr>
        <w:t xml:space="preserve"> </w:t>
      </w:r>
      <w:r w:rsidR="00D93BEC" w:rsidRPr="0040743B">
        <w:rPr>
          <w:rFonts w:ascii="Times New Roman" w:hAnsi="Times New Roman" w:cs="Times New Roman"/>
          <w:sz w:val="24"/>
          <w:szCs w:val="24"/>
          <w:lang w:val="en-GB"/>
        </w:rPr>
        <w:t xml:space="preserve">(‘PTP T cells’) </w:t>
      </w:r>
      <w:r w:rsidRPr="0040743B">
        <w:rPr>
          <w:rFonts w:ascii="Times New Roman" w:hAnsi="Times New Roman" w:cs="Times New Roman"/>
          <w:sz w:val="24"/>
          <w:szCs w:val="24"/>
          <w:lang w:val="en-GB"/>
        </w:rPr>
        <w:t xml:space="preserve">killed </w:t>
      </w:r>
      <w:r w:rsidR="007F0C4F" w:rsidRPr="0040743B">
        <w:rPr>
          <w:rFonts w:ascii="Times New Roman" w:hAnsi="Times New Roman" w:cs="Times New Roman"/>
          <w:sz w:val="24"/>
          <w:szCs w:val="24"/>
          <w:lang w:val="en-GB"/>
        </w:rPr>
        <w:t>peptide-</w:t>
      </w:r>
      <w:r w:rsidRPr="0040743B">
        <w:rPr>
          <w:rFonts w:ascii="Times New Roman" w:hAnsi="Times New Roman" w:cs="Times New Roman"/>
          <w:sz w:val="24"/>
          <w:szCs w:val="24"/>
          <w:lang w:val="en-GB"/>
        </w:rPr>
        <w:t xml:space="preserve">loaded target cells with high avidity (Fig. 2c; further avidity data </w:t>
      </w:r>
      <w:r w:rsidR="00A1375D" w:rsidRPr="0040743B">
        <w:rPr>
          <w:rFonts w:ascii="Times New Roman" w:hAnsi="Times New Roman" w:cs="Times New Roman"/>
          <w:sz w:val="24"/>
          <w:szCs w:val="24"/>
          <w:lang w:val="en-GB"/>
        </w:rPr>
        <w:t xml:space="preserve">in Extended Data </w:t>
      </w:r>
      <w:r w:rsidRPr="0040743B">
        <w:rPr>
          <w:rFonts w:ascii="Times New Roman" w:hAnsi="Times New Roman" w:cs="Times New Roman"/>
          <w:sz w:val="24"/>
          <w:szCs w:val="24"/>
          <w:lang w:val="en-GB"/>
        </w:rPr>
        <w:t>Fig. 3d). These T cells also lyse</w:t>
      </w:r>
      <w:r w:rsidR="0058767F" w:rsidRPr="0040743B">
        <w:rPr>
          <w:rFonts w:ascii="Times New Roman" w:hAnsi="Times New Roman" w:cs="Times New Roman"/>
          <w:sz w:val="24"/>
          <w:szCs w:val="24"/>
          <w:lang w:val="en-GB"/>
        </w:rPr>
        <w:t>d</w:t>
      </w:r>
      <w:r w:rsidRPr="0040743B">
        <w:rPr>
          <w:rFonts w:ascii="Times New Roman" w:hAnsi="Times New Roman" w:cs="Times New Roman"/>
          <w:sz w:val="24"/>
          <w:szCs w:val="24"/>
          <w:lang w:val="en-GB"/>
        </w:rPr>
        <w:t xml:space="preserve"> the GB cell line L2</w:t>
      </w:r>
      <w:r w:rsidR="00753A2F" w:rsidRPr="0040743B">
        <w:rPr>
          <w:rFonts w:ascii="Times New Roman" w:hAnsi="Times New Roman" w:cs="Times New Roman"/>
          <w:sz w:val="24"/>
          <w:szCs w:val="24"/>
          <w:lang w:val="en-GB"/>
        </w:rPr>
        <w:t xml:space="preserve"> (Fig. 2d)</w:t>
      </w:r>
      <w:r w:rsidRPr="0040743B">
        <w:rPr>
          <w:rFonts w:ascii="Times New Roman" w:hAnsi="Times New Roman" w:cs="Times New Roman"/>
          <w:sz w:val="24"/>
          <w:szCs w:val="24"/>
          <w:lang w:val="en-GB"/>
        </w:rPr>
        <w:t>, that endogenously expresses the source gene of PTP-013</w:t>
      </w:r>
      <w:r w:rsidR="0036498A" w:rsidRPr="0040743B">
        <w:rPr>
          <w:rFonts w:ascii="Times New Roman" w:hAnsi="Times New Roman" w:cs="Times New Roman"/>
          <w:sz w:val="24"/>
          <w:szCs w:val="24"/>
          <w:lang w:val="en-GB"/>
        </w:rPr>
        <w:t xml:space="preserve"> (PTPRZ1)</w:t>
      </w:r>
      <w:r w:rsidRPr="0040743B">
        <w:rPr>
          <w:rFonts w:ascii="Times New Roman" w:hAnsi="Times New Roman" w:cs="Times New Roman"/>
          <w:sz w:val="24"/>
          <w:szCs w:val="24"/>
          <w:lang w:val="en-GB"/>
        </w:rPr>
        <w:t>, demonstrating the functional capacities of APVAC1-induced T cells and the natural HLA-presentation of PTP-013. The dominant NLGN4X-001-specific T-cell receptor (TCR) from the same patient was cloned and re-expressed in healthy donor PBMC. T cells</w:t>
      </w:r>
      <w:r w:rsidR="008A5455" w:rsidRPr="0040743B">
        <w:rPr>
          <w:rFonts w:ascii="Times New Roman" w:hAnsi="Times New Roman" w:cs="Times New Roman"/>
          <w:sz w:val="24"/>
          <w:szCs w:val="24"/>
          <w:lang w:val="en-GB"/>
        </w:rPr>
        <w:t xml:space="preserve"> transfected with this TCR (‘NLGN4X T cells’)</w:t>
      </w:r>
      <w:r w:rsidRPr="0040743B">
        <w:rPr>
          <w:rFonts w:ascii="Times New Roman" w:hAnsi="Times New Roman" w:cs="Times New Roman"/>
          <w:sz w:val="24"/>
          <w:szCs w:val="24"/>
          <w:lang w:val="en-GB"/>
        </w:rPr>
        <w:t xml:space="preserve"> showed cytotoxic</w:t>
      </w:r>
      <w:r w:rsidR="00854DF9" w:rsidRPr="0040743B">
        <w:rPr>
          <w:rFonts w:ascii="Times New Roman" w:hAnsi="Times New Roman" w:cs="Times New Roman"/>
          <w:sz w:val="24"/>
          <w:szCs w:val="24"/>
          <w:lang w:val="en-GB"/>
        </w:rPr>
        <w:t>ity</w:t>
      </w:r>
      <w:r w:rsidRPr="0040743B">
        <w:rPr>
          <w:rFonts w:ascii="Times New Roman" w:hAnsi="Times New Roman" w:cs="Times New Roman"/>
          <w:sz w:val="24"/>
          <w:szCs w:val="24"/>
          <w:lang w:val="en-GB"/>
        </w:rPr>
        <w:t xml:space="preserve"> against the NLGN4X</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GB cell lines L2 (Fig. 2</w:t>
      </w:r>
      <w:r w:rsidR="00DD5EA8" w:rsidRPr="0040743B">
        <w:rPr>
          <w:rFonts w:ascii="Times New Roman" w:hAnsi="Times New Roman" w:cs="Times New Roman"/>
          <w:sz w:val="24"/>
          <w:szCs w:val="24"/>
          <w:lang w:val="en-GB"/>
        </w:rPr>
        <w:t>e</w:t>
      </w:r>
      <w:r w:rsidRPr="0040743B">
        <w:rPr>
          <w:rFonts w:ascii="Times New Roman" w:hAnsi="Times New Roman" w:cs="Times New Roman"/>
          <w:sz w:val="24"/>
          <w:szCs w:val="24"/>
          <w:lang w:val="en-GB"/>
        </w:rPr>
        <w:t>) and P2XX (</w:t>
      </w:r>
      <w:r w:rsidR="00DD5EA8"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 3e) while the NLGN4X</w:t>
      </w:r>
      <w:r w:rsidR="000F713B" w:rsidRPr="0040743B">
        <w:rPr>
          <w:rFonts w:ascii="Times New Roman" w:hAnsi="Times New Roman" w:cs="Times New Roman"/>
          <w:sz w:val="24"/>
          <w:szCs w:val="24"/>
          <w:vertAlign w:val="superscript"/>
          <w:lang w:val="en-GB"/>
        </w:rPr>
        <w:t>neg</w:t>
      </w:r>
      <w:r w:rsidRPr="0040743B">
        <w:rPr>
          <w:rFonts w:ascii="Times New Roman" w:hAnsi="Times New Roman" w:cs="Times New Roman"/>
          <w:sz w:val="24"/>
          <w:szCs w:val="24"/>
          <w:lang w:val="en-GB"/>
        </w:rPr>
        <w:t xml:space="preserve"> GB cell line U87MG was only killed after transfection with NLGN4X (</w:t>
      </w:r>
      <w:r w:rsidR="000F713B"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w:t>
      </w:r>
      <w:r w:rsidR="00523AE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3f</w:t>
      </w:r>
      <w:r w:rsidR="002C4A80" w:rsidRPr="0040743B">
        <w:rPr>
          <w:rFonts w:ascii="Times New Roman" w:hAnsi="Times New Roman" w:cs="Times New Roman"/>
          <w:sz w:val="24"/>
          <w:szCs w:val="24"/>
          <w:lang w:val="en-GB"/>
        </w:rPr>
        <w:t xml:space="preserve">; gene expression data for </w:t>
      </w:r>
      <w:r w:rsidR="0071390F" w:rsidRPr="0040743B">
        <w:rPr>
          <w:rFonts w:ascii="Times New Roman" w:hAnsi="Times New Roman" w:cs="Times New Roman"/>
          <w:sz w:val="24"/>
          <w:szCs w:val="24"/>
          <w:lang w:val="en-GB"/>
        </w:rPr>
        <w:t xml:space="preserve">used </w:t>
      </w:r>
      <w:r w:rsidR="002C4A80" w:rsidRPr="0040743B">
        <w:rPr>
          <w:rFonts w:ascii="Times New Roman" w:hAnsi="Times New Roman" w:cs="Times New Roman"/>
          <w:sz w:val="24"/>
          <w:szCs w:val="24"/>
          <w:lang w:val="en-GB"/>
        </w:rPr>
        <w:t>cell lines in Extended Fig. 3g</w:t>
      </w:r>
      <w:r w:rsidRPr="0040743B">
        <w:rPr>
          <w:rFonts w:ascii="Times New Roman" w:hAnsi="Times New Roman" w:cs="Times New Roman"/>
          <w:bCs/>
          <w:sz w:val="24"/>
          <w:szCs w:val="24"/>
          <w:lang w:val="en-GB"/>
        </w:rPr>
        <w:t>)</w:t>
      </w:r>
      <w:r w:rsidRPr="0040743B">
        <w:rPr>
          <w:rFonts w:ascii="Times New Roman" w:hAnsi="Times New Roman" w:cs="Times New Roman"/>
          <w:sz w:val="24"/>
          <w:szCs w:val="24"/>
          <w:lang w:val="en-GB"/>
        </w:rPr>
        <w:t>.</w:t>
      </w:r>
      <w:r w:rsidR="005D18C1"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lastRenderedPageBreak/>
        <w:t>Nine out of 13 patients (69.2%) showed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w:t>
      </w:r>
      <w:r w:rsidR="00E7790E" w:rsidRPr="0040743B">
        <w:rPr>
          <w:rFonts w:ascii="Times New Roman" w:hAnsi="Times New Roman" w:cs="Times New Roman"/>
          <w:sz w:val="24"/>
          <w:szCs w:val="24"/>
          <w:lang w:val="en-GB"/>
        </w:rPr>
        <w:t xml:space="preserve"> to one or both </w:t>
      </w:r>
      <w:r w:rsidR="00194976" w:rsidRPr="0040743B">
        <w:rPr>
          <w:rFonts w:ascii="Times New Roman" w:hAnsi="Times New Roman" w:cs="Times New Roman"/>
          <w:sz w:val="24"/>
          <w:szCs w:val="24"/>
          <w:lang w:val="en-GB"/>
        </w:rPr>
        <w:t xml:space="preserve">non-mutated </w:t>
      </w:r>
      <w:r w:rsidR="00E7790E" w:rsidRPr="0040743B">
        <w:rPr>
          <w:rFonts w:ascii="Times New Roman" w:hAnsi="Times New Roman" w:cs="Times New Roman"/>
          <w:sz w:val="24"/>
          <w:szCs w:val="24"/>
          <w:lang w:val="en-GB"/>
        </w:rPr>
        <w:t xml:space="preserve">pan-DR antigens in APVAC1 </w:t>
      </w:r>
      <w:r w:rsidR="00B97DF5" w:rsidRPr="0040743B">
        <w:rPr>
          <w:rFonts w:ascii="Times New Roman" w:hAnsi="Times New Roman" w:cs="Times New Roman"/>
          <w:sz w:val="24"/>
          <w:szCs w:val="24"/>
          <w:lang w:val="en-GB"/>
        </w:rPr>
        <w:t>(</w:t>
      </w:r>
      <w:r w:rsidR="00B97DF5" w:rsidRPr="0040743B">
        <w:rPr>
          <w:rFonts w:ascii="Times New Roman" w:hAnsi="Times New Roman" w:cs="Times New Roman"/>
          <w:i/>
          <w:iCs/>
          <w:sz w:val="24"/>
          <w:szCs w:val="24"/>
          <w:lang w:val="en-GB"/>
        </w:rPr>
        <w:t>ex vivo</w:t>
      </w:r>
      <w:r w:rsidR="00B97DF5" w:rsidRPr="0040743B">
        <w:rPr>
          <w:rFonts w:ascii="Times New Roman" w:hAnsi="Times New Roman" w:cs="Times New Roman"/>
          <w:sz w:val="24"/>
          <w:szCs w:val="24"/>
          <w:lang w:val="en-GB"/>
        </w:rPr>
        <w:t xml:space="preserve"> intracellular cytokine staining [ICS]</w:t>
      </w:r>
      <w:r w:rsidR="002D5048" w:rsidRPr="0040743B">
        <w:rPr>
          <w:rFonts w:ascii="Times New Roman" w:hAnsi="Times New Roman" w:cs="Times New Roman"/>
          <w:sz w:val="24"/>
          <w:szCs w:val="24"/>
          <w:lang w:val="en-GB"/>
        </w:rPr>
        <w:t xml:space="preserve">; </w:t>
      </w:r>
      <w:r w:rsidR="00171BE2" w:rsidRPr="0040743B">
        <w:rPr>
          <w:rFonts w:ascii="Times New Roman" w:hAnsi="Times New Roman" w:cs="Times New Roman"/>
          <w:sz w:val="24"/>
          <w:szCs w:val="24"/>
          <w:lang w:val="en-GB"/>
        </w:rPr>
        <w:t>example</w:t>
      </w:r>
      <w:r w:rsidR="008F19ED" w:rsidRPr="0040743B">
        <w:rPr>
          <w:rFonts w:ascii="Times New Roman" w:hAnsi="Times New Roman" w:cs="Times New Roman"/>
          <w:sz w:val="24"/>
          <w:szCs w:val="24"/>
          <w:lang w:val="en-GB"/>
        </w:rPr>
        <w:t xml:space="preserve"> shown in </w:t>
      </w:r>
      <w:r w:rsidR="002D5048" w:rsidRPr="0040743B">
        <w:rPr>
          <w:rFonts w:ascii="Times New Roman" w:hAnsi="Times New Roman" w:cs="Times New Roman"/>
          <w:sz w:val="24"/>
          <w:szCs w:val="24"/>
          <w:lang w:val="en-GB"/>
        </w:rPr>
        <w:t>Fig. 2</w:t>
      </w:r>
      <w:r w:rsidR="00D66F2A" w:rsidRPr="0040743B">
        <w:rPr>
          <w:rFonts w:ascii="Times New Roman" w:hAnsi="Times New Roman" w:cs="Times New Roman"/>
          <w:sz w:val="24"/>
          <w:szCs w:val="24"/>
          <w:lang w:val="en-GB"/>
        </w:rPr>
        <w:t>f</w:t>
      </w:r>
      <w:r w:rsidR="002D5048" w:rsidRPr="0040743B">
        <w:rPr>
          <w:rFonts w:ascii="Times New Roman" w:hAnsi="Times New Roman" w:cs="Times New Roman"/>
          <w:sz w:val="24"/>
          <w:szCs w:val="24"/>
          <w:lang w:val="en-GB"/>
        </w:rPr>
        <w:t>)</w:t>
      </w:r>
      <w:r w:rsidR="00C518A5" w:rsidRPr="0040743B">
        <w:rPr>
          <w:rFonts w:ascii="Times New Roman" w:hAnsi="Times New Roman" w:cs="Times New Roman"/>
          <w:sz w:val="24"/>
          <w:szCs w:val="24"/>
          <w:lang w:val="en-GB"/>
        </w:rPr>
        <w:t xml:space="preserve"> with an overall immunogenicity of </w:t>
      </w:r>
      <w:r w:rsidRPr="0040743B">
        <w:rPr>
          <w:rFonts w:ascii="Times New Roman" w:hAnsi="Times New Roman" w:cs="Times New Roman"/>
          <w:sz w:val="24"/>
          <w:szCs w:val="24"/>
          <w:lang w:val="en-GB"/>
        </w:rPr>
        <w:t xml:space="preserve">50% </w:t>
      </w:r>
      <w:r w:rsidR="00C518A5" w:rsidRPr="0040743B">
        <w:rPr>
          <w:rFonts w:ascii="Times New Roman" w:hAnsi="Times New Roman" w:cs="Times New Roman"/>
          <w:sz w:val="24"/>
          <w:szCs w:val="24"/>
          <w:lang w:val="en-GB"/>
        </w:rPr>
        <w:t>for these</w:t>
      </w:r>
      <w:r w:rsidRPr="0040743B">
        <w:rPr>
          <w:rFonts w:ascii="Times New Roman" w:hAnsi="Times New Roman" w:cs="Times New Roman"/>
          <w:sz w:val="24"/>
          <w:szCs w:val="24"/>
          <w:lang w:val="en-GB"/>
        </w:rPr>
        <w:t xml:space="preserve"> peptides</w:t>
      </w:r>
      <w:r w:rsidR="003C6B5E" w:rsidRPr="0040743B">
        <w:rPr>
          <w:rFonts w:ascii="Times New Roman" w:hAnsi="Times New Roman" w:cs="Times New Roman"/>
          <w:sz w:val="24"/>
          <w:szCs w:val="24"/>
          <w:lang w:val="en-GB"/>
        </w:rPr>
        <w:t xml:space="preserve"> (Fig. 4)</w:t>
      </w:r>
      <w:r w:rsidR="006D04FF" w:rsidRPr="0040743B">
        <w:rPr>
          <w:rFonts w:ascii="Times New Roman" w:hAnsi="Times New Roman" w:cs="Times New Roman"/>
          <w:sz w:val="24"/>
          <w:szCs w:val="24"/>
          <w:lang w:val="en-GB"/>
        </w:rPr>
        <w:t>. T</w:t>
      </w:r>
      <w:r w:rsidR="00E30AE7" w:rsidRPr="0040743B">
        <w:rPr>
          <w:rFonts w:ascii="Times New Roman" w:hAnsi="Times New Roman" w:cs="Times New Roman"/>
          <w:sz w:val="24"/>
          <w:szCs w:val="24"/>
          <w:lang w:val="en-GB"/>
        </w:rPr>
        <w:t xml:space="preserve">he </w:t>
      </w:r>
      <w:r w:rsidR="006D04FF" w:rsidRPr="0040743B">
        <w:rPr>
          <w:rFonts w:ascii="Times New Roman" w:hAnsi="Times New Roman" w:cs="Times New Roman"/>
          <w:sz w:val="24"/>
          <w:szCs w:val="24"/>
          <w:lang w:val="en-GB"/>
        </w:rPr>
        <w:t xml:space="preserve">responding </w:t>
      </w:r>
      <w:r w:rsidRPr="0040743B">
        <w:rPr>
          <w:rFonts w:ascii="Times New Roman" w:hAnsi="Times New Roman" w:cs="Times New Roman"/>
          <w:sz w:val="24"/>
          <w:szCs w:val="24"/>
          <w:lang w:val="en-GB"/>
        </w:rPr>
        <w:t>T</w:t>
      </w:r>
      <w:r w:rsidR="006D04FF"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cell</w:t>
      </w:r>
      <w:r w:rsidR="006D04FF"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xml:space="preserve"> were </w:t>
      </w:r>
      <w:r w:rsidR="0034553C" w:rsidRPr="0040743B">
        <w:rPr>
          <w:rFonts w:ascii="Times New Roman" w:hAnsi="Times New Roman" w:cs="Times New Roman"/>
          <w:sz w:val="24"/>
          <w:szCs w:val="24"/>
          <w:lang w:val="en-GB"/>
        </w:rPr>
        <w:t xml:space="preserve">of </w:t>
      </w:r>
      <w:r w:rsidRPr="0040743B">
        <w:rPr>
          <w:rFonts w:ascii="Times New Roman" w:hAnsi="Times New Roman" w:cs="Times New Roman"/>
          <w:sz w:val="24"/>
          <w:szCs w:val="24"/>
          <w:lang w:val="en-GB"/>
        </w:rPr>
        <w:t>heterogeneous</w:t>
      </w:r>
      <w:r w:rsidR="0034553C" w:rsidRPr="0040743B">
        <w:rPr>
          <w:rFonts w:ascii="Times New Roman" w:hAnsi="Times New Roman" w:cs="Times New Roman"/>
          <w:sz w:val="24"/>
          <w:szCs w:val="24"/>
          <w:lang w:val="en-GB"/>
        </w:rPr>
        <w:t xml:space="preserve"> phenotype,</w:t>
      </w:r>
      <w:r w:rsidRPr="0040743B">
        <w:rPr>
          <w:rFonts w:ascii="Times New Roman" w:hAnsi="Times New Roman" w:cs="Times New Roman"/>
          <w:sz w:val="24"/>
          <w:szCs w:val="24"/>
          <w:lang w:val="en-GB"/>
        </w:rPr>
        <w:t xml:space="preserve"> but</w:t>
      </w:r>
      <w:r w:rsidR="009B034A"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frequently T</w:t>
      </w:r>
      <w:r w:rsidRPr="0040743B">
        <w:rPr>
          <w:rFonts w:ascii="Times New Roman" w:hAnsi="Times New Roman" w:cs="Times New Roman"/>
          <w:sz w:val="24"/>
          <w:szCs w:val="24"/>
          <w:vertAlign w:val="subscript"/>
          <w:lang w:val="en-GB"/>
        </w:rPr>
        <w:t>H</w:t>
      </w:r>
      <w:r w:rsidRPr="0040743B">
        <w:rPr>
          <w:rFonts w:ascii="Times New Roman" w:hAnsi="Times New Roman" w:cs="Times New Roman"/>
          <w:sz w:val="24"/>
          <w:szCs w:val="24"/>
          <w:lang w:val="en-GB"/>
        </w:rPr>
        <w:t xml:space="preserve">1 </w:t>
      </w:r>
      <w:r w:rsidR="00E30AE7" w:rsidRPr="0040743B">
        <w:rPr>
          <w:rFonts w:ascii="Times New Roman" w:hAnsi="Times New Roman" w:cs="Times New Roman"/>
          <w:sz w:val="24"/>
          <w:szCs w:val="24"/>
          <w:lang w:val="en-GB"/>
        </w:rPr>
        <w:t>(Fig. 2a</w:t>
      </w:r>
      <w:r w:rsidR="007E231B" w:rsidRPr="0040743B">
        <w:rPr>
          <w:rFonts w:ascii="Times New Roman" w:hAnsi="Times New Roman" w:cs="Times New Roman"/>
          <w:sz w:val="24"/>
          <w:szCs w:val="24"/>
          <w:lang w:val="en-GB"/>
        </w:rPr>
        <w:t>, Fig. 4</w:t>
      </w:r>
      <w:r w:rsidR="00E30AE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t>
      </w:r>
      <w:r w:rsidR="005D18C1"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The ratio of cumulative APVAC1-specific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memory T cell frequencies post- vs. pre-vaccination </w:t>
      </w:r>
      <w:r w:rsidR="005D18C1" w:rsidRPr="0040743B">
        <w:rPr>
          <w:rFonts w:ascii="Times New Roman" w:hAnsi="Times New Roman" w:cs="Times New Roman"/>
          <w:sz w:val="24"/>
          <w:szCs w:val="24"/>
          <w:lang w:val="en-GB"/>
        </w:rPr>
        <w:t xml:space="preserve">for a patient </w:t>
      </w:r>
      <w:r w:rsidRPr="0040743B">
        <w:rPr>
          <w:rFonts w:ascii="Times New Roman" w:hAnsi="Times New Roman" w:cs="Times New Roman"/>
          <w:sz w:val="24"/>
          <w:szCs w:val="24"/>
          <w:lang w:val="en-GB"/>
        </w:rPr>
        <w:t xml:space="preserve">was defined as ‘memory cell induction factor’ (MCIF) (Fig. 2a). MCIF was higher in patients </w:t>
      </w:r>
      <w:r w:rsidR="0072157A" w:rsidRPr="0040743B">
        <w:rPr>
          <w:rFonts w:ascii="Times New Roman" w:hAnsi="Times New Roman" w:cs="Times New Roman"/>
          <w:sz w:val="24"/>
          <w:szCs w:val="24"/>
          <w:lang w:val="en-GB"/>
        </w:rPr>
        <w:t>lacking</w:t>
      </w:r>
      <w:r w:rsidRPr="0040743B">
        <w:rPr>
          <w:rFonts w:ascii="Times New Roman" w:hAnsi="Times New Roman" w:cs="Times New Roman"/>
          <w:sz w:val="24"/>
          <w:szCs w:val="24"/>
          <w:lang w:val="en-GB"/>
        </w:rPr>
        <w:t xml:space="preserve"> a predominant T</w:t>
      </w:r>
      <w:r w:rsidRPr="0040743B">
        <w:rPr>
          <w:rFonts w:ascii="Times New Roman" w:hAnsi="Times New Roman" w:cs="Times New Roman"/>
          <w:sz w:val="24"/>
          <w:szCs w:val="24"/>
          <w:vertAlign w:val="subscript"/>
          <w:lang w:val="en-GB"/>
        </w:rPr>
        <w:t>H</w:t>
      </w:r>
      <w:r w:rsidRPr="0040743B">
        <w:rPr>
          <w:rFonts w:ascii="Times New Roman" w:hAnsi="Times New Roman" w:cs="Times New Roman"/>
          <w:sz w:val="24"/>
          <w:szCs w:val="24"/>
          <w:lang w:val="en-GB"/>
        </w:rPr>
        <w:t>2 or suppressive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to APVAC1 (</w:t>
      </w:r>
      <w:r w:rsidR="00511243"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 4d). </w:t>
      </w:r>
      <w:r w:rsidR="00941EB5" w:rsidRPr="0040743B">
        <w:rPr>
          <w:rFonts w:ascii="Times New Roman" w:hAnsi="Times New Roman" w:cs="Times New Roman"/>
          <w:sz w:val="24"/>
          <w:szCs w:val="24"/>
          <w:lang w:val="en-GB"/>
        </w:rPr>
        <w:t>R</w:t>
      </w:r>
      <w:r w:rsidRPr="0040743B">
        <w:rPr>
          <w:rFonts w:ascii="Times New Roman" w:hAnsi="Times New Roman" w:cs="Times New Roman"/>
          <w:sz w:val="24"/>
          <w:szCs w:val="24"/>
          <w:lang w:val="en-GB"/>
        </w:rPr>
        <w:t>egulatory T cell</w:t>
      </w:r>
      <w:r w:rsidR="002633F7" w:rsidRPr="0040743B">
        <w:rPr>
          <w:rFonts w:ascii="Times New Roman" w:hAnsi="Times New Roman" w:cs="Times New Roman"/>
          <w:sz w:val="24"/>
          <w:szCs w:val="24"/>
          <w:lang w:val="en-GB"/>
        </w:rPr>
        <w:t xml:space="preserve"> (T</w:t>
      </w:r>
      <w:r w:rsidR="002633F7" w:rsidRPr="0040743B">
        <w:rPr>
          <w:rFonts w:ascii="Times New Roman" w:hAnsi="Times New Roman" w:cs="Times New Roman"/>
          <w:sz w:val="24"/>
          <w:szCs w:val="24"/>
          <w:vertAlign w:val="subscript"/>
          <w:lang w:val="en-GB"/>
        </w:rPr>
        <w:t>reg</w:t>
      </w:r>
      <w:r w:rsidR="002633F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frequencies </w:t>
      </w:r>
      <w:r w:rsidR="00941EB5" w:rsidRPr="0040743B">
        <w:rPr>
          <w:rFonts w:ascii="Times New Roman" w:hAnsi="Times New Roman" w:cs="Times New Roman"/>
          <w:sz w:val="24"/>
          <w:szCs w:val="24"/>
          <w:lang w:val="en-GB"/>
        </w:rPr>
        <w:t xml:space="preserve">pre-vaccination </w:t>
      </w:r>
      <w:r w:rsidRPr="0040743B">
        <w:rPr>
          <w:rFonts w:ascii="Times New Roman" w:hAnsi="Times New Roman" w:cs="Times New Roman"/>
          <w:sz w:val="24"/>
          <w:szCs w:val="24"/>
          <w:lang w:val="en-GB"/>
        </w:rPr>
        <w:t>(</w:t>
      </w:r>
      <w:r w:rsidR="00A45197"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 4a) were predictive for the biological activity of APVAC1: </w:t>
      </w:r>
      <w:r w:rsidR="002D55EB" w:rsidRPr="0040743B">
        <w:rPr>
          <w:rFonts w:ascii="Times New Roman" w:hAnsi="Times New Roman" w:cs="Times New Roman"/>
          <w:sz w:val="24"/>
          <w:szCs w:val="24"/>
          <w:lang w:val="en-GB"/>
        </w:rPr>
        <w:t xml:space="preserve">Low </w:t>
      </w:r>
      <w:r w:rsidRPr="0040743B">
        <w:rPr>
          <w:rFonts w:ascii="Times New Roman" w:hAnsi="Times New Roman" w:cs="Times New Roman"/>
          <w:sz w:val="24"/>
          <w:szCs w:val="24"/>
          <w:lang w:val="en-GB"/>
        </w:rPr>
        <w:t>T</w:t>
      </w:r>
      <w:r w:rsidRPr="0040743B">
        <w:rPr>
          <w:rFonts w:ascii="Times New Roman" w:hAnsi="Times New Roman" w:cs="Times New Roman"/>
          <w:sz w:val="24"/>
          <w:szCs w:val="24"/>
          <w:vertAlign w:val="subscript"/>
          <w:lang w:val="en-GB"/>
        </w:rPr>
        <w:t>reg</w:t>
      </w:r>
      <w:r w:rsidRPr="0040743B">
        <w:rPr>
          <w:rFonts w:ascii="Times New Roman" w:hAnsi="Times New Roman" w:cs="Times New Roman"/>
          <w:sz w:val="24"/>
          <w:szCs w:val="24"/>
          <w:lang w:val="en-GB"/>
        </w:rPr>
        <w:t xml:space="preserve"> levels were </w:t>
      </w:r>
      <w:r w:rsidR="006160EA" w:rsidRPr="0040743B">
        <w:rPr>
          <w:rFonts w:ascii="Times New Roman" w:hAnsi="Times New Roman" w:cs="Times New Roman"/>
          <w:sz w:val="24"/>
          <w:szCs w:val="24"/>
          <w:lang w:val="en-GB"/>
        </w:rPr>
        <w:t>found</w:t>
      </w:r>
      <w:r w:rsidRPr="0040743B">
        <w:rPr>
          <w:rFonts w:ascii="Times New Roman" w:hAnsi="Times New Roman" w:cs="Times New Roman"/>
          <w:sz w:val="24"/>
          <w:szCs w:val="24"/>
          <w:lang w:val="en-GB"/>
        </w:rPr>
        <w:t xml:space="preserve"> in patients with MCIF above median and </w:t>
      </w:r>
      <w:r w:rsidR="002D55EB" w:rsidRPr="0040743B">
        <w:rPr>
          <w:rFonts w:ascii="Times New Roman" w:hAnsi="Times New Roman" w:cs="Times New Roman"/>
          <w:sz w:val="24"/>
          <w:szCs w:val="24"/>
          <w:lang w:val="en-GB"/>
        </w:rPr>
        <w:t xml:space="preserve">were </w:t>
      </w:r>
      <w:r w:rsidRPr="0040743B">
        <w:rPr>
          <w:rFonts w:ascii="Times New Roman" w:hAnsi="Times New Roman" w:cs="Times New Roman"/>
          <w:sz w:val="24"/>
          <w:szCs w:val="24"/>
          <w:lang w:val="en-GB"/>
        </w:rPr>
        <w:t xml:space="preserve">associated with a higher proportion of </w:t>
      </w:r>
      <w:r w:rsidR="0080440A" w:rsidRPr="0040743B">
        <w:rPr>
          <w:rFonts w:ascii="Times New Roman" w:hAnsi="Times New Roman" w:cs="Times New Roman"/>
          <w:sz w:val="24"/>
          <w:szCs w:val="24"/>
          <w:lang w:val="en-GB"/>
        </w:rPr>
        <w:t>interferon (</w:t>
      </w:r>
      <w:r w:rsidRPr="0040743B">
        <w:rPr>
          <w:rFonts w:ascii="Times New Roman" w:hAnsi="Times New Roman" w:cs="Times New Roman"/>
          <w:sz w:val="24"/>
          <w:szCs w:val="24"/>
          <w:lang w:val="en-GB"/>
        </w:rPr>
        <w:t>IFN</w:t>
      </w:r>
      <w:r w:rsidR="0080440A"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t>
      </w:r>
      <w:r w:rsidR="00AD13E4" w:rsidRPr="0040743B">
        <w:rPr>
          <w:rFonts w:ascii="Times New Roman" w:hAnsi="Times New Roman" w:cs="Times New Roman"/>
          <w:sz w:val="24"/>
          <w:szCs w:val="24"/>
          <w:lang w:val="en-GB"/>
        </w:rPr>
        <w:sym w:font="Symbol" w:char="F067"/>
      </w:r>
      <w:r w:rsidRPr="0040743B">
        <w:rPr>
          <w:rFonts w:ascii="Times New Roman" w:hAnsi="Times New Roman" w:cs="Times New Roman"/>
          <w:sz w:val="24"/>
          <w:szCs w:val="24"/>
          <w:lang w:val="en-GB"/>
        </w:rPr>
        <w:t xml:space="preserve"> producing APVAC1-specific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w:t>
      </w:r>
      <w:r w:rsidR="006F165E"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w:t>
      </w:r>
      <w:r w:rsidR="006F165E"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4</w:t>
      </w:r>
      <w:r w:rsidR="006F165E" w:rsidRPr="0040743B">
        <w:rPr>
          <w:rFonts w:ascii="Times New Roman" w:hAnsi="Times New Roman" w:cs="Times New Roman"/>
          <w:sz w:val="24"/>
          <w:szCs w:val="24"/>
          <w:lang w:val="en-GB"/>
        </w:rPr>
        <w:t>e</w:t>
      </w:r>
      <w:r w:rsidR="00D1285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f).</w:t>
      </w:r>
    </w:p>
    <w:p w14:paraId="4186DD16" w14:textId="700AE084" w:rsidR="00D727CA" w:rsidRPr="0040743B" w:rsidRDefault="00F9485C">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 xml:space="preserve">Eight of ten patients (80%) </w:t>
      </w:r>
      <w:r w:rsidR="00B347E6" w:rsidRPr="0040743B">
        <w:rPr>
          <w:rFonts w:ascii="Times New Roman" w:hAnsi="Times New Roman" w:cs="Times New Roman"/>
          <w:sz w:val="24"/>
          <w:szCs w:val="24"/>
          <w:lang w:val="en-GB"/>
        </w:rPr>
        <w:t>evaluable for APVAC2 immun</w:t>
      </w:r>
      <w:r w:rsidR="00E9658B" w:rsidRPr="0040743B">
        <w:rPr>
          <w:rFonts w:ascii="Times New Roman" w:hAnsi="Times New Roman" w:cs="Times New Roman"/>
          <w:sz w:val="24"/>
          <w:szCs w:val="24"/>
          <w:lang w:val="en-GB"/>
        </w:rPr>
        <w:t>ogenicity</w:t>
      </w:r>
      <w:r w:rsidR="00B347E6"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developed neo-epitope-specific</w:t>
      </w:r>
      <w:r w:rsidR="00210EC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dominantly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w:t>
      </w:r>
      <w:r w:rsidR="00210EC9" w:rsidRPr="0040743B">
        <w:rPr>
          <w:rFonts w:ascii="Times New Roman" w:hAnsi="Times New Roman" w:cs="Times New Roman"/>
          <w:sz w:val="24"/>
          <w:szCs w:val="24"/>
          <w:lang w:val="en-GB"/>
        </w:rPr>
        <w:t xml:space="preserve">pan-ICS assay after </w:t>
      </w:r>
      <w:r w:rsidR="00210EC9" w:rsidRPr="0040743B">
        <w:rPr>
          <w:rFonts w:ascii="Times New Roman" w:hAnsi="Times New Roman" w:cs="Times New Roman"/>
          <w:i/>
          <w:iCs/>
          <w:sz w:val="24"/>
          <w:szCs w:val="24"/>
          <w:lang w:val="en-GB"/>
        </w:rPr>
        <w:t>in vitro</w:t>
      </w:r>
      <w:r w:rsidR="00210EC9" w:rsidRPr="0040743B">
        <w:rPr>
          <w:rFonts w:ascii="Times New Roman" w:hAnsi="Times New Roman" w:cs="Times New Roman"/>
          <w:sz w:val="24"/>
          <w:szCs w:val="24"/>
          <w:lang w:val="en-GB"/>
        </w:rPr>
        <w:t xml:space="preserve"> sensitization</w:t>
      </w:r>
      <w:r w:rsidR="00111553" w:rsidRPr="0040743B">
        <w:rPr>
          <w:rFonts w:ascii="Times New Roman" w:hAnsi="Times New Roman" w:cs="Times New Roman"/>
          <w:sz w:val="24"/>
          <w:szCs w:val="24"/>
          <w:lang w:val="en-GB"/>
        </w:rPr>
        <w:t xml:space="preserve"> (IVS)</w:t>
      </w:r>
      <w:r w:rsidR="005200E5" w:rsidRPr="0040743B">
        <w:rPr>
          <w:rFonts w:ascii="Times New Roman" w:hAnsi="Times New Roman" w:cs="Times New Roman"/>
          <w:sz w:val="24"/>
          <w:szCs w:val="24"/>
          <w:lang w:val="en-GB"/>
        </w:rPr>
        <w:t xml:space="preserve">; </w:t>
      </w:r>
      <w:r w:rsidR="00B347E6"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 4h)</w:t>
      </w:r>
      <w:r w:rsidR="008C2274" w:rsidRPr="0040743B">
        <w:rPr>
          <w:rFonts w:ascii="Times New Roman" w:hAnsi="Times New Roman" w:cs="Times New Roman"/>
          <w:sz w:val="24"/>
          <w:szCs w:val="24"/>
        </w:rPr>
        <w:t>.</w:t>
      </w:r>
      <w:r w:rsidRPr="0040743B">
        <w:rPr>
          <w:rFonts w:ascii="Times New Roman" w:hAnsi="Times New Roman" w:cs="Times New Roman"/>
          <w:sz w:val="24"/>
          <w:szCs w:val="24"/>
          <w:lang w:val="en-GB"/>
        </w:rPr>
        <w:t xml:space="preserve"> Eleven of the 13 (84%) vaccinated, mutated APVAC2 peptides induced a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w:t>
      </w:r>
      <w:r w:rsidR="001C08FF" w:rsidRPr="0040743B">
        <w:rPr>
          <w:rFonts w:ascii="Times New Roman" w:hAnsi="Times New Roman" w:cs="Times New Roman"/>
          <w:sz w:val="24"/>
          <w:szCs w:val="24"/>
          <w:lang w:val="en-GB"/>
        </w:rPr>
        <w:t>as exemplarily shown in</w:t>
      </w:r>
      <w:r w:rsidRPr="0040743B">
        <w:rPr>
          <w:rFonts w:ascii="Times New Roman" w:hAnsi="Times New Roman" w:cs="Times New Roman"/>
          <w:sz w:val="24"/>
          <w:szCs w:val="24"/>
          <w:lang w:val="en-GB"/>
        </w:rPr>
        <w:t xml:space="preserve"> Fig. 3a). </w:t>
      </w:r>
      <w:r w:rsidR="00507122" w:rsidRPr="0040743B">
        <w:rPr>
          <w:rFonts w:ascii="Times New Roman" w:hAnsi="Times New Roman" w:cs="Times New Roman"/>
          <w:sz w:val="24"/>
          <w:szCs w:val="24"/>
          <w:lang w:val="en-GB"/>
        </w:rPr>
        <w:t>The</w:t>
      </w:r>
      <w:r w:rsidR="00F26244" w:rsidRPr="0040743B">
        <w:rPr>
          <w:rFonts w:ascii="Times New Roman" w:hAnsi="Times New Roman" w:cs="Times New Roman"/>
          <w:sz w:val="24"/>
          <w:szCs w:val="24"/>
          <w:lang w:val="en-GB"/>
        </w:rPr>
        <w:t>se</w:t>
      </w:r>
      <w:r w:rsidRPr="0040743B">
        <w:rPr>
          <w:rFonts w:ascii="Times New Roman" w:hAnsi="Times New Roman" w:cs="Times New Roman"/>
          <w:sz w:val="24"/>
          <w:szCs w:val="24"/>
          <w:lang w:val="en-GB"/>
        </w:rPr>
        <w:t xml:space="preserve"> responses were predominantly of T</w:t>
      </w:r>
      <w:r w:rsidRPr="0040743B">
        <w:rPr>
          <w:rFonts w:ascii="Times New Roman" w:hAnsi="Times New Roman" w:cs="Times New Roman"/>
          <w:sz w:val="24"/>
          <w:szCs w:val="24"/>
          <w:vertAlign w:val="subscript"/>
          <w:lang w:val="en-GB"/>
        </w:rPr>
        <w:t>H</w:t>
      </w:r>
      <w:r w:rsidRPr="0040743B">
        <w:rPr>
          <w:rFonts w:ascii="Times New Roman" w:hAnsi="Times New Roman" w:cs="Times New Roman"/>
          <w:sz w:val="24"/>
          <w:szCs w:val="24"/>
          <w:lang w:val="en-GB"/>
        </w:rPr>
        <w:t>1 phenotype and multi-functional (Fig. 4). For two neo-epitope-specific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recognition of the corresponding wildtype sequences was tested, revealing for one response cross-recognition and for </w:t>
      </w:r>
      <w:r w:rsidR="00800E1A" w:rsidRPr="0040743B">
        <w:rPr>
          <w:rFonts w:ascii="Times New Roman" w:hAnsi="Times New Roman" w:cs="Times New Roman"/>
          <w:sz w:val="24"/>
          <w:szCs w:val="24"/>
          <w:lang w:val="en-GB"/>
        </w:rPr>
        <w:t>the other</w:t>
      </w:r>
      <w:r w:rsidRPr="0040743B">
        <w:rPr>
          <w:rFonts w:ascii="Times New Roman" w:hAnsi="Times New Roman" w:cs="Times New Roman"/>
          <w:sz w:val="24"/>
          <w:szCs w:val="24"/>
          <w:lang w:val="en-GB"/>
        </w:rPr>
        <w:t xml:space="preserve"> neo-epitope specificity (E</w:t>
      </w:r>
      <w:r w:rsidR="00205596" w:rsidRPr="0040743B">
        <w:rPr>
          <w:rFonts w:ascii="Times New Roman" w:hAnsi="Times New Roman" w:cs="Times New Roman"/>
          <w:sz w:val="24"/>
          <w:szCs w:val="24"/>
          <w:lang w:val="en-GB"/>
        </w:rPr>
        <w:t>xtended Data</w:t>
      </w:r>
      <w:r w:rsidRPr="0040743B">
        <w:rPr>
          <w:rFonts w:ascii="Times New Roman" w:hAnsi="Times New Roman" w:cs="Times New Roman"/>
          <w:sz w:val="24"/>
          <w:szCs w:val="24"/>
          <w:lang w:val="en-GB"/>
        </w:rPr>
        <w:t xml:space="preserve"> Fig. 7a), in line with the </w:t>
      </w:r>
      <w:r w:rsidR="00E40AAA" w:rsidRPr="0040743B">
        <w:rPr>
          <w:rFonts w:ascii="Times New Roman" w:hAnsi="Times New Roman" w:cs="Times New Roman"/>
          <w:sz w:val="24"/>
          <w:szCs w:val="24"/>
          <w:lang w:val="en-GB"/>
        </w:rPr>
        <w:t>broad</w:t>
      </w:r>
      <w:r w:rsidRPr="0040743B">
        <w:rPr>
          <w:rFonts w:ascii="Times New Roman" w:hAnsi="Times New Roman" w:cs="Times New Roman"/>
          <w:sz w:val="24"/>
          <w:szCs w:val="24"/>
          <w:lang w:val="en-GB"/>
        </w:rPr>
        <w:t xml:space="preserve"> spectrum of </w:t>
      </w:r>
      <w:r w:rsidR="00E40AAA" w:rsidRPr="0040743B">
        <w:rPr>
          <w:rFonts w:ascii="Times New Roman" w:hAnsi="Times New Roman" w:cs="Times New Roman"/>
          <w:sz w:val="24"/>
          <w:szCs w:val="24"/>
          <w:lang w:val="en-GB"/>
        </w:rPr>
        <w:t xml:space="preserve">wildtype </w:t>
      </w:r>
      <w:r w:rsidRPr="0040743B">
        <w:rPr>
          <w:rFonts w:ascii="Times New Roman" w:hAnsi="Times New Roman" w:cs="Times New Roman"/>
          <w:sz w:val="24"/>
          <w:szCs w:val="24"/>
          <w:lang w:val="en-GB"/>
        </w:rPr>
        <w:t xml:space="preserve">cross-recognition </w:t>
      </w:r>
      <w:r w:rsidR="00E40AAA" w:rsidRPr="0040743B">
        <w:rPr>
          <w:rFonts w:ascii="Times New Roman" w:hAnsi="Times New Roman" w:cs="Times New Roman"/>
          <w:sz w:val="24"/>
          <w:szCs w:val="24"/>
          <w:lang w:val="en-GB"/>
        </w:rPr>
        <w:t xml:space="preserve">previously </w:t>
      </w:r>
      <w:r w:rsidRPr="0040743B">
        <w:rPr>
          <w:rFonts w:ascii="Times New Roman" w:hAnsi="Times New Roman" w:cs="Times New Roman"/>
          <w:sz w:val="24"/>
          <w:szCs w:val="24"/>
          <w:lang w:val="en-GB"/>
        </w:rPr>
        <w:t>reported</w:t>
      </w:r>
      <w:r w:rsidR="00E34290" w:rsidRPr="0040743B">
        <w:rPr>
          <w:rFonts w:ascii="Times New Roman" w:hAnsi="Times New Roman" w:cs="Times New Roman"/>
          <w:noProof/>
          <w:sz w:val="24"/>
          <w:szCs w:val="24"/>
          <w:vertAlign w:val="superscript"/>
        </w:rPr>
        <w:t>6</w:t>
      </w:r>
      <w:r w:rsidRPr="0040743B">
        <w:rPr>
          <w:rFonts w:ascii="Times New Roman" w:hAnsi="Times New Roman" w:cs="Times New Roman"/>
          <w:sz w:val="24"/>
          <w:szCs w:val="24"/>
          <w:lang w:val="en-GB"/>
        </w:rPr>
        <w:t xml:space="preserve">. </w:t>
      </w:r>
      <w:r w:rsidR="002352F2" w:rsidRPr="0040743B">
        <w:rPr>
          <w:rFonts w:ascii="Times New Roman" w:hAnsi="Times New Roman" w:cs="Times New Roman"/>
          <w:sz w:val="24"/>
          <w:szCs w:val="24"/>
          <w:lang w:val="en-GB"/>
        </w:rPr>
        <w:t>F</w:t>
      </w:r>
      <w:r w:rsidRPr="0040743B">
        <w:rPr>
          <w:rFonts w:ascii="Times New Roman" w:hAnsi="Times New Roman" w:cs="Times New Roman"/>
          <w:sz w:val="24"/>
          <w:szCs w:val="24"/>
          <w:lang w:val="en-GB"/>
        </w:rPr>
        <w:t>ive neo-epitope-specific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w:t>
      </w:r>
      <w:r w:rsidR="002352F2" w:rsidRPr="0040743B">
        <w:rPr>
          <w:rFonts w:ascii="Times New Roman" w:hAnsi="Times New Roman" w:cs="Times New Roman"/>
          <w:sz w:val="24"/>
          <w:szCs w:val="24"/>
          <w:lang w:val="en-GB"/>
        </w:rPr>
        <w:t>came with</w:t>
      </w:r>
      <w:r w:rsidRPr="0040743B">
        <w:rPr>
          <w:rFonts w:ascii="Times New Roman" w:hAnsi="Times New Roman" w:cs="Times New Roman"/>
          <w:sz w:val="24"/>
          <w:szCs w:val="24"/>
          <w:lang w:val="en-GB"/>
        </w:rPr>
        <w:t xml:space="preserve">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to nested, mutated HLA class I-restricted epitope</w:t>
      </w:r>
      <w:r w:rsidR="002352F2"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xml:space="preserve"> (</w:t>
      </w:r>
      <w:r w:rsidR="002352F2"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 4h</w:t>
      </w:r>
      <w:r w:rsidR="002352F2"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exampl</w:t>
      </w:r>
      <w:r w:rsidR="002B5C7E" w:rsidRPr="0040743B">
        <w:rPr>
          <w:rFonts w:ascii="Times New Roman" w:hAnsi="Times New Roman" w:cs="Times New Roman"/>
          <w:sz w:val="24"/>
          <w:szCs w:val="24"/>
          <w:lang w:val="en-GB"/>
        </w:rPr>
        <w:t>e</w:t>
      </w:r>
      <w:r w:rsidRPr="0040743B">
        <w:rPr>
          <w:rFonts w:ascii="Times New Roman" w:hAnsi="Times New Roman" w:cs="Times New Roman"/>
          <w:sz w:val="24"/>
          <w:szCs w:val="24"/>
          <w:lang w:val="en-GB"/>
        </w:rPr>
        <w:t xml:space="preserve"> in Fig. 3b).</w:t>
      </w:r>
      <w:bookmarkStart w:id="6" w:name="_Hlk509143994"/>
      <w:r w:rsidRPr="0040743B">
        <w:rPr>
          <w:rFonts w:ascii="Times New Roman" w:hAnsi="Times New Roman" w:cs="Times New Roman"/>
          <w:sz w:val="24"/>
          <w:szCs w:val="24"/>
          <w:lang w:val="en-GB"/>
        </w:rPr>
        <w:t xml:space="preserve"> </w:t>
      </w:r>
      <w:bookmarkEnd w:id="6"/>
      <w:r w:rsidRPr="0040743B">
        <w:rPr>
          <w:rFonts w:ascii="Times New Roman" w:hAnsi="Times New Roman" w:cs="Times New Roman"/>
          <w:sz w:val="24"/>
          <w:szCs w:val="24"/>
          <w:lang w:val="en-GB"/>
        </w:rPr>
        <w:t>None of the mutated APVAC2 peptides evoked an isolated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Noteworthy, the </w:t>
      </w:r>
      <w:r w:rsidR="00CF4600" w:rsidRPr="0040743B">
        <w:rPr>
          <w:rFonts w:ascii="Times New Roman" w:hAnsi="Times New Roman" w:cs="Times New Roman"/>
          <w:sz w:val="24"/>
          <w:szCs w:val="24"/>
          <w:lang w:val="en-GB"/>
        </w:rPr>
        <w:t>14-M09-</w:t>
      </w:r>
      <w:r w:rsidR="00CF4600" w:rsidRPr="0040743B">
        <w:rPr>
          <w:rFonts w:ascii="Times New Roman" w:hAnsi="Times New Roman" w:cs="Times New Roman"/>
          <w:sz w:val="24"/>
          <w:szCs w:val="24"/>
          <w:lang w:val="en-GB"/>
        </w:rPr>
        <w:lastRenderedPageBreak/>
        <w:t xml:space="preserve">specific </w:t>
      </w:r>
      <w:r w:rsidRPr="0040743B">
        <w:rPr>
          <w:rFonts w:ascii="Times New Roman" w:hAnsi="Times New Roman" w:cs="Times New Roman"/>
          <w:sz w:val="24"/>
          <w:szCs w:val="24"/>
          <w:lang w:val="en-GB"/>
        </w:rPr>
        <w:t>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w:t>
      </w:r>
      <w:r w:rsidR="00222B4C" w:rsidRPr="0040743B">
        <w:rPr>
          <w:rFonts w:ascii="Times New Roman" w:hAnsi="Times New Roman" w:cs="Times New Roman"/>
          <w:sz w:val="24"/>
          <w:szCs w:val="24"/>
          <w:lang w:val="en-GB"/>
        </w:rPr>
        <w:t>measured</w:t>
      </w:r>
      <w:r w:rsidR="00144F48" w:rsidRPr="0040743B">
        <w:rPr>
          <w:rFonts w:ascii="Times New Roman" w:hAnsi="Times New Roman" w:cs="Times New Roman"/>
          <w:sz w:val="24"/>
          <w:szCs w:val="24"/>
          <w:lang w:val="en-GB"/>
        </w:rPr>
        <w:t xml:space="preserve"> by pan-ICS </w:t>
      </w:r>
      <w:r w:rsidRPr="0040743B">
        <w:rPr>
          <w:rFonts w:ascii="Times New Roman" w:hAnsi="Times New Roman" w:cs="Times New Roman"/>
          <w:sz w:val="24"/>
          <w:szCs w:val="24"/>
          <w:lang w:val="en-GB"/>
        </w:rPr>
        <w:t xml:space="preserve">was confirmed by </w:t>
      </w:r>
      <w:r w:rsidRPr="0040743B">
        <w:rPr>
          <w:rFonts w:ascii="Times New Roman" w:hAnsi="Times New Roman" w:cs="Times New Roman"/>
          <w:i/>
          <w:iCs/>
          <w:sz w:val="24"/>
          <w:szCs w:val="24"/>
          <w:lang w:val="en-GB"/>
        </w:rPr>
        <w:t>ex vivo</w:t>
      </w:r>
      <w:r w:rsidRPr="0040743B">
        <w:rPr>
          <w:rFonts w:ascii="Times New Roman" w:hAnsi="Times New Roman" w:cs="Times New Roman"/>
          <w:sz w:val="24"/>
          <w:szCs w:val="24"/>
          <w:lang w:val="en-GB"/>
        </w:rPr>
        <w:t xml:space="preserve"> multimer staining using a predicted</w:t>
      </w:r>
      <w:r w:rsidR="00350AC6" w:rsidRPr="0040743B">
        <w:rPr>
          <w:rFonts w:ascii="Times New Roman" w:hAnsi="Times New Roman" w:cs="Times New Roman"/>
          <w:sz w:val="24"/>
          <w:szCs w:val="24"/>
          <w:lang w:val="en-GB"/>
        </w:rPr>
        <w:t>, mutated</w:t>
      </w:r>
      <w:r w:rsidRPr="0040743B">
        <w:rPr>
          <w:rFonts w:ascii="Times New Roman" w:hAnsi="Times New Roman" w:cs="Times New Roman"/>
          <w:sz w:val="24"/>
          <w:szCs w:val="24"/>
          <w:lang w:val="en-GB"/>
        </w:rPr>
        <w:t xml:space="preserve"> HLA-A*02:01 ligand </w:t>
      </w:r>
      <w:r w:rsidR="00350AC6" w:rsidRPr="0040743B">
        <w:rPr>
          <w:rFonts w:ascii="Times New Roman" w:hAnsi="Times New Roman" w:cs="Times New Roman"/>
          <w:sz w:val="24"/>
          <w:szCs w:val="24"/>
          <w:lang w:val="en-GB"/>
        </w:rPr>
        <w:t xml:space="preserve">contained in </w:t>
      </w:r>
      <w:r w:rsidR="00383108" w:rsidRPr="0040743B">
        <w:rPr>
          <w:rFonts w:ascii="Times New Roman" w:hAnsi="Times New Roman" w:cs="Times New Roman"/>
          <w:sz w:val="24"/>
          <w:szCs w:val="24"/>
          <w:lang w:val="en-GB"/>
        </w:rPr>
        <w:t>the 19mer</w:t>
      </w:r>
      <w:r w:rsidRPr="0040743B">
        <w:rPr>
          <w:rFonts w:ascii="Times New Roman" w:hAnsi="Times New Roman" w:cs="Times New Roman"/>
          <w:sz w:val="24"/>
          <w:szCs w:val="24"/>
          <w:lang w:val="en-GB"/>
        </w:rPr>
        <w:t xml:space="preserve"> (Fig. 3c).</w:t>
      </w:r>
    </w:p>
    <w:p w14:paraId="4186DD17" w14:textId="42DE9265" w:rsidR="00D727CA" w:rsidRPr="0040743B" w:rsidRDefault="00F9485C">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 xml:space="preserve">Fig. 4 displays </w:t>
      </w:r>
      <w:r w:rsidR="008C2274" w:rsidRPr="0040743B">
        <w:rPr>
          <w:rFonts w:ascii="Times New Roman" w:hAnsi="Times New Roman" w:cs="Times New Roman"/>
          <w:sz w:val="24"/>
          <w:szCs w:val="24"/>
          <w:lang w:val="en-GB"/>
        </w:rPr>
        <w:t>the favourable</w:t>
      </w:r>
      <w:r w:rsidRPr="0040743B">
        <w:rPr>
          <w:rFonts w:ascii="Times New Roman" w:hAnsi="Times New Roman" w:cs="Times New Roman"/>
          <w:sz w:val="24"/>
          <w:szCs w:val="24"/>
          <w:lang w:val="en-GB"/>
        </w:rPr>
        <w:t xml:space="preserve"> immunogenicity </w:t>
      </w:r>
      <w:r w:rsidR="008C2274" w:rsidRPr="0040743B">
        <w:rPr>
          <w:rFonts w:ascii="Times New Roman" w:hAnsi="Times New Roman" w:cs="Times New Roman"/>
          <w:sz w:val="24"/>
          <w:szCs w:val="24"/>
          <w:lang w:val="en-GB"/>
        </w:rPr>
        <w:t>observed for</w:t>
      </w:r>
      <w:r w:rsidRPr="0040743B">
        <w:rPr>
          <w:rFonts w:ascii="Times New Roman" w:hAnsi="Times New Roman" w:cs="Times New Roman"/>
          <w:sz w:val="24"/>
          <w:szCs w:val="24"/>
          <w:lang w:val="en-GB"/>
        </w:rPr>
        <w:t xml:space="preserve"> </w:t>
      </w:r>
      <w:r w:rsidR="00F70601" w:rsidRPr="0040743B">
        <w:rPr>
          <w:rFonts w:ascii="Times New Roman" w:hAnsi="Times New Roman" w:cs="Times New Roman"/>
          <w:sz w:val="24"/>
          <w:szCs w:val="24"/>
          <w:lang w:val="en-GB"/>
        </w:rPr>
        <w:t>GAPVAC-101</w:t>
      </w:r>
      <w:r w:rsidRPr="0040743B">
        <w:rPr>
          <w:rFonts w:ascii="Times New Roman" w:hAnsi="Times New Roman" w:cs="Times New Roman"/>
          <w:sz w:val="24"/>
          <w:szCs w:val="24"/>
          <w:lang w:val="en-GB"/>
        </w:rPr>
        <w:t xml:space="preserve">. For the six non-mutated antigens within APVAC2, an immune response was observed </w:t>
      </w:r>
      <w:r w:rsidR="008C2274" w:rsidRPr="0040743B">
        <w:rPr>
          <w:rFonts w:ascii="Times New Roman" w:hAnsi="Times New Roman" w:cs="Times New Roman"/>
          <w:sz w:val="24"/>
          <w:szCs w:val="24"/>
          <w:lang w:val="en-GB"/>
        </w:rPr>
        <w:t>only once</w:t>
      </w:r>
      <w:r w:rsidRPr="0040743B">
        <w:rPr>
          <w:rFonts w:ascii="Times New Roman" w:hAnsi="Times New Roman" w:cs="Times New Roman"/>
          <w:sz w:val="24"/>
          <w:szCs w:val="24"/>
          <w:lang w:val="en-GB"/>
        </w:rPr>
        <w:t xml:space="preserve"> (patient 08). Noteworthy, these antigens were immunized without prior knowledge about their immunogenicity (in contrast to APVAC1 peptides), arguing for the importance of immunogenicity </w:t>
      </w:r>
      <w:r w:rsidR="00D203E1" w:rsidRPr="0040743B">
        <w:rPr>
          <w:rFonts w:ascii="Times New Roman" w:hAnsi="Times New Roman" w:cs="Times New Roman"/>
          <w:sz w:val="24"/>
          <w:szCs w:val="24"/>
          <w:lang w:val="en-GB"/>
        </w:rPr>
        <w:t xml:space="preserve">as selection criterion for </w:t>
      </w:r>
      <w:r w:rsidRPr="0040743B">
        <w:rPr>
          <w:rFonts w:ascii="Times New Roman" w:hAnsi="Times New Roman" w:cs="Times New Roman"/>
          <w:sz w:val="24"/>
          <w:szCs w:val="24"/>
          <w:lang w:val="en-GB"/>
        </w:rPr>
        <w:t xml:space="preserve">HLA class I </w:t>
      </w:r>
      <w:r w:rsidR="00D203E1" w:rsidRPr="0040743B">
        <w:rPr>
          <w:rFonts w:ascii="Times New Roman" w:hAnsi="Times New Roman" w:cs="Times New Roman"/>
          <w:sz w:val="24"/>
          <w:szCs w:val="24"/>
          <w:lang w:val="en-GB"/>
        </w:rPr>
        <w:t>antigens</w:t>
      </w:r>
      <w:r w:rsidRPr="0040743B">
        <w:rPr>
          <w:rFonts w:ascii="Times New Roman" w:hAnsi="Times New Roman" w:cs="Times New Roman"/>
          <w:sz w:val="24"/>
          <w:szCs w:val="24"/>
          <w:lang w:val="en-GB"/>
        </w:rPr>
        <w:t>.</w:t>
      </w:r>
    </w:p>
    <w:p w14:paraId="4186DD18" w14:textId="606BA7B9" w:rsidR="00D727CA" w:rsidRPr="0040743B" w:rsidRDefault="00F9485C">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 xml:space="preserve">Tumour-infiltrating lymphocytes (TIL) were isolated and cultured for all but one patient at initial surgery, applying a harmonized TIL isolation and expansion protocol for GB specimens (see Online Methods). Expanded TIL </w:t>
      </w:r>
      <w:r w:rsidR="005D7924" w:rsidRPr="0040743B">
        <w:rPr>
          <w:rFonts w:ascii="Times New Roman" w:hAnsi="Times New Roman" w:cs="Times New Roman"/>
          <w:sz w:val="24"/>
          <w:szCs w:val="24"/>
          <w:lang w:val="en-GB"/>
        </w:rPr>
        <w:t>comprised</w:t>
      </w:r>
      <w:r w:rsidRPr="0040743B">
        <w:rPr>
          <w:rFonts w:ascii="Times New Roman" w:hAnsi="Times New Roman" w:cs="Times New Roman"/>
          <w:sz w:val="24"/>
          <w:szCs w:val="24"/>
          <w:lang w:val="en-GB"/>
        </w:rPr>
        <w:t xml:space="preserve">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and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(E</w:t>
      </w:r>
      <w:r w:rsidR="00C84B50" w:rsidRPr="0040743B">
        <w:rPr>
          <w:rFonts w:ascii="Times New Roman" w:hAnsi="Times New Roman" w:cs="Times New Roman"/>
          <w:sz w:val="24"/>
          <w:szCs w:val="24"/>
          <w:lang w:val="en-GB"/>
        </w:rPr>
        <w:t>xtended Data</w:t>
      </w:r>
      <w:r w:rsidRPr="0040743B">
        <w:rPr>
          <w:rFonts w:ascii="Times New Roman" w:hAnsi="Times New Roman" w:cs="Times New Roman"/>
          <w:sz w:val="24"/>
          <w:szCs w:val="24"/>
          <w:lang w:val="en-GB"/>
        </w:rPr>
        <w:t xml:space="preserve"> Fig</w:t>
      </w:r>
      <w:r w:rsidR="00E004C2"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8a-c). Analysis of TCR clonotypes in tumours and corresponding expanded TIL cultures (</w:t>
      </w:r>
      <w:r w:rsidR="005D7924" w:rsidRPr="0040743B">
        <w:rPr>
          <w:rFonts w:ascii="Times New Roman" w:hAnsi="Times New Roman" w:cs="Times New Roman"/>
          <w:sz w:val="24"/>
          <w:szCs w:val="24"/>
          <w:lang w:val="en-GB"/>
        </w:rPr>
        <w:t>n</w:t>
      </w:r>
      <w:r w:rsidRPr="0040743B">
        <w:rPr>
          <w:rFonts w:ascii="Times New Roman" w:hAnsi="Times New Roman" w:cs="Times New Roman"/>
          <w:sz w:val="24"/>
          <w:szCs w:val="24"/>
          <w:lang w:val="en-GB"/>
        </w:rPr>
        <w:t>=3) revealed relatively few amplified TCR clonotypes in glioma tissue, in line with recent flow cytometry-based data</w:t>
      </w:r>
      <w:r w:rsidR="00C4661B" w:rsidRPr="0040743B">
        <w:rPr>
          <w:rFonts w:ascii="Times New Roman" w:hAnsi="Times New Roman" w:cs="Times New Roman"/>
          <w:noProof/>
          <w:sz w:val="24"/>
          <w:szCs w:val="24"/>
          <w:vertAlign w:val="superscript"/>
        </w:rPr>
        <w:t>21</w:t>
      </w:r>
      <w:r w:rsidRPr="0040743B">
        <w:rPr>
          <w:rFonts w:ascii="Times New Roman" w:hAnsi="Times New Roman" w:cs="Times New Roman"/>
          <w:sz w:val="24"/>
          <w:szCs w:val="24"/>
          <w:lang w:val="en-GB"/>
        </w:rPr>
        <w:t>, but in contrast to previous observations for TIL in other indications</w:t>
      </w:r>
      <w:r w:rsidR="00C4661B" w:rsidRPr="0040743B">
        <w:rPr>
          <w:rFonts w:ascii="Times New Roman" w:hAnsi="Times New Roman" w:cs="Times New Roman"/>
          <w:noProof/>
          <w:sz w:val="24"/>
          <w:szCs w:val="24"/>
          <w:vertAlign w:val="superscript"/>
        </w:rPr>
        <w:t>22,23</w:t>
      </w:r>
      <w:r w:rsidRPr="0040743B">
        <w:rPr>
          <w:rFonts w:ascii="Times New Roman" w:hAnsi="Times New Roman" w:cs="Times New Roman"/>
          <w:sz w:val="24"/>
          <w:szCs w:val="24"/>
          <w:lang w:val="en-GB"/>
        </w:rPr>
        <w:t xml:space="preserve">. Interestingly, even fewer TCR clonotypes expanded </w:t>
      </w:r>
      <w:r w:rsidRPr="0040743B">
        <w:rPr>
          <w:rFonts w:ascii="Times New Roman" w:hAnsi="Times New Roman" w:cs="Times New Roman"/>
          <w:i/>
          <w:iCs/>
          <w:sz w:val="24"/>
          <w:szCs w:val="24"/>
          <w:lang w:val="en-GB"/>
        </w:rPr>
        <w:t>in vitro</w:t>
      </w:r>
      <w:r w:rsidRPr="0040743B">
        <w:rPr>
          <w:rFonts w:ascii="Times New Roman" w:hAnsi="Times New Roman" w:cs="Times New Roman"/>
          <w:sz w:val="24"/>
          <w:szCs w:val="24"/>
          <w:lang w:val="en-GB"/>
        </w:rPr>
        <w:t xml:space="preserve"> (</w:t>
      </w:r>
      <w:r w:rsidR="00E004C2"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 8d). Not a single APVAC reactivity was detected in any pre-vaccination TIL cultures from GAPVAC-101 patients </w:t>
      </w:r>
      <w:r w:rsidR="00CF4C33" w:rsidRPr="0040743B">
        <w:rPr>
          <w:rFonts w:ascii="Times New Roman" w:hAnsi="Times New Roman" w:cs="Times New Roman"/>
          <w:sz w:val="24"/>
          <w:szCs w:val="24"/>
          <w:lang w:val="en-GB"/>
        </w:rPr>
        <w:t>or</w:t>
      </w:r>
      <w:r w:rsidRPr="0040743B">
        <w:rPr>
          <w:rFonts w:ascii="Times New Roman" w:hAnsi="Times New Roman" w:cs="Times New Roman"/>
          <w:sz w:val="24"/>
          <w:szCs w:val="24"/>
          <w:lang w:val="en-GB"/>
        </w:rPr>
        <w:t xml:space="preserve"> other GB patients (</w:t>
      </w:r>
      <w:r w:rsidR="005D7924" w:rsidRPr="0040743B">
        <w:rPr>
          <w:rFonts w:ascii="Times New Roman" w:hAnsi="Times New Roman" w:cs="Times New Roman"/>
          <w:sz w:val="24"/>
          <w:szCs w:val="24"/>
          <w:lang w:val="en-GB"/>
        </w:rPr>
        <w:t>n</w:t>
      </w:r>
      <w:r w:rsidRPr="0040743B">
        <w:rPr>
          <w:rFonts w:ascii="Times New Roman" w:hAnsi="Times New Roman" w:cs="Times New Roman"/>
          <w:sz w:val="24"/>
          <w:szCs w:val="24"/>
          <w:lang w:val="en-GB"/>
        </w:rPr>
        <w:t>=30 total, data not shown), suggesting that spontaneous T-cell immunity against GB is rare, but may be inducible by vaccination.</w:t>
      </w:r>
    </w:p>
    <w:p w14:paraId="63E9A359" w14:textId="3B40DABE" w:rsidR="00A6442F" w:rsidRPr="0040743B" w:rsidRDefault="00BD118C">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Some c</w:t>
      </w:r>
      <w:r w:rsidR="00F9485C" w:rsidRPr="0040743B">
        <w:rPr>
          <w:rFonts w:ascii="Times New Roman" w:hAnsi="Times New Roman" w:cs="Times New Roman"/>
          <w:sz w:val="24"/>
          <w:szCs w:val="24"/>
          <w:lang w:val="en-GB"/>
        </w:rPr>
        <w:t>entrally confirmed radiographic responses were reported</w:t>
      </w:r>
      <w:r w:rsidR="001A4544" w:rsidRPr="0040743B">
        <w:rPr>
          <w:rFonts w:ascii="Times New Roman" w:hAnsi="Times New Roman" w:cs="Times New Roman"/>
          <w:sz w:val="24"/>
          <w:szCs w:val="24"/>
          <w:lang w:val="en-GB"/>
        </w:rPr>
        <w:t xml:space="preserve"> (Fig. 5a)</w:t>
      </w:r>
      <w:r w:rsidRPr="0040743B">
        <w:rPr>
          <w:rFonts w:ascii="Times New Roman" w:hAnsi="Times New Roman" w:cs="Times New Roman"/>
          <w:sz w:val="24"/>
          <w:szCs w:val="24"/>
          <w:lang w:val="en-GB"/>
        </w:rPr>
        <w:t xml:space="preserve">. </w:t>
      </w:r>
      <w:r w:rsidR="00F9485C" w:rsidRPr="0040743B">
        <w:rPr>
          <w:rFonts w:ascii="Times New Roman" w:hAnsi="Times New Roman" w:cs="Times New Roman"/>
          <w:sz w:val="24"/>
          <w:szCs w:val="24"/>
          <w:lang w:val="en-GB"/>
        </w:rPr>
        <w:t xml:space="preserve">However, </w:t>
      </w:r>
      <w:r w:rsidR="00EC0305" w:rsidRPr="0040743B">
        <w:rPr>
          <w:rFonts w:ascii="Times New Roman" w:hAnsi="Times New Roman" w:cs="Times New Roman"/>
          <w:sz w:val="24"/>
          <w:szCs w:val="24"/>
          <w:lang w:val="en-GB"/>
        </w:rPr>
        <w:t xml:space="preserve">in </w:t>
      </w:r>
      <w:r w:rsidR="00F9485C" w:rsidRPr="0040743B">
        <w:rPr>
          <w:rFonts w:ascii="Times New Roman" w:hAnsi="Times New Roman" w:cs="Times New Roman"/>
          <w:sz w:val="24"/>
          <w:szCs w:val="24"/>
          <w:lang w:val="en-GB"/>
        </w:rPr>
        <w:t xml:space="preserve">the months after chemoradiotherapy and </w:t>
      </w:r>
      <w:r w:rsidR="00E1478A" w:rsidRPr="0040743B">
        <w:rPr>
          <w:rFonts w:ascii="Times New Roman" w:hAnsi="Times New Roman" w:cs="Times New Roman"/>
          <w:sz w:val="24"/>
          <w:szCs w:val="24"/>
          <w:lang w:val="en-GB"/>
        </w:rPr>
        <w:t>maintenance</w:t>
      </w:r>
      <w:r w:rsidR="00807F49" w:rsidRPr="0040743B">
        <w:rPr>
          <w:rFonts w:ascii="Times New Roman" w:hAnsi="Times New Roman" w:cs="Times New Roman"/>
          <w:sz w:val="24"/>
          <w:szCs w:val="24"/>
          <w:lang w:val="en-GB"/>
        </w:rPr>
        <w:t xml:space="preserve"> </w:t>
      </w:r>
      <w:r w:rsidR="00F9485C" w:rsidRPr="0040743B">
        <w:rPr>
          <w:rFonts w:ascii="Times New Roman" w:hAnsi="Times New Roman" w:cs="Times New Roman"/>
          <w:sz w:val="24"/>
          <w:szCs w:val="24"/>
          <w:lang w:val="en-GB"/>
        </w:rPr>
        <w:t xml:space="preserve">TMZ </w:t>
      </w:r>
      <w:r w:rsidR="002F46DC" w:rsidRPr="0040743B">
        <w:rPr>
          <w:rFonts w:ascii="Times New Roman" w:hAnsi="Times New Roman" w:cs="Times New Roman"/>
          <w:sz w:val="24"/>
          <w:szCs w:val="24"/>
          <w:lang w:val="en-GB"/>
        </w:rPr>
        <w:t>such changes</w:t>
      </w:r>
      <w:r w:rsidR="00F9485C" w:rsidRPr="0040743B">
        <w:rPr>
          <w:rFonts w:ascii="Times New Roman" w:hAnsi="Times New Roman" w:cs="Times New Roman"/>
          <w:sz w:val="24"/>
          <w:szCs w:val="24"/>
          <w:lang w:val="en-GB"/>
        </w:rPr>
        <w:t xml:space="preserve"> are frequently seen.</w:t>
      </w:r>
      <w:r w:rsidRPr="0040743B">
        <w:rPr>
          <w:rFonts w:ascii="Times New Roman" w:hAnsi="Times New Roman" w:cs="Times New Roman"/>
          <w:sz w:val="24"/>
          <w:szCs w:val="24"/>
          <w:lang w:val="en-GB"/>
        </w:rPr>
        <w:t xml:space="preserve"> </w:t>
      </w:r>
      <w:r w:rsidR="00F9485C" w:rsidRPr="0040743B">
        <w:rPr>
          <w:rFonts w:ascii="Times New Roman" w:hAnsi="Times New Roman" w:cs="Times New Roman"/>
          <w:sz w:val="24"/>
          <w:szCs w:val="24"/>
          <w:lang w:val="en-GB"/>
        </w:rPr>
        <w:t>Patients that received vaccinations (</w:t>
      </w:r>
      <w:r w:rsidR="005D7924" w:rsidRPr="0040743B">
        <w:rPr>
          <w:rFonts w:ascii="Times New Roman" w:hAnsi="Times New Roman" w:cs="Times New Roman"/>
          <w:sz w:val="24"/>
          <w:szCs w:val="24"/>
          <w:lang w:val="en-GB"/>
        </w:rPr>
        <w:t>n</w:t>
      </w:r>
      <w:r w:rsidR="00F9485C" w:rsidRPr="0040743B">
        <w:rPr>
          <w:rFonts w:ascii="Times New Roman" w:hAnsi="Times New Roman" w:cs="Times New Roman"/>
          <w:sz w:val="24"/>
          <w:szCs w:val="24"/>
          <w:lang w:val="en-GB"/>
        </w:rPr>
        <w:t xml:space="preserve">=15) had a median </w:t>
      </w:r>
      <w:r w:rsidR="00653B93" w:rsidRPr="0040743B">
        <w:rPr>
          <w:rFonts w:ascii="Times New Roman" w:hAnsi="Times New Roman" w:cs="Times New Roman"/>
          <w:sz w:val="24"/>
          <w:szCs w:val="24"/>
          <w:lang w:val="en-GB"/>
        </w:rPr>
        <w:t>overall survival</w:t>
      </w:r>
      <w:r w:rsidR="0054097E" w:rsidRPr="0040743B">
        <w:rPr>
          <w:rFonts w:ascii="Times New Roman" w:hAnsi="Times New Roman" w:cs="Times New Roman"/>
          <w:sz w:val="24"/>
          <w:szCs w:val="24"/>
          <w:lang w:val="en-GB"/>
        </w:rPr>
        <w:t xml:space="preserve"> (OS)</w:t>
      </w:r>
      <w:r w:rsidR="00653B93" w:rsidRPr="0040743B">
        <w:rPr>
          <w:rFonts w:ascii="Times New Roman" w:hAnsi="Times New Roman" w:cs="Times New Roman"/>
          <w:sz w:val="24"/>
          <w:szCs w:val="24"/>
          <w:lang w:val="en-GB"/>
        </w:rPr>
        <w:t xml:space="preserve"> </w:t>
      </w:r>
      <w:r w:rsidR="00F9485C" w:rsidRPr="0040743B">
        <w:rPr>
          <w:rFonts w:ascii="Times New Roman" w:hAnsi="Times New Roman" w:cs="Times New Roman"/>
          <w:sz w:val="24"/>
          <w:szCs w:val="24"/>
          <w:lang w:val="en-GB"/>
        </w:rPr>
        <w:t>of 29.0 months from diagnosis</w:t>
      </w:r>
      <w:r w:rsidR="00F86E4B" w:rsidRPr="0040743B">
        <w:rPr>
          <w:rFonts w:ascii="Times New Roman" w:hAnsi="Times New Roman" w:cs="Times New Roman"/>
          <w:sz w:val="24"/>
          <w:szCs w:val="24"/>
          <w:lang w:val="en-GB"/>
        </w:rPr>
        <w:t xml:space="preserve"> and a</w:t>
      </w:r>
      <w:r w:rsidR="00E119BB" w:rsidRPr="0040743B">
        <w:rPr>
          <w:rFonts w:ascii="Times New Roman" w:hAnsi="Times New Roman" w:cs="Times New Roman"/>
          <w:sz w:val="24"/>
          <w:szCs w:val="24"/>
          <w:lang w:val="en-GB"/>
        </w:rPr>
        <w:t xml:space="preserve"> </w:t>
      </w:r>
      <w:r w:rsidR="00F86E4B" w:rsidRPr="0040743B">
        <w:rPr>
          <w:rFonts w:ascii="Times New Roman" w:hAnsi="Times New Roman" w:cs="Times New Roman"/>
          <w:sz w:val="24"/>
          <w:szCs w:val="24"/>
          <w:lang w:val="en-GB"/>
        </w:rPr>
        <w:t>m</w:t>
      </w:r>
      <w:r w:rsidR="00F9485C" w:rsidRPr="0040743B">
        <w:rPr>
          <w:rFonts w:ascii="Times New Roman" w:hAnsi="Times New Roman" w:cs="Times New Roman"/>
          <w:sz w:val="24"/>
          <w:szCs w:val="24"/>
          <w:lang w:val="en-GB"/>
        </w:rPr>
        <w:t>edian progression-free survival</w:t>
      </w:r>
      <w:r w:rsidR="00860B95" w:rsidRPr="0040743B">
        <w:rPr>
          <w:rFonts w:ascii="Times New Roman" w:hAnsi="Times New Roman" w:cs="Times New Roman"/>
          <w:sz w:val="24"/>
          <w:szCs w:val="24"/>
          <w:lang w:val="en-GB"/>
        </w:rPr>
        <w:t xml:space="preserve"> (PFS)</w:t>
      </w:r>
      <w:r w:rsidR="00F9485C" w:rsidRPr="0040743B">
        <w:rPr>
          <w:rFonts w:ascii="Times New Roman" w:hAnsi="Times New Roman" w:cs="Times New Roman"/>
          <w:sz w:val="24"/>
          <w:szCs w:val="24"/>
          <w:lang w:val="en-GB"/>
        </w:rPr>
        <w:t xml:space="preserve"> </w:t>
      </w:r>
      <w:r w:rsidR="00E119BB" w:rsidRPr="0040743B">
        <w:rPr>
          <w:rFonts w:ascii="Times New Roman" w:hAnsi="Times New Roman" w:cs="Times New Roman"/>
          <w:sz w:val="24"/>
          <w:szCs w:val="24"/>
          <w:lang w:val="en-GB"/>
        </w:rPr>
        <w:t>of</w:t>
      </w:r>
      <w:r w:rsidR="00F9485C" w:rsidRPr="0040743B">
        <w:rPr>
          <w:rFonts w:ascii="Times New Roman" w:hAnsi="Times New Roman" w:cs="Times New Roman"/>
          <w:sz w:val="24"/>
          <w:szCs w:val="24"/>
          <w:lang w:val="en-GB"/>
        </w:rPr>
        <w:t xml:space="preserve"> 14.2 months (E</w:t>
      </w:r>
      <w:r w:rsidR="00653B93" w:rsidRPr="0040743B">
        <w:rPr>
          <w:rFonts w:ascii="Times New Roman" w:hAnsi="Times New Roman" w:cs="Times New Roman"/>
          <w:sz w:val="24"/>
          <w:szCs w:val="24"/>
          <w:lang w:val="en-GB"/>
        </w:rPr>
        <w:t>xtended</w:t>
      </w:r>
      <w:r w:rsidR="00F86E4B" w:rsidRPr="0040743B">
        <w:rPr>
          <w:rFonts w:ascii="Times New Roman" w:hAnsi="Times New Roman" w:cs="Times New Roman"/>
          <w:sz w:val="24"/>
          <w:szCs w:val="24"/>
          <w:lang w:val="en-GB"/>
        </w:rPr>
        <w:t xml:space="preserve"> Data</w:t>
      </w:r>
      <w:r w:rsidR="00F9485C" w:rsidRPr="0040743B">
        <w:rPr>
          <w:rFonts w:ascii="Times New Roman" w:hAnsi="Times New Roman" w:cs="Times New Roman"/>
          <w:sz w:val="24"/>
          <w:szCs w:val="24"/>
          <w:lang w:val="en-GB"/>
        </w:rPr>
        <w:t xml:space="preserve"> Fig</w:t>
      </w:r>
      <w:r w:rsidR="00E119BB" w:rsidRPr="0040743B">
        <w:rPr>
          <w:rFonts w:ascii="Times New Roman" w:hAnsi="Times New Roman" w:cs="Times New Roman"/>
          <w:sz w:val="24"/>
          <w:szCs w:val="24"/>
          <w:lang w:val="en-GB"/>
        </w:rPr>
        <w:t>s.</w:t>
      </w:r>
      <w:r w:rsidR="00F9485C" w:rsidRPr="0040743B">
        <w:rPr>
          <w:rFonts w:ascii="Times New Roman" w:hAnsi="Times New Roman" w:cs="Times New Roman"/>
          <w:sz w:val="24"/>
          <w:szCs w:val="24"/>
          <w:lang w:val="en-GB"/>
        </w:rPr>
        <w:t xml:space="preserve"> 9</w:t>
      </w:r>
      <w:r w:rsidR="00E119BB" w:rsidRPr="0040743B">
        <w:rPr>
          <w:rFonts w:ascii="Times New Roman" w:hAnsi="Times New Roman" w:cs="Times New Roman"/>
          <w:sz w:val="24"/>
          <w:szCs w:val="24"/>
          <w:lang w:val="en-GB"/>
        </w:rPr>
        <w:t>a</w:t>
      </w:r>
      <w:r w:rsidR="00505074" w:rsidRPr="0040743B">
        <w:rPr>
          <w:rFonts w:ascii="Times New Roman" w:hAnsi="Times New Roman" w:cs="Times New Roman"/>
          <w:sz w:val="24"/>
          <w:szCs w:val="24"/>
          <w:lang w:val="en-GB"/>
        </w:rPr>
        <w:t>-</w:t>
      </w:r>
      <w:r w:rsidR="00F9485C" w:rsidRPr="0040743B">
        <w:rPr>
          <w:rFonts w:ascii="Times New Roman" w:hAnsi="Times New Roman" w:cs="Times New Roman"/>
          <w:sz w:val="24"/>
          <w:szCs w:val="24"/>
          <w:lang w:val="en-GB"/>
        </w:rPr>
        <w:t>b</w:t>
      </w:r>
      <w:r w:rsidR="00505074" w:rsidRPr="0040743B">
        <w:rPr>
          <w:rFonts w:ascii="Times New Roman" w:hAnsi="Times New Roman" w:cs="Times New Roman"/>
          <w:sz w:val="24"/>
          <w:szCs w:val="24"/>
          <w:lang w:val="en-GB"/>
        </w:rPr>
        <w:t>;</w:t>
      </w:r>
      <w:r w:rsidR="00005648" w:rsidRPr="0040743B">
        <w:rPr>
          <w:rFonts w:ascii="Times New Roman" w:hAnsi="Times New Roman" w:cs="Times New Roman"/>
          <w:sz w:val="24"/>
          <w:szCs w:val="24"/>
          <w:lang w:val="en-GB"/>
        </w:rPr>
        <w:t xml:space="preserve"> Table 1</w:t>
      </w:r>
      <w:r w:rsidR="00F9485C" w:rsidRPr="0040743B">
        <w:rPr>
          <w:rFonts w:ascii="Times New Roman" w:hAnsi="Times New Roman" w:cs="Times New Roman"/>
          <w:sz w:val="24"/>
          <w:szCs w:val="24"/>
          <w:lang w:val="en-GB"/>
        </w:rPr>
        <w:t xml:space="preserve">). Patient 08 with a resolved pseudo-progression and an OS of </w:t>
      </w:r>
      <w:r w:rsidR="00465205" w:rsidRPr="0040743B">
        <w:rPr>
          <w:rFonts w:ascii="Times New Roman" w:hAnsi="Times New Roman" w:cs="Times New Roman"/>
          <w:sz w:val="24"/>
          <w:szCs w:val="24"/>
          <w:lang w:val="en-GB"/>
        </w:rPr>
        <w:t>&gt;</w:t>
      </w:r>
      <w:r w:rsidR="00F9485C" w:rsidRPr="0040743B">
        <w:rPr>
          <w:rFonts w:ascii="Times New Roman" w:hAnsi="Times New Roman" w:cs="Times New Roman"/>
          <w:sz w:val="24"/>
          <w:szCs w:val="24"/>
          <w:lang w:val="en-GB"/>
        </w:rPr>
        <w:t xml:space="preserve">38.9 months experienced </w:t>
      </w:r>
      <w:r w:rsidR="00C140DC" w:rsidRPr="0040743B">
        <w:rPr>
          <w:rFonts w:ascii="Times New Roman" w:hAnsi="Times New Roman" w:cs="Times New Roman"/>
          <w:sz w:val="24"/>
          <w:szCs w:val="24"/>
          <w:lang w:val="en-GB"/>
        </w:rPr>
        <w:t xml:space="preserve">a </w:t>
      </w:r>
      <w:r w:rsidR="00F9485C" w:rsidRPr="0040743B">
        <w:rPr>
          <w:rFonts w:ascii="Times New Roman" w:hAnsi="Times New Roman" w:cs="Times New Roman"/>
          <w:sz w:val="24"/>
          <w:szCs w:val="24"/>
          <w:lang w:val="en-GB"/>
        </w:rPr>
        <w:t>favourable immune response</w:t>
      </w:r>
      <w:r w:rsidR="00B64CAF" w:rsidRPr="0040743B">
        <w:rPr>
          <w:rFonts w:ascii="Times New Roman" w:hAnsi="Times New Roman" w:cs="Times New Roman"/>
          <w:sz w:val="24"/>
          <w:szCs w:val="24"/>
          <w:lang w:val="en-GB"/>
        </w:rPr>
        <w:t xml:space="preserve"> pattern</w:t>
      </w:r>
      <w:r w:rsidR="00F9485C" w:rsidRPr="0040743B">
        <w:rPr>
          <w:rFonts w:ascii="Times New Roman" w:hAnsi="Times New Roman" w:cs="Times New Roman"/>
          <w:sz w:val="24"/>
          <w:szCs w:val="24"/>
          <w:lang w:val="en-GB"/>
        </w:rPr>
        <w:t xml:space="preserve">, with </w:t>
      </w:r>
      <w:r w:rsidR="00B64CAF" w:rsidRPr="0040743B">
        <w:rPr>
          <w:rFonts w:ascii="Times New Roman" w:hAnsi="Times New Roman" w:cs="Times New Roman"/>
          <w:sz w:val="24"/>
          <w:szCs w:val="24"/>
          <w:lang w:val="en-GB"/>
        </w:rPr>
        <w:t>CD8</w:t>
      </w:r>
      <w:r w:rsidR="00B64CAF" w:rsidRPr="0040743B">
        <w:rPr>
          <w:rFonts w:ascii="Times New Roman" w:hAnsi="Times New Roman" w:cs="Times New Roman"/>
          <w:sz w:val="24"/>
          <w:szCs w:val="24"/>
          <w:vertAlign w:val="superscript"/>
          <w:lang w:val="en-GB"/>
        </w:rPr>
        <w:t>+</w:t>
      </w:r>
      <w:r w:rsidR="00B64CAF" w:rsidRPr="0040743B">
        <w:rPr>
          <w:rFonts w:ascii="Times New Roman" w:hAnsi="Times New Roman" w:cs="Times New Roman"/>
          <w:sz w:val="24"/>
          <w:szCs w:val="24"/>
          <w:lang w:val="en-GB"/>
        </w:rPr>
        <w:t xml:space="preserve"> T-cell response</w:t>
      </w:r>
      <w:r w:rsidR="00064F9B" w:rsidRPr="0040743B">
        <w:rPr>
          <w:rFonts w:ascii="Times New Roman" w:hAnsi="Times New Roman" w:cs="Times New Roman"/>
          <w:sz w:val="24"/>
          <w:szCs w:val="24"/>
          <w:lang w:val="en-GB"/>
        </w:rPr>
        <w:t>s</w:t>
      </w:r>
      <w:r w:rsidR="00B64CAF" w:rsidRPr="0040743B">
        <w:rPr>
          <w:rFonts w:ascii="Times New Roman" w:hAnsi="Times New Roman" w:cs="Times New Roman"/>
          <w:sz w:val="24"/>
          <w:szCs w:val="24"/>
          <w:lang w:val="en-GB"/>
        </w:rPr>
        <w:t xml:space="preserve"> to </w:t>
      </w:r>
      <w:r w:rsidR="00F9485C" w:rsidRPr="0040743B">
        <w:rPr>
          <w:rFonts w:ascii="Times New Roman" w:hAnsi="Times New Roman" w:cs="Times New Roman"/>
          <w:sz w:val="24"/>
          <w:szCs w:val="24"/>
          <w:lang w:val="en-GB"/>
        </w:rPr>
        <w:t xml:space="preserve">five APVAC1 </w:t>
      </w:r>
      <w:r w:rsidR="00F9485C" w:rsidRPr="0040743B">
        <w:rPr>
          <w:rFonts w:ascii="Times New Roman" w:hAnsi="Times New Roman" w:cs="Times New Roman"/>
          <w:sz w:val="24"/>
          <w:szCs w:val="24"/>
          <w:lang w:val="en-GB"/>
        </w:rPr>
        <w:lastRenderedPageBreak/>
        <w:t>class I peptides, T</w:t>
      </w:r>
      <w:r w:rsidR="00F9485C" w:rsidRPr="0040743B">
        <w:rPr>
          <w:rFonts w:ascii="Times New Roman" w:hAnsi="Times New Roman" w:cs="Times New Roman"/>
          <w:sz w:val="24"/>
          <w:szCs w:val="24"/>
          <w:vertAlign w:val="subscript"/>
          <w:lang w:val="en-GB"/>
        </w:rPr>
        <w:t>H</w:t>
      </w:r>
      <w:r w:rsidR="00F9485C" w:rsidRPr="0040743B">
        <w:rPr>
          <w:rFonts w:ascii="Times New Roman" w:hAnsi="Times New Roman" w:cs="Times New Roman"/>
          <w:sz w:val="24"/>
          <w:szCs w:val="24"/>
          <w:lang w:val="en-GB"/>
        </w:rPr>
        <w:t xml:space="preserve">1 </w:t>
      </w:r>
      <w:r w:rsidR="005107ED" w:rsidRPr="0040743B">
        <w:rPr>
          <w:rFonts w:ascii="Times New Roman" w:hAnsi="Times New Roman" w:cs="Times New Roman"/>
          <w:sz w:val="24"/>
          <w:szCs w:val="24"/>
          <w:lang w:val="en-GB"/>
        </w:rPr>
        <w:t>CD4</w:t>
      </w:r>
      <w:r w:rsidR="005107ED" w:rsidRPr="0040743B">
        <w:rPr>
          <w:rFonts w:ascii="Times New Roman" w:hAnsi="Times New Roman" w:cs="Times New Roman"/>
          <w:sz w:val="24"/>
          <w:szCs w:val="24"/>
          <w:vertAlign w:val="superscript"/>
          <w:lang w:val="en-GB"/>
        </w:rPr>
        <w:t>+</w:t>
      </w:r>
      <w:r w:rsidR="005107ED" w:rsidRPr="0040743B">
        <w:rPr>
          <w:rFonts w:ascii="Times New Roman" w:hAnsi="Times New Roman" w:cs="Times New Roman"/>
          <w:sz w:val="24"/>
          <w:szCs w:val="24"/>
          <w:lang w:val="en-GB"/>
        </w:rPr>
        <w:t xml:space="preserve"> T-cell </w:t>
      </w:r>
      <w:r w:rsidR="00F9485C" w:rsidRPr="0040743B">
        <w:rPr>
          <w:rFonts w:ascii="Times New Roman" w:hAnsi="Times New Roman" w:cs="Times New Roman"/>
          <w:sz w:val="24"/>
          <w:szCs w:val="24"/>
          <w:lang w:val="en-GB"/>
        </w:rPr>
        <w:t xml:space="preserve">responses to both APVAC1 </w:t>
      </w:r>
      <w:r w:rsidR="00064F9B" w:rsidRPr="0040743B">
        <w:rPr>
          <w:rFonts w:ascii="Times New Roman" w:hAnsi="Times New Roman" w:cs="Times New Roman"/>
          <w:sz w:val="24"/>
          <w:szCs w:val="24"/>
          <w:lang w:val="en-GB"/>
        </w:rPr>
        <w:t>pan-DR</w:t>
      </w:r>
      <w:r w:rsidR="00F9485C" w:rsidRPr="0040743B">
        <w:rPr>
          <w:rFonts w:ascii="Times New Roman" w:hAnsi="Times New Roman" w:cs="Times New Roman"/>
          <w:sz w:val="24"/>
          <w:szCs w:val="24"/>
          <w:lang w:val="en-GB"/>
        </w:rPr>
        <w:t xml:space="preserve"> peptides, and a combined CD8</w:t>
      </w:r>
      <w:r w:rsidR="00F9485C" w:rsidRPr="0040743B">
        <w:rPr>
          <w:rFonts w:ascii="Times New Roman" w:hAnsi="Times New Roman" w:cs="Times New Roman"/>
          <w:sz w:val="24"/>
          <w:szCs w:val="24"/>
          <w:vertAlign w:val="superscript"/>
          <w:lang w:val="en-GB"/>
        </w:rPr>
        <w:t>+</w:t>
      </w:r>
      <w:r w:rsidR="00F9485C" w:rsidRPr="0040743B">
        <w:rPr>
          <w:rFonts w:ascii="Times New Roman" w:hAnsi="Times New Roman" w:cs="Times New Roman"/>
          <w:sz w:val="24"/>
          <w:szCs w:val="24"/>
          <w:lang w:val="en-GB"/>
        </w:rPr>
        <w:t xml:space="preserve"> and T</w:t>
      </w:r>
      <w:r w:rsidR="00F9485C" w:rsidRPr="0040743B">
        <w:rPr>
          <w:rFonts w:ascii="Times New Roman" w:hAnsi="Times New Roman" w:cs="Times New Roman"/>
          <w:sz w:val="24"/>
          <w:szCs w:val="24"/>
          <w:vertAlign w:val="subscript"/>
          <w:lang w:val="en-GB"/>
        </w:rPr>
        <w:t>H</w:t>
      </w:r>
      <w:r w:rsidR="00F9485C" w:rsidRPr="0040743B">
        <w:rPr>
          <w:rFonts w:ascii="Times New Roman" w:hAnsi="Times New Roman" w:cs="Times New Roman"/>
          <w:sz w:val="24"/>
          <w:szCs w:val="24"/>
          <w:lang w:val="en-GB"/>
        </w:rPr>
        <w:t>1 CD4</w:t>
      </w:r>
      <w:r w:rsidR="00F9485C" w:rsidRPr="0040743B">
        <w:rPr>
          <w:rFonts w:ascii="Times New Roman" w:hAnsi="Times New Roman" w:cs="Times New Roman"/>
          <w:sz w:val="24"/>
          <w:szCs w:val="24"/>
          <w:vertAlign w:val="superscript"/>
          <w:lang w:val="en-GB"/>
        </w:rPr>
        <w:t>+</w:t>
      </w:r>
      <w:r w:rsidR="00F9485C" w:rsidRPr="0040743B">
        <w:rPr>
          <w:rFonts w:ascii="Times New Roman" w:hAnsi="Times New Roman" w:cs="Times New Roman"/>
          <w:sz w:val="24"/>
          <w:szCs w:val="24"/>
          <w:lang w:val="en-GB"/>
        </w:rPr>
        <w:t xml:space="preserve"> T-cell response to a</w:t>
      </w:r>
      <w:r w:rsidR="00501FED" w:rsidRPr="0040743B">
        <w:rPr>
          <w:rFonts w:ascii="Times New Roman" w:hAnsi="Times New Roman" w:cs="Times New Roman"/>
          <w:sz w:val="24"/>
          <w:szCs w:val="24"/>
          <w:lang w:val="en-GB"/>
        </w:rPr>
        <w:t>n</w:t>
      </w:r>
      <w:r w:rsidR="00F9485C" w:rsidRPr="0040743B">
        <w:rPr>
          <w:rFonts w:ascii="Times New Roman" w:hAnsi="Times New Roman" w:cs="Times New Roman"/>
          <w:sz w:val="24"/>
          <w:szCs w:val="24"/>
          <w:lang w:val="en-GB"/>
        </w:rPr>
        <w:t xml:space="preserve"> APVAC2 </w:t>
      </w:r>
      <w:r w:rsidR="005B667F" w:rsidRPr="0040743B">
        <w:rPr>
          <w:rFonts w:ascii="Times New Roman" w:hAnsi="Times New Roman" w:cs="Times New Roman"/>
          <w:sz w:val="24"/>
          <w:szCs w:val="24"/>
          <w:lang w:val="en-GB"/>
        </w:rPr>
        <w:t>neo-epitope</w:t>
      </w:r>
      <w:r w:rsidR="00F9485C" w:rsidRPr="0040743B">
        <w:rPr>
          <w:rFonts w:ascii="Times New Roman" w:hAnsi="Times New Roman" w:cs="Times New Roman"/>
          <w:sz w:val="24"/>
          <w:szCs w:val="24"/>
          <w:lang w:val="en-GB"/>
        </w:rPr>
        <w:t xml:space="preserve">. The tumour was re-resected upon recurrence 26.4 months after diagnosis and demonstrated </w:t>
      </w:r>
      <w:r w:rsidR="00F34C3D" w:rsidRPr="0040743B">
        <w:rPr>
          <w:rFonts w:ascii="Times New Roman" w:hAnsi="Times New Roman" w:cs="Times New Roman"/>
          <w:sz w:val="24"/>
          <w:szCs w:val="24"/>
          <w:lang w:val="en-GB"/>
        </w:rPr>
        <w:t>high</w:t>
      </w:r>
      <w:r w:rsidR="00F9485C" w:rsidRPr="0040743B">
        <w:rPr>
          <w:rFonts w:ascii="Times New Roman" w:hAnsi="Times New Roman" w:cs="Times New Roman"/>
          <w:sz w:val="24"/>
          <w:szCs w:val="24"/>
          <w:lang w:val="en-GB"/>
        </w:rPr>
        <w:t xml:space="preserve"> infiltration by T cells with a favourable CD8</w:t>
      </w:r>
      <w:r w:rsidR="00F9485C" w:rsidRPr="0040743B">
        <w:rPr>
          <w:rFonts w:ascii="Times New Roman" w:hAnsi="Times New Roman" w:cs="Times New Roman"/>
          <w:sz w:val="24"/>
          <w:szCs w:val="24"/>
          <w:vertAlign w:val="superscript"/>
          <w:lang w:val="en-GB"/>
        </w:rPr>
        <w:t>+</w:t>
      </w:r>
      <w:r w:rsidR="00F9485C" w:rsidRPr="0040743B">
        <w:rPr>
          <w:rFonts w:ascii="Times New Roman" w:hAnsi="Times New Roman" w:cs="Times New Roman"/>
          <w:sz w:val="24"/>
          <w:szCs w:val="24"/>
          <w:lang w:val="en-GB"/>
        </w:rPr>
        <w:t>/T</w:t>
      </w:r>
      <w:r w:rsidR="00F9485C" w:rsidRPr="0040743B">
        <w:rPr>
          <w:rFonts w:ascii="Times New Roman" w:hAnsi="Times New Roman" w:cs="Times New Roman"/>
          <w:sz w:val="24"/>
          <w:szCs w:val="24"/>
          <w:vertAlign w:val="subscript"/>
          <w:lang w:val="en-GB"/>
        </w:rPr>
        <w:t>reg</w:t>
      </w:r>
      <w:r w:rsidR="00F9485C" w:rsidRPr="0040743B">
        <w:rPr>
          <w:rFonts w:ascii="Times New Roman" w:hAnsi="Times New Roman" w:cs="Times New Roman"/>
          <w:sz w:val="24"/>
          <w:szCs w:val="24"/>
          <w:lang w:val="en-GB"/>
        </w:rPr>
        <w:t xml:space="preserve"> ratio (Fig. 5b). </w:t>
      </w:r>
      <w:r w:rsidR="00785680" w:rsidRPr="0040743B">
        <w:rPr>
          <w:rFonts w:ascii="Times New Roman" w:hAnsi="Times New Roman" w:cs="Times New Roman"/>
          <w:sz w:val="24"/>
          <w:szCs w:val="24"/>
          <w:lang w:val="en-GB"/>
        </w:rPr>
        <w:t xml:space="preserve">The tumour contained </w:t>
      </w:r>
      <w:r w:rsidR="00F9485C" w:rsidRPr="0040743B">
        <w:rPr>
          <w:rFonts w:ascii="Times New Roman" w:hAnsi="Times New Roman" w:cs="Times New Roman"/>
          <w:sz w:val="24"/>
          <w:szCs w:val="24"/>
          <w:lang w:val="en-GB"/>
        </w:rPr>
        <w:t>CD4</w:t>
      </w:r>
      <w:r w:rsidR="00F9485C" w:rsidRPr="0040743B">
        <w:rPr>
          <w:rFonts w:ascii="Times New Roman" w:hAnsi="Times New Roman" w:cs="Times New Roman"/>
          <w:sz w:val="24"/>
          <w:szCs w:val="24"/>
          <w:vertAlign w:val="superscript"/>
          <w:lang w:val="en-GB"/>
        </w:rPr>
        <w:t>+</w:t>
      </w:r>
      <w:r w:rsidR="00F9485C" w:rsidRPr="0040743B">
        <w:rPr>
          <w:rFonts w:ascii="Times New Roman" w:hAnsi="Times New Roman" w:cs="Times New Roman"/>
          <w:sz w:val="24"/>
          <w:szCs w:val="24"/>
          <w:lang w:val="en-GB"/>
        </w:rPr>
        <w:t xml:space="preserve"> T cells directed to the APVAC1 </w:t>
      </w:r>
      <w:r w:rsidR="00785680" w:rsidRPr="0040743B">
        <w:rPr>
          <w:rFonts w:ascii="Times New Roman" w:hAnsi="Times New Roman" w:cs="Times New Roman"/>
          <w:sz w:val="24"/>
          <w:szCs w:val="24"/>
          <w:lang w:val="en-GB"/>
        </w:rPr>
        <w:t>pan-DR</w:t>
      </w:r>
      <w:r w:rsidR="00F9485C" w:rsidRPr="0040743B">
        <w:rPr>
          <w:rFonts w:ascii="Times New Roman" w:hAnsi="Times New Roman" w:cs="Times New Roman"/>
          <w:sz w:val="24"/>
          <w:szCs w:val="24"/>
          <w:lang w:val="en-GB"/>
        </w:rPr>
        <w:t xml:space="preserve"> peptide PTP-010 (Fig. 5c)</w:t>
      </w:r>
      <w:r w:rsidR="009E326E" w:rsidRPr="0040743B">
        <w:rPr>
          <w:rFonts w:ascii="Times New Roman" w:hAnsi="Times New Roman" w:cs="Times New Roman"/>
          <w:sz w:val="24"/>
          <w:szCs w:val="24"/>
          <w:lang w:val="en-GB"/>
        </w:rPr>
        <w:t>,</w:t>
      </w:r>
      <w:r w:rsidR="00F9485C" w:rsidRPr="0040743B">
        <w:rPr>
          <w:rFonts w:ascii="Times New Roman" w:hAnsi="Times New Roman" w:cs="Times New Roman"/>
          <w:sz w:val="24"/>
          <w:szCs w:val="24"/>
          <w:lang w:val="en-GB"/>
        </w:rPr>
        <w:t xml:space="preserve"> correspond</w:t>
      </w:r>
      <w:r w:rsidR="009E326E" w:rsidRPr="0040743B">
        <w:rPr>
          <w:rFonts w:ascii="Times New Roman" w:hAnsi="Times New Roman" w:cs="Times New Roman"/>
          <w:sz w:val="24"/>
          <w:szCs w:val="24"/>
          <w:lang w:val="en-GB"/>
        </w:rPr>
        <w:t>ing</w:t>
      </w:r>
      <w:r w:rsidR="00F9485C" w:rsidRPr="0040743B">
        <w:rPr>
          <w:rFonts w:ascii="Times New Roman" w:hAnsi="Times New Roman" w:cs="Times New Roman"/>
          <w:sz w:val="24"/>
          <w:szCs w:val="24"/>
          <w:lang w:val="en-GB"/>
        </w:rPr>
        <w:t xml:space="preserve"> to a multi-functional, T</w:t>
      </w:r>
      <w:r w:rsidR="00F9485C" w:rsidRPr="0040743B">
        <w:rPr>
          <w:rFonts w:ascii="Times New Roman" w:hAnsi="Times New Roman" w:cs="Times New Roman"/>
          <w:sz w:val="24"/>
          <w:szCs w:val="24"/>
          <w:vertAlign w:val="subscript"/>
          <w:lang w:val="en-GB"/>
        </w:rPr>
        <w:t>H</w:t>
      </w:r>
      <w:r w:rsidR="00F9485C" w:rsidRPr="0040743B">
        <w:rPr>
          <w:rFonts w:ascii="Times New Roman" w:hAnsi="Times New Roman" w:cs="Times New Roman"/>
          <w:sz w:val="24"/>
          <w:szCs w:val="24"/>
          <w:lang w:val="en-GB"/>
        </w:rPr>
        <w:t>1-dominated reactivity in the periphery (Fig. 5d).</w:t>
      </w:r>
    </w:p>
    <w:p w14:paraId="4CEAF0A9" w14:textId="41E43C26" w:rsidR="00A87AA8" w:rsidRPr="0040743B" w:rsidRDefault="00F9485C">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 xml:space="preserve">The warehouse-based APVAC1 process resulted in truly individual drug compositions, justifying the complex personalization. The failure to identify any of the 643 genomic mutations in the HLA peptidome of the patients may </w:t>
      </w:r>
      <w:r w:rsidR="008A28F9" w:rsidRPr="0040743B">
        <w:rPr>
          <w:rFonts w:ascii="Times New Roman" w:hAnsi="Times New Roman" w:cs="Times New Roman"/>
          <w:sz w:val="24"/>
          <w:szCs w:val="24"/>
          <w:lang w:val="en-GB"/>
        </w:rPr>
        <w:t xml:space="preserve">be </w:t>
      </w:r>
      <w:r w:rsidRPr="0040743B">
        <w:rPr>
          <w:rFonts w:ascii="Times New Roman" w:hAnsi="Times New Roman" w:cs="Times New Roman"/>
          <w:sz w:val="24"/>
          <w:szCs w:val="24"/>
          <w:lang w:val="en-GB"/>
        </w:rPr>
        <w:t xml:space="preserve">partly due to the </w:t>
      </w:r>
      <w:r w:rsidR="008A28F9" w:rsidRPr="0040743B">
        <w:rPr>
          <w:rFonts w:ascii="Times New Roman" w:hAnsi="Times New Roman" w:cs="Times New Roman"/>
          <w:sz w:val="24"/>
          <w:szCs w:val="24"/>
          <w:lang w:val="en-GB"/>
        </w:rPr>
        <w:t xml:space="preserve">limited </w:t>
      </w:r>
      <w:r w:rsidRPr="0040743B">
        <w:rPr>
          <w:rFonts w:ascii="Times New Roman" w:hAnsi="Times New Roman" w:cs="Times New Roman"/>
          <w:sz w:val="24"/>
          <w:szCs w:val="24"/>
          <w:lang w:val="en-GB"/>
        </w:rPr>
        <w:t xml:space="preserve">sensitivity of the MS approach. However, </w:t>
      </w:r>
      <w:r w:rsidR="00F32DDE" w:rsidRPr="0040743B">
        <w:rPr>
          <w:rFonts w:ascii="Times New Roman" w:hAnsi="Times New Roman" w:cs="Times New Roman"/>
          <w:sz w:val="24"/>
          <w:szCs w:val="24"/>
          <w:lang w:val="en-GB"/>
        </w:rPr>
        <w:t xml:space="preserve">rates </w:t>
      </w:r>
      <w:r w:rsidR="00536656" w:rsidRPr="0040743B">
        <w:rPr>
          <w:rFonts w:ascii="Times New Roman" w:hAnsi="Times New Roman" w:cs="Times New Roman"/>
          <w:sz w:val="24"/>
          <w:szCs w:val="24"/>
          <w:lang w:val="en-GB"/>
        </w:rPr>
        <w:t xml:space="preserve">below 1% </w:t>
      </w:r>
      <w:r w:rsidR="00A25BFE" w:rsidRPr="0040743B">
        <w:rPr>
          <w:rFonts w:ascii="Times New Roman" w:hAnsi="Times New Roman" w:cs="Times New Roman"/>
          <w:sz w:val="24"/>
          <w:szCs w:val="24"/>
          <w:lang w:val="en-GB"/>
        </w:rPr>
        <w:t>were reported</w:t>
      </w:r>
      <w:r w:rsidR="00131EAE" w:rsidRPr="0040743B">
        <w:rPr>
          <w:rFonts w:ascii="Times New Roman" w:hAnsi="Times New Roman" w:cs="Times New Roman"/>
          <w:sz w:val="24"/>
          <w:szCs w:val="24"/>
          <w:lang w:val="en-GB"/>
        </w:rPr>
        <w:t xml:space="preserve"> previously</w:t>
      </w:r>
      <w:r w:rsidR="00A25BFE" w:rsidRPr="0040743B">
        <w:rPr>
          <w:rFonts w:ascii="Times New Roman" w:hAnsi="Times New Roman" w:cs="Times New Roman"/>
          <w:sz w:val="24"/>
          <w:szCs w:val="24"/>
          <w:lang w:val="en-GB"/>
        </w:rPr>
        <w:t xml:space="preserve"> </w:t>
      </w:r>
      <w:r w:rsidR="005955CC" w:rsidRPr="0040743B">
        <w:rPr>
          <w:rFonts w:ascii="Times New Roman" w:hAnsi="Times New Roman" w:cs="Times New Roman"/>
          <w:sz w:val="24"/>
          <w:szCs w:val="24"/>
          <w:lang w:val="en-GB"/>
        </w:rPr>
        <w:t>for the transition of mutations into</w:t>
      </w:r>
      <w:r w:rsidR="006D1325" w:rsidRPr="0040743B">
        <w:rPr>
          <w:rFonts w:ascii="Times New Roman" w:hAnsi="Times New Roman" w:cs="Times New Roman"/>
          <w:sz w:val="24"/>
          <w:szCs w:val="24"/>
          <w:lang w:val="en-GB"/>
        </w:rPr>
        <w:t xml:space="preserve"> </w:t>
      </w:r>
      <w:r w:rsidR="005955CC" w:rsidRPr="0040743B">
        <w:rPr>
          <w:rFonts w:ascii="Times New Roman" w:hAnsi="Times New Roman" w:cs="Times New Roman"/>
          <w:sz w:val="24"/>
          <w:szCs w:val="24"/>
          <w:lang w:val="en-GB"/>
        </w:rPr>
        <w:t xml:space="preserve">HLA class I </w:t>
      </w:r>
      <w:r w:rsidR="006D1325" w:rsidRPr="0040743B">
        <w:rPr>
          <w:rFonts w:ascii="Times New Roman" w:hAnsi="Times New Roman" w:cs="Times New Roman"/>
          <w:sz w:val="24"/>
          <w:szCs w:val="24"/>
          <w:lang w:val="en-GB"/>
        </w:rPr>
        <w:t>ligand</w:t>
      </w:r>
      <w:r w:rsidR="00580160" w:rsidRPr="0040743B">
        <w:rPr>
          <w:rFonts w:ascii="Times New Roman" w:hAnsi="Times New Roman" w:cs="Times New Roman"/>
          <w:sz w:val="24"/>
          <w:szCs w:val="24"/>
          <w:lang w:val="en-GB"/>
        </w:rPr>
        <w:t>s</w:t>
      </w:r>
      <w:r w:rsidR="00C4661B" w:rsidRPr="0040743B">
        <w:rPr>
          <w:rFonts w:ascii="Times New Roman" w:hAnsi="Times New Roman" w:cs="Times New Roman"/>
          <w:noProof/>
          <w:sz w:val="24"/>
          <w:szCs w:val="24"/>
          <w:vertAlign w:val="superscript"/>
        </w:rPr>
        <w:t>9,24</w:t>
      </w:r>
      <w:r w:rsidRPr="0040743B">
        <w:rPr>
          <w:rFonts w:ascii="Times New Roman" w:hAnsi="Times New Roman" w:cs="Times New Roman"/>
          <w:sz w:val="24"/>
          <w:szCs w:val="24"/>
          <w:lang w:val="en-GB"/>
        </w:rPr>
        <w:t xml:space="preserve"> suggest</w:t>
      </w:r>
      <w:r w:rsidR="00580160" w:rsidRPr="0040743B">
        <w:rPr>
          <w:rFonts w:ascii="Times New Roman" w:hAnsi="Times New Roman" w:cs="Times New Roman"/>
          <w:sz w:val="24"/>
          <w:szCs w:val="24"/>
          <w:lang w:val="en-GB"/>
        </w:rPr>
        <w:t>ing</w:t>
      </w:r>
      <w:r w:rsidRPr="0040743B">
        <w:rPr>
          <w:rFonts w:ascii="Times New Roman" w:hAnsi="Times New Roman" w:cs="Times New Roman"/>
          <w:sz w:val="24"/>
          <w:szCs w:val="24"/>
          <w:lang w:val="en-GB"/>
        </w:rPr>
        <w:t xml:space="preserve"> that the GAPVAC-101 data may partially reflect high attrition of mutations from the </w:t>
      </w:r>
      <w:r w:rsidR="00D921ED" w:rsidRPr="0040743B">
        <w:rPr>
          <w:rFonts w:ascii="Times New Roman" w:hAnsi="Times New Roman" w:cs="Times New Roman"/>
          <w:sz w:val="24"/>
          <w:szCs w:val="24"/>
          <w:lang w:val="en-GB"/>
        </w:rPr>
        <w:t>genetic</w:t>
      </w:r>
      <w:r w:rsidRPr="0040743B">
        <w:rPr>
          <w:rFonts w:ascii="Times New Roman" w:hAnsi="Times New Roman" w:cs="Times New Roman"/>
          <w:sz w:val="24"/>
          <w:szCs w:val="24"/>
          <w:lang w:val="en-GB"/>
        </w:rPr>
        <w:t xml:space="preserve"> level to actual HLA presentation of mutated peptides</w:t>
      </w:r>
      <w:r w:rsidR="00296102"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00470CDD" w:rsidRPr="0040743B">
        <w:rPr>
          <w:rFonts w:ascii="Times New Roman" w:hAnsi="Times New Roman" w:cs="Times New Roman"/>
          <w:sz w:val="24"/>
          <w:szCs w:val="24"/>
          <w:lang w:val="en-GB"/>
        </w:rPr>
        <w:t>T</w:t>
      </w:r>
      <w:r w:rsidRPr="0040743B">
        <w:rPr>
          <w:rFonts w:ascii="Times New Roman" w:hAnsi="Times New Roman" w:cs="Times New Roman"/>
          <w:sz w:val="24"/>
          <w:szCs w:val="24"/>
          <w:lang w:val="en-GB"/>
        </w:rPr>
        <w:t>his hypothesis</w:t>
      </w:r>
      <w:r w:rsidR="00470CDD" w:rsidRPr="0040743B">
        <w:rPr>
          <w:rFonts w:ascii="Times New Roman" w:hAnsi="Times New Roman" w:cs="Times New Roman"/>
          <w:sz w:val="24"/>
          <w:szCs w:val="24"/>
          <w:lang w:val="en-GB"/>
        </w:rPr>
        <w:t xml:space="preserve"> is supported by the finding that during immunological validation of mutations</w:t>
      </w:r>
      <w:r w:rsidR="00F62971"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TIL were found reactive against 1.2% of mutations only</w:t>
      </w:r>
      <w:r w:rsidR="00C4661B" w:rsidRPr="0040743B">
        <w:rPr>
          <w:rFonts w:ascii="Times New Roman" w:hAnsi="Times New Roman" w:cs="Times New Roman"/>
          <w:noProof/>
          <w:sz w:val="24"/>
          <w:szCs w:val="24"/>
          <w:vertAlign w:val="superscript"/>
        </w:rPr>
        <w:t>25</w:t>
      </w:r>
      <w:r w:rsidRPr="0040743B">
        <w:rPr>
          <w:rFonts w:ascii="Times New Roman" w:hAnsi="Times New Roman" w:cs="Times New Roman"/>
          <w:sz w:val="24"/>
          <w:szCs w:val="24"/>
          <w:lang w:val="en-GB"/>
        </w:rPr>
        <w:t xml:space="preserve">. </w:t>
      </w:r>
      <w:r w:rsidR="00FF637E" w:rsidRPr="0040743B">
        <w:rPr>
          <w:rFonts w:ascii="Times New Roman" w:hAnsi="Times New Roman" w:cs="Times New Roman"/>
          <w:sz w:val="24"/>
          <w:szCs w:val="24"/>
          <w:lang w:val="en-GB"/>
        </w:rPr>
        <w:t>Noteworthy</w:t>
      </w:r>
      <w:r w:rsidR="007E486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00FF637E" w:rsidRPr="0040743B">
        <w:rPr>
          <w:rFonts w:ascii="Times New Roman" w:hAnsi="Times New Roman" w:cs="Times New Roman"/>
          <w:sz w:val="24"/>
          <w:szCs w:val="24"/>
          <w:lang w:val="en-GB"/>
        </w:rPr>
        <w:t xml:space="preserve">the same MS approach as applied here </w:t>
      </w:r>
      <w:r w:rsidR="00E35972" w:rsidRPr="0040743B">
        <w:rPr>
          <w:rFonts w:ascii="Times New Roman" w:hAnsi="Times New Roman" w:cs="Times New Roman"/>
          <w:sz w:val="24"/>
          <w:szCs w:val="24"/>
          <w:lang w:val="en-GB"/>
        </w:rPr>
        <w:t>was able to</w:t>
      </w:r>
      <w:r w:rsidR="002A582D" w:rsidRPr="0040743B">
        <w:rPr>
          <w:rFonts w:ascii="Times New Roman" w:hAnsi="Times New Roman" w:cs="Times New Roman"/>
          <w:sz w:val="24"/>
          <w:szCs w:val="24"/>
          <w:lang w:val="en-GB"/>
        </w:rPr>
        <w:t xml:space="preserve"> </w:t>
      </w:r>
      <w:r w:rsidR="00701C62" w:rsidRPr="0040743B">
        <w:rPr>
          <w:rFonts w:ascii="Times New Roman" w:hAnsi="Times New Roman" w:cs="Times New Roman"/>
          <w:sz w:val="24"/>
          <w:szCs w:val="24"/>
          <w:lang w:val="en-GB"/>
        </w:rPr>
        <w:t>identify</w:t>
      </w:r>
      <w:r w:rsidR="002A582D"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mutated HLA ligands </w:t>
      </w:r>
      <w:r w:rsidR="002A582D" w:rsidRPr="0040743B">
        <w:rPr>
          <w:rFonts w:ascii="Times New Roman" w:hAnsi="Times New Roman" w:cs="Times New Roman"/>
          <w:sz w:val="24"/>
          <w:szCs w:val="24"/>
          <w:lang w:val="en-GB"/>
        </w:rPr>
        <w:t>in</w:t>
      </w:r>
      <w:r w:rsidRPr="0040743B">
        <w:rPr>
          <w:rFonts w:ascii="Times New Roman" w:hAnsi="Times New Roman" w:cs="Times New Roman"/>
          <w:sz w:val="24"/>
          <w:szCs w:val="24"/>
          <w:lang w:val="en-GB"/>
        </w:rPr>
        <w:t xml:space="preserve"> human tumour tissue</w:t>
      </w:r>
      <w:r w:rsidR="003C1616" w:rsidRPr="0040743B">
        <w:rPr>
          <w:rFonts w:ascii="Times New Roman" w:hAnsi="Times New Roman" w:cs="Times New Roman"/>
          <w:noProof/>
          <w:sz w:val="24"/>
          <w:szCs w:val="24"/>
          <w:vertAlign w:val="superscript"/>
        </w:rPr>
        <w:t>9</w:t>
      </w:r>
      <w:r w:rsidRPr="0040743B">
        <w:rPr>
          <w:rFonts w:ascii="Times New Roman" w:hAnsi="Times New Roman" w:cs="Times New Roman"/>
          <w:sz w:val="24"/>
          <w:szCs w:val="24"/>
          <w:lang w:val="en-GB"/>
        </w:rPr>
        <w:t xml:space="preserve">. </w:t>
      </w:r>
      <w:r w:rsidR="000B7AE5" w:rsidRPr="0040743B">
        <w:rPr>
          <w:rFonts w:ascii="Times New Roman" w:hAnsi="Times New Roman" w:cs="Times New Roman"/>
          <w:sz w:val="24"/>
          <w:szCs w:val="24"/>
          <w:lang w:val="en-GB"/>
        </w:rPr>
        <w:t xml:space="preserve">With the uncertainty of </w:t>
      </w:r>
      <w:r w:rsidR="00E35972" w:rsidRPr="0040743B">
        <w:rPr>
          <w:rFonts w:ascii="Times New Roman" w:hAnsi="Times New Roman" w:cs="Times New Roman"/>
          <w:sz w:val="24"/>
          <w:szCs w:val="24"/>
          <w:lang w:val="en-GB"/>
        </w:rPr>
        <w:t xml:space="preserve">neo-epitope </w:t>
      </w:r>
      <w:r w:rsidR="000B7AE5" w:rsidRPr="0040743B">
        <w:rPr>
          <w:rFonts w:ascii="Times New Roman" w:hAnsi="Times New Roman" w:cs="Times New Roman"/>
          <w:sz w:val="24"/>
          <w:szCs w:val="24"/>
          <w:lang w:val="en-GB"/>
        </w:rPr>
        <w:t>prediction</w:t>
      </w:r>
      <w:r w:rsidR="00E35972" w:rsidRPr="0040743B">
        <w:rPr>
          <w:rFonts w:ascii="Times New Roman" w:hAnsi="Times New Roman" w:cs="Times New Roman"/>
          <w:sz w:val="24"/>
          <w:szCs w:val="24"/>
          <w:lang w:val="en-GB"/>
        </w:rPr>
        <w:t>s</w:t>
      </w:r>
      <w:r w:rsidR="000B7AE5" w:rsidRPr="0040743B">
        <w:rPr>
          <w:rFonts w:ascii="Times New Roman" w:hAnsi="Times New Roman" w:cs="Times New Roman"/>
          <w:sz w:val="24"/>
          <w:szCs w:val="24"/>
          <w:lang w:val="en-GB"/>
        </w:rPr>
        <w:t>, targeting of a higher number of mutations - if not all - would be favourable</w:t>
      </w:r>
      <w:r w:rsidR="000B7AE5" w:rsidRPr="0040743B">
        <w:rPr>
          <w:rFonts w:ascii="Times New Roman" w:hAnsi="Times New Roman" w:cs="Times New Roman"/>
          <w:sz w:val="24"/>
          <w:szCs w:val="24"/>
          <w:vertAlign w:val="superscript"/>
          <w:lang w:val="en-GB"/>
        </w:rPr>
        <w:t>8</w:t>
      </w:r>
      <w:r w:rsidR="000B7AE5" w:rsidRPr="0040743B">
        <w:rPr>
          <w:rFonts w:ascii="Times New Roman" w:hAnsi="Times New Roman" w:cs="Times New Roman"/>
          <w:sz w:val="24"/>
          <w:szCs w:val="24"/>
          <w:lang w:val="en-GB"/>
        </w:rPr>
        <w:t>. F</w:t>
      </w:r>
      <w:r w:rsidRPr="0040743B">
        <w:rPr>
          <w:rFonts w:ascii="Times New Roman" w:hAnsi="Times New Roman" w:cs="Times New Roman"/>
          <w:sz w:val="24"/>
          <w:szCs w:val="24"/>
          <w:lang w:val="en-GB"/>
        </w:rPr>
        <w:t xml:space="preserve">or GB and other </w:t>
      </w:r>
      <w:r w:rsidR="006A2274" w:rsidRPr="0040743B">
        <w:rPr>
          <w:rFonts w:ascii="Times New Roman" w:hAnsi="Times New Roman" w:cs="Times New Roman"/>
          <w:sz w:val="24"/>
          <w:szCs w:val="24"/>
          <w:lang w:val="en-GB"/>
        </w:rPr>
        <w:t xml:space="preserve">low-mutation </w:t>
      </w:r>
      <w:r w:rsidRPr="0040743B">
        <w:rPr>
          <w:rFonts w:ascii="Times New Roman" w:hAnsi="Times New Roman" w:cs="Times New Roman"/>
          <w:sz w:val="24"/>
          <w:szCs w:val="24"/>
          <w:lang w:val="en-GB"/>
        </w:rPr>
        <w:t>tumour types, additional exploitation of the non-mutated antigen pool is justified</w:t>
      </w:r>
      <w:r w:rsidR="00201A06" w:rsidRPr="0040743B">
        <w:rPr>
          <w:rFonts w:ascii="Times New Roman" w:hAnsi="Times New Roman" w:cs="Times New Roman"/>
          <w:sz w:val="24"/>
          <w:szCs w:val="24"/>
          <w:lang w:val="en-GB"/>
        </w:rPr>
        <w:t>,</w:t>
      </w:r>
      <w:r w:rsidR="001B3DAD" w:rsidRPr="0040743B">
        <w:rPr>
          <w:rFonts w:ascii="Times New Roman" w:hAnsi="Times New Roman" w:cs="Times New Roman"/>
          <w:sz w:val="24"/>
          <w:szCs w:val="24"/>
          <w:lang w:val="en-GB"/>
        </w:rPr>
        <w:t xml:space="preserve"> and</w:t>
      </w:r>
      <w:r w:rsidR="005E1C87" w:rsidRPr="0040743B">
        <w:rPr>
          <w:rFonts w:ascii="Times New Roman" w:hAnsi="Times New Roman" w:cs="Times New Roman"/>
          <w:sz w:val="24"/>
          <w:szCs w:val="24"/>
          <w:lang w:val="en-GB"/>
        </w:rPr>
        <w:t xml:space="preserve"> </w:t>
      </w:r>
      <w:r w:rsidR="00C8782C" w:rsidRPr="0040743B">
        <w:rPr>
          <w:rFonts w:ascii="Times New Roman" w:hAnsi="Times New Roman" w:cs="Times New Roman"/>
          <w:sz w:val="24"/>
          <w:szCs w:val="24"/>
          <w:lang w:val="en-GB"/>
        </w:rPr>
        <w:t>our</w:t>
      </w:r>
      <w:r w:rsidR="00A87AA8" w:rsidRPr="0040743B">
        <w:rPr>
          <w:rFonts w:ascii="Times New Roman" w:hAnsi="Times New Roman" w:cs="Times New Roman"/>
          <w:sz w:val="24"/>
          <w:szCs w:val="24"/>
          <w:lang w:val="en-GB"/>
        </w:rPr>
        <w:t xml:space="preserve"> </w:t>
      </w:r>
      <w:r w:rsidR="00684E09" w:rsidRPr="0040743B">
        <w:rPr>
          <w:rFonts w:ascii="Times New Roman" w:hAnsi="Times New Roman" w:cs="Times New Roman"/>
          <w:sz w:val="24"/>
          <w:szCs w:val="24"/>
          <w:lang w:val="en-GB"/>
        </w:rPr>
        <w:t>personalized warehouse-based peptide vaccine</w:t>
      </w:r>
      <w:r w:rsidRPr="0040743B">
        <w:rPr>
          <w:rFonts w:ascii="Times New Roman" w:hAnsi="Times New Roman" w:cs="Times New Roman"/>
          <w:sz w:val="24"/>
          <w:szCs w:val="24"/>
          <w:lang w:val="en-GB"/>
        </w:rPr>
        <w:t xml:space="preserve"> </w:t>
      </w:r>
      <w:r w:rsidR="00C8782C" w:rsidRPr="0040743B">
        <w:rPr>
          <w:rFonts w:ascii="Times New Roman" w:hAnsi="Times New Roman" w:cs="Times New Roman"/>
          <w:sz w:val="24"/>
          <w:szCs w:val="24"/>
          <w:lang w:val="en-GB"/>
        </w:rPr>
        <w:t xml:space="preserve">approach </w:t>
      </w:r>
      <w:r w:rsidR="0001270C" w:rsidRPr="0040743B">
        <w:rPr>
          <w:rFonts w:ascii="Times New Roman" w:hAnsi="Times New Roman" w:cs="Times New Roman"/>
          <w:sz w:val="24"/>
          <w:szCs w:val="24"/>
          <w:lang w:val="en-GB"/>
        </w:rPr>
        <w:t>showed to be well</w:t>
      </w:r>
      <w:r w:rsidRPr="0040743B">
        <w:rPr>
          <w:rFonts w:ascii="Times New Roman" w:hAnsi="Times New Roman" w:cs="Times New Roman"/>
          <w:sz w:val="24"/>
          <w:szCs w:val="24"/>
          <w:lang w:val="en-GB"/>
        </w:rPr>
        <w:t xml:space="preserve"> suited to address </w:t>
      </w:r>
      <w:r w:rsidR="001B3DAD" w:rsidRPr="0040743B">
        <w:rPr>
          <w:rFonts w:ascii="Times New Roman" w:hAnsi="Times New Roman" w:cs="Times New Roman"/>
          <w:sz w:val="24"/>
          <w:szCs w:val="24"/>
          <w:lang w:val="en-GB"/>
        </w:rPr>
        <w:t>these</w:t>
      </w:r>
      <w:r w:rsidRPr="0040743B">
        <w:rPr>
          <w:rFonts w:ascii="Times New Roman" w:hAnsi="Times New Roman" w:cs="Times New Roman"/>
          <w:sz w:val="24"/>
          <w:szCs w:val="24"/>
          <w:lang w:val="en-GB"/>
        </w:rPr>
        <w:t xml:space="preserve"> antigens</w:t>
      </w:r>
      <w:r w:rsidR="00DD71D8" w:rsidRPr="0040743B">
        <w:rPr>
          <w:rFonts w:ascii="Times New Roman" w:hAnsi="Times New Roman" w:cs="Times New Roman"/>
          <w:sz w:val="24"/>
          <w:szCs w:val="24"/>
          <w:lang w:val="en-GB"/>
        </w:rPr>
        <w:t>.</w:t>
      </w:r>
    </w:p>
    <w:p w14:paraId="4186DD1F" w14:textId="6BE4534C" w:rsidR="00D727CA" w:rsidRPr="0040743B" w:rsidRDefault="009B2663">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G</w:t>
      </w:r>
      <w:r w:rsidR="00F9485C" w:rsidRPr="0040743B">
        <w:rPr>
          <w:rFonts w:ascii="Times New Roman" w:hAnsi="Times New Roman" w:cs="Times New Roman"/>
          <w:sz w:val="24"/>
          <w:szCs w:val="24"/>
          <w:lang w:val="en-GB"/>
        </w:rPr>
        <w:t>eneral superiority of neo-epitopes to induce CD8</w:t>
      </w:r>
      <w:r w:rsidR="00F9485C" w:rsidRPr="0040743B">
        <w:rPr>
          <w:rFonts w:ascii="Times New Roman" w:hAnsi="Times New Roman" w:cs="Times New Roman"/>
          <w:sz w:val="24"/>
          <w:szCs w:val="24"/>
          <w:vertAlign w:val="superscript"/>
          <w:lang w:val="en-GB"/>
        </w:rPr>
        <w:t>+</w:t>
      </w:r>
      <w:r w:rsidR="00F9485C" w:rsidRPr="0040743B">
        <w:rPr>
          <w:rFonts w:ascii="Times New Roman" w:hAnsi="Times New Roman" w:cs="Times New Roman"/>
          <w:sz w:val="24"/>
          <w:szCs w:val="24"/>
          <w:lang w:val="en-GB"/>
        </w:rPr>
        <w:t xml:space="preserve"> T-cell responses </w:t>
      </w:r>
      <w:r w:rsidR="00F9485C" w:rsidRPr="0040743B">
        <w:rPr>
          <w:rFonts w:ascii="Times New Roman" w:hAnsi="Times New Roman" w:cs="Times New Roman"/>
          <w:i/>
          <w:iCs/>
          <w:sz w:val="24"/>
          <w:szCs w:val="24"/>
          <w:lang w:val="en-GB"/>
        </w:rPr>
        <w:t>versus</w:t>
      </w:r>
      <w:r w:rsidR="00F9485C" w:rsidRPr="0040743B">
        <w:rPr>
          <w:rFonts w:ascii="Times New Roman" w:hAnsi="Times New Roman" w:cs="Times New Roman"/>
          <w:sz w:val="24"/>
          <w:szCs w:val="24"/>
          <w:lang w:val="en-GB"/>
        </w:rPr>
        <w:t xml:space="preserve"> non-mutated class I peptides</w:t>
      </w:r>
      <w:r w:rsidRPr="0040743B">
        <w:rPr>
          <w:rFonts w:ascii="Times New Roman" w:hAnsi="Times New Roman" w:cs="Times New Roman"/>
          <w:sz w:val="24"/>
          <w:szCs w:val="24"/>
          <w:lang w:val="en-GB"/>
        </w:rPr>
        <w:t xml:space="preserve"> was not observed</w:t>
      </w:r>
      <w:r w:rsidR="00F9485C" w:rsidRPr="0040743B">
        <w:rPr>
          <w:rFonts w:ascii="Times New Roman" w:hAnsi="Times New Roman" w:cs="Times New Roman"/>
          <w:sz w:val="24"/>
          <w:szCs w:val="24"/>
          <w:lang w:val="en-GB"/>
        </w:rPr>
        <w:t xml:space="preserve"> (Fig. 4), although data must be compared with caution since peptide format, analysis methodology, and </w:t>
      </w:r>
      <w:r w:rsidR="004D0CDB" w:rsidRPr="0040743B">
        <w:rPr>
          <w:rFonts w:ascii="Times New Roman" w:hAnsi="Times New Roman" w:cs="Times New Roman"/>
          <w:sz w:val="24"/>
          <w:szCs w:val="24"/>
          <w:lang w:val="en-GB"/>
        </w:rPr>
        <w:t>availability of</w:t>
      </w:r>
      <w:r w:rsidR="00F9485C" w:rsidRPr="0040743B">
        <w:rPr>
          <w:rFonts w:ascii="Times New Roman" w:hAnsi="Times New Roman" w:cs="Times New Roman"/>
          <w:sz w:val="24"/>
          <w:szCs w:val="24"/>
          <w:lang w:val="en-GB"/>
        </w:rPr>
        <w:t xml:space="preserve"> immunogenicity </w:t>
      </w:r>
      <w:r w:rsidR="00C97DAD" w:rsidRPr="0040743B">
        <w:rPr>
          <w:rFonts w:ascii="Times New Roman" w:hAnsi="Times New Roman" w:cs="Times New Roman"/>
          <w:sz w:val="24"/>
          <w:szCs w:val="24"/>
          <w:lang w:val="en-GB"/>
        </w:rPr>
        <w:t>pre-testing</w:t>
      </w:r>
      <w:r w:rsidR="00F9485C" w:rsidRPr="0040743B">
        <w:rPr>
          <w:rFonts w:ascii="Times New Roman" w:hAnsi="Times New Roman" w:cs="Times New Roman"/>
          <w:sz w:val="24"/>
          <w:szCs w:val="24"/>
          <w:lang w:val="en-GB"/>
        </w:rPr>
        <w:t xml:space="preserve"> differed between APVAC</w:t>
      </w:r>
      <w:r w:rsidR="008524E3" w:rsidRPr="0040743B">
        <w:rPr>
          <w:rFonts w:ascii="Times New Roman" w:hAnsi="Times New Roman" w:cs="Times New Roman"/>
          <w:sz w:val="24"/>
          <w:szCs w:val="24"/>
          <w:lang w:val="en-GB"/>
        </w:rPr>
        <w:t>1 and APVAC2</w:t>
      </w:r>
      <w:r w:rsidR="00F9485C" w:rsidRPr="0040743B">
        <w:rPr>
          <w:rFonts w:ascii="Times New Roman" w:hAnsi="Times New Roman" w:cs="Times New Roman"/>
          <w:sz w:val="24"/>
          <w:szCs w:val="24"/>
          <w:lang w:val="en-GB"/>
        </w:rPr>
        <w:t>. Our CD8</w:t>
      </w:r>
      <w:r w:rsidR="00F9485C" w:rsidRPr="0040743B">
        <w:rPr>
          <w:rFonts w:ascii="Times New Roman" w:hAnsi="Times New Roman" w:cs="Times New Roman"/>
          <w:sz w:val="24"/>
          <w:szCs w:val="24"/>
          <w:vertAlign w:val="superscript"/>
          <w:lang w:val="en-GB"/>
        </w:rPr>
        <w:t>+</w:t>
      </w:r>
      <w:r w:rsidR="00F9485C" w:rsidRPr="0040743B">
        <w:rPr>
          <w:rFonts w:ascii="Times New Roman" w:hAnsi="Times New Roman" w:cs="Times New Roman"/>
          <w:sz w:val="24"/>
          <w:szCs w:val="24"/>
          <w:lang w:val="en-GB"/>
        </w:rPr>
        <w:t xml:space="preserve"> T-cell reactivity compared favourably with previous trials </w:t>
      </w:r>
      <w:r w:rsidR="00F9485C" w:rsidRPr="0040743B">
        <w:rPr>
          <w:rFonts w:ascii="Times New Roman" w:hAnsi="Times New Roman" w:cs="Times New Roman"/>
          <w:sz w:val="24"/>
          <w:szCs w:val="24"/>
          <w:lang w:val="en-GB"/>
        </w:rPr>
        <w:lastRenderedPageBreak/>
        <w:t>and particularly with responses seen with a vaccine that share</w:t>
      </w:r>
      <w:r w:rsidR="00E94E33" w:rsidRPr="0040743B">
        <w:rPr>
          <w:rFonts w:ascii="Times New Roman" w:hAnsi="Times New Roman" w:cs="Times New Roman"/>
          <w:sz w:val="24"/>
          <w:szCs w:val="24"/>
          <w:lang w:val="en-GB"/>
        </w:rPr>
        <w:t>d</w:t>
      </w:r>
      <w:r w:rsidR="00F9485C" w:rsidRPr="0040743B">
        <w:rPr>
          <w:rFonts w:ascii="Times New Roman" w:hAnsi="Times New Roman" w:cs="Times New Roman"/>
          <w:sz w:val="24"/>
          <w:szCs w:val="24"/>
          <w:lang w:val="en-GB"/>
        </w:rPr>
        <w:t xml:space="preserve"> several antigens with the GAPVAC </w:t>
      </w:r>
      <w:r w:rsidR="009E0A2B" w:rsidRPr="0040743B">
        <w:rPr>
          <w:rFonts w:ascii="Times New Roman" w:hAnsi="Times New Roman" w:cs="Times New Roman"/>
          <w:sz w:val="24"/>
          <w:szCs w:val="24"/>
          <w:lang w:val="en-GB"/>
        </w:rPr>
        <w:t>warehouse</w:t>
      </w:r>
      <w:r w:rsidR="009E0A2B" w:rsidRPr="0040743B">
        <w:rPr>
          <w:rFonts w:ascii="Times New Roman" w:hAnsi="Times New Roman" w:cs="Times New Roman"/>
          <w:noProof/>
          <w:sz w:val="24"/>
          <w:szCs w:val="24"/>
          <w:vertAlign w:val="superscript"/>
          <w:lang w:val="en-GB"/>
        </w:rPr>
        <w:t>16</w:t>
      </w:r>
      <w:r w:rsidR="009E0A2B" w:rsidRPr="0040743B">
        <w:rPr>
          <w:rFonts w:ascii="Times New Roman" w:hAnsi="Times New Roman" w:cs="Times New Roman"/>
          <w:sz w:val="24"/>
          <w:szCs w:val="24"/>
          <w:lang w:val="en-GB"/>
        </w:rPr>
        <w:t xml:space="preserve"> </w:t>
      </w:r>
      <w:r w:rsidR="00F9485C" w:rsidRPr="0040743B">
        <w:rPr>
          <w:rFonts w:ascii="Times New Roman" w:hAnsi="Times New Roman" w:cs="Times New Roman"/>
          <w:sz w:val="24"/>
          <w:szCs w:val="24"/>
          <w:lang w:val="en-GB"/>
        </w:rPr>
        <w:t>(</w:t>
      </w:r>
      <w:r w:rsidR="003F556F" w:rsidRPr="0040743B">
        <w:rPr>
          <w:rFonts w:ascii="Times New Roman" w:hAnsi="Times New Roman" w:cs="Times New Roman"/>
          <w:sz w:val="24"/>
          <w:szCs w:val="24"/>
          <w:lang w:val="en-GB"/>
        </w:rPr>
        <w:t>Extended Data</w:t>
      </w:r>
      <w:r w:rsidR="00F9485C" w:rsidRPr="0040743B">
        <w:rPr>
          <w:rFonts w:ascii="Times New Roman" w:hAnsi="Times New Roman" w:cs="Times New Roman"/>
          <w:sz w:val="24"/>
          <w:szCs w:val="24"/>
          <w:lang w:val="en-GB"/>
        </w:rPr>
        <w:t xml:space="preserve"> Fig. </w:t>
      </w:r>
      <w:r w:rsidR="003F556F" w:rsidRPr="0040743B">
        <w:rPr>
          <w:rFonts w:ascii="Times New Roman" w:hAnsi="Times New Roman" w:cs="Times New Roman"/>
          <w:sz w:val="24"/>
          <w:szCs w:val="24"/>
          <w:lang w:val="en-GB"/>
        </w:rPr>
        <w:t>4g</w:t>
      </w:r>
      <w:r w:rsidR="00F9485C" w:rsidRPr="0040743B">
        <w:rPr>
          <w:rFonts w:ascii="Times New Roman" w:hAnsi="Times New Roman" w:cs="Times New Roman"/>
          <w:sz w:val="24"/>
          <w:szCs w:val="24"/>
          <w:lang w:val="en-GB"/>
        </w:rPr>
        <w:t xml:space="preserve">). </w:t>
      </w:r>
      <w:r w:rsidR="00320603" w:rsidRPr="0040743B">
        <w:rPr>
          <w:rFonts w:ascii="Times New Roman" w:hAnsi="Times New Roman" w:cs="Times New Roman"/>
          <w:sz w:val="24"/>
          <w:szCs w:val="24"/>
          <w:lang w:val="en-GB"/>
        </w:rPr>
        <w:t>I</w:t>
      </w:r>
      <w:r w:rsidR="00F9485C" w:rsidRPr="0040743B">
        <w:rPr>
          <w:rFonts w:ascii="Times New Roman" w:hAnsi="Times New Roman" w:cs="Times New Roman"/>
          <w:sz w:val="24"/>
          <w:szCs w:val="24"/>
          <w:lang w:val="en-GB"/>
        </w:rPr>
        <w:t xml:space="preserve">mproved immunogenicity may be attributable to the immune modulators, poly-ICLC plus GM-CSF (GAPVAC-101) </w:t>
      </w:r>
      <w:r w:rsidR="00F9485C" w:rsidRPr="0040743B">
        <w:rPr>
          <w:rFonts w:ascii="Times New Roman" w:hAnsi="Times New Roman" w:cs="Times New Roman"/>
          <w:i/>
          <w:iCs/>
          <w:sz w:val="24"/>
          <w:szCs w:val="24"/>
          <w:lang w:val="en-GB"/>
        </w:rPr>
        <w:t>versus</w:t>
      </w:r>
      <w:r w:rsidR="00F9485C" w:rsidRPr="0040743B">
        <w:rPr>
          <w:rFonts w:ascii="Times New Roman" w:hAnsi="Times New Roman" w:cs="Times New Roman"/>
          <w:sz w:val="24"/>
          <w:szCs w:val="24"/>
          <w:lang w:val="en-GB"/>
        </w:rPr>
        <w:t xml:space="preserve"> GM-CSF alone (</w:t>
      </w:r>
      <w:r w:rsidR="00B74364" w:rsidRPr="0040743B">
        <w:rPr>
          <w:rFonts w:ascii="Times New Roman" w:hAnsi="Times New Roman" w:cs="Times New Roman"/>
          <w:sz w:val="24"/>
          <w:szCs w:val="24"/>
          <w:lang w:val="en-GB"/>
        </w:rPr>
        <w:t>previous</w:t>
      </w:r>
      <w:r w:rsidR="00F9485C" w:rsidRPr="0040743B">
        <w:rPr>
          <w:rFonts w:ascii="Times New Roman" w:hAnsi="Times New Roman" w:cs="Times New Roman"/>
          <w:sz w:val="24"/>
          <w:szCs w:val="24"/>
          <w:lang w:val="en-GB"/>
        </w:rPr>
        <w:t xml:space="preserve"> trial). Nevertheless, immune response induction needs further optimization.</w:t>
      </w:r>
    </w:p>
    <w:p w14:paraId="4186DD20" w14:textId="58EE4BD2" w:rsidR="00D727CA" w:rsidRPr="0040743B" w:rsidRDefault="00F9485C">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The ACT IV trial with similar eligibility criteria demonstrated a median OS of 20 months</w:t>
      </w:r>
      <w:r w:rsidR="00B5703F" w:rsidRPr="0040743B">
        <w:rPr>
          <w:rFonts w:ascii="Times New Roman" w:hAnsi="Times New Roman" w:cs="Times New Roman"/>
          <w:noProof/>
          <w:sz w:val="24"/>
          <w:szCs w:val="24"/>
          <w:vertAlign w:val="superscript"/>
          <w:lang w:val="en-GB"/>
        </w:rPr>
        <w:t>26</w:t>
      </w:r>
      <w:r w:rsidRPr="0040743B">
        <w:rPr>
          <w:rFonts w:ascii="Times New Roman" w:hAnsi="Times New Roman" w:cs="Times New Roman"/>
          <w:sz w:val="24"/>
          <w:szCs w:val="24"/>
          <w:lang w:val="en-GB"/>
        </w:rPr>
        <w:t xml:space="preserve"> and may come closest to a reference cohort, to which a median OS </w:t>
      </w:r>
      <w:r w:rsidR="00E9746C" w:rsidRPr="0040743B">
        <w:rPr>
          <w:rFonts w:ascii="Times New Roman" w:hAnsi="Times New Roman" w:cs="Times New Roman"/>
          <w:sz w:val="24"/>
          <w:szCs w:val="24"/>
          <w:lang w:val="en-GB"/>
        </w:rPr>
        <w:t xml:space="preserve">of </w:t>
      </w:r>
      <w:r w:rsidRPr="0040743B">
        <w:rPr>
          <w:rFonts w:ascii="Times New Roman" w:hAnsi="Times New Roman" w:cs="Times New Roman"/>
          <w:sz w:val="24"/>
          <w:szCs w:val="24"/>
          <w:lang w:val="en-GB"/>
        </w:rPr>
        <w:t xml:space="preserve">29 months in the GAPVAC-101 trial compares favourably with all limitations of comparing small early phase to phase III trials. Further efforts are required to decrease process complexity and duration, but the achievements of the presented </w:t>
      </w:r>
      <w:r w:rsidR="002F673D" w:rsidRPr="0040743B">
        <w:rPr>
          <w:rFonts w:ascii="Times New Roman" w:hAnsi="Times New Roman" w:cs="Times New Roman"/>
          <w:sz w:val="24"/>
          <w:szCs w:val="24"/>
          <w:lang w:val="en-GB"/>
        </w:rPr>
        <w:t>trial</w:t>
      </w:r>
      <w:r w:rsidRPr="0040743B">
        <w:rPr>
          <w:rFonts w:ascii="Times New Roman" w:hAnsi="Times New Roman" w:cs="Times New Roman"/>
          <w:sz w:val="24"/>
          <w:szCs w:val="24"/>
          <w:lang w:val="en-GB"/>
        </w:rPr>
        <w:t xml:space="preserve"> certainly warrant further studies to understand how anti-tumour immunity can be leveraged to achieve ultimately clinical benefit for GB patients.</w:t>
      </w:r>
    </w:p>
    <w:p w14:paraId="4186DD21" w14:textId="697C7B2E" w:rsidR="00D727CA" w:rsidRPr="0040743B" w:rsidRDefault="00F9485C" w:rsidP="00555515">
      <w:pPr>
        <w:pStyle w:val="EndNoteBibliography"/>
        <w:spacing w:after="0" w:line="480" w:lineRule="auto"/>
        <w:ind w:left="720" w:hanging="720"/>
        <w:rPr>
          <w:rFonts w:ascii="Times New Roman" w:hAnsi="Times New Roman" w:cs="Times New Roman"/>
          <w:b/>
          <w:sz w:val="24"/>
          <w:szCs w:val="24"/>
          <w:lang w:val="es-ES"/>
        </w:rPr>
      </w:pPr>
      <w:proofErr w:type="spellStart"/>
      <w:r w:rsidRPr="0040743B">
        <w:rPr>
          <w:rFonts w:ascii="Times New Roman" w:hAnsi="Times New Roman" w:cs="Times New Roman"/>
          <w:b/>
          <w:sz w:val="24"/>
          <w:szCs w:val="24"/>
          <w:lang w:val="es-ES"/>
        </w:rPr>
        <w:t>References</w:t>
      </w:r>
      <w:proofErr w:type="spellEnd"/>
    </w:p>
    <w:p w14:paraId="6647298A" w14:textId="2B650376"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1</w:t>
      </w:r>
      <w:r w:rsidRPr="0040743B">
        <w:rPr>
          <w:rFonts w:ascii="Times New Roman" w:hAnsi="Times New Roman" w:cs="Times New Roman"/>
          <w:sz w:val="24"/>
          <w:szCs w:val="24"/>
        </w:rPr>
        <w:tab/>
        <w:t>Hodi, F. S.</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Improved survival with ipilimumab in patients with metastatic melanoma. </w:t>
      </w:r>
      <w:r w:rsidRPr="0040743B">
        <w:rPr>
          <w:rFonts w:ascii="Times New Roman" w:hAnsi="Times New Roman" w:cs="Times New Roman"/>
          <w:i/>
          <w:sz w:val="24"/>
          <w:szCs w:val="24"/>
        </w:rPr>
        <w:t xml:space="preserve">N </w:t>
      </w:r>
      <w:proofErr w:type="spellStart"/>
      <w:r w:rsidRPr="0040743B">
        <w:rPr>
          <w:rFonts w:ascii="Times New Roman" w:hAnsi="Times New Roman" w:cs="Times New Roman"/>
          <w:i/>
          <w:sz w:val="24"/>
          <w:szCs w:val="24"/>
        </w:rPr>
        <w:t>Engl</w:t>
      </w:r>
      <w:proofErr w:type="spellEnd"/>
      <w:r w:rsidRPr="0040743B">
        <w:rPr>
          <w:rFonts w:ascii="Times New Roman" w:hAnsi="Times New Roman" w:cs="Times New Roman"/>
          <w:i/>
          <w:sz w:val="24"/>
          <w:szCs w:val="24"/>
        </w:rPr>
        <w:t xml:space="preserve"> J Med</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363</w:t>
      </w:r>
      <w:r w:rsidRPr="0040743B">
        <w:rPr>
          <w:rFonts w:ascii="Times New Roman" w:hAnsi="Times New Roman" w:cs="Times New Roman"/>
          <w:sz w:val="24"/>
          <w:szCs w:val="24"/>
        </w:rPr>
        <w:t>, 711-723, doi:10.1056/NEJMoa1003466 (2010).</w:t>
      </w:r>
    </w:p>
    <w:p w14:paraId="125497B8"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2</w:t>
      </w:r>
      <w:r w:rsidRPr="0040743B">
        <w:rPr>
          <w:rFonts w:ascii="Times New Roman" w:hAnsi="Times New Roman" w:cs="Times New Roman"/>
          <w:sz w:val="24"/>
          <w:szCs w:val="24"/>
        </w:rPr>
        <w:tab/>
        <w:t>Robert, C.</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Nivolumab in previously untreated melanoma without BRAF mutation. </w:t>
      </w:r>
      <w:r w:rsidRPr="0040743B">
        <w:rPr>
          <w:rFonts w:ascii="Times New Roman" w:hAnsi="Times New Roman" w:cs="Times New Roman"/>
          <w:i/>
          <w:sz w:val="24"/>
          <w:szCs w:val="24"/>
        </w:rPr>
        <w:t xml:space="preserve">N </w:t>
      </w:r>
      <w:proofErr w:type="spellStart"/>
      <w:r w:rsidRPr="0040743B">
        <w:rPr>
          <w:rFonts w:ascii="Times New Roman" w:hAnsi="Times New Roman" w:cs="Times New Roman"/>
          <w:i/>
          <w:sz w:val="24"/>
          <w:szCs w:val="24"/>
        </w:rPr>
        <w:t>Engl</w:t>
      </w:r>
      <w:proofErr w:type="spellEnd"/>
      <w:r w:rsidRPr="0040743B">
        <w:rPr>
          <w:rFonts w:ascii="Times New Roman" w:hAnsi="Times New Roman" w:cs="Times New Roman"/>
          <w:i/>
          <w:sz w:val="24"/>
          <w:szCs w:val="24"/>
        </w:rPr>
        <w:t xml:space="preserve"> J Med</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372</w:t>
      </w:r>
      <w:r w:rsidRPr="0040743B">
        <w:rPr>
          <w:rFonts w:ascii="Times New Roman" w:hAnsi="Times New Roman" w:cs="Times New Roman"/>
          <w:sz w:val="24"/>
          <w:szCs w:val="24"/>
        </w:rPr>
        <w:t>, 320-330, doi:10.1056/NEJMoa1412082 (2015).</w:t>
      </w:r>
    </w:p>
    <w:p w14:paraId="74FB4D56"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3</w:t>
      </w:r>
      <w:r w:rsidRPr="0040743B">
        <w:rPr>
          <w:rFonts w:ascii="Times New Roman" w:hAnsi="Times New Roman" w:cs="Times New Roman"/>
          <w:sz w:val="24"/>
          <w:szCs w:val="24"/>
        </w:rPr>
        <w:tab/>
        <w:t>Snyder, A.</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Genetic basis for clinical response to CTLA-4 blockade in melanoma. </w:t>
      </w:r>
      <w:r w:rsidRPr="0040743B">
        <w:rPr>
          <w:rFonts w:ascii="Times New Roman" w:hAnsi="Times New Roman" w:cs="Times New Roman"/>
          <w:i/>
          <w:sz w:val="24"/>
          <w:szCs w:val="24"/>
        </w:rPr>
        <w:t xml:space="preserve">N </w:t>
      </w:r>
      <w:proofErr w:type="spellStart"/>
      <w:r w:rsidRPr="0040743B">
        <w:rPr>
          <w:rFonts w:ascii="Times New Roman" w:hAnsi="Times New Roman" w:cs="Times New Roman"/>
          <w:i/>
          <w:sz w:val="24"/>
          <w:szCs w:val="24"/>
        </w:rPr>
        <w:t>Engl</w:t>
      </w:r>
      <w:proofErr w:type="spellEnd"/>
      <w:r w:rsidRPr="0040743B">
        <w:rPr>
          <w:rFonts w:ascii="Times New Roman" w:hAnsi="Times New Roman" w:cs="Times New Roman"/>
          <w:i/>
          <w:sz w:val="24"/>
          <w:szCs w:val="24"/>
        </w:rPr>
        <w:t xml:space="preserve"> J Med</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371</w:t>
      </w:r>
      <w:r w:rsidRPr="0040743B">
        <w:rPr>
          <w:rFonts w:ascii="Times New Roman" w:hAnsi="Times New Roman" w:cs="Times New Roman"/>
          <w:sz w:val="24"/>
          <w:szCs w:val="24"/>
        </w:rPr>
        <w:t>, 2189-2199, doi:10.1056/NEJMoa1406498 (2014).</w:t>
      </w:r>
    </w:p>
    <w:p w14:paraId="16FFBA40"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4</w:t>
      </w:r>
      <w:r w:rsidRPr="0040743B">
        <w:rPr>
          <w:rFonts w:ascii="Times New Roman" w:hAnsi="Times New Roman" w:cs="Times New Roman"/>
          <w:sz w:val="24"/>
          <w:szCs w:val="24"/>
        </w:rPr>
        <w:tab/>
        <w:t xml:space="preserve">Quail, D. F. &amp; Joyce, J. A. The Microenvironmental Landscape of Brain Tumors. </w:t>
      </w:r>
      <w:r w:rsidRPr="0040743B">
        <w:rPr>
          <w:rFonts w:ascii="Times New Roman" w:hAnsi="Times New Roman" w:cs="Times New Roman"/>
          <w:i/>
          <w:sz w:val="24"/>
          <w:szCs w:val="24"/>
        </w:rPr>
        <w:t>Cancer Cell</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31</w:t>
      </w:r>
      <w:r w:rsidRPr="0040743B">
        <w:rPr>
          <w:rFonts w:ascii="Times New Roman" w:hAnsi="Times New Roman" w:cs="Times New Roman"/>
          <w:sz w:val="24"/>
          <w:szCs w:val="24"/>
        </w:rPr>
        <w:t xml:space="preserve">, 326-341, </w:t>
      </w:r>
      <w:proofErr w:type="gramStart"/>
      <w:r w:rsidRPr="0040743B">
        <w:rPr>
          <w:rFonts w:ascii="Times New Roman" w:hAnsi="Times New Roman" w:cs="Times New Roman"/>
          <w:sz w:val="24"/>
          <w:szCs w:val="24"/>
        </w:rPr>
        <w:t>doi:10.1016/j.ccell</w:t>
      </w:r>
      <w:proofErr w:type="gramEnd"/>
      <w:r w:rsidRPr="0040743B">
        <w:rPr>
          <w:rFonts w:ascii="Times New Roman" w:hAnsi="Times New Roman" w:cs="Times New Roman"/>
          <w:sz w:val="24"/>
          <w:szCs w:val="24"/>
        </w:rPr>
        <w:t>.2017.02.009 (2017).</w:t>
      </w:r>
    </w:p>
    <w:p w14:paraId="644CC6BD"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5</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Alexandrov</w:t>
      </w:r>
      <w:proofErr w:type="spellEnd"/>
      <w:r w:rsidRPr="0040743B">
        <w:rPr>
          <w:rFonts w:ascii="Times New Roman" w:hAnsi="Times New Roman" w:cs="Times New Roman"/>
          <w:sz w:val="24"/>
          <w:szCs w:val="24"/>
        </w:rPr>
        <w:t>, L. B.</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Signatures of mutational processes in human cancer. </w:t>
      </w:r>
      <w:r w:rsidRPr="0040743B">
        <w:rPr>
          <w:rFonts w:ascii="Times New Roman" w:hAnsi="Times New Roman" w:cs="Times New Roman"/>
          <w:i/>
          <w:sz w:val="24"/>
          <w:szCs w:val="24"/>
        </w:rPr>
        <w:t>Nature</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500</w:t>
      </w:r>
      <w:r w:rsidRPr="0040743B">
        <w:rPr>
          <w:rFonts w:ascii="Times New Roman" w:hAnsi="Times New Roman" w:cs="Times New Roman"/>
          <w:sz w:val="24"/>
          <w:szCs w:val="24"/>
        </w:rPr>
        <w:t>, 415-421, doi:10.1038/nature12477 (2013).</w:t>
      </w:r>
    </w:p>
    <w:p w14:paraId="5E81BAE7"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6</w:t>
      </w:r>
      <w:r w:rsidRPr="0040743B">
        <w:rPr>
          <w:rFonts w:ascii="Times New Roman" w:hAnsi="Times New Roman" w:cs="Times New Roman"/>
          <w:sz w:val="24"/>
          <w:szCs w:val="24"/>
        </w:rPr>
        <w:tab/>
        <w:t>Sahin, U.</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Personalized RNA mutanome vaccines mobilize poly-specific therapeutic immunity against cancer. </w:t>
      </w:r>
      <w:r w:rsidRPr="0040743B">
        <w:rPr>
          <w:rFonts w:ascii="Times New Roman" w:hAnsi="Times New Roman" w:cs="Times New Roman"/>
          <w:i/>
          <w:sz w:val="24"/>
          <w:szCs w:val="24"/>
        </w:rPr>
        <w:t>Nature</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547</w:t>
      </w:r>
      <w:r w:rsidRPr="0040743B">
        <w:rPr>
          <w:rFonts w:ascii="Times New Roman" w:hAnsi="Times New Roman" w:cs="Times New Roman"/>
          <w:sz w:val="24"/>
          <w:szCs w:val="24"/>
        </w:rPr>
        <w:t>, 222-226, doi:10.1038/nature23003 (2017).</w:t>
      </w:r>
    </w:p>
    <w:p w14:paraId="0BD7D7B1"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lang w:val="de-DE"/>
        </w:rPr>
      </w:pPr>
      <w:r w:rsidRPr="0040743B">
        <w:rPr>
          <w:rFonts w:ascii="Times New Roman" w:hAnsi="Times New Roman" w:cs="Times New Roman"/>
          <w:sz w:val="24"/>
          <w:szCs w:val="24"/>
        </w:rPr>
        <w:lastRenderedPageBreak/>
        <w:t>7</w:t>
      </w:r>
      <w:r w:rsidRPr="0040743B">
        <w:rPr>
          <w:rFonts w:ascii="Times New Roman" w:hAnsi="Times New Roman" w:cs="Times New Roman"/>
          <w:sz w:val="24"/>
          <w:szCs w:val="24"/>
        </w:rPr>
        <w:tab/>
        <w:t>Ott, P. A.</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An immunogenic personal neoantigen vaccine for patients with melanoma. </w:t>
      </w:r>
      <w:r w:rsidRPr="0040743B">
        <w:rPr>
          <w:rFonts w:ascii="Times New Roman" w:hAnsi="Times New Roman" w:cs="Times New Roman"/>
          <w:i/>
          <w:sz w:val="24"/>
          <w:szCs w:val="24"/>
          <w:lang w:val="de-DE"/>
        </w:rPr>
        <w:t>Nature</w:t>
      </w:r>
      <w:r w:rsidRPr="0040743B">
        <w:rPr>
          <w:rFonts w:ascii="Times New Roman" w:hAnsi="Times New Roman" w:cs="Times New Roman"/>
          <w:sz w:val="24"/>
          <w:szCs w:val="24"/>
          <w:lang w:val="de-DE"/>
        </w:rPr>
        <w:t xml:space="preserve"> </w:t>
      </w:r>
      <w:r w:rsidRPr="0040743B">
        <w:rPr>
          <w:rFonts w:ascii="Times New Roman" w:hAnsi="Times New Roman" w:cs="Times New Roman"/>
          <w:b/>
          <w:sz w:val="24"/>
          <w:szCs w:val="24"/>
          <w:lang w:val="de-DE"/>
        </w:rPr>
        <w:t>547</w:t>
      </w:r>
      <w:r w:rsidRPr="0040743B">
        <w:rPr>
          <w:rFonts w:ascii="Times New Roman" w:hAnsi="Times New Roman" w:cs="Times New Roman"/>
          <w:sz w:val="24"/>
          <w:szCs w:val="24"/>
          <w:lang w:val="de-DE"/>
        </w:rPr>
        <w:t>, 217-221, doi:10.1038/nature22991 (2017).</w:t>
      </w:r>
    </w:p>
    <w:p w14:paraId="5C800C07"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lang w:val="de-DE"/>
        </w:rPr>
        <w:t>8</w:t>
      </w:r>
      <w:r w:rsidRPr="0040743B">
        <w:rPr>
          <w:rFonts w:ascii="Times New Roman" w:hAnsi="Times New Roman" w:cs="Times New Roman"/>
          <w:sz w:val="24"/>
          <w:szCs w:val="24"/>
          <w:lang w:val="de-DE"/>
        </w:rPr>
        <w:tab/>
        <w:t xml:space="preserve">Schumacher, T. N. &amp; Schreiber, R. D. Neoantigens in cancer immunotherapy. </w:t>
      </w:r>
      <w:r w:rsidRPr="0040743B">
        <w:rPr>
          <w:rFonts w:ascii="Times New Roman" w:hAnsi="Times New Roman" w:cs="Times New Roman"/>
          <w:i/>
          <w:sz w:val="24"/>
          <w:szCs w:val="24"/>
        </w:rPr>
        <w:t>Science</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348</w:t>
      </w:r>
      <w:r w:rsidRPr="0040743B">
        <w:rPr>
          <w:rFonts w:ascii="Times New Roman" w:hAnsi="Times New Roman" w:cs="Times New Roman"/>
          <w:sz w:val="24"/>
          <w:szCs w:val="24"/>
        </w:rPr>
        <w:t>, 69-74, doi:10.1126/science.aaa4971 (2015).</w:t>
      </w:r>
    </w:p>
    <w:p w14:paraId="66F221A5"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9</w:t>
      </w:r>
      <w:r w:rsidRPr="0040743B">
        <w:rPr>
          <w:rFonts w:ascii="Times New Roman" w:hAnsi="Times New Roman" w:cs="Times New Roman"/>
          <w:sz w:val="24"/>
          <w:szCs w:val="24"/>
        </w:rPr>
        <w:tab/>
        <w:t>Yadav, M.</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Predicting immunogenic </w:t>
      </w:r>
      <w:proofErr w:type="spellStart"/>
      <w:r w:rsidRPr="0040743B">
        <w:rPr>
          <w:rFonts w:ascii="Times New Roman" w:hAnsi="Times New Roman" w:cs="Times New Roman"/>
          <w:sz w:val="24"/>
          <w:szCs w:val="24"/>
        </w:rPr>
        <w:t>tumour</w:t>
      </w:r>
      <w:proofErr w:type="spellEnd"/>
      <w:r w:rsidRPr="0040743B">
        <w:rPr>
          <w:rFonts w:ascii="Times New Roman" w:hAnsi="Times New Roman" w:cs="Times New Roman"/>
          <w:sz w:val="24"/>
          <w:szCs w:val="24"/>
        </w:rPr>
        <w:t xml:space="preserve"> mutations by combining mass spectrometry and exome sequencing. </w:t>
      </w:r>
      <w:r w:rsidRPr="0040743B">
        <w:rPr>
          <w:rFonts w:ascii="Times New Roman" w:hAnsi="Times New Roman" w:cs="Times New Roman"/>
          <w:i/>
          <w:sz w:val="24"/>
          <w:szCs w:val="24"/>
        </w:rPr>
        <w:t>Nature</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515</w:t>
      </w:r>
      <w:r w:rsidRPr="0040743B">
        <w:rPr>
          <w:rFonts w:ascii="Times New Roman" w:hAnsi="Times New Roman" w:cs="Times New Roman"/>
          <w:sz w:val="24"/>
          <w:szCs w:val="24"/>
        </w:rPr>
        <w:t>, 572-576, doi:10.1038/nature14001 (2014).</w:t>
      </w:r>
    </w:p>
    <w:p w14:paraId="44CDCFC8"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10</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Freudenmann</w:t>
      </w:r>
      <w:proofErr w:type="spellEnd"/>
      <w:r w:rsidRPr="0040743B">
        <w:rPr>
          <w:rFonts w:ascii="Times New Roman" w:hAnsi="Times New Roman" w:cs="Times New Roman"/>
          <w:sz w:val="24"/>
          <w:szCs w:val="24"/>
        </w:rPr>
        <w:t xml:space="preserve">, L. K., </w:t>
      </w:r>
      <w:proofErr w:type="spellStart"/>
      <w:r w:rsidRPr="0040743B">
        <w:rPr>
          <w:rFonts w:ascii="Times New Roman" w:hAnsi="Times New Roman" w:cs="Times New Roman"/>
          <w:sz w:val="24"/>
          <w:szCs w:val="24"/>
        </w:rPr>
        <w:t>Marcu</w:t>
      </w:r>
      <w:proofErr w:type="spellEnd"/>
      <w:r w:rsidRPr="0040743B">
        <w:rPr>
          <w:rFonts w:ascii="Times New Roman" w:hAnsi="Times New Roman" w:cs="Times New Roman"/>
          <w:sz w:val="24"/>
          <w:szCs w:val="24"/>
        </w:rPr>
        <w:t xml:space="preserve">, A. &amp; Stevanovic, S. Mapping the </w:t>
      </w:r>
      <w:proofErr w:type="spellStart"/>
      <w:r w:rsidRPr="0040743B">
        <w:rPr>
          <w:rFonts w:ascii="Times New Roman" w:hAnsi="Times New Roman" w:cs="Times New Roman"/>
          <w:sz w:val="24"/>
          <w:szCs w:val="24"/>
        </w:rPr>
        <w:t>tumour</w:t>
      </w:r>
      <w:proofErr w:type="spellEnd"/>
      <w:r w:rsidRPr="0040743B">
        <w:rPr>
          <w:rFonts w:ascii="Times New Roman" w:hAnsi="Times New Roman" w:cs="Times New Roman"/>
          <w:sz w:val="24"/>
          <w:szCs w:val="24"/>
        </w:rPr>
        <w:t xml:space="preserve"> human leukocyte antigen (HLA) ligandome by mass spectrometry. </w:t>
      </w:r>
      <w:r w:rsidRPr="0040743B">
        <w:rPr>
          <w:rFonts w:ascii="Times New Roman" w:hAnsi="Times New Roman" w:cs="Times New Roman"/>
          <w:i/>
          <w:sz w:val="24"/>
          <w:szCs w:val="24"/>
        </w:rPr>
        <w:t>Immunology</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154</w:t>
      </w:r>
      <w:r w:rsidRPr="0040743B">
        <w:rPr>
          <w:rFonts w:ascii="Times New Roman" w:hAnsi="Times New Roman" w:cs="Times New Roman"/>
          <w:sz w:val="24"/>
          <w:szCs w:val="24"/>
        </w:rPr>
        <w:t>, 331-345, doi:10.1111/imm.12936 (2018).</w:t>
      </w:r>
    </w:p>
    <w:p w14:paraId="04D72C46"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11</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Bouffet</w:t>
      </w:r>
      <w:proofErr w:type="spellEnd"/>
      <w:r w:rsidRPr="0040743B">
        <w:rPr>
          <w:rFonts w:ascii="Times New Roman" w:hAnsi="Times New Roman" w:cs="Times New Roman"/>
          <w:sz w:val="24"/>
          <w:szCs w:val="24"/>
        </w:rPr>
        <w:t>, E.</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Immune Checkpoint Inhibition for Hypermutant Glioblastoma Multiforme Resulting </w:t>
      </w:r>
      <w:proofErr w:type="gramStart"/>
      <w:r w:rsidRPr="0040743B">
        <w:rPr>
          <w:rFonts w:ascii="Times New Roman" w:hAnsi="Times New Roman" w:cs="Times New Roman"/>
          <w:sz w:val="24"/>
          <w:szCs w:val="24"/>
        </w:rPr>
        <w:t>From</w:t>
      </w:r>
      <w:proofErr w:type="gramEnd"/>
      <w:r w:rsidRPr="0040743B">
        <w:rPr>
          <w:rFonts w:ascii="Times New Roman" w:hAnsi="Times New Roman" w:cs="Times New Roman"/>
          <w:sz w:val="24"/>
          <w:szCs w:val="24"/>
        </w:rPr>
        <w:t xml:space="preserve"> Germline Biallelic Mismatch Repair Deficiency. </w:t>
      </w:r>
      <w:r w:rsidRPr="0040743B">
        <w:rPr>
          <w:rFonts w:ascii="Times New Roman" w:hAnsi="Times New Roman" w:cs="Times New Roman"/>
          <w:i/>
          <w:sz w:val="24"/>
          <w:szCs w:val="24"/>
        </w:rPr>
        <w:t>J Clin Oncol</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34</w:t>
      </w:r>
      <w:r w:rsidRPr="0040743B">
        <w:rPr>
          <w:rFonts w:ascii="Times New Roman" w:hAnsi="Times New Roman" w:cs="Times New Roman"/>
          <w:sz w:val="24"/>
          <w:szCs w:val="24"/>
        </w:rPr>
        <w:t>, 2206-2211, doi:10.1200/JCO.2016.66.6552 (2016).</w:t>
      </w:r>
    </w:p>
    <w:p w14:paraId="5B4A446B"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12</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Johanns</w:t>
      </w:r>
      <w:proofErr w:type="spellEnd"/>
      <w:r w:rsidRPr="0040743B">
        <w:rPr>
          <w:rFonts w:ascii="Times New Roman" w:hAnsi="Times New Roman" w:cs="Times New Roman"/>
          <w:sz w:val="24"/>
          <w:szCs w:val="24"/>
        </w:rPr>
        <w:t>, T. M.</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Immunogenomics of Hypermutated Glioblastoma: A Patient with Germline POLE Deficiency Treated with Checkpoint Blockade Immunotherapy. </w:t>
      </w:r>
      <w:r w:rsidRPr="0040743B">
        <w:rPr>
          <w:rFonts w:ascii="Times New Roman" w:hAnsi="Times New Roman" w:cs="Times New Roman"/>
          <w:i/>
          <w:sz w:val="24"/>
          <w:szCs w:val="24"/>
        </w:rPr>
        <w:t xml:space="preserve">Cancer </w:t>
      </w:r>
      <w:proofErr w:type="spellStart"/>
      <w:r w:rsidRPr="0040743B">
        <w:rPr>
          <w:rFonts w:ascii="Times New Roman" w:hAnsi="Times New Roman" w:cs="Times New Roman"/>
          <w:i/>
          <w:sz w:val="24"/>
          <w:szCs w:val="24"/>
        </w:rPr>
        <w:t>Discov</w:t>
      </w:r>
      <w:proofErr w:type="spellEnd"/>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6</w:t>
      </w:r>
      <w:r w:rsidRPr="0040743B">
        <w:rPr>
          <w:rFonts w:ascii="Times New Roman" w:hAnsi="Times New Roman" w:cs="Times New Roman"/>
          <w:sz w:val="24"/>
          <w:szCs w:val="24"/>
        </w:rPr>
        <w:t>, 1230-1236, doi:10.1158/2159-8290.CD-16-0575 (2016).</w:t>
      </w:r>
    </w:p>
    <w:p w14:paraId="03CFCDB1"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13</w:t>
      </w:r>
      <w:r w:rsidRPr="0040743B">
        <w:rPr>
          <w:rFonts w:ascii="Times New Roman" w:hAnsi="Times New Roman" w:cs="Times New Roman"/>
          <w:sz w:val="24"/>
          <w:szCs w:val="24"/>
        </w:rPr>
        <w:tab/>
        <w:t xml:space="preserve">Platten, M., Bunse, L., Wick, W. &amp; Bunse, T. Concepts in glioma immunotherapy. </w:t>
      </w:r>
      <w:r w:rsidRPr="0040743B">
        <w:rPr>
          <w:rFonts w:ascii="Times New Roman" w:hAnsi="Times New Roman" w:cs="Times New Roman"/>
          <w:i/>
          <w:sz w:val="24"/>
          <w:szCs w:val="24"/>
        </w:rPr>
        <w:t xml:space="preserve">Cancer Immunol </w:t>
      </w:r>
      <w:proofErr w:type="spellStart"/>
      <w:r w:rsidRPr="0040743B">
        <w:rPr>
          <w:rFonts w:ascii="Times New Roman" w:hAnsi="Times New Roman" w:cs="Times New Roman"/>
          <w:i/>
          <w:sz w:val="24"/>
          <w:szCs w:val="24"/>
        </w:rPr>
        <w:t>Immunother</w:t>
      </w:r>
      <w:proofErr w:type="spellEnd"/>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65</w:t>
      </w:r>
      <w:r w:rsidRPr="0040743B">
        <w:rPr>
          <w:rFonts w:ascii="Times New Roman" w:hAnsi="Times New Roman" w:cs="Times New Roman"/>
          <w:sz w:val="24"/>
          <w:szCs w:val="24"/>
        </w:rPr>
        <w:t>, 1269-1275, doi:10.1007/s00262-016-1874-x (2016).</w:t>
      </w:r>
    </w:p>
    <w:p w14:paraId="1FC3587E"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14</w:t>
      </w:r>
      <w:r w:rsidRPr="0040743B">
        <w:rPr>
          <w:rFonts w:ascii="Times New Roman" w:hAnsi="Times New Roman" w:cs="Times New Roman"/>
          <w:sz w:val="24"/>
          <w:szCs w:val="24"/>
        </w:rPr>
        <w:tab/>
        <w:t>Okada, H.</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Induction of CD8+ T-cell responses against novel glioma-associated antigen peptides and clinical activity by vaccinations with {alpha}-type 1 polarized dendritic cells and </w:t>
      </w:r>
      <w:proofErr w:type="spellStart"/>
      <w:r w:rsidRPr="0040743B">
        <w:rPr>
          <w:rFonts w:ascii="Times New Roman" w:hAnsi="Times New Roman" w:cs="Times New Roman"/>
          <w:sz w:val="24"/>
          <w:szCs w:val="24"/>
        </w:rPr>
        <w:t>polyinosinic-polycytidylic</w:t>
      </w:r>
      <w:proofErr w:type="spellEnd"/>
      <w:r w:rsidRPr="0040743B">
        <w:rPr>
          <w:rFonts w:ascii="Times New Roman" w:hAnsi="Times New Roman" w:cs="Times New Roman"/>
          <w:sz w:val="24"/>
          <w:szCs w:val="24"/>
        </w:rPr>
        <w:t xml:space="preserve"> acid stabilized by lysine and carboxymethylcellulose in patients with recurrent malignant glioma. </w:t>
      </w:r>
      <w:r w:rsidRPr="0040743B">
        <w:rPr>
          <w:rFonts w:ascii="Times New Roman" w:hAnsi="Times New Roman" w:cs="Times New Roman"/>
          <w:i/>
          <w:sz w:val="24"/>
          <w:szCs w:val="24"/>
        </w:rPr>
        <w:t>J Clin Oncol</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29</w:t>
      </w:r>
      <w:r w:rsidRPr="0040743B">
        <w:rPr>
          <w:rFonts w:ascii="Times New Roman" w:hAnsi="Times New Roman" w:cs="Times New Roman"/>
          <w:sz w:val="24"/>
          <w:szCs w:val="24"/>
        </w:rPr>
        <w:t>, 330-336, doi:10.1200/JCO.2010.30.7744 (2011).</w:t>
      </w:r>
    </w:p>
    <w:p w14:paraId="4F1BB2F4"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lastRenderedPageBreak/>
        <w:t>15</w:t>
      </w:r>
      <w:r w:rsidRPr="0040743B">
        <w:rPr>
          <w:rFonts w:ascii="Times New Roman" w:hAnsi="Times New Roman" w:cs="Times New Roman"/>
          <w:sz w:val="24"/>
          <w:szCs w:val="24"/>
        </w:rPr>
        <w:tab/>
        <w:t>Weller, M.</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Vaccine-based immunotherapeutic approaches to gliomas and beyond. </w:t>
      </w:r>
      <w:r w:rsidRPr="0040743B">
        <w:rPr>
          <w:rFonts w:ascii="Times New Roman" w:hAnsi="Times New Roman" w:cs="Times New Roman"/>
          <w:i/>
          <w:sz w:val="24"/>
          <w:szCs w:val="24"/>
        </w:rPr>
        <w:t>Nat Rev Neurol</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13</w:t>
      </w:r>
      <w:r w:rsidRPr="0040743B">
        <w:rPr>
          <w:rFonts w:ascii="Times New Roman" w:hAnsi="Times New Roman" w:cs="Times New Roman"/>
          <w:sz w:val="24"/>
          <w:szCs w:val="24"/>
        </w:rPr>
        <w:t>, 363-374, doi:10.1038/nrneurol.2017.64 (2017).</w:t>
      </w:r>
    </w:p>
    <w:p w14:paraId="766A2178"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16</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Rampling</w:t>
      </w:r>
      <w:proofErr w:type="spellEnd"/>
      <w:r w:rsidRPr="0040743B">
        <w:rPr>
          <w:rFonts w:ascii="Times New Roman" w:hAnsi="Times New Roman" w:cs="Times New Roman"/>
          <w:sz w:val="24"/>
          <w:szCs w:val="24"/>
        </w:rPr>
        <w:t>, R.</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A Cancer Research UK First Time in Human Phase I Trial of IMA950 (Novel Multi Peptide Therapeutic Vaccine) in Patients with Newly Diagnosed Glioblastoma. </w:t>
      </w:r>
      <w:r w:rsidRPr="0040743B">
        <w:rPr>
          <w:rFonts w:ascii="Times New Roman" w:hAnsi="Times New Roman" w:cs="Times New Roman"/>
          <w:i/>
          <w:sz w:val="24"/>
          <w:szCs w:val="24"/>
        </w:rPr>
        <w:t>Clin Cancer Res</w:t>
      </w:r>
      <w:r w:rsidRPr="0040743B">
        <w:rPr>
          <w:rFonts w:ascii="Times New Roman" w:hAnsi="Times New Roman" w:cs="Times New Roman"/>
          <w:sz w:val="24"/>
          <w:szCs w:val="24"/>
        </w:rPr>
        <w:t xml:space="preserve">, </w:t>
      </w:r>
      <w:proofErr w:type="gramStart"/>
      <w:r w:rsidRPr="0040743B">
        <w:rPr>
          <w:rFonts w:ascii="Times New Roman" w:hAnsi="Times New Roman" w:cs="Times New Roman"/>
          <w:sz w:val="24"/>
          <w:szCs w:val="24"/>
        </w:rPr>
        <w:t>doi:1078-0432.CCR</w:t>
      </w:r>
      <w:proofErr w:type="gramEnd"/>
      <w:r w:rsidRPr="0040743B">
        <w:rPr>
          <w:rFonts w:ascii="Times New Roman" w:hAnsi="Times New Roman" w:cs="Times New Roman"/>
          <w:sz w:val="24"/>
          <w:szCs w:val="24"/>
        </w:rPr>
        <w:t>-16-0506 [</w:t>
      </w:r>
      <w:proofErr w:type="spellStart"/>
      <w:r w:rsidRPr="0040743B">
        <w:rPr>
          <w:rFonts w:ascii="Times New Roman" w:hAnsi="Times New Roman" w:cs="Times New Roman"/>
          <w:sz w:val="24"/>
          <w:szCs w:val="24"/>
        </w:rPr>
        <w:t>pii</w:t>
      </w:r>
      <w:proofErr w:type="spellEnd"/>
      <w:r w:rsidRPr="0040743B">
        <w:rPr>
          <w:rFonts w:ascii="Times New Roman" w:hAnsi="Times New Roman" w:cs="Times New Roman"/>
          <w:sz w:val="24"/>
          <w:szCs w:val="24"/>
        </w:rPr>
        <w:t>];10.1158/1078-0432.CCR-16-0506 [</w:t>
      </w:r>
      <w:proofErr w:type="spellStart"/>
      <w:r w:rsidRPr="0040743B">
        <w:rPr>
          <w:rFonts w:ascii="Times New Roman" w:hAnsi="Times New Roman" w:cs="Times New Roman"/>
          <w:sz w:val="24"/>
          <w:szCs w:val="24"/>
        </w:rPr>
        <w:t>doi</w:t>
      </w:r>
      <w:proofErr w:type="spellEnd"/>
      <w:r w:rsidRPr="0040743B">
        <w:rPr>
          <w:rFonts w:ascii="Times New Roman" w:hAnsi="Times New Roman" w:cs="Times New Roman"/>
          <w:sz w:val="24"/>
          <w:szCs w:val="24"/>
        </w:rPr>
        <w:t>] (2016).</w:t>
      </w:r>
    </w:p>
    <w:p w14:paraId="66A887C5"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17</w:t>
      </w:r>
      <w:r w:rsidRPr="0040743B">
        <w:rPr>
          <w:rFonts w:ascii="Times New Roman" w:hAnsi="Times New Roman" w:cs="Times New Roman"/>
          <w:sz w:val="24"/>
          <w:szCs w:val="24"/>
        </w:rPr>
        <w:tab/>
        <w:t>Weinschenk, T.</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Integrated functional genomics approach for the design of patient-individual antitumor vaccines. </w:t>
      </w:r>
      <w:r w:rsidRPr="0040743B">
        <w:rPr>
          <w:rFonts w:ascii="Times New Roman" w:hAnsi="Times New Roman" w:cs="Times New Roman"/>
          <w:i/>
          <w:sz w:val="24"/>
          <w:szCs w:val="24"/>
        </w:rPr>
        <w:t>Cancer Res</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62</w:t>
      </w:r>
      <w:r w:rsidRPr="0040743B">
        <w:rPr>
          <w:rFonts w:ascii="Times New Roman" w:hAnsi="Times New Roman" w:cs="Times New Roman"/>
          <w:sz w:val="24"/>
          <w:szCs w:val="24"/>
        </w:rPr>
        <w:t>, 5818-5827 (2002).</w:t>
      </w:r>
    </w:p>
    <w:p w14:paraId="04DC9ACC"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18</w:t>
      </w:r>
      <w:r w:rsidRPr="0040743B">
        <w:rPr>
          <w:rFonts w:ascii="Times New Roman" w:hAnsi="Times New Roman" w:cs="Times New Roman"/>
          <w:sz w:val="24"/>
          <w:szCs w:val="24"/>
        </w:rPr>
        <w:tab/>
        <w:t>Dutoit, V.</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Exploiting the glioblastoma peptidome to discover novel </w:t>
      </w:r>
      <w:proofErr w:type="spellStart"/>
      <w:r w:rsidRPr="0040743B">
        <w:rPr>
          <w:rFonts w:ascii="Times New Roman" w:hAnsi="Times New Roman" w:cs="Times New Roman"/>
          <w:sz w:val="24"/>
          <w:szCs w:val="24"/>
        </w:rPr>
        <w:t>tumour</w:t>
      </w:r>
      <w:proofErr w:type="spellEnd"/>
      <w:r w:rsidRPr="0040743B">
        <w:rPr>
          <w:rFonts w:ascii="Times New Roman" w:hAnsi="Times New Roman" w:cs="Times New Roman"/>
          <w:sz w:val="24"/>
          <w:szCs w:val="24"/>
        </w:rPr>
        <w:t xml:space="preserve">-associated antigens for immunotherapy. </w:t>
      </w:r>
      <w:r w:rsidRPr="0040743B">
        <w:rPr>
          <w:rFonts w:ascii="Times New Roman" w:hAnsi="Times New Roman" w:cs="Times New Roman"/>
          <w:i/>
          <w:sz w:val="24"/>
          <w:szCs w:val="24"/>
        </w:rPr>
        <w:t>Brain</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135</w:t>
      </w:r>
      <w:r w:rsidRPr="0040743B">
        <w:rPr>
          <w:rFonts w:ascii="Times New Roman" w:hAnsi="Times New Roman" w:cs="Times New Roman"/>
          <w:sz w:val="24"/>
          <w:szCs w:val="24"/>
        </w:rPr>
        <w:t>, 1042-1054, doi:10.1093/brain/aws042 (2012).</w:t>
      </w:r>
    </w:p>
    <w:p w14:paraId="7DFDE529"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19</w:t>
      </w:r>
      <w:r w:rsidRPr="0040743B">
        <w:rPr>
          <w:rFonts w:ascii="Times New Roman" w:hAnsi="Times New Roman" w:cs="Times New Roman"/>
          <w:sz w:val="24"/>
          <w:szCs w:val="24"/>
        </w:rPr>
        <w:tab/>
        <w:t>Morse, M. A.</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Phase I study utilizing a novel antigen-presenting cell-targeted vaccine with Toll-like receptor stimulation to induce immunity to self-antigens in cancer patients. </w:t>
      </w:r>
      <w:r w:rsidRPr="0040743B">
        <w:rPr>
          <w:rFonts w:ascii="Times New Roman" w:hAnsi="Times New Roman" w:cs="Times New Roman"/>
          <w:i/>
          <w:sz w:val="24"/>
          <w:szCs w:val="24"/>
        </w:rPr>
        <w:t>Clin Cancer Res</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17</w:t>
      </w:r>
      <w:r w:rsidRPr="0040743B">
        <w:rPr>
          <w:rFonts w:ascii="Times New Roman" w:hAnsi="Times New Roman" w:cs="Times New Roman"/>
          <w:sz w:val="24"/>
          <w:szCs w:val="24"/>
        </w:rPr>
        <w:t xml:space="preserve">, 4844-4853, </w:t>
      </w:r>
      <w:proofErr w:type="gramStart"/>
      <w:r w:rsidRPr="0040743B">
        <w:rPr>
          <w:rFonts w:ascii="Times New Roman" w:hAnsi="Times New Roman" w:cs="Times New Roman"/>
          <w:sz w:val="24"/>
          <w:szCs w:val="24"/>
        </w:rPr>
        <w:t>doi:10.1158/1078-0432.CCR</w:t>
      </w:r>
      <w:proofErr w:type="gramEnd"/>
      <w:r w:rsidRPr="0040743B">
        <w:rPr>
          <w:rFonts w:ascii="Times New Roman" w:hAnsi="Times New Roman" w:cs="Times New Roman"/>
          <w:sz w:val="24"/>
          <w:szCs w:val="24"/>
        </w:rPr>
        <w:t>-11-0891 (2011).</w:t>
      </w:r>
    </w:p>
    <w:p w14:paraId="4F552686"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20</w:t>
      </w:r>
      <w:r w:rsidRPr="0040743B">
        <w:rPr>
          <w:rFonts w:ascii="Times New Roman" w:hAnsi="Times New Roman" w:cs="Times New Roman"/>
          <w:sz w:val="24"/>
          <w:szCs w:val="24"/>
        </w:rPr>
        <w:tab/>
        <w:t>Lawson, D. H.</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Randomized, Placebo-Controlled, Phase III Trial of Yeast-Derived Granulocyte-Macrophage Colony-Stimulating Factor (GM-CSF) Versus Peptide Vaccination Versus GM-CSF Plus Peptide Vaccination Versus Placebo in Patients </w:t>
      </w:r>
      <w:proofErr w:type="gramStart"/>
      <w:r w:rsidRPr="0040743B">
        <w:rPr>
          <w:rFonts w:ascii="Times New Roman" w:hAnsi="Times New Roman" w:cs="Times New Roman"/>
          <w:sz w:val="24"/>
          <w:szCs w:val="24"/>
        </w:rPr>
        <w:t>With</w:t>
      </w:r>
      <w:proofErr w:type="gramEnd"/>
      <w:r w:rsidRPr="0040743B">
        <w:rPr>
          <w:rFonts w:ascii="Times New Roman" w:hAnsi="Times New Roman" w:cs="Times New Roman"/>
          <w:sz w:val="24"/>
          <w:szCs w:val="24"/>
        </w:rPr>
        <w:t xml:space="preserve"> No Evidence of Disease After Complete Surgical Resection of Locally Advanced and/or Stage IV Melanoma: A Trial of the Eastern Cooperative Oncology Group-American College of Radiology Imaging Network Cancer Research Group (E4697). </w:t>
      </w:r>
      <w:r w:rsidRPr="0040743B">
        <w:rPr>
          <w:rFonts w:ascii="Times New Roman" w:hAnsi="Times New Roman" w:cs="Times New Roman"/>
          <w:i/>
          <w:sz w:val="24"/>
          <w:szCs w:val="24"/>
        </w:rPr>
        <w:t>J Clin Oncol</w:t>
      </w:r>
      <w:r w:rsidRPr="0040743B">
        <w:rPr>
          <w:rFonts w:ascii="Times New Roman" w:hAnsi="Times New Roman" w:cs="Times New Roman"/>
          <w:sz w:val="24"/>
          <w:szCs w:val="24"/>
        </w:rPr>
        <w:t xml:space="preserve">, </w:t>
      </w:r>
      <w:proofErr w:type="gramStart"/>
      <w:r w:rsidRPr="0040743B">
        <w:rPr>
          <w:rFonts w:ascii="Times New Roman" w:hAnsi="Times New Roman" w:cs="Times New Roman"/>
          <w:sz w:val="24"/>
          <w:szCs w:val="24"/>
        </w:rPr>
        <w:t>doi:JCO</w:t>
      </w:r>
      <w:proofErr w:type="gramEnd"/>
      <w:r w:rsidRPr="0040743B">
        <w:rPr>
          <w:rFonts w:ascii="Times New Roman" w:hAnsi="Times New Roman" w:cs="Times New Roman"/>
          <w:sz w:val="24"/>
          <w:szCs w:val="24"/>
        </w:rPr>
        <w:t>.2015.62.0500 [</w:t>
      </w:r>
      <w:proofErr w:type="spellStart"/>
      <w:r w:rsidRPr="0040743B">
        <w:rPr>
          <w:rFonts w:ascii="Times New Roman" w:hAnsi="Times New Roman" w:cs="Times New Roman"/>
          <w:sz w:val="24"/>
          <w:szCs w:val="24"/>
        </w:rPr>
        <w:t>pii</w:t>
      </w:r>
      <w:proofErr w:type="spellEnd"/>
      <w:r w:rsidRPr="0040743B">
        <w:rPr>
          <w:rFonts w:ascii="Times New Roman" w:hAnsi="Times New Roman" w:cs="Times New Roman"/>
          <w:sz w:val="24"/>
          <w:szCs w:val="24"/>
        </w:rPr>
        <w:t>];10.1200/JCO.2015.62.0500 [</w:t>
      </w:r>
      <w:proofErr w:type="spellStart"/>
      <w:r w:rsidRPr="0040743B">
        <w:rPr>
          <w:rFonts w:ascii="Times New Roman" w:hAnsi="Times New Roman" w:cs="Times New Roman"/>
          <w:sz w:val="24"/>
          <w:szCs w:val="24"/>
        </w:rPr>
        <w:t>doi</w:t>
      </w:r>
      <w:proofErr w:type="spellEnd"/>
      <w:r w:rsidRPr="0040743B">
        <w:rPr>
          <w:rFonts w:ascii="Times New Roman" w:hAnsi="Times New Roman" w:cs="Times New Roman"/>
          <w:sz w:val="24"/>
          <w:szCs w:val="24"/>
        </w:rPr>
        <w:t>] (2015).</w:t>
      </w:r>
    </w:p>
    <w:p w14:paraId="5D05ECF3"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lastRenderedPageBreak/>
        <w:t>21</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Woroniecka</w:t>
      </w:r>
      <w:proofErr w:type="spellEnd"/>
      <w:r w:rsidRPr="0040743B">
        <w:rPr>
          <w:rFonts w:ascii="Times New Roman" w:hAnsi="Times New Roman" w:cs="Times New Roman"/>
          <w:sz w:val="24"/>
          <w:szCs w:val="24"/>
        </w:rPr>
        <w:t>, K.</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T-Cell Exhaustion Signatures Vary with Tumor Type and Are Severe in Glioblastoma. </w:t>
      </w:r>
      <w:r w:rsidRPr="0040743B">
        <w:rPr>
          <w:rFonts w:ascii="Times New Roman" w:hAnsi="Times New Roman" w:cs="Times New Roman"/>
          <w:i/>
          <w:sz w:val="24"/>
          <w:szCs w:val="24"/>
        </w:rPr>
        <w:t>Clin Cancer Res</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24</w:t>
      </w:r>
      <w:r w:rsidRPr="0040743B">
        <w:rPr>
          <w:rFonts w:ascii="Times New Roman" w:hAnsi="Times New Roman" w:cs="Times New Roman"/>
          <w:sz w:val="24"/>
          <w:szCs w:val="24"/>
        </w:rPr>
        <w:t xml:space="preserve">, 4175-4186, </w:t>
      </w:r>
      <w:proofErr w:type="gramStart"/>
      <w:r w:rsidRPr="0040743B">
        <w:rPr>
          <w:rFonts w:ascii="Times New Roman" w:hAnsi="Times New Roman" w:cs="Times New Roman"/>
          <w:sz w:val="24"/>
          <w:szCs w:val="24"/>
        </w:rPr>
        <w:t>doi:10.1158/1078-0432.CCR</w:t>
      </w:r>
      <w:proofErr w:type="gramEnd"/>
      <w:r w:rsidRPr="0040743B">
        <w:rPr>
          <w:rFonts w:ascii="Times New Roman" w:hAnsi="Times New Roman" w:cs="Times New Roman"/>
          <w:sz w:val="24"/>
          <w:szCs w:val="24"/>
        </w:rPr>
        <w:t>-17-1846 (2018).</w:t>
      </w:r>
    </w:p>
    <w:p w14:paraId="15D4A2D7"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22</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Hadrup</w:t>
      </w:r>
      <w:proofErr w:type="spellEnd"/>
      <w:r w:rsidRPr="0040743B">
        <w:rPr>
          <w:rFonts w:ascii="Times New Roman" w:hAnsi="Times New Roman" w:cs="Times New Roman"/>
          <w:sz w:val="24"/>
          <w:szCs w:val="24"/>
        </w:rPr>
        <w:t>, S. R.</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Tumor infiltrating lymphocytes in seminoma lesions comprise clonally expanded cytotoxic T cells. </w:t>
      </w:r>
      <w:r w:rsidRPr="0040743B">
        <w:rPr>
          <w:rFonts w:ascii="Times New Roman" w:hAnsi="Times New Roman" w:cs="Times New Roman"/>
          <w:i/>
          <w:sz w:val="24"/>
          <w:szCs w:val="24"/>
        </w:rPr>
        <w:t>Int J Cancer</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119</w:t>
      </w:r>
      <w:r w:rsidRPr="0040743B">
        <w:rPr>
          <w:rFonts w:ascii="Times New Roman" w:hAnsi="Times New Roman" w:cs="Times New Roman"/>
          <w:sz w:val="24"/>
          <w:szCs w:val="24"/>
        </w:rPr>
        <w:t>, 831-838, doi:10.1002/ijc.21894 (2006).</w:t>
      </w:r>
    </w:p>
    <w:p w14:paraId="1E0DCCDD"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23</w:t>
      </w:r>
      <w:r w:rsidRPr="0040743B">
        <w:rPr>
          <w:rFonts w:ascii="Times New Roman" w:hAnsi="Times New Roman" w:cs="Times New Roman"/>
          <w:sz w:val="24"/>
          <w:szCs w:val="24"/>
        </w:rPr>
        <w:tab/>
        <w:t>Straten, P.</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Identification of identical TCRs in primary melanoma lesions and tumor free corresponding sentinel lymph nodes. </w:t>
      </w:r>
      <w:r w:rsidRPr="0040743B">
        <w:rPr>
          <w:rFonts w:ascii="Times New Roman" w:hAnsi="Times New Roman" w:cs="Times New Roman"/>
          <w:i/>
          <w:sz w:val="24"/>
          <w:szCs w:val="24"/>
        </w:rPr>
        <w:t xml:space="preserve">Cancer Immunol </w:t>
      </w:r>
      <w:proofErr w:type="spellStart"/>
      <w:r w:rsidRPr="0040743B">
        <w:rPr>
          <w:rFonts w:ascii="Times New Roman" w:hAnsi="Times New Roman" w:cs="Times New Roman"/>
          <w:i/>
          <w:sz w:val="24"/>
          <w:szCs w:val="24"/>
        </w:rPr>
        <w:t>Immunother</w:t>
      </w:r>
      <w:proofErr w:type="spellEnd"/>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55</w:t>
      </w:r>
      <w:r w:rsidRPr="0040743B">
        <w:rPr>
          <w:rFonts w:ascii="Times New Roman" w:hAnsi="Times New Roman" w:cs="Times New Roman"/>
          <w:sz w:val="24"/>
          <w:szCs w:val="24"/>
        </w:rPr>
        <w:t>, 495-502, doi:10.1007/s00262-005-0023-8 (2006).</w:t>
      </w:r>
    </w:p>
    <w:p w14:paraId="46570BB7"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24</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Kalaora</w:t>
      </w:r>
      <w:proofErr w:type="spellEnd"/>
      <w:r w:rsidRPr="0040743B">
        <w:rPr>
          <w:rFonts w:ascii="Times New Roman" w:hAnsi="Times New Roman" w:cs="Times New Roman"/>
          <w:sz w:val="24"/>
          <w:szCs w:val="24"/>
        </w:rPr>
        <w:t>, S.</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Use of HLA </w:t>
      </w:r>
      <w:proofErr w:type="spellStart"/>
      <w:r w:rsidRPr="0040743B">
        <w:rPr>
          <w:rFonts w:ascii="Times New Roman" w:hAnsi="Times New Roman" w:cs="Times New Roman"/>
          <w:sz w:val="24"/>
          <w:szCs w:val="24"/>
        </w:rPr>
        <w:t>peptidomics</w:t>
      </w:r>
      <w:proofErr w:type="spellEnd"/>
      <w:r w:rsidRPr="0040743B">
        <w:rPr>
          <w:rFonts w:ascii="Times New Roman" w:hAnsi="Times New Roman" w:cs="Times New Roman"/>
          <w:sz w:val="24"/>
          <w:szCs w:val="24"/>
        </w:rPr>
        <w:t xml:space="preserve"> and whole exome sequencing to identify human immunogenic neo-antigens. </w:t>
      </w:r>
      <w:proofErr w:type="spellStart"/>
      <w:r w:rsidRPr="0040743B">
        <w:rPr>
          <w:rFonts w:ascii="Times New Roman" w:hAnsi="Times New Roman" w:cs="Times New Roman"/>
          <w:i/>
          <w:sz w:val="24"/>
          <w:szCs w:val="24"/>
        </w:rPr>
        <w:t>Oncotarget</w:t>
      </w:r>
      <w:proofErr w:type="spellEnd"/>
      <w:r w:rsidRPr="0040743B">
        <w:rPr>
          <w:rFonts w:ascii="Times New Roman" w:hAnsi="Times New Roman" w:cs="Times New Roman"/>
          <w:sz w:val="24"/>
          <w:szCs w:val="24"/>
        </w:rPr>
        <w:t>, doi:6960 [</w:t>
      </w:r>
      <w:proofErr w:type="spellStart"/>
      <w:r w:rsidRPr="0040743B">
        <w:rPr>
          <w:rFonts w:ascii="Times New Roman" w:hAnsi="Times New Roman" w:cs="Times New Roman"/>
          <w:sz w:val="24"/>
          <w:szCs w:val="24"/>
        </w:rPr>
        <w:t>pii</w:t>
      </w:r>
      <w:proofErr w:type="spellEnd"/>
      <w:r w:rsidRPr="0040743B">
        <w:rPr>
          <w:rFonts w:ascii="Times New Roman" w:hAnsi="Times New Roman" w:cs="Times New Roman"/>
          <w:sz w:val="24"/>
          <w:szCs w:val="24"/>
        </w:rPr>
        <w:t>];10.18632/oncotarget.6960 [</w:t>
      </w:r>
      <w:proofErr w:type="spellStart"/>
      <w:r w:rsidRPr="0040743B">
        <w:rPr>
          <w:rFonts w:ascii="Times New Roman" w:hAnsi="Times New Roman" w:cs="Times New Roman"/>
          <w:sz w:val="24"/>
          <w:szCs w:val="24"/>
        </w:rPr>
        <w:t>doi</w:t>
      </w:r>
      <w:proofErr w:type="spellEnd"/>
      <w:r w:rsidRPr="0040743B">
        <w:rPr>
          <w:rFonts w:ascii="Times New Roman" w:hAnsi="Times New Roman" w:cs="Times New Roman"/>
          <w:sz w:val="24"/>
          <w:szCs w:val="24"/>
        </w:rPr>
        <w:t>] (2016).</w:t>
      </w:r>
    </w:p>
    <w:p w14:paraId="0232ABCC"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25</w:t>
      </w:r>
      <w:r w:rsidRPr="0040743B">
        <w:rPr>
          <w:rFonts w:ascii="Times New Roman" w:hAnsi="Times New Roman" w:cs="Times New Roman"/>
          <w:sz w:val="24"/>
          <w:szCs w:val="24"/>
        </w:rPr>
        <w:tab/>
        <w:t>Tran, E.</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Immunogenicity of somatic mutations in human gastrointestinal cancers. </w:t>
      </w:r>
      <w:r w:rsidRPr="0040743B">
        <w:rPr>
          <w:rFonts w:ascii="Times New Roman" w:hAnsi="Times New Roman" w:cs="Times New Roman"/>
          <w:i/>
          <w:sz w:val="24"/>
          <w:szCs w:val="24"/>
        </w:rPr>
        <w:t>Science</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350</w:t>
      </w:r>
      <w:r w:rsidRPr="0040743B">
        <w:rPr>
          <w:rFonts w:ascii="Times New Roman" w:hAnsi="Times New Roman" w:cs="Times New Roman"/>
          <w:sz w:val="24"/>
          <w:szCs w:val="24"/>
        </w:rPr>
        <w:t>, 1387-1390, doi:10.1126/</w:t>
      </w:r>
      <w:proofErr w:type="gramStart"/>
      <w:r w:rsidRPr="0040743B">
        <w:rPr>
          <w:rFonts w:ascii="Times New Roman" w:hAnsi="Times New Roman" w:cs="Times New Roman"/>
          <w:sz w:val="24"/>
          <w:szCs w:val="24"/>
        </w:rPr>
        <w:t>science.aad</w:t>
      </w:r>
      <w:proofErr w:type="gramEnd"/>
      <w:r w:rsidRPr="0040743B">
        <w:rPr>
          <w:rFonts w:ascii="Times New Roman" w:hAnsi="Times New Roman" w:cs="Times New Roman"/>
          <w:sz w:val="24"/>
          <w:szCs w:val="24"/>
        </w:rPr>
        <w:t>1253 (2015).</w:t>
      </w:r>
    </w:p>
    <w:p w14:paraId="3EFF3C42"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26</w:t>
      </w:r>
      <w:r w:rsidRPr="0040743B">
        <w:rPr>
          <w:rFonts w:ascii="Times New Roman" w:hAnsi="Times New Roman" w:cs="Times New Roman"/>
          <w:sz w:val="24"/>
          <w:szCs w:val="24"/>
        </w:rPr>
        <w:tab/>
        <w:t>Weller, M.</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w:t>
      </w:r>
      <w:proofErr w:type="spellStart"/>
      <w:r w:rsidRPr="0040743B">
        <w:rPr>
          <w:rFonts w:ascii="Times New Roman" w:hAnsi="Times New Roman" w:cs="Times New Roman"/>
          <w:sz w:val="24"/>
          <w:szCs w:val="24"/>
        </w:rPr>
        <w:t>Rindopepimut</w:t>
      </w:r>
      <w:proofErr w:type="spellEnd"/>
      <w:r w:rsidRPr="0040743B">
        <w:rPr>
          <w:rFonts w:ascii="Times New Roman" w:hAnsi="Times New Roman" w:cs="Times New Roman"/>
          <w:sz w:val="24"/>
          <w:szCs w:val="24"/>
        </w:rPr>
        <w:t xml:space="preserve"> with temozolomide for patients with newly diagnosed, </w:t>
      </w:r>
      <w:proofErr w:type="spellStart"/>
      <w:r w:rsidRPr="0040743B">
        <w:rPr>
          <w:rFonts w:ascii="Times New Roman" w:hAnsi="Times New Roman" w:cs="Times New Roman"/>
          <w:sz w:val="24"/>
          <w:szCs w:val="24"/>
        </w:rPr>
        <w:t>EGFRvIII</w:t>
      </w:r>
      <w:proofErr w:type="spellEnd"/>
      <w:r w:rsidRPr="0040743B">
        <w:rPr>
          <w:rFonts w:ascii="Times New Roman" w:hAnsi="Times New Roman" w:cs="Times New Roman"/>
          <w:sz w:val="24"/>
          <w:szCs w:val="24"/>
        </w:rPr>
        <w:t xml:space="preserve">-expressing glioblastoma (ACT IV): a </w:t>
      </w:r>
      <w:proofErr w:type="spellStart"/>
      <w:r w:rsidRPr="0040743B">
        <w:rPr>
          <w:rFonts w:ascii="Times New Roman" w:hAnsi="Times New Roman" w:cs="Times New Roman"/>
          <w:sz w:val="24"/>
          <w:szCs w:val="24"/>
        </w:rPr>
        <w:t>randomised</w:t>
      </w:r>
      <w:proofErr w:type="spellEnd"/>
      <w:r w:rsidRPr="0040743B">
        <w:rPr>
          <w:rFonts w:ascii="Times New Roman" w:hAnsi="Times New Roman" w:cs="Times New Roman"/>
          <w:sz w:val="24"/>
          <w:szCs w:val="24"/>
        </w:rPr>
        <w:t xml:space="preserve">, double-blind, international phase 3 trial. </w:t>
      </w:r>
      <w:r w:rsidRPr="0040743B">
        <w:rPr>
          <w:rFonts w:ascii="Times New Roman" w:hAnsi="Times New Roman" w:cs="Times New Roman"/>
          <w:i/>
          <w:sz w:val="24"/>
          <w:szCs w:val="24"/>
        </w:rPr>
        <w:t>Lancet Oncol</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18</w:t>
      </w:r>
      <w:r w:rsidRPr="0040743B">
        <w:rPr>
          <w:rFonts w:ascii="Times New Roman" w:hAnsi="Times New Roman" w:cs="Times New Roman"/>
          <w:sz w:val="24"/>
          <w:szCs w:val="24"/>
        </w:rPr>
        <w:t>, 1373-1385, doi:10.1016/S1470-2045(17)30517-X (2017).</w:t>
      </w:r>
    </w:p>
    <w:p w14:paraId="6C211032" w14:textId="77777777" w:rsidR="00CF41F8" w:rsidRPr="0040743B" w:rsidRDefault="00CF41F8" w:rsidP="008C3FF9">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27</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Shraibman</w:t>
      </w:r>
      <w:proofErr w:type="spellEnd"/>
      <w:r w:rsidRPr="0040743B">
        <w:rPr>
          <w:rFonts w:ascii="Times New Roman" w:hAnsi="Times New Roman" w:cs="Times New Roman"/>
          <w:sz w:val="24"/>
          <w:szCs w:val="24"/>
        </w:rPr>
        <w:t>, B.</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Identification of tumor antigens among the HLA peptidomes of Glioblastoma tumors and plasma. </w:t>
      </w:r>
      <w:r w:rsidRPr="0040743B">
        <w:rPr>
          <w:rFonts w:ascii="Times New Roman" w:hAnsi="Times New Roman" w:cs="Times New Roman"/>
          <w:i/>
          <w:sz w:val="24"/>
          <w:szCs w:val="24"/>
        </w:rPr>
        <w:t>Mol Cell Proteomics</w:t>
      </w:r>
      <w:r w:rsidRPr="0040743B">
        <w:rPr>
          <w:rFonts w:ascii="Times New Roman" w:hAnsi="Times New Roman" w:cs="Times New Roman"/>
          <w:sz w:val="24"/>
          <w:szCs w:val="24"/>
        </w:rPr>
        <w:t>, doi:10.1074/mcp.RA118.000792 (2018).</w:t>
      </w:r>
    </w:p>
    <w:p w14:paraId="4186DD4D" w14:textId="77777777" w:rsidR="00D727CA" w:rsidRPr="0040743B" w:rsidRDefault="00F9485C">
      <w:pPr>
        <w:pStyle w:val="TextA"/>
        <w:spacing w:line="480" w:lineRule="auto"/>
        <w:rPr>
          <w:rFonts w:ascii="Times New Roman" w:hAnsi="Times New Roman" w:cs="Times New Roman"/>
          <w:sz w:val="24"/>
          <w:szCs w:val="24"/>
          <w:lang w:val="en-GB"/>
        </w:rPr>
      </w:pPr>
      <w:r w:rsidRPr="0040743B">
        <w:rPr>
          <w:rFonts w:ascii="Times New Roman" w:eastAsia="Arial Unicode MS" w:hAnsi="Times New Roman" w:cs="Times New Roman"/>
          <w:sz w:val="24"/>
          <w:szCs w:val="24"/>
          <w:lang w:val="en-GB"/>
        </w:rPr>
        <w:br w:type="page"/>
      </w:r>
    </w:p>
    <w:p w14:paraId="4186DD4E" w14:textId="77777777" w:rsidR="00D727CA" w:rsidRPr="0040743B" w:rsidRDefault="00F9485C">
      <w:pPr>
        <w:pStyle w:val="TextA"/>
        <w:spacing w:after="120" w:line="480" w:lineRule="auto"/>
        <w:rPr>
          <w:rFonts w:ascii="Times New Roman" w:hAnsi="Times New Roman" w:cs="Times New Roman"/>
          <w:b/>
          <w:bCs/>
          <w:sz w:val="24"/>
          <w:szCs w:val="24"/>
          <w:lang w:val="en-GB"/>
        </w:rPr>
      </w:pPr>
      <w:r w:rsidRPr="0040743B">
        <w:rPr>
          <w:rFonts w:ascii="Times New Roman" w:hAnsi="Times New Roman" w:cs="Times New Roman"/>
          <w:b/>
          <w:bCs/>
          <w:sz w:val="24"/>
          <w:szCs w:val="24"/>
          <w:lang w:val="en-GB"/>
        </w:rPr>
        <w:lastRenderedPageBreak/>
        <w:t xml:space="preserve">Supplementary Information </w:t>
      </w:r>
      <w:r w:rsidRPr="0040743B">
        <w:rPr>
          <w:rFonts w:ascii="Times New Roman" w:hAnsi="Times New Roman" w:cs="Times New Roman"/>
          <w:sz w:val="24"/>
          <w:szCs w:val="24"/>
          <w:lang w:val="en-GB"/>
        </w:rPr>
        <w:t>is available in the online version of the paper.</w:t>
      </w:r>
    </w:p>
    <w:p w14:paraId="4186DD4F" w14:textId="2E17306B" w:rsidR="00D727CA" w:rsidRPr="0040743B" w:rsidRDefault="00F9485C">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Acknowledgements</w:t>
      </w:r>
      <w:r w:rsidRPr="0040743B">
        <w:rPr>
          <w:rFonts w:ascii="Times New Roman" w:hAnsi="Times New Roman" w:cs="Times New Roman"/>
          <w:sz w:val="24"/>
          <w:szCs w:val="24"/>
          <w:lang w:val="en-GB"/>
        </w:rPr>
        <w:t xml:space="preserve"> We thank all patients and their families participating in this clinical trial. We also thank the Data Safety Monitoring Board (Jeremy Rich, Olivier Chinot, Christoph Huber). We </w:t>
      </w:r>
      <w:r w:rsidR="009F753A" w:rsidRPr="0040743B">
        <w:rPr>
          <w:rFonts w:ascii="Times New Roman" w:hAnsi="Times New Roman" w:cs="Times New Roman"/>
          <w:sz w:val="24"/>
          <w:szCs w:val="24"/>
          <w:lang w:val="en-GB"/>
        </w:rPr>
        <w:t>thank</w:t>
      </w:r>
      <w:r w:rsidRPr="0040743B">
        <w:rPr>
          <w:rFonts w:ascii="Times New Roman" w:hAnsi="Times New Roman" w:cs="Times New Roman"/>
          <w:sz w:val="24"/>
          <w:szCs w:val="24"/>
          <w:lang w:val="en-GB"/>
        </w:rPr>
        <w:t xml:space="preserve"> Stefan Hess, Martin Krauss (FGK, Germany) and Susanne Becker (spm², Germany) for their contributions </w:t>
      </w:r>
      <w:r w:rsidR="00287D2C" w:rsidRPr="0040743B">
        <w:rPr>
          <w:rFonts w:ascii="Times New Roman" w:hAnsi="Times New Roman" w:cs="Times New Roman"/>
          <w:sz w:val="24"/>
          <w:szCs w:val="24"/>
          <w:lang w:val="en-GB"/>
        </w:rPr>
        <w:t>to trial</w:t>
      </w:r>
      <w:r w:rsidRPr="0040743B">
        <w:rPr>
          <w:rFonts w:ascii="Times New Roman" w:hAnsi="Times New Roman" w:cs="Times New Roman"/>
          <w:sz w:val="24"/>
          <w:szCs w:val="24"/>
          <w:lang w:val="en-GB"/>
        </w:rPr>
        <w:t xml:space="preserve"> </w:t>
      </w:r>
      <w:r w:rsidR="00287D2C" w:rsidRPr="0040743B">
        <w:rPr>
          <w:rFonts w:ascii="Times New Roman" w:hAnsi="Times New Roman" w:cs="Times New Roman"/>
          <w:sz w:val="24"/>
          <w:szCs w:val="24"/>
          <w:lang w:val="en-GB"/>
        </w:rPr>
        <w:t>management</w:t>
      </w:r>
      <w:r w:rsidRPr="0040743B">
        <w:rPr>
          <w:rFonts w:ascii="Times New Roman" w:hAnsi="Times New Roman" w:cs="Times New Roman"/>
          <w:sz w:val="24"/>
          <w:szCs w:val="24"/>
          <w:lang w:val="en-GB"/>
        </w:rPr>
        <w:t>. Andres Salazar (</w:t>
      </w:r>
      <w:proofErr w:type="spellStart"/>
      <w:r w:rsidRPr="0040743B">
        <w:rPr>
          <w:rFonts w:ascii="Times New Roman" w:hAnsi="Times New Roman" w:cs="Times New Roman"/>
          <w:sz w:val="24"/>
          <w:szCs w:val="24"/>
          <w:lang w:val="en-GB"/>
        </w:rPr>
        <w:t>Oncovir</w:t>
      </w:r>
      <w:proofErr w:type="spellEnd"/>
      <w:r w:rsidRPr="0040743B">
        <w:rPr>
          <w:rFonts w:ascii="Times New Roman" w:hAnsi="Times New Roman" w:cs="Times New Roman"/>
          <w:sz w:val="24"/>
          <w:szCs w:val="24"/>
          <w:lang w:val="en-GB"/>
        </w:rPr>
        <w:t xml:space="preserve"> Inc., USA) </w:t>
      </w:r>
      <w:r w:rsidR="00A0348E" w:rsidRPr="0040743B">
        <w:rPr>
          <w:rFonts w:ascii="Times New Roman" w:hAnsi="Times New Roman" w:cs="Times New Roman"/>
          <w:sz w:val="24"/>
          <w:szCs w:val="24"/>
          <w:lang w:val="en-GB"/>
        </w:rPr>
        <w:t>pr</w:t>
      </w:r>
      <w:r w:rsidR="009416EC" w:rsidRPr="0040743B">
        <w:rPr>
          <w:rFonts w:ascii="Times New Roman" w:hAnsi="Times New Roman" w:cs="Times New Roman"/>
          <w:sz w:val="24"/>
          <w:szCs w:val="24"/>
          <w:lang w:val="en-GB"/>
        </w:rPr>
        <w:t>ovided</w:t>
      </w:r>
      <w:r w:rsidRPr="0040743B">
        <w:rPr>
          <w:rFonts w:ascii="Times New Roman" w:hAnsi="Times New Roman" w:cs="Times New Roman"/>
          <w:sz w:val="24"/>
          <w:szCs w:val="24"/>
          <w:lang w:val="en-GB"/>
        </w:rPr>
        <w:t xml:space="preserve"> poly-ICLC. Tina </w:t>
      </w:r>
      <w:proofErr w:type="spellStart"/>
      <w:r w:rsidRPr="0040743B">
        <w:rPr>
          <w:rFonts w:ascii="Times New Roman" w:hAnsi="Times New Roman" w:cs="Times New Roman"/>
          <w:sz w:val="24"/>
          <w:szCs w:val="24"/>
          <w:lang w:val="en-GB"/>
        </w:rPr>
        <w:t>Hillemann</w:t>
      </w:r>
      <w:proofErr w:type="spellEnd"/>
      <w:r w:rsidRPr="0040743B">
        <w:rPr>
          <w:rFonts w:ascii="Times New Roman" w:hAnsi="Times New Roman" w:cs="Times New Roman"/>
          <w:sz w:val="24"/>
          <w:szCs w:val="24"/>
          <w:lang w:val="en-GB"/>
        </w:rPr>
        <w:t xml:space="preserve">, Michael </w:t>
      </w:r>
      <w:proofErr w:type="spellStart"/>
      <w:r w:rsidRPr="0040743B">
        <w:rPr>
          <w:rFonts w:ascii="Times New Roman" w:hAnsi="Times New Roman" w:cs="Times New Roman"/>
          <w:sz w:val="24"/>
          <w:szCs w:val="24"/>
          <w:lang w:val="en-GB"/>
        </w:rPr>
        <w:t>Erdeljan</w:t>
      </w:r>
      <w:proofErr w:type="spellEnd"/>
      <w:r w:rsidRPr="0040743B">
        <w:rPr>
          <w:rFonts w:ascii="Times New Roman" w:hAnsi="Times New Roman" w:cs="Times New Roman"/>
          <w:sz w:val="24"/>
          <w:szCs w:val="24"/>
          <w:lang w:val="en-GB"/>
        </w:rPr>
        <w:t>, and Leonie Alten made important contributions to the revisions. We also thank Ines Groskopf and Melanie Adis for excellent technical support. GAPVAC was supported by the European Union's FP7-HEALTH Research and Innovation funding program (number 305061).</w:t>
      </w:r>
      <w:r w:rsidR="00CF41F8" w:rsidRPr="0040743B">
        <w:rPr>
          <w:rFonts w:ascii="Times New Roman" w:hAnsi="Times New Roman" w:cs="Times New Roman"/>
          <w:sz w:val="24"/>
          <w:szCs w:val="24"/>
          <w:lang w:val="en-GB"/>
        </w:rPr>
        <w:t xml:space="preserve"> Further support information can be found in Supplementary </w:t>
      </w:r>
      <w:r w:rsidR="00A54312" w:rsidRPr="0040743B">
        <w:rPr>
          <w:rFonts w:ascii="Times New Roman" w:hAnsi="Times New Roman" w:cs="Times New Roman"/>
          <w:sz w:val="24"/>
          <w:szCs w:val="24"/>
          <w:lang w:val="en-GB"/>
        </w:rPr>
        <w:t>Notes</w:t>
      </w:r>
      <w:r w:rsidR="00CF41F8" w:rsidRPr="0040743B">
        <w:rPr>
          <w:rFonts w:ascii="Times New Roman" w:hAnsi="Times New Roman" w:cs="Times New Roman"/>
          <w:sz w:val="24"/>
          <w:szCs w:val="24"/>
          <w:lang w:val="en-GB"/>
        </w:rPr>
        <w:t>.</w:t>
      </w:r>
    </w:p>
    <w:p w14:paraId="4186DD51" w14:textId="59C233C8" w:rsidR="00D727CA" w:rsidRPr="0040743B" w:rsidRDefault="00F9485C">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 xml:space="preserve">Author contributions </w:t>
      </w:r>
      <w:r w:rsidRPr="0040743B">
        <w:rPr>
          <w:rFonts w:ascii="Times New Roman" w:hAnsi="Times New Roman" w:cs="Times New Roman"/>
          <w:sz w:val="24"/>
          <w:szCs w:val="24"/>
          <w:lang w:val="en-GB"/>
        </w:rPr>
        <w:t>C</w:t>
      </w:r>
      <w:r w:rsidR="00AC377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B</w:t>
      </w:r>
      <w:r w:rsidR="00760D4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H</w:t>
      </w:r>
      <w:r w:rsidR="00790922"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G</w:t>
      </w:r>
      <w:r w:rsidR="00760D4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R</w:t>
      </w:r>
      <w:r w:rsidR="00760D4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00A64202" w:rsidRPr="0040743B">
        <w:rPr>
          <w:rFonts w:ascii="Times New Roman" w:hAnsi="Times New Roman" w:cs="Times New Roman"/>
          <w:sz w:val="24"/>
          <w:szCs w:val="24"/>
          <w:lang w:val="en-GB"/>
        </w:rPr>
        <w:t>H</w:t>
      </w:r>
      <w:r w:rsidR="00760D4B" w:rsidRPr="0040743B">
        <w:rPr>
          <w:rFonts w:ascii="Times New Roman" w:hAnsi="Times New Roman" w:cs="Times New Roman"/>
          <w:sz w:val="24"/>
          <w:szCs w:val="24"/>
          <w:lang w:val="en-GB"/>
        </w:rPr>
        <w:t>.</w:t>
      </w:r>
      <w:r w:rsidR="00A64202" w:rsidRPr="0040743B">
        <w:rPr>
          <w:rFonts w:ascii="Times New Roman" w:hAnsi="Times New Roman" w:cs="Times New Roman"/>
          <w:sz w:val="24"/>
          <w:szCs w:val="24"/>
          <w:lang w:val="en-GB"/>
        </w:rPr>
        <w:t>O</w:t>
      </w:r>
      <w:r w:rsidR="00760D4B" w:rsidRPr="0040743B">
        <w:rPr>
          <w:rFonts w:ascii="Times New Roman" w:hAnsi="Times New Roman" w:cs="Times New Roman"/>
          <w:sz w:val="24"/>
          <w:szCs w:val="24"/>
          <w:lang w:val="en-GB"/>
        </w:rPr>
        <w:t>.</w:t>
      </w:r>
      <w:r w:rsidR="00A64202"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H</w:t>
      </w:r>
      <w:r w:rsidR="00760D4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S</w:t>
      </w:r>
      <w:r w:rsidR="00760D4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00A64202" w:rsidRPr="0040743B">
        <w:rPr>
          <w:rFonts w:ascii="Times New Roman" w:hAnsi="Times New Roman" w:cs="Times New Roman"/>
          <w:sz w:val="24"/>
          <w:szCs w:val="24"/>
          <w:lang w:val="en-GB"/>
        </w:rPr>
        <w:t>N</w:t>
      </w:r>
      <w:r w:rsidR="00760D4B" w:rsidRPr="0040743B">
        <w:rPr>
          <w:rFonts w:ascii="Times New Roman" w:hAnsi="Times New Roman" w:cs="Times New Roman"/>
          <w:sz w:val="24"/>
          <w:szCs w:val="24"/>
          <w:lang w:val="en-GB"/>
        </w:rPr>
        <w:t>.</w:t>
      </w:r>
      <w:r w:rsidR="00A64202" w:rsidRPr="0040743B">
        <w:rPr>
          <w:rFonts w:ascii="Times New Roman" w:hAnsi="Times New Roman" w:cs="Times New Roman"/>
          <w:sz w:val="24"/>
          <w:szCs w:val="24"/>
          <w:lang w:val="en-GB"/>
        </w:rPr>
        <w:t>H</w:t>
      </w:r>
      <w:r w:rsidR="00760D4B" w:rsidRPr="0040743B">
        <w:rPr>
          <w:rFonts w:ascii="Times New Roman" w:hAnsi="Times New Roman" w:cs="Times New Roman"/>
          <w:sz w:val="24"/>
          <w:szCs w:val="24"/>
          <w:lang w:val="en-GB"/>
        </w:rPr>
        <w:t>.</w:t>
      </w:r>
      <w:r w:rsidR="00A64202"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P</w:t>
      </w:r>
      <w:r w:rsidR="00790922"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Y</w:t>
      </w:r>
      <w:r w:rsidR="00760D4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D</w:t>
      </w:r>
      <w:r w:rsidR="00760D4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S</w:t>
      </w:r>
      <w:r w:rsidR="00763A61"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K</w:t>
      </w:r>
      <w:r w:rsidR="00FA51A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C</w:t>
      </w:r>
      <w:r w:rsidR="00FA51A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S</w:t>
      </w:r>
      <w:r w:rsidR="00321CE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H</w:t>
      </w:r>
      <w:r w:rsidR="00321CE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U</w:t>
      </w:r>
      <w:r w:rsidR="00FC2C8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S</w:t>
      </w:r>
      <w:r w:rsidR="00FC2C8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W</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developed the GAPVAC concept</w:t>
      </w:r>
      <w:r w:rsidR="00A64202" w:rsidRPr="0040743B">
        <w:rPr>
          <w:rFonts w:ascii="Times New Roman" w:hAnsi="Times New Roman" w:cs="Times New Roman"/>
          <w:sz w:val="24"/>
          <w:szCs w:val="24"/>
          <w:lang w:val="en-GB"/>
        </w:rPr>
        <w:t xml:space="preserve"> trial design</w:t>
      </w:r>
      <w:r w:rsidRPr="0040743B">
        <w:rPr>
          <w:rFonts w:ascii="Times New Roman" w:hAnsi="Times New Roman" w:cs="Times New Roman"/>
          <w:sz w:val="24"/>
          <w:szCs w:val="24"/>
          <w:lang w:val="en-GB"/>
        </w:rPr>
        <w:t>.</w:t>
      </w:r>
      <w:r w:rsidR="00121839"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De</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M</w:t>
      </w:r>
      <w:proofErr w:type="spellEnd"/>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F</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M</w:t>
      </w:r>
      <w:r w:rsidR="00781369" w:rsidRPr="0040743B">
        <w:rPr>
          <w:rFonts w:ascii="Times New Roman" w:hAnsi="Times New Roman" w:cs="Times New Roman"/>
          <w:sz w:val="24"/>
          <w:szCs w:val="24"/>
          <w:lang w:val="en-GB"/>
        </w:rPr>
        <w:t>.</w:t>
      </w:r>
      <w:r w:rsidR="00950C6A"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R</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G</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T</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J</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K</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J</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R</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J</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S</w:t>
      </w:r>
      <w:r w:rsidR="0078136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00781369" w:rsidRPr="0040743B">
        <w:rPr>
          <w:rFonts w:ascii="Times New Roman" w:hAnsi="Times New Roman" w:cs="Times New Roman"/>
          <w:sz w:val="24"/>
          <w:szCs w:val="24"/>
          <w:lang w:val="en-GB"/>
        </w:rPr>
        <w:t>P.-Y.D.</w:t>
      </w:r>
      <w:r w:rsidRPr="0040743B">
        <w:rPr>
          <w:rFonts w:ascii="Times New Roman" w:hAnsi="Times New Roman" w:cs="Times New Roman"/>
          <w:sz w:val="24"/>
          <w:szCs w:val="24"/>
          <w:lang w:val="en-GB"/>
        </w:rPr>
        <w:t xml:space="preserve">, </w:t>
      </w:r>
      <w:r w:rsidR="00781369" w:rsidRPr="0040743B">
        <w:rPr>
          <w:rFonts w:ascii="Times New Roman" w:hAnsi="Times New Roman" w:cs="Times New Roman"/>
          <w:sz w:val="24"/>
          <w:szCs w:val="24"/>
          <w:lang w:val="en-GB"/>
        </w:rPr>
        <w:t>U.L.</w:t>
      </w:r>
      <w:r w:rsidRPr="0040743B">
        <w:rPr>
          <w:rFonts w:ascii="Times New Roman" w:hAnsi="Times New Roman" w:cs="Times New Roman"/>
          <w:sz w:val="24"/>
          <w:szCs w:val="24"/>
          <w:lang w:val="en-GB"/>
        </w:rPr>
        <w:t>, W</w:t>
      </w:r>
      <w:r w:rsidR="001575FA"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w:t>
      </w:r>
      <w:r w:rsidR="001575FA"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recruited and treated patients.</w:t>
      </w:r>
      <w:r w:rsidR="007E225E" w:rsidRPr="0040743B">
        <w:rPr>
          <w:rFonts w:ascii="Times New Roman" w:hAnsi="Times New Roman" w:cs="Times New Roman"/>
          <w:sz w:val="24"/>
          <w:szCs w:val="24"/>
          <w:lang w:val="en-GB"/>
        </w:rPr>
        <w:t xml:space="preserve"> A.T., </w:t>
      </w:r>
      <w:r w:rsidR="00445735" w:rsidRPr="0040743B">
        <w:rPr>
          <w:rFonts w:ascii="Times New Roman" w:hAnsi="Times New Roman" w:cs="Times New Roman"/>
          <w:sz w:val="24"/>
          <w:szCs w:val="24"/>
          <w:lang w:val="en-GB"/>
        </w:rPr>
        <w:t xml:space="preserve">C.S., </w:t>
      </w:r>
      <w:r w:rsidR="002E289B" w:rsidRPr="0040743B">
        <w:rPr>
          <w:rFonts w:ascii="Times New Roman" w:hAnsi="Times New Roman" w:cs="Times New Roman"/>
          <w:sz w:val="24"/>
          <w:szCs w:val="24"/>
          <w:lang w:val="en-GB"/>
        </w:rPr>
        <w:t>J.C.,</w:t>
      </w:r>
      <w:r w:rsidR="00445735" w:rsidRPr="0040743B">
        <w:rPr>
          <w:rFonts w:ascii="Times New Roman" w:hAnsi="Times New Roman" w:cs="Times New Roman"/>
          <w:sz w:val="24"/>
          <w:szCs w:val="24"/>
          <w:lang w:val="en-GB"/>
        </w:rPr>
        <w:t xml:space="preserve"> J.F., </w:t>
      </w:r>
      <w:r w:rsidR="007E225E" w:rsidRPr="0040743B">
        <w:rPr>
          <w:rFonts w:ascii="Times New Roman" w:hAnsi="Times New Roman" w:cs="Times New Roman"/>
          <w:sz w:val="24"/>
          <w:szCs w:val="24"/>
          <w:lang w:val="en-GB"/>
        </w:rPr>
        <w:t xml:space="preserve">K.F., M.L., </w:t>
      </w:r>
      <w:r w:rsidR="00445735" w:rsidRPr="0040743B">
        <w:rPr>
          <w:rFonts w:ascii="Times New Roman" w:hAnsi="Times New Roman" w:cs="Times New Roman"/>
          <w:sz w:val="24"/>
          <w:szCs w:val="24"/>
          <w:lang w:val="en-GB"/>
        </w:rPr>
        <w:t>N.H., O.S.,</w:t>
      </w:r>
      <w:r w:rsidR="007E225E" w:rsidRPr="0040743B">
        <w:rPr>
          <w:rFonts w:ascii="Times New Roman" w:hAnsi="Times New Roman" w:cs="Times New Roman"/>
          <w:sz w:val="24"/>
          <w:szCs w:val="24"/>
          <w:lang w:val="en-GB"/>
        </w:rPr>
        <w:t xml:space="preserve"> S.H.,</w:t>
      </w:r>
      <w:r w:rsidR="00445735" w:rsidRPr="0040743B">
        <w:rPr>
          <w:rFonts w:ascii="Times New Roman" w:hAnsi="Times New Roman" w:cs="Times New Roman"/>
          <w:sz w:val="24"/>
          <w:szCs w:val="24"/>
          <w:lang w:val="en-GB"/>
        </w:rPr>
        <w:t xml:space="preserve"> </w:t>
      </w:r>
      <w:r w:rsidR="007E225E" w:rsidRPr="0040743B">
        <w:rPr>
          <w:rFonts w:ascii="Times New Roman" w:hAnsi="Times New Roman" w:cs="Times New Roman"/>
          <w:sz w:val="24"/>
          <w:szCs w:val="24"/>
          <w:lang w:val="en-GB"/>
        </w:rPr>
        <w:t xml:space="preserve">S.K., </w:t>
      </w:r>
      <w:r w:rsidR="00445735" w:rsidRPr="0040743B">
        <w:rPr>
          <w:rFonts w:ascii="Times New Roman" w:hAnsi="Times New Roman" w:cs="Times New Roman"/>
          <w:sz w:val="24"/>
          <w:szCs w:val="24"/>
          <w:lang w:val="en-GB"/>
        </w:rPr>
        <w:t>S.K.-C., T.W.</w:t>
      </w:r>
      <w:r w:rsidR="007E225E" w:rsidRPr="0040743B">
        <w:rPr>
          <w:rFonts w:ascii="Times New Roman" w:hAnsi="Times New Roman" w:cs="Times New Roman"/>
          <w:sz w:val="24"/>
          <w:szCs w:val="24"/>
          <w:lang w:val="en-GB"/>
        </w:rPr>
        <w:t xml:space="preserve">, V.B. </w:t>
      </w:r>
      <w:r w:rsidR="00445735" w:rsidRPr="0040743B">
        <w:rPr>
          <w:rFonts w:ascii="Times New Roman" w:hAnsi="Times New Roman" w:cs="Times New Roman"/>
          <w:sz w:val="24"/>
          <w:szCs w:val="24"/>
          <w:lang w:val="en-GB"/>
        </w:rPr>
        <w:t xml:space="preserve">composed </w:t>
      </w:r>
      <w:r w:rsidR="00942DE0" w:rsidRPr="0040743B">
        <w:rPr>
          <w:rFonts w:ascii="Times New Roman" w:hAnsi="Times New Roman" w:cs="Times New Roman"/>
          <w:sz w:val="24"/>
          <w:szCs w:val="24"/>
          <w:lang w:val="en-GB"/>
        </w:rPr>
        <w:t xml:space="preserve">the </w:t>
      </w:r>
      <w:r w:rsidR="00445735" w:rsidRPr="0040743B">
        <w:rPr>
          <w:rFonts w:ascii="Times New Roman" w:hAnsi="Times New Roman" w:cs="Times New Roman"/>
          <w:sz w:val="24"/>
          <w:szCs w:val="24"/>
          <w:lang w:val="en-GB"/>
        </w:rPr>
        <w:t xml:space="preserve">APVAC vaccines. </w:t>
      </w:r>
      <w:r w:rsidRPr="0040743B">
        <w:rPr>
          <w:rFonts w:ascii="Times New Roman" w:hAnsi="Times New Roman" w:cs="Times New Roman"/>
          <w:sz w:val="24"/>
          <w:szCs w:val="24"/>
          <w:lang w:val="en-GB"/>
        </w:rPr>
        <w:t>B</w:t>
      </w:r>
      <w:r w:rsidR="008A23C1"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P</w:t>
      </w:r>
      <w:r w:rsidR="008A23C1"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H</w:t>
      </w:r>
      <w:r w:rsidR="00843A7E" w:rsidRPr="0040743B">
        <w:rPr>
          <w:rFonts w:ascii="Times New Roman" w:hAnsi="Times New Roman" w:cs="Times New Roman"/>
          <w:sz w:val="24"/>
          <w:szCs w:val="24"/>
          <w:lang w:val="en-GB"/>
        </w:rPr>
        <w:t>.-G.R.</w:t>
      </w:r>
      <w:r w:rsidRPr="0040743B">
        <w:rPr>
          <w:rFonts w:ascii="Times New Roman" w:hAnsi="Times New Roman" w:cs="Times New Roman"/>
          <w:sz w:val="24"/>
          <w:szCs w:val="24"/>
          <w:lang w:val="en-GB"/>
        </w:rPr>
        <w:t>,</w:t>
      </w:r>
      <w:r w:rsidR="00843A7E" w:rsidRPr="0040743B">
        <w:rPr>
          <w:rFonts w:ascii="Times New Roman" w:hAnsi="Times New Roman" w:cs="Times New Roman"/>
          <w:sz w:val="24"/>
          <w:szCs w:val="24"/>
          <w:lang w:val="en-GB"/>
        </w:rPr>
        <w:t xml:space="preserve"> </w:t>
      </w:r>
      <w:r w:rsidR="008A23C1" w:rsidRPr="0040743B">
        <w:rPr>
          <w:rFonts w:ascii="Times New Roman" w:hAnsi="Times New Roman" w:cs="Times New Roman"/>
          <w:sz w:val="24"/>
          <w:szCs w:val="24"/>
          <w:lang w:val="en-GB"/>
        </w:rPr>
        <w:t>J.</w:t>
      </w:r>
      <w:r w:rsidR="00843A7E" w:rsidRPr="0040743B">
        <w:rPr>
          <w:rFonts w:ascii="Times New Roman" w:hAnsi="Times New Roman" w:cs="Times New Roman"/>
          <w:sz w:val="24"/>
          <w:szCs w:val="24"/>
          <w:lang w:val="en-GB"/>
        </w:rPr>
        <w:t>P.,</w:t>
      </w:r>
      <w:r w:rsidRPr="0040743B">
        <w:rPr>
          <w:rFonts w:ascii="Times New Roman" w:hAnsi="Times New Roman" w:cs="Times New Roman"/>
          <w:sz w:val="24"/>
          <w:szCs w:val="24"/>
          <w:lang w:val="en-GB"/>
        </w:rPr>
        <w:t xml:space="preserve"> M</w:t>
      </w:r>
      <w:r w:rsidR="00A16E8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S</w:t>
      </w:r>
      <w:r w:rsidR="00A16E8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S</w:t>
      </w:r>
      <w:r w:rsidR="00A16E8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D</w:t>
      </w:r>
      <w:r w:rsidR="00A16E8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S</w:t>
      </w:r>
      <w:r w:rsidR="00A16E8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S</w:t>
      </w:r>
      <w:r w:rsidR="00A16E8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005C1DCF" w:rsidRPr="0040743B">
        <w:rPr>
          <w:rFonts w:ascii="Times New Roman" w:hAnsi="Times New Roman" w:cs="Times New Roman"/>
          <w:sz w:val="24"/>
          <w:szCs w:val="24"/>
          <w:lang w:val="en-GB"/>
        </w:rPr>
        <w:t>contributed to</w:t>
      </w:r>
      <w:r w:rsidRPr="0040743B">
        <w:rPr>
          <w:rFonts w:ascii="Times New Roman" w:hAnsi="Times New Roman" w:cs="Times New Roman"/>
          <w:sz w:val="24"/>
          <w:szCs w:val="24"/>
          <w:lang w:val="en-GB"/>
        </w:rPr>
        <w:t xml:space="preserve"> APVAC manufacturing. A</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U</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C</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G</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C</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Do</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M</w:t>
      </w:r>
      <w:proofErr w:type="spellEnd"/>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E</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G</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E</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R</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L</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B</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M</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P</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M</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R</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M</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S</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v</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d</w:t>
      </w:r>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B</w:t>
      </w:r>
      <w:proofErr w:type="spellEnd"/>
      <w:r w:rsidR="00C52F5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contributed to </w:t>
      </w:r>
      <w:r w:rsidR="00816784" w:rsidRPr="0040743B">
        <w:rPr>
          <w:rFonts w:ascii="Times New Roman" w:hAnsi="Times New Roman" w:cs="Times New Roman"/>
          <w:sz w:val="24"/>
          <w:szCs w:val="24"/>
          <w:lang w:val="en-GB"/>
        </w:rPr>
        <w:t>i</w:t>
      </w:r>
      <w:r w:rsidRPr="0040743B">
        <w:rPr>
          <w:rFonts w:ascii="Times New Roman" w:hAnsi="Times New Roman" w:cs="Times New Roman"/>
          <w:sz w:val="24"/>
          <w:szCs w:val="24"/>
          <w:lang w:val="en-GB"/>
        </w:rPr>
        <w:t>mmune response analyses</w:t>
      </w:r>
      <w:r w:rsidR="00382C39" w:rsidRPr="0040743B">
        <w:rPr>
          <w:rFonts w:ascii="Times New Roman" w:hAnsi="Times New Roman" w:cs="Times New Roman"/>
          <w:sz w:val="24"/>
          <w:szCs w:val="24"/>
          <w:lang w:val="en-GB"/>
        </w:rPr>
        <w:t>.</w:t>
      </w:r>
      <w:r w:rsidR="0021609B"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C</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G</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E</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R</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M</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I</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M</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P</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t</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S</w:t>
      </w:r>
      <w:proofErr w:type="spellEnd"/>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S</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v</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d</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B</w:t>
      </w:r>
      <w:proofErr w:type="spellEnd"/>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V</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D</w:t>
      </w:r>
      <w:r w:rsidR="0081678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contributed </w:t>
      </w:r>
      <w:r w:rsidR="005505ED" w:rsidRPr="0040743B">
        <w:rPr>
          <w:rFonts w:ascii="Times New Roman" w:hAnsi="Times New Roman" w:cs="Times New Roman"/>
          <w:sz w:val="24"/>
          <w:szCs w:val="24"/>
          <w:lang w:val="en-GB"/>
        </w:rPr>
        <w:t>the</w:t>
      </w:r>
      <w:r w:rsidRPr="0040743B">
        <w:rPr>
          <w:rFonts w:ascii="Times New Roman" w:hAnsi="Times New Roman" w:cs="Times New Roman"/>
          <w:sz w:val="24"/>
          <w:szCs w:val="24"/>
          <w:lang w:val="en-GB"/>
        </w:rPr>
        <w:t xml:space="preserve"> TIL analyses</w:t>
      </w:r>
      <w:r w:rsidR="004A72E6" w:rsidRPr="0040743B">
        <w:rPr>
          <w:rFonts w:ascii="Times New Roman" w:hAnsi="Times New Roman" w:cs="Times New Roman"/>
          <w:sz w:val="24"/>
          <w:szCs w:val="24"/>
          <w:lang w:val="en-GB"/>
        </w:rPr>
        <w:t xml:space="preserve"> and </w:t>
      </w:r>
      <w:r w:rsidR="00737653" w:rsidRPr="0040743B">
        <w:rPr>
          <w:rFonts w:ascii="Times New Roman" w:hAnsi="Times New Roman" w:cs="Times New Roman"/>
          <w:sz w:val="24"/>
          <w:szCs w:val="24"/>
          <w:lang w:val="en-GB"/>
        </w:rPr>
        <w:t>together with</w:t>
      </w:r>
      <w:r w:rsidR="004A72E6" w:rsidRPr="0040743B">
        <w:rPr>
          <w:rFonts w:ascii="Times New Roman" w:hAnsi="Times New Roman" w:cs="Times New Roman"/>
          <w:sz w:val="24"/>
          <w:szCs w:val="24"/>
          <w:lang w:val="en-GB"/>
        </w:rPr>
        <w:t xml:space="preserve"> </w:t>
      </w:r>
      <w:r w:rsidR="005E46A2" w:rsidRPr="0040743B">
        <w:rPr>
          <w:rFonts w:ascii="Times New Roman" w:hAnsi="Times New Roman" w:cs="Times New Roman"/>
          <w:sz w:val="24"/>
          <w:szCs w:val="24"/>
          <w:lang w:val="en-GB"/>
        </w:rPr>
        <w:t xml:space="preserve">C.B., G.T., M.S., J.R.K., H.S.P., </w:t>
      </w:r>
      <w:r w:rsidR="00752D24" w:rsidRPr="0040743B">
        <w:rPr>
          <w:rFonts w:ascii="Times New Roman" w:hAnsi="Times New Roman" w:cs="Times New Roman"/>
          <w:sz w:val="24"/>
          <w:szCs w:val="24"/>
          <w:lang w:val="en-GB"/>
        </w:rPr>
        <w:t xml:space="preserve">P.-Y.D., </w:t>
      </w:r>
      <w:r w:rsidR="00C63681" w:rsidRPr="0040743B">
        <w:rPr>
          <w:rFonts w:ascii="Times New Roman" w:hAnsi="Times New Roman" w:cs="Times New Roman"/>
          <w:sz w:val="24"/>
          <w:szCs w:val="24"/>
          <w:lang w:val="en-GB"/>
        </w:rPr>
        <w:t xml:space="preserve">and </w:t>
      </w:r>
      <w:proofErr w:type="spellStart"/>
      <w:r w:rsidR="00752D24" w:rsidRPr="0040743B">
        <w:rPr>
          <w:rFonts w:ascii="Times New Roman" w:hAnsi="Times New Roman" w:cs="Times New Roman"/>
          <w:sz w:val="24"/>
          <w:szCs w:val="24"/>
          <w:lang w:val="en-GB"/>
        </w:rPr>
        <w:t>De.M</w:t>
      </w:r>
      <w:proofErr w:type="spellEnd"/>
      <w:r w:rsidR="00752D24" w:rsidRPr="0040743B">
        <w:rPr>
          <w:rFonts w:ascii="Times New Roman" w:hAnsi="Times New Roman" w:cs="Times New Roman"/>
          <w:sz w:val="24"/>
          <w:szCs w:val="24"/>
          <w:lang w:val="en-GB"/>
        </w:rPr>
        <w:t>.</w:t>
      </w:r>
      <w:r w:rsidR="00C63681" w:rsidRPr="0040743B">
        <w:rPr>
          <w:rFonts w:ascii="Times New Roman" w:hAnsi="Times New Roman" w:cs="Times New Roman"/>
          <w:sz w:val="24"/>
          <w:szCs w:val="24"/>
          <w:lang w:val="en-GB"/>
        </w:rPr>
        <w:t xml:space="preserve"> contributed to the TIL protocol</w:t>
      </w:r>
      <w:r w:rsidR="005505ED"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proofErr w:type="spellStart"/>
      <w:proofErr w:type="gramStart"/>
      <w:r w:rsidR="000D380B" w:rsidRPr="0040743B">
        <w:rPr>
          <w:rFonts w:ascii="Times New Roman" w:hAnsi="Times New Roman" w:cs="Times New Roman"/>
          <w:sz w:val="24"/>
          <w:szCs w:val="24"/>
          <w:lang w:val="en-GB"/>
        </w:rPr>
        <w:t>K.McC</w:t>
      </w:r>
      <w:proofErr w:type="spellEnd"/>
      <w:proofErr w:type="gramEnd"/>
      <w:r w:rsidR="000D380B" w:rsidRPr="0040743B">
        <w:rPr>
          <w:rFonts w:ascii="Times New Roman" w:hAnsi="Times New Roman" w:cs="Times New Roman"/>
          <w:sz w:val="24"/>
          <w:szCs w:val="24"/>
          <w:lang w:val="en-GB"/>
        </w:rPr>
        <w:t>.,</w:t>
      </w:r>
      <w:r w:rsidR="00DF1E58" w:rsidRPr="0040743B">
        <w:rPr>
          <w:rFonts w:ascii="Times New Roman" w:hAnsi="Times New Roman" w:cs="Times New Roman"/>
          <w:sz w:val="24"/>
          <w:szCs w:val="24"/>
          <w:lang w:val="en-GB"/>
        </w:rPr>
        <w:t xml:space="preserve"> </w:t>
      </w:r>
      <w:r w:rsidR="00CB31AC" w:rsidRPr="0040743B">
        <w:rPr>
          <w:rFonts w:ascii="Times New Roman" w:hAnsi="Times New Roman" w:cs="Times New Roman"/>
          <w:sz w:val="24"/>
          <w:szCs w:val="24"/>
          <w:lang w:val="en-GB"/>
        </w:rPr>
        <w:t xml:space="preserve">K.F., V.B., </w:t>
      </w:r>
      <w:r w:rsidR="00DF1E58" w:rsidRPr="0040743B">
        <w:rPr>
          <w:rFonts w:ascii="Times New Roman" w:hAnsi="Times New Roman" w:cs="Times New Roman"/>
          <w:sz w:val="24"/>
          <w:szCs w:val="24"/>
          <w:lang w:val="en-GB"/>
        </w:rPr>
        <w:t xml:space="preserve">A.U., R.M., </w:t>
      </w:r>
      <w:r w:rsidR="00CB31AC" w:rsidRPr="0040743B">
        <w:rPr>
          <w:rFonts w:ascii="Times New Roman" w:hAnsi="Times New Roman" w:cs="Times New Roman"/>
          <w:sz w:val="24"/>
          <w:szCs w:val="24"/>
          <w:lang w:val="en-GB"/>
        </w:rPr>
        <w:t>U.S.,</w:t>
      </w:r>
      <w:r w:rsidR="000D380B" w:rsidRPr="0040743B">
        <w:rPr>
          <w:rFonts w:ascii="Times New Roman" w:hAnsi="Times New Roman" w:cs="Times New Roman"/>
          <w:sz w:val="24"/>
          <w:szCs w:val="24"/>
          <w:lang w:val="en-GB"/>
        </w:rPr>
        <w:t xml:space="preserve"> C.O.</w:t>
      </w:r>
      <w:r w:rsidR="002C7576" w:rsidRPr="0040743B">
        <w:rPr>
          <w:rFonts w:ascii="Times New Roman" w:hAnsi="Times New Roman" w:cs="Times New Roman"/>
          <w:sz w:val="24"/>
          <w:szCs w:val="24"/>
          <w:lang w:val="en-GB"/>
        </w:rPr>
        <w:t xml:space="preserve"> contributed </w:t>
      </w:r>
      <w:r w:rsidR="00CB31AC" w:rsidRPr="0040743B">
        <w:rPr>
          <w:rFonts w:ascii="Times New Roman" w:hAnsi="Times New Roman" w:cs="Times New Roman"/>
          <w:sz w:val="24"/>
          <w:szCs w:val="24"/>
          <w:lang w:val="en-GB"/>
        </w:rPr>
        <w:t>further biomarker data</w:t>
      </w:r>
      <w:r w:rsidR="000D380B" w:rsidRPr="0040743B">
        <w:rPr>
          <w:rFonts w:ascii="Times New Roman" w:hAnsi="Times New Roman" w:cs="Times New Roman"/>
          <w:sz w:val="24"/>
          <w:szCs w:val="24"/>
          <w:lang w:val="en-GB"/>
        </w:rPr>
        <w:t>.</w:t>
      </w:r>
      <w:r w:rsidR="00D14E7D" w:rsidRPr="0040743B">
        <w:rPr>
          <w:rFonts w:ascii="Times New Roman" w:hAnsi="Times New Roman" w:cs="Times New Roman"/>
          <w:sz w:val="24"/>
          <w:szCs w:val="24"/>
          <w:lang w:val="en-GB"/>
        </w:rPr>
        <w:t xml:space="preserve"> J.L., </w:t>
      </w:r>
      <w:r w:rsidR="005A7BF7" w:rsidRPr="0040743B">
        <w:rPr>
          <w:rFonts w:ascii="Times New Roman" w:hAnsi="Times New Roman" w:cs="Times New Roman"/>
          <w:sz w:val="24"/>
          <w:szCs w:val="24"/>
          <w:lang w:val="en-GB"/>
        </w:rPr>
        <w:t xml:space="preserve">F.H., </w:t>
      </w:r>
      <w:r w:rsidR="00D14E7D" w:rsidRPr="0040743B">
        <w:rPr>
          <w:rFonts w:ascii="Times New Roman" w:hAnsi="Times New Roman" w:cs="Times New Roman"/>
          <w:sz w:val="24"/>
          <w:szCs w:val="24"/>
          <w:lang w:val="en-GB"/>
        </w:rPr>
        <w:t>K.K., N.H.</w:t>
      </w:r>
      <w:r w:rsidR="00C909E0" w:rsidRPr="0040743B">
        <w:rPr>
          <w:rFonts w:ascii="Times New Roman" w:hAnsi="Times New Roman" w:cs="Times New Roman"/>
          <w:sz w:val="24"/>
          <w:szCs w:val="24"/>
          <w:lang w:val="en-GB"/>
        </w:rPr>
        <w:t>, P.-Y.D., W.W.</w:t>
      </w:r>
      <w:r w:rsidR="00D14E7D" w:rsidRPr="0040743B">
        <w:rPr>
          <w:rFonts w:ascii="Times New Roman" w:hAnsi="Times New Roman" w:cs="Times New Roman"/>
          <w:sz w:val="24"/>
          <w:szCs w:val="24"/>
          <w:lang w:val="en-GB"/>
        </w:rPr>
        <w:t xml:space="preserve"> evaluated the clinical data</w:t>
      </w:r>
      <w:r w:rsidR="00EB5CE9" w:rsidRPr="0040743B">
        <w:rPr>
          <w:rFonts w:ascii="Times New Roman" w:hAnsi="Times New Roman" w:cs="Times New Roman"/>
          <w:sz w:val="24"/>
          <w:szCs w:val="24"/>
          <w:lang w:val="en-GB"/>
        </w:rPr>
        <w:t>.</w:t>
      </w:r>
      <w:r w:rsidR="00196D80"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A</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U</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C</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G</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C</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J</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L</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H</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O</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K</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K</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N</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H</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P</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Y</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D</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007B42F6" w:rsidRPr="0040743B">
        <w:rPr>
          <w:rFonts w:ascii="Times New Roman" w:hAnsi="Times New Roman" w:cs="Times New Roman"/>
          <w:sz w:val="24"/>
          <w:szCs w:val="24"/>
          <w:lang w:val="en-GB"/>
        </w:rPr>
        <w:t xml:space="preserve">R.M., </w:t>
      </w:r>
      <w:proofErr w:type="spellStart"/>
      <w:r w:rsidRPr="0040743B">
        <w:rPr>
          <w:rFonts w:ascii="Times New Roman" w:hAnsi="Times New Roman" w:cs="Times New Roman"/>
          <w:sz w:val="24"/>
          <w:szCs w:val="24"/>
          <w:lang w:val="en-GB"/>
        </w:rPr>
        <w:t>S</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v</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d</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B</w:t>
      </w:r>
      <w:proofErr w:type="spellEnd"/>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S</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K</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C</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V</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D</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W</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w:t>
      </w:r>
      <w:r w:rsidR="00AB5EC0"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00AB5EC0" w:rsidRPr="0040743B">
        <w:rPr>
          <w:rFonts w:ascii="Times New Roman" w:hAnsi="Times New Roman" w:cs="Times New Roman"/>
          <w:sz w:val="24"/>
          <w:szCs w:val="24"/>
          <w:lang w:val="en-GB"/>
        </w:rPr>
        <w:t>wrote the</w:t>
      </w:r>
      <w:r w:rsidRPr="0040743B">
        <w:rPr>
          <w:rFonts w:ascii="Times New Roman" w:hAnsi="Times New Roman" w:cs="Times New Roman"/>
          <w:sz w:val="24"/>
          <w:szCs w:val="24"/>
          <w:lang w:val="en-GB"/>
        </w:rPr>
        <w:t xml:space="preserve"> manuscript.</w:t>
      </w:r>
      <w:r w:rsidR="0025705A" w:rsidRPr="0040743B">
        <w:rPr>
          <w:rFonts w:ascii="Times New Roman" w:hAnsi="Times New Roman" w:cs="Times New Roman"/>
          <w:sz w:val="24"/>
          <w:szCs w:val="24"/>
          <w:lang w:val="en-GB"/>
        </w:rPr>
        <w:t xml:space="preserve"> All other authors contributed </w:t>
      </w:r>
      <w:r w:rsidR="003A11E0" w:rsidRPr="0040743B">
        <w:rPr>
          <w:rFonts w:ascii="Times New Roman" w:hAnsi="Times New Roman" w:cs="Times New Roman"/>
          <w:sz w:val="24"/>
          <w:szCs w:val="24"/>
          <w:lang w:val="en-GB"/>
        </w:rPr>
        <w:t xml:space="preserve">significantly </w:t>
      </w:r>
      <w:r w:rsidR="0025705A" w:rsidRPr="0040743B">
        <w:rPr>
          <w:rFonts w:ascii="Times New Roman" w:hAnsi="Times New Roman" w:cs="Times New Roman"/>
          <w:sz w:val="24"/>
          <w:szCs w:val="24"/>
          <w:lang w:val="en-GB"/>
        </w:rPr>
        <w:t xml:space="preserve">to </w:t>
      </w:r>
      <w:r w:rsidR="00AF77C7" w:rsidRPr="0040743B">
        <w:rPr>
          <w:rFonts w:ascii="Times New Roman" w:hAnsi="Times New Roman" w:cs="Times New Roman"/>
          <w:sz w:val="24"/>
          <w:szCs w:val="24"/>
          <w:lang w:val="en-GB"/>
        </w:rPr>
        <w:t>design</w:t>
      </w:r>
      <w:r w:rsidR="0025705A" w:rsidRPr="0040743B">
        <w:rPr>
          <w:rFonts w:ascii="Times New Roman" w:hAnsi="Times New Roman" w:cs="Times New Roman"/>
          <w:sz w:val="24"/>
          <w:szCs w:val="24"/>
          <w:lang w:val="en-GB"/>
        </w:rPr>
        <w:t xml:space="preserve">, conduct or </w:t>
      </w:r>
      <w:r w:rsidR="00137882" w:rsidRPr="0040743B">
        <w:rPr>
          <w:rFonts w:ascii="Times New Roman" w:hAnsi="Times New Roman" w:cs="Times New Roman"/>
          <w:sz w:val="24"/>
          <w:szCs w:val="24"/>
          <w:lang w:val="en-GB"/>
        </w:rPr>
        <w:t>analysis of the GAPVAC-101 trial</w:t>
      </w:r>
      <w:r w:rsidR="00AF77C7" w:rsidRPr="0040743B">
        <w:rPr>
          <w:rFonts w:ascii="Times New Roman" w:hAnsi="Times New Roman" w:cs="Times New Roman"/>
          <w:sz w:val="24"/>
          <w:szCs w:val="24"/>
          <w:lang w:val="en-GB"/>
        </w:rPr>
        <w:t xml:space="preserve"> </w:t>
      </w:r>
      <w:r w:rsidR="00AB5EC0" w:rsidRPr="0040743B">
        <w:rPr>
          <w:rFonts w:ascii="Times New Roman" w:hAnsi="Times New Roman" w:cs="Times New Roman"/>
          <w:sz w:val="24"/>
          <w:szCs w:val="24"/>
          <w:lang w:val="en-GB"/>
        </w:rPr>
        <w:t xml:space="preserve">or </w:t>
      </w:r>
      <w:r w:rsidR="00FD6A1A" w:rsidRPr="0040743B">
        <w:rPr>
          <w:rFonts w:ascii="Times New Roman" w:hAnsi="Times New Roman" w:cs="Times New Roman"/>
          <w:sz w:val="24"/>
          <w:szCs w:val="24"/>
          <w:lang w:val="en-GB"/>
        </w:rPr>
        <w:t>the scientific concept</w:t>
      </w:r>
      <w:r w:rsidR="00137882" w:rsidRPr="0040743B">
        <w:rPr>
          <w:rFonts w:ascii="Times New Roman" w:hAnsi="Times New Roman" w:cs="Times New Roman"/>
          <w:sz w:val="24"/>
          <w:szCs w:val="24"/>
          <w:lang w:val="en-GB"/>
        </w:rPr>
        <w:t>.</w:t>
      </w:r>
      <w:r w:rsidR="00942DE0" w:rsidRPr="0040743B">
        <w:rPr>
          <w:rFonts w:ascii="Times New Roman" w:hAnsi="Times New Roman" w:cs="Times New Roman"/>
          <w:sz w:val="24"/>
          <w:szCs w:val="24"/>
          <w:lang w:val="en-GB"/>
        </w:rPr>
        <w:t xml:space="preserve"> For detailed contributions of shown experiments see Supplementary Notes.</w:t>
      </w:r>
    </w:p>
    <w:p w14:paraId="23402395" w14:textId="7D85C06C" w:rsidR="00501FED" w:rsidRPr="0040743B" w:rsidRDefault="00F9485C">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lastRenderedPageBreak/>
        <w:t>Author information</w:t>
      </w:r>
      <w:r w:rsidRPr="0040743B">
        <w:rPr>
          <w:rFonts w:ascii="Times New Roman" w:hAnsi="Times New Roman" w:cs="Times New Roman"/>
          <w:sz w:val="24"/>
          <w:szCs w:val="24"/>
          <w:lang w:val="en-GB"/>
        </w:rPr>
        <w:t xml:space="preserve"> </w:t>
      </w:r>
      <w:proofErr w:type="gramStart"/>
      <w:r w:rsidRPr="0040743B">
        <w:rPr>
          <w:rFonts w:ascii="Times New Roman" w:hAnsi="Times New Roman" w:cs="Times New Roman"/>
          <w:sz w:val="24"/>
          <w:szCs w:val="24"/>
          <w:lang w:val="en-GB"/>
        </w:rPr>
        <w:t>The</w:t>
      </w:r>
      <w:proofErr w:type="gramEnd"/>
      <w:r w:rsidRPr="0040743B">
        <w:rPr>
          <w:rFonts w:ascii="Times New Roman" w:hAnsi="Times New Roman" w:cs="Times New Roman"/>
          <w:sz w:val="24"/>
          <w:szCs w:val="24"/>
          <w:lang w:val="en-GB"/>
        </w:rPr>
        <w:t xml:space="preserve"> authors declare competing financial interest</w:t>
      </w:r>
      <w:r w:rsidR="005E5102" w:rsidRPr="0040743B">
        <w:rPr>
          <w:rFonts w:ascii="Times New Roman" w:hAnsi="Times New Roman" w:cs="Times New Roman"/>
          <w:sz w:val="24"/>
          <w:szCs w:val="24"/>
          <w:lang w:val="en-GB"/>
        </w:rPr>
        <w:t xml:space="preserve"> as</w:t>
      </w:r>
      <w:r w:rsidRPr="0040743B">
        <w:rPr>
          <w:rFonts w:ascii="Times New Roman" w:hAnsi="Times New Roman" w:cs="Times New Roman"/>
          <w:sz w:val="24"/>
          <w:szCs w:val="24"/>
          <w:lang w:val="en-GB"/>
        </w:rPr>
        <w:t xml:space="preserve"> detail</w:t>
      </w:r>
      <w:r w:rsidR="005E5102" w:rsidRPr="0040743B">
        <w:rPr>
          <w:rFonts w:ascii="Times New Roman" w:hAnsi="Times New Roman" w:cs="Times New Roman"/>
          <w:sz w:val="24"/>
          <w:szCs w:val="24"/>
          <w:lang w:val="en-GB"/>
        </w:rPr>
        <w:t>ed</w:t>
      </w:r>
      <w:r w:rsidRPr="0040743B">
        <w:rPr>
          <w:rFonts w:ascii="Times New Roman" w:hAnsi="Times New Roman" w:cs="Times New Roman"/>
          <w:sz w:val="24"/>
          <w:szCs w:val="24"/>
          <w:lang w:val="en-GB"/>
        </w:rPr>
        <w:t xml:space="preserve"> in the </w:t>
      </w:r>
      <w:r w:rsidR="00B435A6" w:rsidRPr="0040743B">
        <w:rPr>
          <w:rFonts w:ascii="Times New Roman" w:hAnsi="Times New Roman" w:cs="Times New Roman"/>
          <w:sz w:val="24"/>
          <w:szCs w:val="24"/>
          <w:lang w:val="en-GB"/>
        </w:rPr>
        <w:t>Supplementary Notes</w:t>
      </w:r>
      <w:r w:rsidRPr="0040743B">
        <w:rPr>
          <w:rFonts w:ascii="Times New Roman" w:hAnsi="Times New Roman" w:cs="Times New Roman"/>
          <w:sz w:val="24"/>
          <w:szCs w:val="24"/>
          <w:lang w:val="en-GB"/>
        </w:rPr>
        <w:t>. Correspondence and request for materials should be addressed to W</w:t>
      </w:r>
      <w:r w:rsidR="006704C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w:t>
      </w:r>
      <w:r w:rsidR="006704C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hyperlink r:id="rId7" w:history="1">
        <w:r w:rsidR="00F7775C" w:rsidRPr="0040743B">
          <w:rPr>
            <w:rStyle w:val="Hyperlink"/>
            <w:rFonts w:ascii="Times New Roman" w:hAnsi="Times New Roman" w:cs="Times New Roman"/>
            <w:sz w:val="24"/>
            <w:szCs w:val="24"/>
            <w:lang w:val="en-GB"/>
          </w:rPr>
          <w:t>wolfgang.wick@med.uni-heidelberg.de</w:t>
        </w:r>
      </w:hyperlink>
      <w:r w:rsidRPr="0040743B">
        <w:rPr>
          <w:rFonts w:ascii="Times New Roman" w:hAnsi="Times New Roman" w:cs="Times New Roman"/>
          <w:sz w:val="24"/>
          <w:szCs w:val="24"/>
          <w:lang w:val="en-GB"/>
        </w:rPr>
        <w:t>).</w:t>
      </w:r>
    </w:p>
    <w:p w14:paraId="1C723C1F" w14:textId="77777777" w:rsidR="000343EE" w:rsidRPr="0040743B" w:rsidRDefault="000343EE">
      <w:pPr>
        <w:rPr>
          <w:rFonts w:eastAsia="Calibri"/>
          <w:color w:val="000000"/>
          <w:u w:color="000000"/>
          <w:lang w:val="en-GB"/>
        </w:rPr>
      </w:pPr>
      <w:r w:rsidRPr="0040743B">
        <w:rPr>
          <w:lang w:val="en-GB"/>
        </w:rPr>
        <w:br w:type="page"/>
      </w:r>
    </w:p>
    <w:p w14:paraId="36C529C0" w14:textId="3ACDF5DB" w:rsidR="00136ED1" w:rsidRPr="0040743B" w:rsidRDefault="00136ED1" w:rsidP="00136ED1">
      <w:pPr>
        <w:pStyle w:val="Text"/>
        <w:spacing w:after="0" w:line="36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lastRenderedPageBreak/>
        <w:t>Table 1</w:t>
      </w:r>
      <w:r w:rsidR="000F58A7" w:rsidRPr="0040743B">
        <w:rPr>
          <w:rFonts w:ascii="Times New Roman" w:hAnsi="Times New Roman" w:cs="Times New Roman"/>
          <w:sz w:val="24"/>
          <w:szCs w:val="24"/>
          <w:lang w:val="en-GB"/>
        </w:rPr>
        <w:t xml:space="preserve"> </w:t>
      </w:r>
      <w:r w:rsidR="000F58A7"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sz w:val="24"/>
          <w:szCs w:val="24"/>
          <w:lang w:val="en-GB"/>
        </w:rPr>
        <w:t>Baseline characteristics and key outcomes for enrolled patients (</w:t>
      </w:r>
      <w:r w:rsidR="00A523A7" w:rsidRPr="0040743B">
        <w:rPr>
          <w:rFonts w:ascii="Times New Roman" w:hAnsi="Times New Roman" w:cs="Times New Roman"/>
          <w:b/>
          <w:sz w:val="24"/>
          <w:szCs w:val="24"/>
          <w:lang w:val="en-GB"/>
        </w:rPr>
        <w:t>n</w:t>
      </w:r>
      <w:r w:rsidRPr="0040743B">
        <w:rPr>
          <w:rFonts w:ascii="Times New Roman" w:hAnsi="Times New Roman" w:cs="Times New Roman"/>
          <w:b/>
          <w:sz w:val="24"/>
          <w:szCs w:val="24"/>
          <w:lang w:val="en-GB"/>
        </w:rPr>
        <w:t>=16).</w:t>
      </w:r>
      <w:r w:rsidRPr="0040743B">
        <w:rPr>
          <w:rFonts w:ascii="Times New Roman" w:hAnsi="Times New Roman" w:cs="Times New Roman"/>
          <w:sz w:val="24"/>
          <w:szCs w:val="24"/>
          <w:lang w:val="en-GB"/>
        </w:rPr>
        <w:t xml:space="preserve"> </w:t>
      </w:r>
    </w:p>
    <w:tbl>
      <w:tblPr>
        <w:tblW w:w="3635" w:type="pct"/>
        <w:tblLayout w:type="fixed"/>
        <w:tblCellMar>
          <w:left w:w="0" w:type="dxa"/>
          <w:right w:w="0" w:type="dxa"/>
        </w:tblCellMar>
        <w:tblLook w:val="0420" w:firstRow="1" w:lastRow="0" w:firstColumn="0" w:lastColumn="0" w:noHBand="0" w:noVBand="1"/>
      </w:tblPr>
      <w:tblGrid>
        <w:gridCol w:w="221"/>
        <w:gridCol w:w="410"/>
        <w:gridCol w:w="427"/>
        <w:gridCol w:w="427"/>
        <w:gridCol w:w="561"/>
        <w:gridCol w:w="568"/>
        <w:gridCol w:w="565"/>
        <w:gridCol w:w="738"/>
        <w:gridCol w:w="565"/>
        <w:gridCol w:w="565"/>
        <w:gridCol w:w="641"/>
        <w:gridCol w:w="551"/>
        <w:gridCol w:w="566"/>
      </w:tblGrid>
      <w:tr w:rsidR="00136ED1" w:rsidRPr="0040743B" w14:paraId="31941C89" w14:textId="77777777" w:rsidTr="00F2268C">
        <w:trPr>
          <w:trHeight w:val="364"/>
        </w:trPr>
        <w:tc>
          <w:tcPr>
            <w:tcW w:w="163" w:type="pct"/>
            <w:vMerge w:val="restart"/>
            <w:tcBorders>
              <w:top w:val="single" w:sz="8" w:space="0" w:color="auto"/>
              <w:left w:val="nil"/>
              <w:right w:val="nil"/>
            </w:tcBorders>
            <w:vAlign w:val="center"/>
            <w:hideMark/>
          </w:tcPr>
          <w:p w14:paraId="44DF8CAE" w14:textId="70EB5280" w:rsidR="00136ED1" w:rsidRPr="0040743B" w:rsidRDefault="00136ED1" w:rsidP="00F2268C">
            <w:pPr>
              <w:pStyle w:val="EndNoteBibliography"/>
              <w:spacing w:after="0"/>
              <w:jc w:val="center"/>
              <w:rPr>
                <w:rFonts w:asciiTheme="minorHAnsi" w:hAnsiTheme="minorHAnsi" w:cstheme="minorHAnsi"/>
                <w:bCs/>
                <w:sz w:val="12"/>
                <w:szCs w:val="10"/>
                <w:lang w:val="de-DE"/>
              </w:rPr>
            </w:pPr>
            <w:r w:rsidRPr="0040743B">
              <w:rPr>
                <w:rFonts w:asciiTheme="minorHAnsi" w:hAnsiTheme="minorHAnsi" w:cstheme="minorHAnsi"/>
                <w:bCs/>
                <w:sz w:val="12"/>
                <w:szCs w:val="10"/>
              </w:rPr>
              <w:t>P</w:t>
            </w:r>
            <w:r w:rsidR="00271EBA" w:rsidRPr="0040743B">
              <w:rPr>
                <w:rFonts w:asciiTheme="minorHAnsi" w:hAnsiTheme="minorHAnsi" w:cstheme="minorHAnsi"/>
                <w:bCs/>
                <w:sz w:val="12"/>
                <w:szCs w:val="10"/>
              </w:rPr>
              <w:t>a</w:t>
            </w:r>
            <w:r w:rsidRPr="0040743B">
              <w:rPr>
                <w:rFonts w:asciiTheme="minorHAnsi" w:hAnsiTheme="minorHAnsi" w:cstheme="minorHAnsi"/>
                <w:bCs/>
                <w:sz w:val="12"/>
                <w:szCs w:val="10"/>
              </w:rPr>
              <w:t>t</w:t>
            </w:r>
            <w:r w:rsidR="00A33D8C" w:rsidRPr="0040743B">
              <w:rPr>
                <w:rFonts w:asciiTheme="minorHAnsi" w:hAnsiTheme="minorHAnsi" w:cstheme="minorHAnsi"/>
                <w:bCs/>
                <w:sz w:val="12"/>
                <w:szCs w:val="10"/>
              </w:rPr>
              <w:t>.</w:t>
            </w:r>
          </w:p>
        </w:tc>
        <w:tc>
          <w:tcPr>
            <w:tcW w:w="301" w:type="pct"/>
            <w:vMerge w:val="restart"/>
            <w:tcBorders>
              <w:top w:val="single" w:sz="8" w:space="0" w:color="auto"/>
              <w:left w:val="nil"/>
              <w:right w:val="nil"/>
            </w:tcBorders>
            <w:vAlign w:val="center"/>
            <w:hideMark/>
          </w:tcPr>
          <w:p w14:paraId="4F24D88F" w14:textId="77777777" w:rsidR="00136ED1" w:rsidRPr="0040743B" w:rsidRDefault="00136ED1" w:rsidP="00F2268C">
            <w:pPr>
              <w:pStyle w:val="EndNoteBibliography"/>
              <w:spacing w:after="0"/>
              <w:jc w:val="center"/>
              <w:rPr>
                <w:rFonts w:asciiTheme="minorHAnsi" w:hAnsiTheme="minorHAnsi" w:cstheme="minorHAnsi"/>
                <w:bCs/>
                <w:sz w:val="12"/>
                <w:szCs w:val="10"/>
                <w:lang w:val="de-DE"/>
              </w:rPr>
            </w:pPr>
            <w:r w:rsidRPr="0040743B">
              <w:rPr>
                <w:rFonts w:asciiTheme="minorHAnsi" w:hAnsiTheme="minorHAnsi" w:cstheme="minorHAnsi"/>
                <w:bCs/>
                <w:sz w:val="12"/>
                <w:szCs w:val="10"/>
              </w:rPr>
              <w:t>Gender</w:t>
            </w:r>
          </w:p>
        </w:tc>
        <w:tc>
          <w:tcPr>
            <w:tcW w:w="314" w:type="pct"/>
            <w:vMerge w:val="restart"/>
            <w:tcBorders>
              <w:top w:val="single" w:sz="8" w:space="0" w:color="auto"/>
              <w:left w:val="nil"/>
              <w:right w:val="nil"/>
            </w:tcBorders>
            <w:vAlign w:val="center"/>
            <w:hideMark/>
          </w:tcPr>
          <w:p w14:paraId="5394CEA0" w14:textId="77777777" w:rsidR="00136ED1" w:rsidRPr="0040743B" w:rsidRDefault="00136ED1" w:rsidP="00F2268C">
            <w:pPr>
              <w:pStyle w:val="EndNoteBibliography"/>
              <w:spacing w:after="0"/>
              <w:jc w:val="center"/>
              <w:rPr>
                <w:rFonts w:asciiTheme="minorHAnsi" w:hAnsiTheme="minorHAnsi" w:cstheme="minorHAnsi"/>
                <w:bCs/>
                <w:sz w:val="12"/>
                <w:szCs w:val="10"/>
                <w:lang w:val="de-DE"/>
              </w:rPr>
            </w:pPr>
            <w:r w:rsidRPr="0040743B">
              <w:rPr>
                <w:rFonts w:asciiTheme="minorHAnsi" w:hAnsiTheme="minorHAnsi" w:cstheme="minorHAnsi"/>
                <w:bCs/>
                <w:sz w:val="12"/>
                <w:szCs w:val="10"/>
              </w:rPr>
              <w:t>Age</w:t>
            </w:r>
          </w:p>
        </w:tc>
        <w:tc>
          <w:tcPr>
            <w:tcW w:w="314" w:type="pct"/>
            <w:vMerge w:val="restart"/>
            <w:tcBorders>
              <w:top w:val="single" w:sz="8" w:space="0" w:color="auto"/>
              <w:left w:val="nil"/>
              <w:right w:val="nil"/>
            </w:tcBorders>
            <w:vAlign w:val="center"/>
            <w:hideMark/>
          </w:tcPr>
          <w:p w14:paraId="0EC7A07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KPS</w:t>
            </w:r>
            <w:r w:rsidRPr="0040743B">
              <w:rPr>
                <w:rFonts w:asciiTheme="minorHAnsi" w:hAnsiTheme="minorHAnsi" w:cstheme="minorHAnsi"/>
                <w:bCs/>
                <w:sz w:val="12"/>
                <w:szCs w:val="10"/>
                <w:vertAlign w:val="superscript"/>
              </w:rPr>
              <w:t>1</w:t>
            </w:r>
          </w:p>
        </w:tc>
        <w:tc>
          <w:tcPr>
            <w:tcW w:w="412" w:type="pct"/>
            <w:vMerge w:val="restart"/>
            <w:tcBorders>
              <w:top w:val="single" w:sz="8" w:space="0" w:color="auto"/>
              <w:left w:val="nil"/>
              <w:right w:val="nil"/>
            </w:tcBorders>
            <w:vAlign w:val="center"/>
            <w:hideMark/>
          </w:tcPr>
          <w:p w14:paraId="1B632AD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HLA</w:t>
            </w:r>
          </w:p>
        </w:tc>
        <w:tc>
          <w:tcPr>
            <w:tcW w:w="417" w:type="pct"/>
            <w:vMerge w:val="restart"/>
            <w:tcBorders>
              <w:top w:val="single" w:sz="8" w:space="0" w:color="auto"/>
              <w:left w:val="nil"/>
              <w:right w:val="nil"/>
            </w:tcBorders>
            <w:vAlign w:val="center"/>
            <w:hideMark/>
          </w:tcPr>
          <w:p w14:paraId="466ED2B1" w14:textId="77777777" w:rsidR="00136ED1" w:rsidRPr="0040743B" w:rsidRDefault="00136ED1" w:rsidP="00F2268C">
            <w:pPr>
              <w:pStyle w:val="EndNoteBibliography"/>
              <w:spacing w:after="0"/>
              <w:jc w:val="center"/>
              <w:rPr>
                <w:rFonts w:asciiTheme="minorHAnsi" w:hAnsiTheme="minorHAnsi" w:cstheme="minorHAnsi"/>
                <w:bCs/>
                <w:sz w:val="12"/>
                <w:szCs w:val="10"/>
              </w:rPr>
            </w:pPr>
            <w:r w:rsidRPr="0040743B">
              <w:rPr>
                <w:rFonts w:asciiTheme="minorHAnsi" w:hAnsiTheme="minorHAnsi" w:cstheme="minorHAnsi"/>
                <w:bCs/>
                <w:sz w:val="12"/>
                <w:szCs w:val="10"/>
              </w:rPr>
              <w:t>Non-syn.</w:t>
            </w:r>
          </w:p>
          <w:p w14:paraId="2495BBAD" w14:textId="77777777" w:rsidR="00136ED1" w:rsidRPr="0040743B" w:rsidRDefault="00136ED1" w:rsidP="00F2268C">
            <w:pPr>
              <w:pStyle w:val="EndNoteBibliography"/>
              <w:spacing w:after="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mutations</w:t>
            </w:r>
          </w:p>
        </w:tc>
        <w:tc>
          <w:tcPr>
            <w:tcW w:w="415" w:type="pct"/>
            <w:vMerge w:val="restart"/>
            <w:tcBorders>
              <w:top w:val="single" w:sz="8" w:space="0" w:color="auto"/>
              <w:left w:val="nil"/>
              <w:right w:val="nil"/>
            </w:tcBorders>
            <w:vAlign w:val="center"/>
            <w:hideMark/>
          </w:tcPr>
          <w:p w14:paraId="1F4D9A7D" w14:textId="77777777" w:rsidR="00136ED1" w:rsidRPr="0040743B" w:rsidRDefault="00136ED1" w:rsidP="00C33C03">
            <w:pPr>
              <w:pStyle w:val="EndNoteBibliography"/>
              <w:spacing w:after="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MGMT</w:t>
            </w:r>
          </w:p>
          <w:p w14:paraId="7F2C818D" w14:textId="77777777" w:rsidR="00136ED1" w:rsidRPr="0040743B" w:rsidRDefault="00136ED1" w:rsidP="00C33C03">
            <w:pPr>
              <w:pStyle w:val="EndNoteBibliography"/>
              <w:spacing w:after="0"/>
              <w:jc w:val="center"/>
              <w:rPr>
                <w:rFonts w:asciiTheme="minorHAnsi" w:hAnsiTheme="minorHAnsi" w:cstheme="minorHAnsi"/>
                <w:bCs/>
                <w:sz w:val="12"/>
                <w:szCs w:val="10"/>
                <w:lang w:val="de-DE"/>
              </w:rPr>
            </w:pPr>
            <w:r w:rsidRPr="0040743B">
              <w:rPr>
                <w:rFonts w:asciiTheme="minorHAnsi" w:hAnsiTheme="minorHAnsi" w:cstheme="minorHAnsi"/>
                <w:bCs/>
                <w:sz w:val="12"/>
                <w:szCs w:val="10"/>
              </w:rPr>
              <w:t>promoter</w:t>
            </w:r>
          </w:p>
          <w:p w14:paraId="6972FDC0" w14:textId="77777777" w:rsidR="00136ED1" w:rsidRPr="0040743B" w:rsidRDefault="00136ED1" w:rsidP="00C33C03">
            <w:pPr>
              <w:pStyle w:val="EndNoteBibliography"/>
              <w:spacing w:after="0"/>
              <w:jc w:val="center"/>
              <w:rPr>
                <w:rFonts w:asciiTheme="minorHAnsi" w:hAnsiTheme="minorHAnsi" w:cstheme="minorHAnsi"/>
                <w:bCs/>
                <w:sz w:val="12"/>
                <w:szCs w:val="10"/>
              </w:rPr>
            </w:pPr>
            <w:r w:rsidRPr="0040743B">
              <w:rPr>
                <w:rFonts w:asciiTheme="minorHAnsi" w:hAnsiTheme="minorHAnsi" w:cstheme="minorHAnsi"/>
                <w:bCs/>
                <w:sz w:val="12"/>
                <w:szCs w:val="10"/>
              </w:rPr>
              <w:t>hyper-</w:t>
            </w:r>
          </w:p>
          <w:p w14:paraId="7B7D8E94" w14:textId="77777777" w:rsidR="00136ED1" w:rsidRPr="0040743B" w:rsidRDefault="00136ED1" w:rsidP="00C33C03">
            <w:pPr>
              <w:pStyle w:val="EndNoteBibliography"/>
              <w:spacing w:after="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methyl.</w:t>
            </w:r>
          </w:p>
        </w:tc>
        <w:tc>
          <w:tcPr>
            <w:tcW w:w="542" w:type="pct"/>
            <w:vMerge w:val="restart"/>
            <w:tcBorders>
              <w:top w:val="single" w:sz="8" w:space="0" w:color="auto"/>
              <w:left w:val="nil"/>
              <w:right w:val="nil"/>
            </w:tcBorders>
            <w:vAlign w:val="center"/>
            <w:hideMark/>
          </w:tcPr>
          <w:p w14:paraId="1AD3D02F" w14:textId="77777777" w:rsidR="00136ED1" w:rsidRPr="0040743B" w:rsidRDefault="00136ED1" w:rsidP="00F2268C">
            <w:pPr>
              <w:pStyle w:val="EndNoteBibliography"/>
              <w:spacing w:after="0"/>
              <w:ind w:left="27"/>
              <w:jc w:val="center"/>
              <w:rPr>
                <w:rFonts w:asciiTheme="minorHAnsi" w:hAnsiTheme="minorHAnsi" w:cstheme="minorHAnsi"/>
                <w:bCs/>
                <w:sz w:val="12"/>
                <w:szCs w:val="10"/>
                <w:lang w:val="de-DE"/>
              </w:rPr>
            </w:pPr>
            <w:r w:rsidRPr="0040743B">
              <w:rPr>
                <w:rFonts w:asciiTheme="minorHAnsi" w:hAnsiTheme="minorHAnsi" w:cstheme="minorHAnsi"/>
                <w:bCs/>
                <w:sz w:val="12"/>
                <w:szCs w:val="10"/>
              </w:rPr>
              <w:t>Number of</w:t>
            </w:r>
          </w:p>
          <w:p w14:paraId="4AE65DD6" w14:textId="77777777" w:rsidR="00136ED1" w:rsidRPr="0040743B" w:rsidRDefault="00136ED1" w:rsidP="00F2268C">
            <w:pPr>
              <w:pStyle w:val="EndNoteBibliography"/>
              <w:spacing w:after="0"/>
              <w:ind w:left="27"/>
              <w:jc w:val="center"/>
              <w:rPr>
                <w:rFonts w:asciiTheme="minorHAnsi" w:hAnsiTheme="minorHAnsi" w:cstheme="minorHAnsi"/>
                <w:bCs/>
                <w:sz w:val="12"/>
                <w:szCs w:val="10"/>
              </w:rPr>
            </w:pPr>
            <w:r w:rsidRPr="0040743B">
              <w:rPr>
                <w:rFonts w:asciiTheme="minorHAnsi" w:hAnsiTheme="minorHAnsi" w:cstheme="minorHAnsi"/>
                <w:bCs/>
                <w:sz w:val="12"/>
                <w:szCs w:val="10"/>
              </w:rPr>
              <w:t>vaccinations</w:t>
            </w:r>
          </w:p>
          <w:p w14:paraId="02AAAE84" w14:textId="77777777" w:rsidR="00136ED1" w:rsidRPr="0040743B" w:rsidRDefault="00136ED1" w:rsidP="00F2268C">
            <w:pPr>
              <w:pStyle w:val="EndNoteBibliography"/>
              <w:spacing w:after="0"/>
              <w:ind w:left="27"/>
              <w:jc w:val="center"/>
              <w:rPr>
                <w:rFonts w:asciiTheme="minorHAnsi" w:hAnsiTheme="minorHAnsi" w:cstheme="minorHAnsi"/>
                <w:bCs/>
                <w:sz w:val="12"/>
                <w:szCs w:val="10"/>
                <w:lang w:val="de-DE"/>
              </w:rPr>
            </w:pPr>
            <w:r w:rsidRPr="0040743B">
              <w:rPr>
                <w:rFonts w:asciiTheme="minorHAnsi" w:hAnsiTheme="minorHAnsi" w:cstheme="minorHAnsi"/>
                <w:bCs/>
                <w:sz w:val="12"/>
                <w:szCs w:val="10"/>
              </w:rPr>
              <w:t>(APVAC1 / 2)</w:t>
            </w:r>
          </w:p>
        </w:tc>
        <w:tc>
          <w:tcPr>
            <w:tcW w:w="1301" w:type="pct"/>
            <w:gridSpan w:val="3"/>
            <w:tcBorders>
              <w:top w:val="single" w:sz="8" w:space="0" w:color="auto"/>
              <w:left w:val="nil"/>
              <w:bottom w:val="single" w:sz="8" w:space="0" w:color="000000"/>
              <w:right w:val="single" w:sz="4" w:space="0" w:color="FFFFFF" w:themeColor="background1"/>
            </w:tcBorders>
            <w:shd w:val="clear" w:color="auto" w:fill="auto"/>
            <w:tcMar>
              <w:top w:w="14" w:type="dxa"/>
              <w:left w:w="14" w:type="dxa"/>
              <w:bottom w:w="0" w:type="dxa"/>
              <w:right w:w="14" w:type="dxa"/>
            </w:tcMar>
            <w:vAlign w:val="center"/>
          </w:tcPr>
          <w:p w14:paraId="68F5B446" w14:textId="77777777" w:rsidR="00136ED1" w:rsidRPr="0040743B" w:rsidRDefault="00136ED1" w:rsidP="00F2268C">
            <w:pPr>
              <w:pStyle w:val="EndNoteBibliography"/>
              <w:spacing w:after="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 xml:space="preserve">Peptides vaccinated </w:t>
            </w:r>
            <w:r w:rsidRPr="0040743B">
              <w:rPr>
                <w:rFonts w:asciiTheme="minorHAnsi" w:hAnsiTheme="minorHAnsi" w:cstheme="minorHAnsi"/>
                <w:bCs/>
                <w:sz w:val="12"/>
                <w:szCs w:val="10"/>
                <w:lang w:val="de-DE"/>
              </w:rPr>
              <w:sym w:font="Wingdings" w:char="F0E0"/>
            </w:r>
            <w:r w:rsidRPr="0040743B">
              <w:rPr>
                <w:rFonts w:asciiTheme="minorHAnsi" w:hAnsiTheme="minorHAnsi" w:cstheme="minorHAnsi"/>
                <w:bCs/>
                <w:sz w:val="12"/>
                <w:szCs w:val="10"/>
                <w:lang w:val="de-DE"/>
              </w:rPr>
              <w:t xml:space="preserve"> immunogenic</w:t>
            </w:r>
          </w:p>
        </w:tc>
        <w:tc>
          <w:tcPr>
            <w:tcW w:w="405" w:type="pct"/>
            <w:vMerge w:val="restart"/>
            <w:tcBorders>
              <w:top w:val="single" w:sz="8" w:space="0" w:color="auto"/>
              <w:left w:val="single" w:sz="4" w:space="0" w:color="FFFFFF" w:themeColor="background1"/>
              <w:right w:val="nil"/>
            </w:tcBorders>
            <w:shd w:val="clear" w:color="auto" w:fill="auto"/>
            <w:vAlign w:val="center"/>
          </w:tcPr>
          <w:p w14:paraId="3511D5B9" w14:textId="77777777" w:rsidR="00136ED1" w:rsidRPr="0040743B" w:rsidRDefault="00136ED1" w:rsidP="00F2268C">
            <w:pPr>
              <w:pStyle w:val="EndNoteBibliography"/>
              <w:spacing w:after="0"/>
              <w:ind w:left="25"/>
              <w:jc w:val="center"/>
              <w:rPr>
                <w:rFonts w:asciiTheme="minorHAnsi" w:hAnsiTheme="minorHAnsi" w:cstheme="minorHAnsi"/>
                <w:bCs/>
                <w:sz w:val="12"/>
                <w:szCs w:val="10"/>
                <w:lang w:val="de-DE"/>
              </w:rPr>
            </w:pPr>
            <w:r w:rsidRPr="0040743B">
              <w:rPr>
                <w:rFonts w:asciiTheme="minorHAnsi" w:hAnsiTheme="minorHAnsi" w:cstheme="minorHAnsi"/>
                <w:bCs/>
                <w:sz w:val="12"/>
                <w:szCs w:val="10"/>
              </w:rPr>
              <w:t>OS</w:t>
            </w:r>
            <w:r w:rsidRPr="0040743B">
              <w:rPr>
                <w:rFonts w:asciiTheme="minorHAnsi" w:hAnsiTheme="minorHAnsi" w:cstheme="minorHAnsi"/>
                <w:bCs/>
                <w:position w:val="2"/>
                <w:sz w:val="12"/>
                <w:szCs w:val="10"/>
                <w:vertAlign w:val="superscript"/>
              </w:rPr>
              <w:t>3</w:t>
            </w:r>
          </w:p>
          <w:p w14:paraId="0840E118" w14:textId="77777777" w:rsidR="00136ED1" w:rsidRPr="0040743B" w:rsidRDefault="00136ED1" w:rsidP="00F2268C">
            <w:pPr>
              <w:pStyle w:val="EndNoteBibliography"/>
              <w:spacing w:after="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[months]</w:t>
            </w:r>
          </w:p>
        </w:tc>
        <w:tc>
          <w:tcPr>
            <w:tcW w:w="417" w:type="pct"/>
            <w:vMerge w:val="restart"/>
            <w:tcBorders>
              <w:top w:val="single" w:sz="8" w:space="0" w:color="auto"/>
              <w:left w:val="nil"/>
            </w:tcBorders>
            <w:vAlign w:val="center"/>
            <w:hideMark/>
          </w:tcPr>
          <w:p w14:paraId="3C0802C0" w14:textId="77777777" w:rsidR="00136ED1" w:rsidRPr="0040743B" w:rsidRDefault="00136ED1" w:rsidP="00F2268C">
            <w:pPr>
              <w:pStyle w:val="EndNoteBibliography"/>
              <w:spacing w:after="0"/>
              <w:ind w:left="-18"/>
              <w:jc w:val="center"/>
              <w:rPr>
                <w:rFonts w:asciiTheme="minorHAnsi" w:hAnsiTheme="minorHAnsi" w:cstheme="minorHAnsi"/>
                <w:bCs/>
                <w:sz w:val="12"/>
                <w:szCs w:val="10"/>
                <w:lang w:val="de-DE"/>
              </w:rPr>
            </w:pPr>
            <w:r w:rsidRPr="0040743B">
              <w:rPr>
                <w:rFonts w:asciiTheme="minorHAnsi" w:hAnsiTheme="minorHAnsi" w:cstheme="minorHAnsi"/>
                <w:bCs/>
                <w:sz w:val="12"/>
                <w:szCs w:val="10"/>
              </w:rPr>
              <w:t>PFS</w:t>
            </w:r>
            <w:r w:rsidRPr="0040743B">
              <w:rPr>
                <w:rFonts w:asciiTheme="minorHAnsi" w:hAnsiTheme="minorHAnsi" w:cstheme="minorHAnsi"/>
                <w:bCs/>
                <w:position w:val="2"/>
                <w:sz w:val="12"/>
                <w:szCs w:val="10"/>
                <w:vertAlign w:val="superscript"/>
              </w:rPr>
              <w:t>3</w:t>
            </w:r>
          </w:p>
          <w:p w14:paraId="1A5E5FF6" w14:textId="77777777" w:rsidR="00136ED1" w:rsidRPr="0040743B" w:rsidRDefault="00136ED1" w:rsidP="00F2268C">
            <w:pPr>
              <w:pStyle w:val="EndNoteBibliography"/>
              <w:spacing w:after="0"/>
              <w:ind w:left="-18"/>
              <w:jc w:val="center"/>
              <w:rPr>
                <w:rFonts w:asciiTheme="minorHAnsi" w:hAnsiTheme="minorHAnsi" w:cstheme="minorHAnsi"/>
                <w:bCs/>
                <w:sz w:val="12"/>
                <w:szCs w:val="10"/>
                <w:lang w:val="de-DE"/>
              </w:rPr>
            </w:pPr>
            <w:r w:rsidRPr="0040743B">
              <w:rPr>
                <w:rFonts w:asciiTheme="minorHAnsi" w:hAnsiTheme="minorHAnsi" w:cstheme="minorHAnsi"/>
                <w:bCs/>
                <w:sz w:val="12"/>
                <w:szCs w:val="10"/>
              </w:rPr>
              <w:t>[months]</w:t>
            </w:r>
          </w:p>
        </w:tc>
      </w:tr>
      <w:tr w:rsidR="00136ED1" w:rsidRPr="0040743B" w14:paraId="6CCF5DB5" w14:textId="77777777" w:rsidTr="00F2268C">
        <w:trPr>
          <w:trHeight w:val="107"/>
        </w:trPr>
        <w:tc>
          <w:tcPr>
            <w:tcW w:w="163" w:type="pct"/>
            <w:vMerge/>
            <w:tcBorders>
              <w:left w:val="nil"/>
              <w:bottom w:val="single" w:sz="8" w:space="0" w:color="000000"/>
              <w:right w:val="nil"/>
            </w:tcBorders>
            <w:vAlign w:val="center"/>
          </w:tcPr>
          <w:p w14:paraId="1A17882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rPr>
            </w:pPr>
          </w:p>
        </w:tc>
        <w:tc>
          <w:tcPr>
            <w:tcW w:w="301" w:type="pct"/>
            <w:vMerge/>
            <w:tcBorders>
              <w:left w:val="nil"/>
              <w:bottom w:val="single" w:sz="8" w:space="0" w:color="000000"/>
              <w:right w:val="nil"/>
            </w:tcBorders>
            <w:vAlign w:val="center"/>
          </w:tcPr>
          <w:p w14:paraId="13CE94CA"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rPr>
            </w:pPr>
          </w:p>
        </w:tc>
        <w:tc>
          <w:tcPr>
            <w:tcW w:w="314" w:type="pct"/>
            <w:vMerge/>
            <w:tcBorders>
              <w:left w:val="nil"/>
              <w:bottom w:val="single" w:sz="8" w:space="0" w:color="000000"/>
              <w:right w:val="nil"/>
            </w:tcBorders>
            <w:vAlign w:val="center"/>
          </w:tcPr>
          <w:p w14:paraId="772EB65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rPr>
            </w:pPr>
          </w:p>
        </w:tc>
        <w:tc>
          <w:tcPr>
            <w:tcW w:w="314" w:type="pct"/>
            <w:vMerge/>
            <w:tcBorders>
              <w:left w:val="nil"/>
              <w:bottom w:val="single" w:sz="8" w:space="0" w:color="000000"/>
              <w:right w:val="nil"/>
            </w:tcBorders>
            <w:vAlign w:val="center"/>
          </w:tcPr>
          <w:p w14:paraId="561600D8"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rPr>
            </w:pPr>
          </w:p>
        </w:tc>
        <w:tc>
          <w:tcPr>
            <w:tcW w:w="412" w:type="pct"/>
            <w:vMerge/>
            <w:tcBorders>
              <w:left w:val="nil"/>
              <w:bottom w:val="single" w:sz="8" w:space="0" w:color="000000"/>
              <w:right w:val="nil"/>
            </w:tcBorders>
            <w:vAlign w:val="center"/>
          </w:tcPr>
          <w:p w14:paraId="252B453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p>
        </w:tc>
        <w:tc>
          <w:tcPr>
            <w:tcW w:w="417" w:type="pct"/>
            <w:vMerge/>
            <w:tcBorders>
              <w:left w:val="nil"/>
              <w:bottom w:val="single" w:sz="8" w:space="0" w:color="000000"/>
              <w:right w:val="nil"/>
            </w:tcBorders>
            <w:vAlign w:val="center"/>
          </w:tcPr>
          <w:p w14:paraId="080A6A2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rPr>
            </w:pPr>
          </w:p>
        </w:tc>
        <w:tc>
          <w:tcPr>
            <w:tcW w:w="415" w:type="pct"/>
            <w:vMerge/>
            <w:tcBorders>
              <w:left w:val="nil"/>
              <w:bottom w:val="single" w:sz="8" w:space="0" w:color="000000"/>
              <w:right w:val="nil"/>
            </w:tcBorders>
            <w:vAlign w:val="center"/>
          </w:tcPr>
          <w:p w14:paraId="12963B19" w14:textId="77777777" w:rsidR="00136ED1" w:rsidRPr="0040743B" w:rsidRDefault="00136ED1" w:rsidP="00C33C03">
            <w:pPr>
              <w:pStyle w:val="EndNoteBibliography"/>
              <w:spacing w:after="0"/>
              <w:jc w:val="center"/>
              <w:rPr>
                <w:rFonts w:asciiTheme="minorHAnsi" w:hAnsiTheme="minorHAnsi" w:cstheme="minorHAnsi"/>
                <w:bCs/>
                <w:sz w:val="12"/>
                <w:szCs w:val="10"/>
              </w:rPr>
            </w:pPr>
          </w:p>
        </w:tc>
        <w:tc>
          <w:tcPr>
            <w:tcW w:w="542" w:type="pct"/>
            <w:vMerge/>
            <w:tcBorders>
              <w:left w:val="nil"/>
              <w:bottom w:val="single" w:sz="8" w:space="0" w:color="000000"/>
              <w:right w:val="nil"/>
            </w:tcBorders>
            <w:vAlign w:val="center"/>
          </w:tcPr>
          <w:p w14:paraId="2865F00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rPr>
            </w:pPr>
          </w:p>
        </w:tc>
        <w:tc>
          <w:tcPr>
            <w:tcW w:w="415" w:type="pct"/>
            <w:tcBorders>
              <w:top w:val="single" w:sz="4" w:space="0" w:color="auto"/>
              <w:left w:val="nil"/>
              <w:bottom w:val="single" w:sz="8" w:space="0" w:color="000000"/>
              <w:right w:val="nil"/>
            </w:tcBorders>
            <w:shd w:val="clear" w:color="auto" w:fill="auto"/>
            <w:tcMar>
              <w:top w:w="14" w:type="dxa"/>
              <w:left w:w="14" w:type="dxa"/>
              <w:bottom w:w="0" w:type="dxa"/>
              <w:right w:w="14" w:type="dxa"/>
            </w:tcMar>
            <w:vAlign w:val="center"/>
          </w:tcPr>
          <w:p w14:paraId="69B5C3A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APVAC1</w:t>
            </w:r>
          </w:p>
          <w:p w14:paraId="7D200E0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rPr>
            </w:pPr>
            <w:r w:rsidRPr="0040743B">
              <w:rPr>
                <w:rFonts w:asciiTheme="minorHAnsi" w:hAnsiTheme="minorHAnsi" w:cstheme="minorHAnsi"/>
                <w:bCs/>
                <w:sz w:val="12"/>
                <w:szCs w:val="10"/>
              </w:rPr>
              <w:t>Class I</w:t>
            </w:r>
          </w:p>
        </w:tc>
        <w:tc>
          <w:tcPr>
            <w:tcW w:w="415" w:type="pct"/>
            <w:tcBorders>
              <w:top w:val="single" w:sz="8" w:space="0" w:color="000000"/>
              <w:left w:val="nil"/>
              <w:bottom w:val="single" w:sz="8" w:space="0" w:color="000000"/>
              <w:right w:val="nil"/>
            </w:tcBorders>
            <w:shd w:val="clear" w:color="auto" w:fill="auto"/>
            <w:tcMar>
              <w:top w:w="14" w:type="dxa"/>
              <w:left w:w="14" w:type="dxa"/>
              <w:bottom w:w="0" w:type="dxa"/>
              <w:right w:w="14" w:type="dxa"/>
            </w:tcMar>
            <w:vAlign w:val="center"/>
          </w:tcPr>
          <w:p w14:paraId="51C7D28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APVAC1</w:t>
            </w:r>
          </w:p>
          <w:p w14:paraId="79E45BBB"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rPr>
            </w:pPr>
            <w:r w:rsidRPr="0040743B">
              <w:rPr>
                <w:rFonts w:asciiTheme="minorHAnsi" w:hAnsiTheme="minorHAnsi" w:cstheme="minorHAnsi"/>
                <w:bCs/>
                <w:sz w:val="12"/>
                <w:szCs w:val="10"/>
              </w:rPr>
              <w:t>Class II</w:t>
            </w:r>
          </w:p>
        </w:tc>
        <w:tc>
          <w:tcPr>
            <w:tcW w:w="470" w:type="pct"/>
            <w:tcBorders>
              <w:top w:val="single" w:sz="8" w:space="0" w:color="000000"/>
              <w:left w:val="nil"/>
              <w:bottom w:val="single" w:sz="8" w:space="0" w:color="000000"/>
              <w:right w:val="single" w:sz="4" w:space="0" w:color="FFFFFF" w:themeColor="background1"/>
            </w:tcBorders>
            <w:shd w:val="clear" w:color="auto" w:fill="auto"/>
            <w:tcMar>
              <w:top w:w="14" w:type="dxa"/>
              <w:left w:w="14" w:type="dxa"/>
              <w:bottom w:w="0" w:type="dxa"/>
              <w:right w:w="14" w:type="dxa"/>
            </w:tcMar>
            <w:vAlign w:val="center"/>
          </w:tcPr>
          <w:p w14:paraId="48A01B3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rPr>
            </w:pPr>
            <w:r w:rsidRPr="0040743B">
              <w:rPr>
                <w:rFonts w:asciiTheme="minorHAnsi" w:hAnsiTheme="minorHAnsi" w:cstheme="minorHAnsi"/>
                <w:bCs/>
                <w:sz w:val="12"/>
                <w:szCs w:val="10"/>
              </w:rPr>
              <w:t>APVAC2²</w:t>
            </w:r>
          </w:p>
        </w:tc>
        <w:tc>
          <w:tcPr>
            <w:tcW w:w="405" w:type="pct"/>
            <w:vMerge/>
            <w:tcBorders>
              <w:left w:val="single" w:sz="4" w:space="0" w:color="FFFFFF" w:themeColor="background1"/>
              <w:bottom w:val="single" w:sz="8" w:space="0" w:color="000000"/>
              <w:right w:val="nil"/>
            </w:tcBorders>
            <w:vAlign w:val="center"/>
          </w:tcPr>
          <w:p w14:paraId="414086E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rPr>
            </w:pPr>
          </w:p>
        </w:tc>
        <w:tc>
          <w:tcPr>
            <w:tcW w:w="417" w:type="pct"/>
            <w:vMerge/>
            <w:tcBorders>
              <w:left w:val="nil"/>
              <w:bottom w:val="single" w:sz="8" w:space="0" w:color="000000"/>
            </w:tcBorders>
            <w:vAlign w:val="center"/>
          </w:tcPr>
          <w:p w14:paraId="63847D7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rPr>
            </w:pPr>
          </w:p>
        </w:tc>
      </w:tr>
      <w:tr w:rsidR="00136ED1" w:rsidRPr="0040743B" w14:paraId="5F43E973" w14:textId="77777777" w:rsidTr="00F2268C">
        <w:trPr>
          <w:trHeight w:val="79"/>
        </w:trPr>
        <w:tc>
          <w:tcPr>
            <w:tcW w:w="163" w:type="pct"/>
            <w:tcBorders>
              <w:top w:val="single" w:sz="8" w:space="0" w:color="000000"/>
              <w:left w:val="nil"/>
              <w:bottom w:val="nil"/>
              <w:right w:val="nil"/>
            </w:tcBorders>
            <w:shd w:val="clear" w:color="auto" w:fill="auto"/>
            <w:tcMar>
              <w:top w:w="14" w:type="dxa"/>
              <w:left w:w="14" w:type="dxa"/>
              <w:bottom w:w="0" w:type="dxa"/>
              <w:right w:w="14" w:type="dxa"/>
            </w:tcMar>
            <w:vAlign w:val="center"/>
            <w:hideMark/>
          </w:tcPr>
          <w:p w14:paraId="6A4ACA2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0</w:t>
            </w:r>
            <w:r w:rsidRPr="0040743B">
              <w:rPr>
                <w:rFonts w:asciiTheme="minorHAnsi" w:hAnsiTheme="minorHAnsi" w:cstheme="minorHAnsi"/>
                <w:bCs/>
                <w:sz w:val="12"/>
                <w:szCs w:val="10"/>
              </w:rPr>
              <w:t>1</w:t>
            </w:r>
          </w:p>
        </w:tc>
        <w:tc>
          <w:tcPr>
            <w:tcW w:w="301" w:type="pct"/>
            <w:tcBorders>
              <w:top w:val="single" w:sz="8" w:space="0" w:color="000000"/>
              <w:left w:val="nil"/>
              <w:bottom w:val="nil"/>
              <w:right w:val="nil"/>
            </w:tcBorders>
            <w:shd w:val="clear" w:color="auto" w:fill="auto"/>
            <w:tcMar>
              <w:top w:w="14" w:type="dxa"/>
              <w:left w:w="14" w:type="dxa"/>
              <w:bottom w:w="0" w:type="dxa"/>
              <w:right w:w="14" w:type="dxa"/>
            </w:tcMar>
            <w:vAlign w:val="center"/>
            <w:hideMark/>
          </w:tcPr>
          <w:p w14:paraId="523A65D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w:t>
            </w:r>
          </w:p>
        </w:tc>
        <w:tc>
          <w:tcPr>
            <w:tcW w:w="314" w:type="pct"/>
            <w:tcBorders>
              <w:top w:val="single" w:sz="8" w:space="0" w:color="000000"/>
              <w:left w:val="nil"/>
              <w:bottom w:val="nil"/>
              <w:right w:val="nil"/>
            </w:tcBorders>
            <w:shd w:val="clear" w:color="auto" w:fill="auto"/>
            <w:tcMar>
              <w:top w:w="14" w:type="dxa"/>
              <w:left w:w="14" w:type="dxa"/>
              <w:bottom w:w="0" w:type="dxa"/>
              <w:right w:w="14" w:type="dxa"/>
            </w:tcMar>
            <w:vAlign w:val="center"/>
            <w:hideMark/>
          </w:tcPr>
          <w:p w14:paraId="2561552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25</w:t>
            </w:r>
          </w:p>
        </w:tc>
        <w:tc>
          <w:tcPr>
            <w:tcW w:w="314" w:type="pct"/>
            <w:tcBorders>
              <w:top w:val="single" w:sz="8" w:space="0" w:color="000000"/>
              <w:left w:val="nil"/>
              <w:bottom w:val="nil"/>
              <w:right w:val="nil"/>
            </w:tcBorders>
            <w:shd w:val="clear" w:color="auto" w:fill="auto"/>
            <w:tcMar>
              <w:top w:w="14" w:type="dxa"/>
              <w:left w:w="14" w:type="dxa"/>
              <w:bottom w:w="0" w:type="dxa"/>
              <w:right w:w="14" w:type="dxa"/>
            </w:tcMar>
            <w:vAlign w:val="center"/>
            <w:hideMark/>
          </w:tcPr>
          <w:p w14:paraId="220D6D0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90</w:t>
            </w:r>
          </w:p>
        </w:tc>
        <w:tc>
          <w:tcPr>
            <w:tcW w:w="412" w:type="pct"/>
            <w:tcBorders>
              <w:top w:val="single" w:sz="8" w:space="0" w:color="000000"/>
              <w:left w:val="nil"/>
              <w:bottom w:val="nil"/>
              <w:right w:val="nil"/>
            </w:tcBorders>
            <w:shd w:val="clear" w:color="auto" w:fill="auto"/>
            <w:tcMar>
              <w:top w:w="14" w:type="dxa"/>
              <w:left w:w="14" w:type="dxa"/>
              <w:bottom w:w="0" w:type="dxa"/>
              <w:right w:w="14" w:type="dxa"/>
            </w:tcMar>
            <w:vAlign w:val="center"/>
            <w:hideMark/>
          </w:tcPr>
          <w:p w14:paraId="781D4D0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tc>
        <w:tc>
          <w:tcPr>
            <w:tcW w:w="417" w:type="pct"/>
            <w:tcBorders>
              <w:top w:val="single" w:sz="8" w:space="0" w:color="000000"/>
              <w:left w:val="nil"/>
              <w:bottom w:val="nil"/>
              <w:right w:val="nil"/>
            </w:tcBorders>
            <w:shd w:val="clear" w:color="auto" w:fill="auto"/>
            <w:tcMar>
              <w:top w:w="14" w:type="dxa"/>
              <w:left w:w="14" w:type="dxa"/>
              <w:bottom w:w="0" w:type="dxa"/>
              <w:right w:w="14" w:type="dxa"/>
            </w:tcMar>
            <w:vAlign w:val="center"/>
            <w:hideMark/>
          </w:tcPr>
          <w:p w14:paraId="1722214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36</w:t>
            </w:r>
          </w:p>
        </w:tc>
        <w:tc>
          <w:tcPr>
            <w:tcW w:w="415" w:type="pct"/>
            <w:tcBorders>
              <w:top w:val="single" w:sz="8" w:space="0" w:color="000000"/>
              <w:left w:val="nil"/>
              <w:bottom w:val="nil"/>
              <w:right w:val="nil"/>
            </w:tcBorders>
            <w:shd w:val="clear" w:color="auto" w:fill="auto"/>
            <w:tcMar>
              <w:top w:w="14" w:type="dxa"/>
              <w:left w:w="14" w:type="dxa"/>
              <w:bottom w:w="0" w:type="dxa"/>
              <w:right w:w="14" w:type="dxa"/>
            </w:tcMar>
            <w:vAlign w:val="center"/>
            <w:hideMark/>
          </w:tcPr>
          <w:p w14:paraId="136358C4"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proofErr w:type="spellStart"/>
            <w:r w:rsidRPr="0040743B">
              <w:rPr>
                <w:rFonts w:asciiTheme="minorHAnsi" w:hAnsiTheme="minorHAnsi" w:cstheme="minorHAnsi"/>
                <w:bCs/>
                <w:sz w:val="12"/>
                <w:szCs w:val="10"/>
              </w:rPr>
              <w:t>ir</w:t>
            </w:r>
            <w:proofErr w:type="spellEnd"/>
          </w:p>
        </w:tc>
        <w:tc>
          <w:tcPr>
            <w:tcW w:w="542" w:type="pct"/>
            <w:tcBorders>
              <w:top w:val="single" w:sz="8" w:space="0" w:color="000000"/>
              <w:left w:val="nil"/>
              <w:bottom w:val="nil"/>
              <w:right w:val="nil"/>
            </w:tcBorders>
            <w:shd w:val="clear" w:color="auto" w:fill="auto"/>
            <w:tcMar>
              <w:top w:w="14" w:type="dxa"/>
              <w:left w:w="14" w:type="dxa"/>
              <w:bottom w:w="0" w:type="dxa"/>
              <w:right w:w="14" w:type="dxa"/>
            </w:tcMar>
            <w:vAlign w:val="center"/>
            <w:hideMark/>
          </w:tcPr>
          <w:p w14:paraId="655124FA"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10 / 7</w:t>
            </w:r>
          </w:p>
        </w:tc>
        <w:tc>
          <w:tcPr>
            <w:tcW w:w="415" w:type="pct"/>
            <w:tcBorders>
              <w:top w:val="single" w:sz="8" w:space="0" w:color="000000"/>
              <w:left w:val="nil"/>
              <w:bottom w:val="nil"/>
              <w:right w:val="nil"/>
            </w:tcBorders>
            <w:shd w:val="clear" w:color="auto" w:fill="auto"/>
            <w:tcMar>
              <w:top w:w="14" w:type="dxa"/>
              <w:left w:w="14" w:type="dxa"/>
              <w:bottom w:w="0" w:type="dxa"/>
              <w:right w:w="14" w:type="dxa"/>
            </w:tcMar>
            <w:vAlign w:val="center"/>
            <w:hideMark/>
          </w:tcPr>
          <w:p w14:paraId="7504797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7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4</w:t>
            </w:r>
          </w:p>
        </w:tc>
        <w:tc>
          <w:tcPr>
            <w:tcW w:w="415" w:type="pct"/>
            <w:tcBorders>
              <w:top w:val="single" w:sz="8" w:space="0" w:color="000000"/>
              <w:left w:val="nil"/>
              <w:bottom w:val="nil"/>
              <w:right w:val="nil"/>
            </w:tcBorders>
            <w:shd w:val="clear" w:color="auto" w:fill="auto"/>
            <w:tcMar>
              <w:top w:w="14" w:type="dxa"/>
              <w:left w:w="14" w:type="dxa"/>
              <w:bottom w:w="0" w:type="dxa"/>
              <w:right w:w="14" w:type="dxa"/>
            </w:tcMar>
            <w:vAlign w:val="center"/>
            <w:hideMark/>
          </w:tcPr>
          <w:p w14:paraId="47B5951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1</w:t>
            </w:r>
          </w:p>
        </w:tc>
        <w:tc>
          <w:tcPr>
            <w:tcW w:w="470" w:type="pct"/>
            <w:tcBorders>
              <w:top w:val="single" w:sz="8" w:space="0" w:color="000000"/>
              <w:left w:val="nil"/>
              <w:bottom w:val="nil"/>
              <w:right w:val="single" w:sz="4" w:space="0" w:color="FFFFFF" w:themeColor="background1"/>
            </w:tcBorders>
            <w:shd w:val="clear" w:color="auto" w:fill="auto"/>
            <w:tcMar>
              <w:top w:w="14" w:type="dxa"/>
              <w:left w:w="14" w:type="dxa"/>
              <w:bottom w:w="0" w:type="dxa"/>
              <w:right w:w="14" w:type="dxa"/>
            </w:tcMar>
            <w:vAlign w:val="center"/>
            <w:hideMark/>
          </w:tcPr>
          <w:p w14:paraId="1C26582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m/n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1</w:t>
            </w:r>
          </w:p>
        </w:tc>
        <w:tc>
          <w:tcPr>
            <w:tcW w:w="405" w:type="pct"/>
            <w:tcBorders>
              <w:top w:val="single" w:sz="8" w:space="0" w:color="000000"/>
              <w:left w:val="single" w:sz="4" w:space="0" w:color="FFFFFF" w:themeColor="background1"/>
              <w:bottom w:val="nil"/>
              <w:right w:val="nil"/>
            </w:tcBorders>
            <w:shd w:val="clear" w:color="auto" w:fill="auto"/>
            <w:tcMar>
              <w:top w:w="15" w:type="dxa"/>
              <w:left w:w="15" w:type="dxa"/>
              <w:bottom w:w="0" w:type="dxa"/>
              <w:right w:w="15" w:type="dxa"/>
            </w:tcMar>
            <w:vAlign w:val="center"/>
            <w:hideMark/>
          </w:tcPr>
          <w:p w14:paraId="0611534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24.8+</w:t>
            </w:r>
          </w:p>
        </w:tc>
        <w:tc>
          <w:tcPr>
            <w:tcW w:w="417" w:type="pct"/>
            <w:tcBorders>
              <w:top w:val="single" w:sz="8" w:space="0" w:color="000000"/>
              <w:left w:val="nil"/>
              <w:bottom w:val="nil"/>
            </w:tcBorders>
            <w:shd w:val="clear" w:color="auto" w:fill="auto"/>
            <w:tcMar>
              <w:top w:w="15" w:type="dxa"/>
              <w:left w:w="15" w:type="dxa"/>
              <w:bottom w:w="0" w:type="dxa"/>
              <w:right w:w="15" w:type="dxa"/>
            </w:tcMar>
            <w:vAlign w:val="center"/>
            <w:hideMark/>
          </w:tcPr>
          <w:p w14:paraId="61B45C40" w14:textId="77777777" w:rsidR="00136ED1" w:rsidRPr="0040743B" w:rsidRDefault="00136ED1" w:rsidP="00F2268C">
            <w:pPr>
              <w:pStyle w:val="EndNoteBibliography"/>
              <w:spacing w:after="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22.2</w:t>
            </w:r>
          </w:p>
        </w:tc>
      </w:tr>
      <w:tr w:rsidR="00136ED1" w:rsidRPr="0040743B" w14:paraId="28028691" w14:textId="77777777" w:rsidTr="00F2268C">
        <w:trPr>
          <w:trHeight w:val="275"/>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4B5FD7B0"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02</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36E25EE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f</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255F3682"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48</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50BADF5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80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2C17A6D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226928FB"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35</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3755DD9B"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7423548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13 / 10</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0A6EBB5A"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7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3</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55162C5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1</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4EB095E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m/n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1</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67734F2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11.8</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4DB15B2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4.4</w:t>
            </w:r>
          </w:p>
        </w:tc>
      </w:tr>
      <w:tr w:rsidR="00136ED1" w:rsidRPr="0040743B" w14:paraId="3D0C2EAF" w14:textId="77777777" w:rsidTr="00F2268C">
        <w:trPr>
          <w:trHeight w:val="275"/>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03F1204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03</w:t>
            </w:r>
            <w:r w:rsidRPr="0040743B">
              <w:rPr>
                <w:rFonts w:asciiTheme="minorHAnsi" w:hAnsiTheme="minorHAnsi" w:cstheme="minorHAnsi"/>
                <w:bCs/>
                <w:position w:val="2"/>
                <w:sz w:val="12"/>
                <w:szCs w:val="10"/>
                <w:vertAlign w:val="superscript"/>
              </w:rPr>
              <w:t>4</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546FEEBA"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6526327B"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40</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056B7B8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80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076E40D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A*24:02</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2BBA08F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72</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1AF6C08D"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0745AC6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0 / 0</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16F2BFD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79B629D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5C70FB2B"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7560926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(8.7)</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14DEA928"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(8.7)</w:t>
            </w:r>
          </w:p>
        </w:tc>
      </w:tr>
      <w:tr w:rsidR="00136ED1" w:rsidRPr="0040743B" w14:paraId="4E842D4A" w14:textId="77777777" w:rsidTr="00F2268C">
        <w:trPr>
          <w:trHeight w:val="275"/>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1767D08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04</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04B7CCE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1A3C3EB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61</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143EBDF0"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90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4609504B"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6E5A183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r w:rsidRPr="0040743B">
              <w:rPr>
                <w:rFonts w:asciiTheme="minorHAnsi" w:hAnsiTheme="minorHAnsi" w:cstheme="minorHAnsi"/>
                <w:bCs/>
                <w:position w:val="2"/>
                <w:sz w:val="12"/>
                <w:szCs w:val="10"/>
                <w:vertAlign w:val="superscript"/>
              </w:rPr>
              <w:t>5</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11612246"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566C94CB"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16 / 0</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1E9526E2"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6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3</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5B017E9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2</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63628CE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56C41AC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30.8</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3C456D70"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14.2</w:t>
            </w:r>
          </w:p>
        </w:tc>
      </w:tr>
      <w:tr w:rsidR="00136ED1" w:rsidRPr="0040743B" w14:paraId="6DD619DD" w14:textId="77777777" w:rsidTr="00F2268C">
        <w:trPr>
          <w:trHeight w:val="275"/>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3FCA544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05</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50105DA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1EE556B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47</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5F3C60C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100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2A5A8CC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6ED6EB1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20</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46056117"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576A8EE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14 / 11</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2DF88B02"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7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3</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32F99ED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1</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2D4EC8F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m/n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0</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42815E90" w14:textId="77777777" w:rsidR="00136ED1" w:rsidRPr="0040743B" w:rsidRDefault="00136ED1" w:rsidP="00F2268C">
            <w:pPr>
              <w:pStyle w:val="EndNoteBibliography"/>
              <w:spacing w:after="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26.7+</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78158D2E"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14.5</w:t>
            </w:r>
          </w:p>
        </w:tc>
      </w:tr>
      <w:tr w:rsidR="00136ED1" w:rsidRPr="0040743B" w14:paraId="137646D9" w14:textId="77777777" w:rsidTr="00F2268C">
        <w:trPr>
          <w:trHeight w:val="275"/>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49AB32B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06</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47C6557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1EC8FFF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27</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20112CE8"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100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4DF4894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A*24:02</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3942A608"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19</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4CE860D0"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09D6F89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8 / 1</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170B50F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7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0</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282E99C2"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2</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1ECD628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m/-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ne</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48496740"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29.0</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430AE16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17.9</w:t>
            </w:r>
          </w:p>
        </w:tc>
      </w:tr>
      <w:tr w:rsidR="00136ED1" w:rsidRPr="0040743B" w14:paraId="62A28676" w14:textId="77777777" w:rsidTr="00F2268C">
        <w:trPr>
          <w:trHeight w:val="275"/>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3B88B42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07</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0674BE7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f</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47BAF9A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35</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6B0928A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80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5969817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3F9849D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23</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50555289"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744C29A8"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14 / 10</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28E714B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7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3</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4412353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2</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098FD06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m/m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2</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6D39CD7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14.6</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5D8C18D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4.6</w:t>
            </w:r>
          </w:p>
        </w:tc>
      </w:tr>
      <w:tr w:rsidR="00136ED1" w:rsidRPr="0040743B" w14:paraId="75DE4ECA" w14:textId="77777777" w:rsidTr="00F2268C">
        <w:trPr>
          <w:trHeight w:val="275"/>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100D553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08</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6A8A7ACA"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5D957B7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41</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4AAF37A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100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3EF732A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A*24:02</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2C5EE57E"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34</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4F96EEC9"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6C5370F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16 / 16</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58213BF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6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5</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0E0698B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2</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2E1CCB5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m/n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2</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21B0B66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38.9+</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1353187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26.4</w:t>
            </w:r>
          </w:p>
        </w:tc>
      </w:tr>
      <w:tr w:rsidR="00136ED1" w:rsidRPr="0040743B" w14:paraId="211709D8" w14:textId="77777777" w:rsidTr="00F2268C">
        <w:trPr>
          <w:trHeight w:val="275"/>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6C81991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09</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42DBBF9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f</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03518D1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55</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6A9DD27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90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43A0F548"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p w14:paraId="10EE9CE8"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A*24:02</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2D062A4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76</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6090AFE5"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29B8D6A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4 / 0</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3310C008"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7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ne</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24A3BF2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ne</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38EA4478"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0E5173A2"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13.9</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65CDBEA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5.8</w:t>
            </w:r>
          </w:p>
        </w:tc>
      </w:tr>
      <w:tr w:rsidR="00136ED1" w:rsidRPr="0040743B" w14:paraId="59A8BA8A" w14:textId="77777777" w:rsidTr="00F2268C">
        <w:trPr>
          <w:trHeight w:val="275"/>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0BE177C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10</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63BC5AF0"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4BF9A6FE"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70</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4388372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70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5BB823E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4245A41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38</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04B3E989"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0512D99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8 / 0</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3F31CE12"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6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5</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74BB511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0</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5121F2C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1E6BDB5E"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31.5+</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2ACB708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30.4+</w:t>
            </w:r>
          </w:p>
        </w:tc>
      </w:tr>
      <w:tr w:rsidR="00136ED1" w:rsidRPr="0040743B" w14:paraId="7E8A97DB" w14:textId="77777777" w:rsidTr="00E03FB2">
        <w:trPr>
          <w:trHeight w:val="226"/>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3909359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1</w:t>
            </w:r>
            <w:r w:rsidRPr="0040743B">
              <w:rPr>
                <w:rFonts w:asciiTheme="minorHAnsi" w:hAnsiTheme="minorHAnsi" w:cstheme="minorHAnsi"/>
                <w:bCs/>
                <w:sz w:val="12"/>
                <w:szCs w:val="10"/>
              </w:rPr>
              <w:t>1</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315AE76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f</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076C680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67</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64DFE048"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80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7BAC212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15804D0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48</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7616DAA1"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65CE465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5 / 0</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356CD77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7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ne</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2B92A6A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ne</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340F4362"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4898D8B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8.8</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2ABF0E0B"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8.8</w:t>
            </w:r>
          </w:p>
        </w:tc>
      </w:tr>
      <w:tr w:rsidR="00136ED1" w:rsidRPr="0040743B" w14:paraId="14B7D2CC" w14:textId="77777777" w:rsidTr="00F2268C">
        <w:trPr>
          <w:trHeight w:val="275"/>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25F0A0E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12</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1B5A5B0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7462AE1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57</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08BEDD4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100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1D3B32E0"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031B858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50</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51DF6BAE"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0332DCEA"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12 / 9</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5151BA4C"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7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1</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4764E5C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1</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04CFF0EB"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n/-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0</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385A10E2"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19.3</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724679B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10.8</w:t>
            </w:r>
          </w:p>
        </w:tc>
      </w:tr>
      <w:tr w:rsidR="00136ED1" w:rsidRPr="0040743B" w14:paraId="65086E59" w14:textId="77777777" w:rsidTr="00F2268C">
        <w:trPr>
          <w:trHeight w:val="275"/>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6B1E9EDE"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13</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10C1A4C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f</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6FDB697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50</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4F6AE2A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90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5285555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6028BBEE"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38</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15BE8FED"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proofErr w:type="spellStart"/>
            <w:r w:rsidRPr="0040743B">
              <w:rPr>
                <w:rFonts w:asciiTheme="minorHAnsi" w:hAnsiTheme="minorHAnsi" w:cstheme="minorHAnsi"/>
                <w:bCs/>
                <w:sz w:val="12"/>
                <w:szCs w:val="10"/>
              </w:rPr>
              <w:t>nt</w:t>
            </w:r>
            <w:proofErr w:type="spellEnd"/>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4AA4313E"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14 / 11</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1801EF9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7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7</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1D505190"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0</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2D55CA8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m/m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2</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4F47158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16.9</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751295C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5.3</w:t>
            </w:r>
          </w:p>
        </w:tc>
      </w:tr>
      <w:tr w:rsidR="00136ED1" w:rsidRPr="0040743B" w14:paraId="65D92B07" w14:textId="77777777" w:rsidTr="00F2268C">
        <w:trPr>
          <w:trHeight w:val="254"/>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0F7E26C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14</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75A2369E"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f</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6B16508B"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70</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521CDC28"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90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3836C78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2890FCC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84</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5D3D3DDF"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117B71FA"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12 / 8</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47D02EC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6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5</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189E7F0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0</w:t>
            </w:r>
          </w:p>
        </w:tc>
        <w:tc>
          <w:tcPr>
            <w:tcW w:w="470" w:type="pct"/>
            <w:tcBorders>
              <w:top w:val="nil"/>
              <w:left w:val="nil"/>
              <w:bottom w:val="nil"/>
              <w:right w:val="nil"/>
            </w:tcBorders>
            <w:shd w:val="clear" w:color="auto" w:fill="auto"/>
            <w:tcMar>
              <w:top w:w="14" w:type="dxa"/>
              <w:left w:w="14" w:type="dxa"/>
              <w:bottom w:w="0" w:type="dxa"/>
              <w:right w:w="14" w:type="dxa"/>
            </w:tcMar>
            <w:vAlign w:val="center"/>
            <w:hideMark/>
          </w:tcPr>
          <w:p w14:paraId="137BEC03"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m/m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2</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1419F8F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14.6</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43711FAE"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5.7</w:t>
            </w:r>
          </w:p>
        </w:tc>
      </w:tr>
      <w:tr w:rsidR="00136ED1" w:rsidRPr="0040743B" w14:paraId="679508B7" w14:textId="77777777" w:rsidTr="00F2268C">
        <w:trPr>
          <w:trHeight w:val="275"/>
        </w:trPr>
        <w:tc>
          <w:tcPr>
            <w:tcW w:w="163" w:type="pct"/>
            <w:tcBorders>
              <w:top w:val="nil"/>
              <w:left w:val="nil"/>
              <w:bottom w:val="nil"/>
              <w:right w:val="nil"/>
            </w:tcBorders>
            <w:shd w:val="clear" w:color="auto" w:fill="auto"/>
            <w:tcMar>
              <w:top w:w="14" w:type="dxa"/>
              <w:left w:w="14" w:type="dxa"/>
              <w:bottom w:w="0" w:type="dxa"/>
              <w:right w:w="14" w:type="dxa"/>
            </w:tcMar>
            <w:vAlign w:val="center"/>
            <w:hideMark/>
          </w:tcPr>
          <w:p w14:paraId="57549D0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15</w:t>
            </w:r>
          </w:p>
        </w:tc>
        <w:tc>
          <w:tcPr>
            <w:tcW w:w="301" w:type="pct"/>
            <w:tcBorders>
              <w:top w:val="nil"/>
              <w:left w:val="nil"/>
              <w:bottom w:val="nil"/>
              <w:right w:val="nil"/>
            </w:tcBorders>
            <w:shd w:val="clear" w:color="auto" w:fill="auto"/>
            <w:tcMar>
              <w:top w:w="14" w:type="dxa"/>
              <w:left w:w="14" w:type="dxa"/>
              <w:bottom w:w="0" w:type="dxa"/>
              <w:right w:w="14" w:type="dxa"/>
            </w:tcMar>
            <w:vAlign w:val="center"/>
            <w:hideMark/>
          </w:tcPr>
          <w:p w14:paraId="641A2968"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m</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5AB3564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60</w:t>
            </w:r>
          </w:p>
        </w:tc>
        <w:tc>
          <w:tcPr>
            <w:tcW w:w="314" w:type="pct"/>
            <w:tcBorders>
              <w:top w:val="nil"/>
              <w:left w:val="nil"/>
              <w:bottom w:val="nil"/>
              <w:right w:val="nil"/>
            </w:tcBorders>
            <w:shd w:val="clear" w:color="auto" w:fill="auto"/>
            <w:tcMar>
              <w:top w:w="14" w:type="dxa"/>
              <w:left w:w="14" w:type="dxa"/>
              <w:bottom w:w="0" w:type="dxa"/>
              <w:right w:w="14" w:type="dxa"/>
            </w:tcMar>
            <w:vAlign w:val="center"/>
            <w:hideMark/>
          </w:tcPr>
          <w:p w14:paraId="2D01669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80</w:t>
            </w:r>
          </w:p>
        </w:tc>
        <w:tc>
          <w:tcPr>
            <w:tcW w:w="412" w:type="pct"/>
            <w:tcBorders>
              <w:top w:val="nil"/>
              <w:left w:val="nil"/>
              <w:bottom w:val="nil"/>
              <w:right w:val="nil"/>
            </w:tcBorders>
            <w:shd w:val="clear" w:color="auto" w:fill="auto"/>
            <w:tcMar>
              <w:top w:w="14" w:type="dxa"/>
              <w:left w:w="14" w:type="dxa"/>
              <w:bottom w:w="0" w:type="dxa"/>
              <w:right w:w="14" w:type="dxa"/>
            </w:tcMar>
            <w:vAlign w:val="center"/>
            <w:hideMark/>
          </w:tcPr>
          <w:p w14:paraId="29C97A4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tc>
        <w:tc>
          <w:tcPr>
            <w:tcW w:w="417" w:type="pct"/>
            <w:tcBorders>
              <w:top w:val="nil"/>
              <w:left w:val="nil"/>
              <w:bottom w:val="nil"/>
              <w:right w:val="nil"/>
            </w:tcBorders>
            <w:shd w:val="clear" w:color="auto" w:fill="auto"/>
            <w:tcMar>
              <w:top w:w="14" w:type="dxa"/>
              <w:left w:w="14" w:type="dxa"/>
              <w:bottom w:w="0" w:type="dxa"/>
              <w:right w:w="14" w:type="dxa"/>
            </w:tcMar>
            <w:vAlign w:val="center"/>
            <w:hideMark/>
          </w:tcPr>
          <w:p w14:paraId="3165FF2B"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35</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30FADFA0"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nil"/>
              <w:right w:val="nil"/>
            </w:tcBorders>
            <w:shd w:val="clear" w:color="auto" w:fill="auto"/>
            <w:tcMar>
              <w:top w:w="14" w:type="dxa"/>
              <w:left w:w="14" w:type="dxa"/>
              <w:bottom w:w="0" w:type="dxa"/>
              <w:right w:w="14" w:type="dxa"/>
            </w:tcMar>
            <w:vAlign w:val="center"/>
            <w:hideMark/>
          </w:tcPr>
          <w:p w14:paraId="2361D02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11 / 8</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7A7AFF2B"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7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1</w:t>
            </w:r>
          </w:p>
        </w:tc>
        <w:tc>
          <w:tcPr>
            <w:tcW w:w="415" w:type="pct"/>
            <w:tcBorders>
              <w:top w:val="nil"/>
              <w:left w:val="nil"/>
              <w:bottom w:val="nil"/>
              <w:right w:val="nil"/>
            </w:tcBorders>
            <w:shd w:val="clear" w:color="auto" w:fill="auto"/>
            <w:tcMar>
              <w:top w:w="14" w:type="dxa"/>
              <w:left w:w="14" w:type="dxa"/>
              <w:bottom w:w="0" w:type="dxa"/>
              <w:right w:w="14" w:type="dxa"/>
            </w:tcMar>
            <w:vAlign w:val="center"/>
            <w:hideMark/>
          </w:tcPr>
          <w:p w14:paraId="5B9C0BC1"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1</w:t>
            </w:r>
          </w:p>
        </w:tc>
        <w:tc>
          <w:tcPr>
            <w:tcW w:w="470" w:type="pct"/>
            <w:tcBorders>
              <w:top w:val="nil"/>
              <w:left w:val="nil"/>
              <w:bottom w:val="nil"/>
              <w:right w:val="nil"/>
            </w:tcBorders>
            <w:shd w:val="clear" w:color="auto" w:fill="auto"/>
            <w:tcMar>
              <w:top w:w="15" w:type="dxa"/>
              <w:left w:w="15" w:type="dxa"/>
              <w:bottom w:w="0" w:type="dxa"/>
              <w:right w:w="15" w:type="dxa"/>
            </w:tcMar>
            <w:vAlign w:val="center"/>
            <w:hideMark/>
          </w:tcPr>
          <w:p w14:paraId="0C7BE420"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m/n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1</w:t>
            </w:r>
          </w:p>
        </w:tc>
        <w:tc>
          <w:tcPr>
            <w:tcW w:w="405" w:type="pct"/>
            <w:tcBorders>
              <w:top w:val="nil"/>
              <w:left w:val="nil"/>
              <w:bottom w:val="nil"/>
              <w:right w:val="nil"/>
            </w:tcBorders>
            <w:shd w:val="clear" w:color="auto" w:fill="auto"/>
            <w:tcMar>
              <w:top w:w="15" w:type="dxa"/>
              <w:left w:w="15" w:type="dxa"/>
              <w:bottom w:w="0" w:type="dxa"/>
              <w:right w:w="15" w:type="dxa"/>
            </w:tcMar>
            <w:vAlign w:val="center"/>
            <w:hideMark/>
          </w:tcPr>
          <w:p w14:paraId="07EB608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34.1+</w:t>
            </w:r>
          </w:p>
        </w:tc>
        <w:tc>
          <w:tcPr>
            <w:tcW w:w="417" w:type="pct"/>
            <w:tcBorders>
              <w:top w:val="nil"/>
              <w:left w:val="nil"/>
              <w:bottom w:val="nil"/>
              <w:right w:val="nil"/>
            </w:tcBorders>
            <w:shd w:val="clear" w:color="auto" w:fill="auto"/>
            <w:tcMar>
              <w:top w:w="15" w:type="dxa"/>
              <w:left w:w="15" w:type="dxa"/>
              <w:bottom w:w="0" w:type="dxa"/>
              <w:right w:w="15" w:type="dxa"/>
            </w:tcMar>
            <w:vAlign w:val="center"/>
            <w:hideMark/>
          </w:tcPr>
          <w:p w14:paraId="6BE266F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33.4+</w:t>
            </w:r>
          </w:p>
        </w:tc>
      </w:tr>
      <w:tr w:rsidR="00136ED1" w:rsidRPr="0040743B" w14:paraId="26D89EA0" w14:textId="77777777" w:rsidTr="00F2268C">
        <w:trPr>
          <w:trHeight w:val="275"/>
        </w:trPr>
        <w:tc>
          <w:tcPr>
            <w:tcW w:w="163" w:type="pct"/>
            <w:tcBorders>
              <w:top w:val="nil"/>
              <w:left w:val="nil"/>
              <w:bottom w:val="single" w:sz="8" w:space="0" w:color="000000"/>
              <w:right w:val="nil"/>
            </w:tcBorders>
            <w:shd w:val="clear" w:color="auto" w:fill="auto"/>
            <w:tcMar>
              <w:top w:w="14" w:type="dxa"/>
              <w:left w:w="14" w:type="dxa"/>
              <w:bottom w:w="0" w:type="dxa"/>
              <w:right w:w="14" w:type="dxa"/>
            </w:tcMar>
            <w:vAlign w:val="center"/>
            <w:hideMark/>
          </w:tcPr>
          <w:p w14:paraId="5B7C3F6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16</w:t>
            </w:r>
          </w:p>
        </w:tc>
        <w:tc>
          <w:tcPr>
            <w:tcW w:w="301" w:type="pct"/>
            <w:tcBorders>
              <w:top w:val="nil"/>
              <w:left w:val="nil"/>
              <w:bottom w:val="single" w:sz="8" w:space="0" w:color="000000"/>
              <w:right w:val="nil"/>
            </w:tcBorders>
            <w:shd w:val="clear" w:color="auto" w:fill="auto"/>
            <w:tcMar>
              <w:top w:w="14" w:type="dxa"/>
              <w:left w:w="14" w:type="dxa"/>
              <w:bottom w:w="0" w:type="dxa"/>
              <w:right w:w="14" w:type="dxa"/>
            </w:tcMar>
            <w:vAlign w:val="center"/>
            <w:hideMark/>
          </w:tcPr>
          <w:p w14:paraId="489933F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f</w:t>
            </w:r>
          </w:p>
        </w:tc>
        <w:tc>
          <w:tcPr>
            <w:tcW w:w="314" w:type="pct"/>
            <w:tcBorders>
              <w:top w:val="nil"/>
              <w:left w:val="nil"/>
              <w:bottom w:val="single" w:sz="8" w:space="0" w:color="000000"/>
              <w:right w:val="nil"/>
            </w:tcBorders>
            <w:shd w:val="clear" w:color="auto" w:fill="auto"/>
            <w:tcMar>
              <w:top w:w="14" w:type="dxa"/>
              <w:left w:w="14" w:type="dxa"/>
              <w:bottom w:w="0" w:type="dxa"/>
              <w:right w:w="14" w:type="dxa"/>
            </w:tcMar>
            <w:vAlign w:val="center"/>
            <w:hideMark/>
          </w:tcPr>
          <w:p w14:paraId="386BC454"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57</w:t>
            </w:r>
          </w:p>
        </w:tc>
        <w:tc>
          <w:tcPr>
            <w:tcW w:w="314" w:type="pct"/>
            <w:tcBorders>
              <w:top w:val="nil"/>
              <w:left w:val="nil"/>
              <w:bottom w:val="single" w:sz="8" w:space="0" w:color="000000"/>
              <w:right w:val="nil"/>
            </w:tcBorders>
            <w:shd w:val="clear" w:color="auto" w:fill="auto"/>
            <w:tcMar>
              <w:top w:w="14" w:type="dxa"/>
              <w:left w:w="14" w:type="dxa"/>
              <w:bottom w:w="0" w:type="dxa"/>
              <w:right w:w="14" w:type="dxa"/>
            </w:tcMar>
            <w:vAlign w:val="center"/>
            <w:hideMark/>
          </w:tcPr>
          <w:p w14:paraId="1957A16F"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90</w:t>
            </w:r>
          </w:p>
        </w:tc>
        <w:tc>
          <w:tcPr>
            <w:tcW w:w="412" w:type="pct"/>
            <w:tcBorders>
              <w:top w:val="nil"/>
              <w:left w:val="nil"/>
              <w:bottom w:val="single" w:sz="8" w:space="0" w:color="000000"/>
              <w:right w:val="nil"/>
            </w:tcBorders>
            <w:shd w:val="clear" w:color="auto" w:fill="auto"/>
            <w:tcMar>
              <w:top w:w="14" w:type="dxa"/>
              <w:left w:w="14" w:type="dxa"/>
              <w:bottom w:w="0" w:type="dxa"/>
              <w:right w:w="14" w:type="dxa"/>
            </w:tcMar>
            <w:vAlign w:val="center"/>
            <w:hideMark/>
          </w:tcPr>
          <w:p w14:paraId="51D8EDC6"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A*02:01</w:t>
            </w:r>
          </w:p>
        </w:tc>
        <w:tc>
          <w:tcPr>
            <w:tcW w:w="417" w:type="pct"/>
            <w:tcBorders>
              <w:top w:val="nil"/>
              <w:left w:val="nil"/>
              <w:bottom w:val="single" w:sz="8" w:space="0" w:color="000000"/>
              <w:right w:val="nil"/>
            </w:tcBorders>
            <w:shd w:val="clear" w:color="auto" w:fill="auto"/>
            <w:tcMar>
              <w:top w:w="14" w:type="dxa"/>
              <w:left w:w="14" w:type="dxa"/>
              <w:bottom w:w="0" w:type="dxa"/>
              <w:right w:w="14" w:type="dxa"/>
            </w:tcMar>
            <w:vAlign w:val="center"/>
            <w:hideMark/>
          </w:tcPr>
          <w:p w14:paraId="0A26A597"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35</w:t>
            </w:r>
          </w:p>
        </w:tc>
        <w:tc>
          <w:tcPr>
            <w:tcW w:w="415" w:type="pct"/>
            <w:tcBorders>
              <w:top w:val="nil"/>
              <w:left w:val="nil"/>
              <w:bottom w:val="single" w:sz="8" w:space="0" w:color="000000"/>
              <w:right w:val="nil"/>
            </w:tcBorders>
            <w:shd w:val="clear" w:color="auto" w:fill="auto"/>
            <w:tcMar>
              <w:top w:w="14" w:type="dxa"/>
              <w:left w:w="14" w:type="dxa"/>
              <w:bottom w:w="0" w:type="dxa"/>
              <w:right w:w="14" w:type="dxa"/>
            </w:tcMar>
            <w:vAlign w:val="center"/>
            <w:hideMark/>
          </w:tcPr>
          <w:p w14:paraId="07AB5179" w14:textId="77777777" w:rsidR="00136ED1" w:rsidRPr="0040743B" w:rsidRDefault="00136ED1" w:rsidP="00C33C03">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w:t>
            </w:r>
          </w:p>
        </w:tc>
        <w:tc>
          <w:tcPr>
            <w:tcW w:w="542" w:type="pct"/>
            <w:tcBorders>
              <w:top w:val="nil"/>
              <w:left w:val="nil"/>
              <w:bottom w:val="single" w:sz="8" w:space="0" w:color="000000"/>
              <w:right w:val="nil"/>
            </w:tcBorders>
            <w:shd w:val="clear" w:color="auto" w:fill="auto"/>
            <w:tcMar>
              <w:top w:w="14" w:type="dxa"/>
              <w:left w:w="14" w:type="dxa"/>
              <w:bottom w:w="0" w:type="dxa"/>
              <w:right w:w="14" w:type="dxa"/>
            </w:tcMar>
            <w:vAlign w:val="center"/>
            <w:hideMark/>
          </w:tcPr>
          <w:p w14:paraId="52614A9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16 / 15</w:t>
            </w:r>
          </w:p>
        </w:tc>
        <w:tc>
          <w:tcPr>
            <w:tcW w:w="415" w:type="pct"/>
            <w:tcBorders>
              <w:top w:val="nil"/>
              <w:left w:val="nil"/>
              <w:bottom w:val="single" w:sz="8" w:space="0" w:color="000000"/>
              <w:right w:val="nil"/>
            </w:tcBorders>
            <w:shd w:val="clear" w:color="auto" w:fill="auto"/>
            <w:tcMar>
              <w:top w:w="14" w:type="dxa"/>
              <w:left w:w="14" w:type="dxa"/>
              <w:bottom w:w="0" w:type="dxa"/>
              <w:right w:w="14" w:type="dxa"/>
            </w:tcMar>
            <w:vAlign w:val="center"/>
            <w:hideMark/>
          </w:tcPr>
          <w:p w14:paraId="7977BFE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7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5</w:t>
            </w:r>
            <w:r w:rsidRPr="0040743B">
              <w:rPr>
                <w:rFonts w:asciiTheme="minorHAnsi" w:hAnsiTheme="minorHAnsi" w:cstheme="minorHAnsi"/>
                <w:bCs/>
                <w:sz w:val="14"/>
                <w:szCs w:val="10"/>
                <w:vertAlign w:val="superscript"/>
              </w:rPr>
              <w:t>#</w:t>
            </w:r>
          </w:p>
        </w:tc>
        <w:tc>
          <w:tcPr>
            <w:tcW w:w="415" w:type="pct"/>
            <w:tcBorders>
              <w:top w:val="nil"/>
              <w:left w:val="nil"/>
              <w:bottom w:val="single" w:sz="8" w:space="0" w:color="000000"/>
              <w:right w:val="single" w:sz="4" w:space="0" w:color="FFFFFF" w:themeColor="background1"/>
            </w:tcBorders>
            <w:shd w:val="clear" w:color="auto" w:fill="auto"/>
            <w:tcMar>
              <w:top w:w="14" w:type="dxa"/>
              <w:left w:w="14" w:type="dxa"/>
              <w:bottom w:w="0" w:type="dxa"/>
              <w:right w:w="14" w:type="dxa"/>
            </w:tcMar>
            <w:vAlign w:val="center"/>
            <w:hideMark/>
          </w:tcPr>
          <w:p w14:paraId="0209BF1D" w14:textId="5107F85B"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2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0</w:t>
            </w:r>
          </w:p>
        </w:tc>
        <w:tc>
          <w:tcPr>
            <w:tcW w:w="470" w:type="pct"/>
            <w:tcBorders>
              <w:top w:val="nil"/>
              <w:left w:val="single" w:sz="4" w:space="0" w:color="FFFFFF" w:themeColor="background1"/>
              <w:bottom w:val="single" w:sz="8" w:space="0" w:color="000000"/>
              <w:right w:val="nil"/>
            </w:tcBorders>
            <w:shd w:val="clear" w:color="auto" w:fill="auto"/>
            <w:tcMar>
              <w:top w:w="15" w:type="dxa"/>
              <w:left w:w="15" w:type="dxa"/>
              <w:bottom w:w="0" w:type="dxa"/>
              <w:right w:w="15" w:type="dxa"/>
            </w:tcMar>
            <w:vAlign w:val="center"/>
            <w:hideMark/>
          </w:tcPr>
          <w:p w14:paraId="4AF56605"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rPr>
              <w:t xml:space="preserve">m/m </w:t>
            </w:r>
            <w:r w:rsidRPr="0040743B">
              <w:rPr>
                <w:rFonts w:asciiTheme="minorHAnsi" w:hAnsiTheme="minorHAnsi" w:cstheme="minorHAnsi"/>
                <w:bCs/>
                <w:sz w:val="12"/>
                <w:szCs w:val="10"/>
                <w:lang w:val="de-DE"/>
              </w:rPr>
              <w:sym w:font="Symbol" w:char="F0AE"/>
            </w:r>
            <w:r w:rsidRPr="0040743B">
              <w:rPr>
                <w:rFonts w:asciiTheme="minorHAnsi" w:hAnsiTheme="minorHAnsi" w:cstheme="minorHAnsi"/>
                <w:bCs/>
                <w:sz w:val="12"/>
                <w:szCs w:val="10"/>
                <w:lang w:val="de-DE"/>
              </w:rPr>
              <w:t xml:space="preserve"> </w:t>
            </w:r>
            <w:r w:rsidRPr="0040743B">
              <w:rPr>
                <w:rFonts w:asciiTheme="minorHAnsi" w:hAnsiTheme="minorHAnsi" w:cstheme="minorHAnsi"/>
                <w:bCs/>
                <w:sz w:val="12"/>
                <w:szCs w:val="10"/>
              </w:rPr>
              <w:t>1</w:t>
            </w:r>
          </w:p>
        </w:tc>
        <w:tc>
          <w:tcPr>
            <w:tcW w:w="405"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4357A749"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27.5+</w:t>
            </w:r>
          </w:p>
        </w:tc>
        <w:tc>
          <w:tcPr>
            <w:tcW w:w="417"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14B9615B"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r w:rsidRPr="0040743B">
              <w:rPr>
                <w:rFonts w:asciiTheme="minorHAnsi" w:hAnsiTheme="minorHAnsi" w:cstheme="minorHAnsi"/>
                <w:bCs/>
                <w:sz w:val="12"/>
                <w:szCs w:val="10"/>
                <w:lang w:val="de-DE"/>
              </w:rPr>
              <w:t>27.4+</w:t>
            </w:r>
          </w:p>
        </w:tc>
      </w:tr>
      <w:tr w:rsidR="00136ED1" w:rsidRPr="0040743B" w14:paraId="0C36153E" w14:textId="77777777" w:rsidTr="00F2268C">
        <w:trPr>
          <w:trHeight w:val="527"/>
        </w:trPr>
        <w:tc>
          <w:tcPr>
            <w:tcW w:w="163" w:type="pct"/>
            <w:tcBorders>
              <w:top w:val="single" w:sz="8" w:space="0" w:color="000000"/>
              <w:left w:val="nil"/>
              <w:bottom w:val="single" w:sz="8" w:space="0" w:color="auto"/>
              <w:right w:val="nil"/>
            </w:tcBorders>
            <w:shd w:val="clear" w:color="auto" w:fill="FDFDFD"/>
            <w:tcMar>
              <w:top w:w="14" w:type="dxa"/>
              <w:left w:w="14" w:type="dxa"/>
              <w:bottom w:w="0" w:type="dxa"/>
              <w:right w:w="14" w:type="dxa"/>
            </w:tcMar>
            <w:vAlign w:val="center"/>
            <w:hideMark/>
          </w:tcPr>
          <w:p w14:paraId="5F4A2D4D" w14:textId="77777777" w:rsidR="00136ED1" w:rsidRPr="0040743B" w:rsidRDefault="00136ED1" w:rsidP="00F2268C">
            <w:pPr>
              <w:pStyle w:val="EndNoteBibliography"/>
              <w:spacing w:after="0"/>
              <w:ind w:left="720" w:hanging="720"/>
              <w:jc w:val="center"/>
              <w:rPr>
                <w:rFonts w:asciiTheme="minorHAnsi" w:hAnsiTheme="minorHAnsi" w:cstheme="minorHAnsi"/>
                <w:bCs/>
                <w:sz w:val="12"/>
                <w:szCs w:val="10"/>
                <w:lang w:val="de-DE"/>
              </w:rPr>
            </w:pPr>
          </w:p>
        </w:tc>
        <w:tc>
          <w:tcPr>
            <w:tcW w:w="301" w:type="pct"/>
            <w:tcBorders>
              <w:top w:val="single" w:sz="8" w:space="0" w:color="000000"/>
              <w:left w:val="nil"/>
              <w:bottom w:val="single" w:sz="8" w:space="0" w:color="auto"/>
              <w:right w:val="nil"/>
            </w:tcBorders>
            <w:shd w:val="clear" w:color="auto" w:fill="FDFDFD"/>
            <w:tcMar>
              <w:top w:w="14" w:type="dxa"/>
              <w:left w:w="14" w:type="dxa"/>
              <w:bottom w:w="0" w:type="dxa"/>
              <w:right w:w="14" w:type="dxa"/>
            </w:tcMar>
            <w:vAlign w:val="center"/>
            <w:hideMark/>
          </w:tcPr>
          <w:p w14:paraId="3BB8C042"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f: 44%</w:t>
            </w:r>
          </w:p>
          <w:p w14:paraId="39B48349"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lang w:val="de-DE"/>
              </w:rPr>
            </w:pPr>
            <w:r w:rsidRPr="0040743B">
              <w:rPr>
                <w:rFonts w:asciiTheme="minorHAnsi" w:hAnsiTheme="minorHAnsi" w:cstheme="minorHAnsi"/>
                <w:bCs/>
                <w:sz w:val="10"/>
                <w:szCs w:val="10"/>
              </w:rPr>
              <w:t>m: 56%</w:t>
            </w:r>
          </w:p>
        </w:tc>
        <w:tc>
          <w:tcPr>
            <w:tcW w:w="314" w:type="pct"/>
            <w:tcBorders>
              <w:top w:val="single" w:sz="8" w:space="0" w:color="000000"/>
              <w:left w:val="nil"/>
              <w:bottom w:val="single" w:sz="8" w:space="0" w:color="auto"/>
              <w:right w:val="nil"/>
            </w:tcBorders>
            <w:shd w:val="clear" w:color="auto" w:fill="FDFDFD"/>
            <w:tcMar>
              <w:top w:w="14" w:type="dxa"/>
              <w:left w:w="14" w:type="dxa"/>
              <w:bottom w:w="0" w:type="dxa"/>
              <w:right w:w="14" w:type="dxa"/>
            </w:tcMar>
            <w:vAlign w:val="center"/>
            <w:hideMark/>
          </w:tcPr>
          <w:p w14:paraId="5D1D6328" w14:textId="77777777" w:rsidR="00136ED1" w:rsidRPr="0040743B" w:rsidRDefault="00136ED1" w:rsidP="00F2268C">
            <w:pPr>
              <w:pStyle w:val="EndNoteBibliography"/>
              <w:spacing w:after="0"/>
              <w:jc w:val="center"/>
              <w:rPr>
                <w:rFonts w:asciiTheme="minorHAnsi" w:hAnsiTheme="minorHAnsi" w:cstheme="minorHAnsi"/>
                <w:bCs/>
                <w:sz w:val="10"/>
                <w:szCs w:val="10"/>
              </w:rPr>
            </w:pPr>
            <w:r w:rsidRPr="0040743B">
              <w:rPr>
                <w:rFonts w:asciiTheme="minorHAnsi" w:hAnsiTheme="minorHAnsi" w:cstheme="minorHAnsi"/>
                <w:bCs/>
                <w:sz w:val="10"/>
                <w:szCs w:val="10"/>
              </w:rPr>
              <w:t>Median:</w:t>
            </w:r>
          </w:p>
          <w:p w14:paraId="4B71D4FD" w14:textId="77777777" w:rsidR="00136ED1" w:rsidRPr="0040743B" w:rsidRDefault="00136ED1" w:rsidP="00F2268C">
            <w:pPr>
              <w:pStyle w:val="EndNoteBibliography"/>
              <w:spacing w:after="0"/>
              <w:jc w:val="center"/>
              <w:rPr>
                <w:rFonts w:asciiTheme="minorHAnsi" w:hAnsiTheme="minorHAnsi" w:cstheme="minorHAnsi"/>
                <w:bCs/>
                <w:sz w:val="10"/>
                <w:szCs w:val="10"/>
                <w:lang w:val="de-DE"/>
              </w:rPr>
            </w:pPr>
            <w:r w:rsidRPr="0040743B">
              <w:rPr>
                <w:rFonts w:asciiTheme="minorHAnsi" w:hAnsiTheme="minorHAnsi" w:cstheme="minorHAnsi"/>
                <w:bCs/>
                <w:sz w:val="10"/>
                <w:szCs w:val="10"/>
              </w:rPr>
              <w:t>52.5 yrs.</w:t>
            </w:r>
          </w:p>
        </w:tc>
        <w:tc>
          <w:tcPr>
            <w:tcW w:w="314" w:type="pct"/>
            <w:tcBorders>
              <w:top w:val="single" w:sz="8" w:space="0" w:color="000000"/>
              <w:left w:val="nil"/>
              <w:bottom w:val="single" w:sz="8" w:space="0" w:color="auto"/>
              <w:right w:val="nil"/>
            </w:tcBorders>
            <w:shd w:val="clear" w:color="auto" w:fill="FDFDFD"/>
            <w:tcMar>
              <w:top w:w="14" w:type="dxa"/>
              <w:left w:w="14" w:type="dxa"/>
              <w:bottom w:w="0" w:type="dxa"/>
              <w:right w:w="14" w:type="dxa"/>
            </w:tcMar>
            <w:vAlign w:val="center"/>
            <w:hideMark/>
          </w:tcPr>
          <w:p w14:paraId="6904D77B"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Median:</w:t>
            </w:r>
          </w:p>
          <w:p w14:paraId="79CB8743"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lang w:val="de-DE"/>
              </w:rPr>
            </w:pPr>
            <w:r w:rsidRPr="0040743B">
              <w:rPr>
                <w:rFonts w:asciiTheme="minorHAnsi" w:hAnsiTheme="minorHAnsi" w:cstheme="minorHAnsi"/>
                <w:bCs/>
                <w:sz w:val="10"/>
                <w:szCs w:val="10"/>
              </w:rPr>
              <w:t>90</w:t>
            </w:r>
          </w:p>
        </w:tc>
        <w:tc>
          <w:tcPr>
            <w:tcW w:w="412" w:type="pct"/>
            <w:tcBorders>
              <w:top w:val="single" w:sz="8" w:space="0" w:color="000000"/>
              <w:left w:val="nil"/>
              <w:bottom w:val="single" w:sz="8" w:space="0" w:color="auto"/>
              <w:right w:val="nil"/>
            </w:tcBorders>
            <w:shd w:val="clear" w:color="auto" w:fill="FDFDFD"/>
            <w:tcMar>
              <w:top w:w="14" w:type="dxa"/>
              <w:left w:w="14" w:type="dxa"/>
              <w:bottom w:w="0" w:type="dxa"/>
              <w:right w:w="14" w:type="dxa"/>
            </w:tcMar>
            <w:vAlign w:val="center"/>
            <w:hideMark/>
          </w:tcPr>
          <w:p w14:paraId="1010FFAB" w14:textId="77777777" w:rsidR="00136ED1" w:rsidRPr="0040743B" w:rsidRDefault="00136ED1" w:rsidP="00F2268C">
            <w:pPr>
              <w:pStyle w:val="EndNoteBibliography"/>
              <w:spacing w:after="0"/>
              <w:jc w:val="center"/>
              <w:rPr>
                <w:rFonts w:asciiTheme="minorHAnsi" w:hAnsiTheme="minorHAnsi" w:cstheme="minorHAnsi"/>
                <w:bCs/>
                <w:sz w:val="10"/>
                <w:szCs w:val="10"/>
                <w:lang w:val="de-DE"/>
              </w:rPr>
            </w:pPr>
            <w:r w:rsidRPr="0040743B">
              <w:rPr>
                <w:rFonts w:asciiTheme="minorHAnsi" w:hAnsiTheme="minorHAnsi" w:cstheme="minorHAnsi"/>
                <w:bCs/>
                <w:sz w:val="10"/>
                <w:szCs w:val="10"/>
              </w:rPr>
              <w:t>A*02:01+: 81.3%</w:t>
            </w:r>
          </w:p>
          <w:p w14:paraId="772CED01"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A*24:02+:</w:t>
            </w:r>
          </w:p>
          <w:p w14:paraId="118D2DD0"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lang w:val="de-DE"/>
              </w:rPr>
            </w:pPr>
            <w:r w:rsidRPr="0040743B">
              <w:rPr>
                <w:rFonts w:asciiTheme="minorHAnsi" w:hAnsiTheme="minorHAnsi" w:cstheme="minorHAnsi"/>
                <w:bCs/>
                <w:sz w:val="10"/>
                <w:szCs w:val="10"/>
              </w:rPr>
              <w:t>25%</w:t>
            </w:r>
          </w:p>
        </w:tc>
        <w:tc>
          <w:tcPr>
            <w:tcW w:w="417" w:type="pct"/>
            <w:tcBorders>
              <w:top w:val="single" w:sz="8" w:space="0" w:color="000000"/>
              <w:left w:val="nil"/>
              <w:bottom w:val="single" w:sz="8" w:space="0" w:color="auto"/>
              <w:right w:val="nil"/>
            </w:tcBorders>
            <w:shd w:val="clear" w:color="auto" w:fill="FDFDFD"/>
            <w:tcMar>
              <w:top w:w="14" w:type="dxa"/>
              <w:left w:w="14" w:type="dxa"/>
              <w:bottom w:w="0" w:type="dxa"/>
              <w:right w:w="14" w:type="dxa"/>
            </w:tcMar>
            <w:vAlign w:val="center"/>
            <w:hideMark/>
          </w:tcPr>
          <w:p w14:paraId="70232E25"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Sum: 643</w:t>
            </w:r>
          </w:p>
          <w:p w14:paraId="10AE3A61"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Median: 36</w:t>
            </w:r>
          </w:p>
          <w:p w14:paraId="07025550"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Mean: 43</w:t>
            </w:r>
          </w:p>
        </w:tc>
        <w:tc>
          <w:tcPr>
            <w:tcW w:w="415" w:type="pct"/>
            <w:tcBorders>
              <w:top w:val="single" w:sz="8" w:space="0" w:color="000000"/>
              <w:left w:val="nil"/>
              <w:bottom w:val="single" w:sz="8" w:space="0" w:color="auto"/>
              <w:right w:val="nil"/>
            </w:tcBorders>
            <w:shd w:val="clear" w:color="auto" w:fill="FDFDFD"/>
            <w:tcMar>
              <w:top w:w="14" w:type="dxa"/>
              <w:left w:w="14" w:type="dxa"/>
              <w:bottom w:w="0" w:type="dxa"/>
              <w:right w:w="14" w:type="dxa"/>
            </w:tcMar>
            <w:vAlign w:val="center"/>
            <w:hideMark/>
          </w:tcPr>
          <w:p w14:paraId="7F8F88C5" w14:textId="77777777" w:rsidR="00136ED1" w:rsidRPr="0040743B" w:rsidRDefault="00136ED1" w:rsidP="00C33C03">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28.6%</w:t>
            </w:r>
          </w:p>
          <w:p w14:paraId="407EDBF0" w14:textId="3C27F82C" w:rsidR="00136ED1" w:rsidRPr="0040743B" w:rsidRDefault="00136ED1" w:rsidP="00C33C03">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MGMT</w:t>
            </w:r>
          </w:p>
          <w:p w14:paraId="5DC84F17" w14:textId="77777777" w:rsidR="00136ED1" w:rsidRPr="0040743B" w:rsidRDefault="00136ED1" w:rsidP="00C33C03">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hyper-</w:t>
            </w:r>
          </w:p>
          <w:p w14:paraId="688F1B71" w14:textId="77777777" w:rsidR="00136ED1" w:rsidRPr="0040743B" w:rsidRDefault="00136ED1" w:rsidP="00C33C03">
            <w:pPr>
              <w:pStyle w:val="EndNoteBibliography"/>
              <w:spacing w:after="0"/>
              <w:ind w:left="720" w:hanging="720"/>
              <w:jc w:val="center"/>
              <w:rPr>
                <w:rFonts w:asciiTheme="minorHAnsi" w:hAnsiTheme="minorHAnsi" w:cstheme="minorHAnsi"/>
                <w:bCs/>
                <w:sz w:val="10"/>
                <w:szCs w:val="10"/>
                <w:lang w:val="de-DE"/>
              </w:rPr>
            </w:pPr>
            <w:r w:rsidRPr="0040743B">
              <w:rPr>
                <w:rFonts w:asciiTheme="minorHAnsi" w:hAnsiTheme="minorHAnsi" w:cstheme="minorHAnsi"/>
                <w:bCs/>
                <w:sz w:val="10"/>
                <w:szCs w:val="10"/>
              </w:rPr>
              <w:t>methyl.</w:t>
            </w:r>
          </w:p>
        </w:tc>
        <w:tc>
          <w:tcPr>
            <w:tcW w:w="542" w:type="pct"/>
            <w:tcBorders>
              <w:top w:val="single" w:sz="8" w:space="0" w:color="000000"/>
              <w:left w:val="nil"/>
              <w:bottom w:val="single" w:sz="8" w:space="0" w:color="auto"/>
              <w:right w:val="nil"/>
            </w:tcBorders>
            <w:shd w:val="clear" w:color="auto" w:fill="FDFDFD"/>
            <w:tcMar>
              <w:top w:w="14" w:type="dxa"/>
              <w:left w:w="14" w:type="dxa"/>
              <w:bottom w:w="0" w:type="dxa"/>
              <w:right w:w="14" w:type="dxa"/>
            </w:tcMar>
            <w:vAlign w:val="center"/>
            <w:hideMark/>
          </w:tcPr>
          <w:p w14:paraId="551CA214"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Median: 12 / 10</w:t>
            </w:r>
          </w:p>
          <w:p w14:paraId="4682C5E9" w14:textId="12B330D1" w:rsidR="00136ED1" w:rsidRPr="0040743B" w:rsidRDefault="00136ED1" w:rsidP="00F2268C">
            <w:pPr>
              <w:pStyle w:val="EndNoteBibliography"/>
              <w:spacing w:after="0"/>
              <w:ind w:left="715" w:hanging="720"/>
              <w:jc w:val="center"/>
              <w:rPr>
                <w:rFonts w:asciiTheme="minorHAnsi" w:hAnsiTheme="minorHAnsi" w:cstheme="minorHAnsi"/>
                <w:bCs/>
                <w:sz w:val="10"/>
                <w:szCs w:val="10"/>
                <w:lang w:val="de-DE"/>
              </w:rPr>
            </w:pPr>
            <w:r w:rsidRPr="0040743B">
              <w:rPr>
                <w:rFonts w:asciiTheme="minorHAnsi" w:hAnsiTheme="minorHAnsi" w:cstheme="minorHAnsi"/>
                <w:bCs/>
                <w:sz w:val="10"/>
                <w:szCs w:val="10"/>
              </w:rPr>
              <w:t>(</w:t>
            </w:r>
            <w:r w:rsidR="00954D0C" w:rsidRPr="0040743B">
              <w:rPr>
                <w:rFonts w:asciiTheme="minorHAnsi" w:hAnsiTheme="minorHAnsi" w:cstheme="minorHAnsi"/>
                <w:bCs/>
                <w:sz w:val="10"/>
                <w:szCs w:val="10"/>
              </w:rPr>
              <w:t>n</w:t>
            </w:r>
            <w:r w:rsidRPr="0040743B">
              <w:rPr>
                <w:rFonts w:asciiTheme="minorHAnsi" w:hAnsiTheme="minorHAnsi" w:cstheme="minorHAnsi"/>
                <w:bCs/>
                <w:sz w:val="10"/>
                <w:szCs w:val="10"/>
              </w:rPr>
              <w:t>=15 / 11)</w:t>
            </w:r>
          </w:p>
        </w:tc>
        <w:tc>
          <w:tcPr>
            <w:tcW w:w="415" w:type="pct"/>
            <w:tcBorders>
              <w:top w:val="single" w:sz="8" w:space="0" w:color="000000"/>
              <w:left w:val="nil"/>
              <w:bottom w:val="single" w:sz="8" w:space="0" w:color="auto"/>
              <w:right w:val="nil"/>
            </w:tcBorders>
            <w:shd w:val="clear" w:color="auto" w:fill="FDFDFD"/>
            <w:tcMar>
              <w:top w:w="14" w:type="dxa"/>
              <w:left w:w="14" w:type="dxa"/>
              <w:bottom w:w="0" w:type="dxa"/>
              <w:right w:w="14" w:type="dxa"/>
            </w:tcMar>
            <w:vAlign w:val="center"/>
            <w:hideMark/>
          </w:tcPr>
          <w:p w14:paraId="21EF6406"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92%</w:t>
            </w:r>
          </w:p>
          <w:p w14:paraId="77DCEEA0"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immune</w:t>
            </w:r>
          </w:p>
          <w:p w14:paraId="71BB7605" w14:textId="77777777" w:rsidR="00136ED1" w:rsidRPr="0040743B" w:rsidRDefault="00136ED1" w:rsidP="00F2268C">
            <w:pPr>
              <w:pStyle w:val="EndNoteBibliography"/>
              <w:spacing w:after="0"/>
              <w:ind w:left="720" w:hanging="720"/>
              <w:jc w:val="center"/>
              <w:rPr>
                <w:rFonts w:asciiTheme="minorHAnsi" w:hAnsiTheme="minorHAnsi" w:cstheme="minorHAnsi"/>
                <w:bCs/>
                <w:sz w:val="10"/>
                <w:szCs w:val="10"/>
              </w:rPr>
            </w:pPr>
            <w:r w:rsidRPr="0040743B">
              <w:rPr>
                <w:rFonts w:asciiTheme="minorHAnsi" w:hAnsiTheme="minorHAnsi" w:cstheme="minorHAnsi"/>
                <w:bCs/>
                <w:sz w:val="10"/>
                <w:szCs w:val="10"/>
              </w:rPr>
              <w:t>responder</w:t>
            </w:r>
          </w:p>
          <w:p w14:paraId="3FAB8E6F" w14:textId="1EBBBC54" w:rsidR="00136ED1" w:rsidRPr="0040743B" w:rsidRDefault="00136ED1" w:rsidP="00F2268C">
            <w:pPr>
              <w:pStyle w:val="EndNoteBibliography"/>
              <w:spacing w:after="0"/>
              <w:ind w:left="720" w:hanging="720"/>
              <w:jc w:val="center"/>
              <w:rPr>
                <w:rFonts w:asciiTheme="minorHAnsi" w:hAnsiTheme="minorHAnsi" w:cstheme="minorHAnsi"/>
                <w:bCs/>
                <w:sz w:val="10"/>
                <w:szCs w:val="10"/>
                <w:lang w:val="de-DE"/>
              </w:rPr>
            </w:pPr>
            <w:r w:rsidRPr="0040743B">
              <w:rPr>
                <w:rFonts w:asciiTheme="minorHAnsi" w:hAnsiTheme="minorHAnsi" w:cstheme="minorHAnsi"/>
                <w:bCs/>
                <w:sz w:val="10"/>
                <w:szCs w:val="10"/>
              </w:rPr>
              <w:t>(</w:t>
            </w:r>
            <w:r w:rsidR="00954D0C" w:rsidRPr="0040743B">
              <w:rPr>
                <w:rFonts w:asciiTheme="minorHAnsi" w:hAnsiTheme="minorHAnsi" w:cstheme="minorHAnsi"/>
                <w:bCs/>
                <w:sz w:val="10"/>
                <w:szCs w:val="10"/>
              </w:rPr>
              <w:t>n</w:t>
            </w:r>
            <w:r w:rsidRPr="0040743B">
              <w:rPr>
                <w:rFonts w:asciiTheme="minorHAnsi" w:hAnsiTheme="minorHAnsi" w:cstheme="minorHAnsi"/>
                <w:bCs/>
                <w:sz w:val="10"/>
                <w:szCs w:val="10"/>
              </w:rPr>
              <w:t>=13)</w:t>
            </w:r>
          </w:p>
        </w:tc>
        <w:tc>
          <w:tcPr>
            <w:tcW w:w="415" w:type="pct"/>
            <w:tcBorders>
              <w:top w:val="single" w:sz="8" w:space="0" w:color="000000"/>
              <w:left w:val="nil"/>
              <w:bottom w:val="single" w:sz="8" w:space="0" w:color="auto"/>
              <w:right w:val="single" w:sz="4" w:space="0" w:color="FFFFFF" w:themeColor="background1"/>
            </w:tcBorders>
            <w:shd w:val="clear" w:color="auto" w:fill="FDFDFD"/>
            <w:tcMar>
              <w:top w:w="14" w:type="dxa"/>
              <w:left w:w="14" w:type="dxa"/>
              <w:bottom w:w="0" w:type="dxa"/>
              <w:right w:w="14" w:type="dxa"/>
            </w:tcMar>
            <w:vAlign w:val="center"/>
            <w:hideMark/>
          </w:tcPr>
          <w:p w14:paraId="33841277" w14:textId="77777777" w:rsidR="00136ED1" w:rsidRPr="0040743B" w:rsidRDefault="00136ED1" w:rsidP="00F2268C">
            <w:pPr>
              <w:pStyle w:val="EndNoteBibliography"/>
              <w:spacing w:after="0"/>
              <w:jc w:val="center"/>
              <w:rPr>
                <w:rFonts w:asciiTheme="minorHAnsi" w:hAnsiTheme="minorHAnsi" w:cstheme="minorHAnsi"/>
                <w:bCs/>
                <w:sz w:val="10"/>
                <w:szCs w:val="10"/>
              </w:rPr>
            </w:pPr>
            <w:r w:rsidRPr="0040743B">
              <w:rPr>
                <w:rFonts w:asciiTheme="minorHAnsi" w:hAnsiTheme="minorHAnsi" w:cstheme="minorHAnsi"/>
                <w:bCs/>
                <w:sz w:val="10"/>
                <w:szCs w:val="10"/>
              </w:rPr>
              <w:t>69%</w:t>
            </w:r>
          </w:p>
          <w:p w14:paraId="6CC52669" w14:textId="17DCC489" w:rsidR="00136ED1" w:rsidRPr="0040743B" w:rsidRDefault="00136ED1" w:rsidP="00F2268C">
            <w:pPr>
              <w:pStyle w:val="EndNoteBibliography"/>
              <w:spacing w:after="0"/>
              <w:jc w:val="center"/>
              <w:rPr>
                <w:rFonts w:asciiTheme="minorHAnsi" w:hAnsiTheme="minorHAnsi" w:cstheme="minorHAnsi"/>
                <w:bCs/>
                <w:sz w:val="10"/>
                <w:szCs w:val="10"/>
                <w:lang w:val="de-DE"/>
              </w:rPr>
            </w:pPr>
            <w:r w:rsidRPr="0040743B">
              <w:rPr>
                <w:rFonts w:asciiTheme="minorHAnsi" w:hAnsiTheme="minorHAnsi" w:cstheme="minorHAnsi"/>
                <w:bCs/>
                <w:sz w:val="10"/>
                <w:szCs w:val="10"/>
              </w:rPr>
              <w:t>immune responder</w:t>
            </w:r>
            <w:r w:rsidRPr="0040743B">
              <w:rPr>
                <w:rFonts w:asciiTheme="minorHAnsi" w:hAnsiTheme="minorHAnsi" w:cstheme="minorHAnsi"/>
                <w:bCs/>
                <w:sz w:val="10"/>
                <w:szCs w:val="10"/>
              </w:rPr>
              <w:br/>
              <w:t>(</w:t>
            </w:r>
            <w:r w:rsidR="00954D0C" w:rsidRPr="0040743B">
              <w:rPr>
                <w:rFonts w:asciiTheme="minorHAnsi" w:hAnsiTheme="minorHAnsi" w:cstheme="minorHAnsi"/>
                <w:bCs/>
                <w:sz w:val="10"/>
                <w:szCs w:val="10"/>
              </w:rPr>
              <w:t>n</w:t>
            </w:r>
            <w:r w:rsidRPr="0040743B">
              <w:rPr>
                <w:rFonts w:asciiTheme="minorHAnsi" w:hAnsiTheme="minorHAnsi" w:cstheme="minorHAnsi"/>
                <w:bCs/>
                <w:sz w:val="10"/>
                <w:szCs w:val="10"/>
              </w:rPr>
              <w:t>=13)</w:t>
            </w:r>
          </w:p>
        </w:tc>
        <w:tc>
          <w:tcPr>
            <w:tcW w:w="470" w:type="pct"/>
            <w:tcBorders>
              <w:top w:val="single" w:sz="8" w:space="0" w:color="000000"/>
              <w:left w:val="single" w:sz="4" w:space="0" w:color="FFFFFF" w:themeColor="background1"/>
              <w:bottom w:val="single" w:sz="8" w:space="0" w:color="auto"/>
              <w:right w:val="nil"/>
            </w:tcBorders>
            <w:shd w:val="clear" w:color="auto" w:fill="FDFDFD"/>
            <w:vAlign w:val="center"/>
          </w:tcPr>
          <w:p w14:paraId="625F7969" w14:textId="77777777" w:rsidR="00136ED1" w:rsidRPr="0040743B" w:rsidRDefault="00136ED1" w:rsidP="00F2268C">
            <w:pPr>
              <w:pStyle w:val="EndNoteBibliography"/>
              <w:spacing w:after="0"/>
              <w:jc w:val="center"/>
              <w:rPr>
                <w:rFonts w:asciiTheme="minorHAnsi" w:hAnsiTheme="minorHAnsi" w:cstheme="minorHAnsi"/>
                <w:bCs/>
                <w:sz w:val="10"/>
                <w:szCs w:val="10"/>
              </w:rPr>
            </w:pPr>
            <w:r w:rsidRPr="0040743B">
              <w:rPr>
                <w:rFonts w:asciiTheme="minorHAnsi" w:hAnsiTheme="minorHAnsi" w:cstheme="minorHAnsi"/>
                <w:bCs/>
                <w:sz w:val="10"/>
                <w:szCs w:val="10"/>
              </w:rPr>
              <w:t>80%</w:t>
            </w:r>
          </w:p>
          <w:p w14:paraId="03C1A74F" w14:textId="5526CB25" w:rsidR="00136ED1" w:rsidRPr="0040743B" w:rsidRDefault="00136ED1" w:rsidP="00F2268C">
            <w:pPr>
              <w:pStyle w:val="EndNoteBibliography"/>
              <w:spacing w:after="0"/>
              <w:jc w:val="center"/>
              <w:rPr>
                <w:rFonts w:asciiTheme="minorHAnsi" w:hAnsiTheme="minorHAnsi" w:cstheme="minorHAnsi"/>
                <w:bCs/>
                <w:sz w:val="10"/>
                <w:szCs w:val="10"/>
                <w:lang w:val="de-DE"/>
              </w:rPr>
            </w:pPr>
            <w:r w:rsidRPr="0040743B">
              <w:rPr>
                <w:rFonts w:asciiTheme="minorHAnsi" w:hAnsiTheme="minorHAnsi" w:cstheme="minorHAnsi"/>
                <w:bCs/>
                <w:sz w:val="10"/>
                <w:szCs w:val="10"/>
              </w:rPr>
              <w:t>immune</w:t>
            </w:r>
            <w:r w:rsidRPr="0040743B">
              <w:rPr>
                <w:rFonts w:asciiTheme="minorHAnsi" w:hAnsiTheme="minorHAnsi" w:cstheme="minorHAnsi"/>
                <w:bCs/>
                <w:sz w:val="10"/>
                <w:szCs w:val="10"/>
              </w:rPr>
              <w:br/>
              <w:t>responder</w:t>
            </w:r>
            <w:r w:rsidRPr="0040743B">
              <w:rPr>
                <w:rFonts w:asciiTheme="minorHAnsi" w:hAnsiTheme="minorHAnsi" w:cstheme="minorHAnsi"/>
                <w:bCs/>
                <w:sz w:val="10"/>
                <w:szCs w:val="10"/>
              </w:rPr>
              <w:br/>
              <w:t>(</w:t>
            </w:r>
            <w:r w:rsidR="00954D0C" w:rsidRPr="0040743B">
              <w:rPr>
                <w:rFonts w:asciiTheme="minorHAnsi" w:hAnsiTheme="minorHAnsi" w:cstheme="minorHAnsi"/>
                <w:bCs/>
                <w:sz w:val="10"/>
                <w:szCs w:val="10"/>
              </w:rPr>
              <w:t>n</w:t>
            </w:r>
            <w:r w:rsidRPr="0040743B">
              <w:rPr>
                <w:rFonts w:asciiTheme="minorHAnsi" w:hAnsiTheme="minorHAnsi" w:cstheme="minorHAnsi"/>
                <w:bCs/>
                <w:sz w:val="10"/>
                <w:szCs w:val="10"/>
              </w:rPr>
              <w:t>=10)</w:t>
            </w:r>
          </w:p>
        </w:tc>
        <w:tc>
          <w:tcPr>
            <w:tcW w:w="405" w:type="pct"/>
            <w:tcBorders>
              <w:top w:val="single" w:sz="8" w:space="0" w:color="000000"/>
              <w:left w:val="nil"/>
              <w:bottom w:val="single" w:sz="8" w:space="0" w:color="auto"/>
              <w:right w:val="nil"/>
            </w:tcBorders>
            <w:shd w:val="clear" w:color="auto" w:fill="FDFDFD"/>
            <w:tcMar>
              <w:top w:w="14" w:type="dxa"/>
              <w:left w:w="14" w:type="dxa"/>
              <w:bottom w:w="0" w:type="dxa"/>
              <w:right w:w="14" w:type="dxa"/>
            </w:tcMar>
            <w:vAlign w:val="center"/>
            <w:hideMark/>
          </w:tcPr>
          <w:p w14:paraId="373C4656" w14:textId="315C6E1E" w:rsidR="00136ED1" w:rsidRPr="0040743B" w:rsidRDefault="00663CFB" w:rsidP="00F2268C">
            <w:pPr>
              <w:pStyle w:val="EndNoteBibliography"/>
              <w:spacing w:after="0"/>
              <w:jc w:val="center"/>
              <w:rPr>
                <w:rFonts w:asciiTheme="minorHAnsi" w:hAnsiTheme="minorHAnsi" w:cstheme="minorHAnsi"/>
                <w:bCs/>
                <w:sz w:val="10"/>
                <w:szCs w:val="10"/>
                <w:lang w:val="de-DE"/>
              </w:rPr>
            </w:pPr>
            <w:r w:rsidRPr="0040743B">
              <w:rPr>
                <w:rFonts w:asciiTheme="minorHAnsi" w:hAnsiTheme="minorHAnsi" w:cstheme="minorHAnsi"/>
                <w:bCs/>
                <w:sz w:val="10"/>
                <w:szCs w:val="10"/>
                <w:lang w:val="de-DE"/>
              </w:rPr>
              <w:t>M</w:t>
            </w:r>
            <w:r w:rsidR="00B67416" w:rsidRPr="0040743B">
              <w:rPr>
                <w:rFonts w:asciiTheme="minorHAnsi" w:hAnsiTheme="minorHAnsi" w:cstheme="minorHAnsi"/>
                <w:bCs/>
                <w:sz w:val="10"/>
                <w:szCs w:val="10"/>
                <w:lang w:val="de-DE"/>
              </w:rPr>
              <w:t>edian</w:t>
            </w:r>
            <w:r w:rsidR="00136ED1" w:rsidRPr="0040743B">
              <w:rPr>
                <w:rFonts w:asciiTheme="minorHAnsi" w:hAnsiTheme="minorHAnsi" w:cstheme="minorHAnsi"/>
                <w:bCs/>
                <w:sz w:val="10"/>
                <w:szCs w:val="10"/>
                <w:lang w:val="de-DE"/>
              </w:rPr>
              <w:t xml:space="preserve">: </w:t>
            </w:r>
          </w:p>
          <w:p w14:paraId="1E631368" w14:textId="3913D6F3" w:rsidR="00954D0C" w:rsidRPr="0040743B" w:rsidRDefault="00136ED1" w:rsidP="00954D0C">
            <w:pPr>
              <w:pStyle w:val="EndNoteBibliography"/>
              <w:spacing w:after="0"/>
              <w:jc w:val="center"/>
              <w:rPr>
                <w:rFonts w:asciiTheme="minorHAnsi" w:hAnsiTheme="minorHAnsi" w:cstheme="minorHAnsi"/>
                <w:bCs/>
                <w:sz w:val="10"/>
                <w:szCs w:val="10"/>
                <w:lang w:val="de-DE"/>
              </w:rPr>
            </w:pPr>
            <w:r w:rsidRPr="0040743B">
              <w:rPr>
                <w:rFonts w:asciiTheme="minorHAnsi" w:hAnsiTheme="minorHAnsi" w:cstheme="minorHAnsi"/>
                <w:bCs/>
                <w:sz w:val="10"/>
                <w:szCs w:val="10"/>
                <w:lang w:val="de-DE"/>
              </w:rPr>
              <w:t>29.0 m</w:t>
            </w:r>
          </w:p>
          <w:p w14:paraId="59EC3F2B" w14:textId="520F5211" w:rsidR="00136ED1" w:rsidRPr="0040743B" w:rsidRDefault="00136ED1" w:rsidP="00F2268C">
            <w:pPr>
              <w:pStyle w:val="EndNoteBibliography"/>
              <w:spacing w:after="0"/>
              <w:jc w:val="center"/>
              <w:rPr>
                <w:rFonts w:asciiTheme="minorHAnsi" w:hAnsiTheme="minorHAnsi" w:cstheme="minorHAnsi"/>
                <w:bCs/>
                <w:sz w:val="10"/>
                <w:szCs w:val="10"/>
                <w:lang w:val="de-DE"/>
              </w:rPr>
            </w:pPr>
            <w:r w:rsidRPr="0040743B">
              <w:rPr>
                <w:rFonts w:asciiTheme="minorHAnsi" w:hAnsiTheme="minorHAnsi" w:cstheme="minorHAnsi"/>
                <w:bCs/>
                <w:sz w:val="10"/>
                <w:szCs w:val="10"/>
                <w:lang w:val="de-DE"/>
              </w:rPr>
              <w:t>(</w:t>
            </w:r>
            <w:r w:rsidR="00954D0C" w:rsidRPr="0040743B">
              <w:rPr>
                <w:rFonts w:asciiTheme="minorHAnsi" w:hAnsiTheme="minorHAnsi" w:cstheme="minorHAnsi"/>
                <w:bCs/>
                <w:sz w:val="10"/>
                <w:szCs w:val="10"/>
                <w:lang w:val="de-DE"/>
              </w:rPr>
              <w:t>n</w:t>
            </w:r>
            <w:r w:rsidRPr="0040743B">
              <w:rPr>
                <w:rFonts w:asciiTheme="minorHAnsi" w:hAnsiTheme="minorHAnsi" w:cstheme="minorHAnsi"/>
                <w:bCs/>
                <w:sz w:val="10"/>
                <w:szCs w:val="10"/>
                <w:lang w:val="de-DE"/>
              </w:rPr>
              <w:t>=15)</w:t>
            </w:r>
          </w:p>
        </w:tc>
        <w:tc>
          <w:tcPr>
            <w:tcW w:w="417" w:type="pct"/>
            <w:tcBorders>
              <w:top w:val="single" w:sz="8" w:space="0" w:color="000000"/>
              <w:left w:val="nil"/>
              <w:bottom w:val="single" w:sz="8" w:space="0" w:color="auto"/>
              <w:right w:val="nil"/>
            </w:tcBorders>
            <w:shd w:val="clear" w:color="auto" w:fill="FDFDFD"/>
            <w:tcMar>
              <w:top w:w="14" w:type="dxa"/>
              <w:left w:w="14" w:type="dxa"/>
              <w:bottom w:w="0" w:type="dxa"/>
              <w:right w:w="14" w:type="dxa"/>
            </w:tcMar>
            <w:vAlign w:val="center"/>
            <w:hideMark/>
          </w:tcPr>
          <w:p w14:paraId="57402BE9" w14:textId="41F930C4" w:rsidR="00136ED1" w:rsidRPr="0040743B" w:rsidRDefault="00663CFB" w:rsidP="00F2268C">
            <w:pPr>
              <w:pStyle w:val="EndNoteBibliography"/>
              <w:spacing w:after="0"/>
              <w:jc w:val="center"/>
              <w:rPr>
                <w:rFonts w:asciiTheme="minorHAnsi" w:hAnsiTheme="minorHAnsi" w:cstheme="minorHAnsi"/>
                <w:bCs/>
                <w:sz w:val="10"/>
                <w:szCs w:val="10"/>
              </w:rPr>
            </w:pPr>
            <w:r w:rsidRPr="0040743B">
              <w:rPr>
                <w:rFonts w:asciiTheme="minorHAnsi" w:hAnsiTheme="minorHAnsi" w:cstheme="minorHAnsi"/>
                <w:bCs/>
                <w:sz w:val="10"/>
                <w:szCs w:val="10"/>
              </w:rPr>
              <w:t>M</w:t>
            </w:r>
            <w:r w:rsidR="00B67416" w:rsidRPr="0040743B">
              <w:rPr>
                <w:rFonts w:asciiTheme="minorHAnsi" w:hAnsiTheme="minorHAnsi" w:cstheme="minorHAnsi"/>
                <w:bCs/>
                <w:sz w:val="10"/>
                <w:szCs w:val="10"/>
              </w:rPr>
              <w:t>edian</w:t>
            </w:r>
            <w:r w:rsidR="00136ED1" w:rsidRPr="0040743B">
              <w:rPr>
                <w:rFonts w:asciiTheme="minorHAnsi" w:hAnsiTheme="minorHAnsi" w:cstheme="minorHAnsi"/>
                <w:bCs/>
                <w:sz w:val="10"/>
                <w:szCs w:val="10"/>
              </w:rPr>
              <w:t xml:space="preserve">: </w:t>
            </w:r>
          </w:p>
          <w:p w14:paraId="53E17AEF" w14:textId="0F51671F" w:rsidR="00136ED1" w:rsidRPr="0040743B" w:rsidRDefault="00136ED1" w:rsidP="00F2268C">
            <w:pPr>
              <w:pStyle w:val="EndNoteBibliography"/>
              <w:spacing w:after="0"/>
              <w:jc w:val="center"/>
              <w:rPr>
                <w:rFonts w:asciiTheme="minorHAnsi" w:hAnsiTheme="minorHAnsi" w:cstheme="minorHAnsi"/>
                <w:bCs/>
                <w:sz w:val="10"/>
                <w:szCs w:val="10"/>
                <w:lang w:val="de-DE"/>
              </w:rPr>
            </w:pPr>
            <w:r w:rsidRPr="0040743B">
              <w:rPr>
                <w:rFonts w:asciiTheme="minorHAnsi" w:hAnsiTheme="minorHAnsi" w:cstheme="minorHAnsi"/>
                <w:bCs/>
                <w:sz w:val="10"/>
                <w:szCs w:val="10"/>
              </w:rPr>
              <w:t>14.2 m</w:t>
            </w:r>
            <w:r w:rsidRPr="0040743B">
              <w:rPr>
                <w:rFonts w:asciiTheme="minorHAnsi" w:hAnsiTheme="minorHAnsi" w:cstheme="minorHAnsi"/>
                <w:bCs/>
                <w:sz w:val="10"/>
                <w:szCs w:val="10"/>
              </w:rPr>
              <w:br/>
              <w:t>(</w:t>
            </w:r>
            <w:r w:rsidR="00954D0C" w:rsidRPr="0040743B">
              <w:rPr>
                <w:rFonts w:asciiTheme="minorHAnsi" w:hAnsiTheme="minorHAnsi" w:cstheme="minorHAnsi"/>
                <w:bCs/>
                <w:sz w:val="10"/>
                <w:szCs w:val="10"/>
              </w:rPr>
              <w:t>n</w:t>
            </w:r>
            <w:r w:rsidRPr="0040743B">
              <w:rPr>
                <w:rFonts w:asciiTheme="minorHAnsi" w:hAnsiTheme="minorHAnsi" w:cstheme="minorHAnsi"/>
                <w:bCs/>
                <w:sz w:val="10"/>
                <w:szCs w:val="10"/>
              </w:rPr>
              <w:t>=15)</w:t>
            </w:r>
          </w:p>
        </w:tc>
      </w:tr>
    </w:tbl>
    <w:p w14:paraId="410B150C" w14:textId="77777777" w:rsidR="000F58A7" w:rsidRPr="0040743B" w:rsidRDefault="000F58A7" w:rsidP="00136ED1">
      <w:pPr>
        <w:pStyle w:val="NormalWeb"/>
        <w:spacing w:before="0" w:beforeAutospacing="0" w:after="0" w:afterAutospacing="0" w:line="264" w:lineRule="auto"/>
        <w:ind w:right="2556"/>
        <w:jc w:val="both"/>
        <w:rPr>
          <w:rFonts w:asciiTheme="minorHAnsi" w:hAnsiTheme="minorHAnsi" w:cstheme="minorHAnsi"/>
          <w:color w:val="000000" w:themeColor="text1"/>
          <w:position w:val="2"/>
          <w:sz w:val="12"/>
          <w:szCs w:val="10"/>
          <w:vertAlign w:val="superscript"/>
          <w:lang w:val="en-US"/>
        </w:rPr>
      </w:pPr>
    </w:p>
    <w:p w14:paraId="0FA67D8F" w14:textId="77777777" w:rsidR="003D4338" w:rsidRPr="0040743B" w:rsidRDefault="003D4338" w:rsidP="00136ED1">
      <w:pPr>
        <w:pStyle w:val="NormalWeb"/>
        <w:spacing w:before="0" w:beforeAutospacing="0" w:after="0" w:afterAutospacing="0" w:line="264" w:lineRule="auto"/>
        <w:ind w:right="2556"/>
        <w:jc w:val="both"/>
        <w:rPr>
          <w:color w:val="000000" w:themeColor="text1"/>
          <w:position w:val="2"/>
          <w:lang w:val="en-US"/>
        </w:rPr>
      </w:pPr>
    </w:p>
    <w:p w14:paraId="08F14DAD" w14:textId="70C34E79" w:rsidR="000F58A7" w:rsidRPr="0040743B" w:rsidRDefault="000F58A7" w:rsidP="00945220">
      <w:pPr>
        <w:pStyle w:val="NormalWeb"/>
        <w:spacing w:before="0" w:beforeAutospacing="0" w:after="0" w:afterAutospacing="0" w:line="480" w:lineRule="auto"/>
        <w:ind w:right="4"/>
        <w:jc w:val="both"/>
        <w:rPr>
          <w:b/>
          <w:color w:val="000000" w:themeColor="text1"/>
          <w:position w:val="2"/>
          <w:lang w:val="en-US"/>
        </w:rPr>
      </w:pPr>
      <w:r w:rsidRPr="0040743B">
        <w:rPr>
          <w:b/>
          <w:color w:val="000000" w:themeColor="text1"/>
          <w:position w:val="2"/>
          <w:lang w:val="en-US"/>
        </w:rPr>
        <w:t>Footnotes:</w:t>
      </w:r>
    </w:p>
    <w:p w14:paraId="11D9AD04" w14:textId="69DF3C83" w:rsidR="00136ED1" w:rsidRPr="0040743B" w:rsidRDefault="00136ED1" w:rsidP="00945220">
      <w:pPr>
        <w:pStyle w:val="NormalWeb"/>
        <w:spacing w:before="0" w:beforeAutospacing="0" w:after="0" w:afterAutospacing="0" w:line="480" w:lineRule="auto"/>
        <w:ind w:right="4"/>
        <w:jc w:val="both"/>
        <w:rPr>
          <w:lang w:val="en-US"/>
        </w:rPr>
      </w:pPr>
      <w:r w:rsidRPr="0040743B">
        <w:rPr>
          <w:color w:val="000000" w:themeColor="text1"/>
          <w:position w:val="2"/>
          <w:vertAlign w:val="superscript"/>
          <w:lang w:val="en-US"/>
        </w:rPr>
        <w:t>1</w:t>
      </w:r>
      <w:proofErr w:type="spellStart"/>
      <w:r w:rsidRPr="0040743B">
        <w:rPr>
          <w:color w:val="000000" w:themeColor="text1"/>
          <w:kern w:val="24"/>
          <w:lang w:val="en-US"/>
        </w:rPr>
        <w:t>Karnofsky</w:t>
      </w:r>
      <w:proofErr w:type="spellEnd"/>
      <w:r w:rsidRPr="0040743B">
        <w:rPr>
          <w:color w:val="000000" w:themeColor="text1"/>
          <w:kern w:val="24"/>
          <w:lang w:val="en-US"/>
        </w:rPr>
        <w:t xml:space="preserve"> Performance Score before 1</w:t>
      </w:r>
      <w:proofErr w:type="spellStart"/>
      <w:r w:rsidRPr="0040743B">
        <w:rPr>
          <w:color w:val="000000" w:themeColor="text1"/>
          <w:kern w:val="24"/>
          <w:position w:val="2"/>
          <w:vertAlign w:val="superscript"/>
          <w:lang w:val="en-US"/>
        </w:rPr>
        <w:t>st</w:t>
      </w:r>
      <w:proofErr w:type="spellEnd"/>
      <w:r w:rsidRPr="0040743B">
        <w:rPr>
          <w:color w:val="000000" w:themeColor="text1"/>
          <w:kern w:val="24"/>
          <w:lang w:val="en-US"/>
        </w:rPr>
        <w:t xml:space="preserve"> vaccination; </w:t>
      </w:r>
      <w:r w:rsidRPr="0040743B">
        <w:rPr>
          <w:color w:val="000000" w:themeColor="text1"/>
          <w:position w:val="2"/>
          <w:lang w:val="en-US"/>
        </w:rPr>
        <w:t>²</w:t>
      </w:r>
      <w:r w:rsidR="00797512" w:rsidRPr="0040743B">
        <w:rPr>
          <w:color w:val="000000" w:themeColor="text1"/>
          <w:position w:val="2"/>
          <w:lang w:val="en-US"/>
        </w:rPr>
        <w:t xml:space="preserve">Composition of vaccinated APVAC2: </w:t>
      </w:r>
      <w:r w:rsidRPr="0040743B">
        <w:rPr>
          <w:color w:val="000000" w:themeColor="text1"/>
          <w:kern w:val="24"/>
          <w:lang w:val="en-US"/>
        </w:rPr>
        <w:t xml:space="preserve"> m </w:t>
      </w:r>
      <w:r w:rsidR="00797512" w:rsidRPr="0040743B">
        <w:rPr>
          <w:color w:val="000000" w:themeColor="text1"/>
          <w:kern w:val="24"/>
          <w:lang w:val="en-US"/>
        </w:rPr>
        <w:t xml:space="preserve">= </w:t>
      </w:r>
      <w:r w:rsidRPr="0040743B">
        <w:rPr>
          <w:color w:val="000000" w:themeColor="text1"/>
          <w:kern w:val="24"/>
          <w:lang w:val="en-US"/>
        </w:rPr>
        <w:t xml:space="preserve">mutated antigen, n = non-mutated antigen; </w:t>
      </w:r>
      <w:r w:rsidRPr="0040743B">
        <w:rPr>
          <w:color w:val="000000" w:themeColor="text1"/>
          <w:position w:val="2"/>
          <w:vertAlign w:val="superscript"/>
          <w:lang w:val="en-US"/>
        </w:rPr>
        <w:t>3</w:t>
      </w:r>
      <w:r w:rsidRPr="0040743B">
        <w:rPr>
          <w:color w:val="000000" w:themeColor="text1"/>
          <w:kern w:val="24"/>
          <w:lang w:val="en-US"/>
        </w:rPr>
        <w:t>OS and PFS from diagnosis</w:t>
      </w:r>
      <w:r w:rsidR="004F07C1" w:rsidRPr="0040743B">
        <w:rPr>
          <w:color w:val="000000" w:themeColor="text1"/>
          <w:kern w:val="24"/>
          <w:lang w:val="en-US"/>
        </w:rPr>
        <w:t xml:space="preserve">, </w:t>
      </w:r>
      <w:r w:rsidRPr="0040743B">
        <w:rPr>
          <w:color w:val="000000" w:themeColor="text1"/>
          <w:kern w:val="24"/>
          <w:lang w:val="en-US"/>
        </w:rPr>
        <w:t>‘+‘</w:t>
      </w:r>
      <w:r w:rsidR="00353FB5" w:rsidRPr="0040743B">
        <w:rPr>
          <w:color w:val="000000" w:themeColor="text1"/>
          <w:kern w:val="24"/>
          <w:lang w:val="en-US"/>
        </w:rPr>
        <w:t xml:space="preserve"> = </w:t>
      </w:r>
      <w:r w:rsidRPr="0040743B">
        <w:rPr>
          <w:color w:val="000000" w:themeColor="text1"/>
          <w:kern w:val="24"/>
          <w:lang w:val="en-US"/>
        </w:rPr>
        <w:t xml:space="preserve">censored; </w:t>
      </w:r>
      <w:r w:rsidRPr="0040743B">
        <w:rPr>
          <w:color w:val="000000" w:themeColor="text1"/>
          <w:position w:val="2"/>
          <w:vertAlign w:val="superscript"/>
          <w:lang w:val="en-US"/>
        </w:rPr>
        <w:t>4</w:t>
      </w:r>
      <w:r w:rsidR="00F57540" w:rsidRPr="0040743B">
        <w:rPr>
          <w:color w:val="000000" w:themeColor="text1"/>
          <w:kern w:val="24"/>
          <w:lang w:val="en-US"/>
        </w:rPr>
        <w:t>P</w:t>
      </w:r>
      <w:r w:rsidRPr="0040743B">
        <w:rPr>
          <w:color w:val="000000" w:themeColor="text1"/>
          <w:kern w:val="24"/>
          <w:lang w:val="en-US"/>
        </w:rPr>
        <w:t xml:space="preserve">atient dropped out before </w:t>
      </w:r>
      <w:r w:rsidR="00353FB5" w:rsidRPr="0040743B">
        <w:rPr>
          <w:color w:val="000000" w:themeColor="text1"/>
          <w:kern w:val="24"/>
          <w:lang w:val="en-US"/>
        </w:rPr>
        <w:t>1</w:t>
      </w:r>
      <w:r w:rsidR="00353FB5" w:rsidRPr="0040743B">
        <w:rPr>
          <w:color w:val="000000" w:themeColor="text1"/>
          <w:kern w:val="24"/>
          <w:vertAlign w:val="superscript"/>
          <w:lang w:val="en-US"/>
        </w:rPr>
        <w:t>st</w:t>
      </w:r>
      <w:r w:rsidR="00353FB5" w:rsidRPr="0040743B">
        <w:rPr>
          <w:color w:val="000000" w:themeColor="text1"/>
          <w:kern w:val="24"/>
          <w:lang w:val="en-US"/>
        </w:rPr>
        <w:t xml:space="preserve"> </w:t>
      </w:r>
      <w:r w:rsidRPr="0040743B">
        <w:rPr>
          <w:color w:val="000000" w:themeColor="text1"/>
          <w:kern w:val="24"/>
          <w:lang w:val="en-US"/>
        </w:rPr>
        <w:t xml:space="preserve">vaccination (not included in OS/PFS analysis); </w:t>
      </w:r>
      <w:r w:rsidRPr="0040743B">
        <w:rPr>
          <w:color w:val="000000" w:themeColor="text1"/>
          <w:position w:val="2"/>
          <w:vertAlign w:val="superscript"/>
          <w:lang w:val="en-US"/>
        </w:rPr>
        <w:t>5</w:t>
      </w:r>
      <w:r w:rsidR="000244CE" w:rsidRPr="0040743B">
        <w:rPr>
          <w:color w:val="000000" w:themeColor="text1"/>
          <w:kern w:val="24"/>
          <w:lang w:val="en-US"/>
        </w:rPr>
        <w:t>T</w:t>
      </w:r>
      <w:r w:rsidRPr="0040743B">
        <w:rPr>
          <w:color w:val="000000" w:themeColor="text1"/>
          <w:kern w:val="24"/>
          <w:lang w:val="en-US"/>
        </w:rPr>
        <w:t xml:space="preserve">umor material necrotic; mutations could not be analyzed; </w:t>
      </w:r>
      <w:r w:rsidRPr="0040743B">
        <w:rPr>
          <w:color w:val="000000" w:themeColor="text1"/>
          <w:position w:val="2"/>
          <w:vertAlign w:val="superscript"/>
          <w:lang w:val="en-US"/>
        </w:rPr>
        <w:t>#</w:t>
      </w:r>
      <w:r w:rsidR="00585386" w:rsidRPr="0040743B">
        <w:rPr>
          <w:color w:val="000000" w:themeColor="text1"/>
          <w:kern w:val="24"/>
          <w:lang w:val="en-US"/>
        </w:rPr>
        <w:t>O</w:t>
      </w:r>
      <w:r w:rsidRPr="0040743B">
        <w:rPr>
          <w:color w:val="000000" w:themeColor="text1"/>
          <w:kern w:val="24"/>
          <w:lang w:val="en-US"/>
        </w:rPr>
        <w:t xml:space="preserve">nly 1 post-vaccination time point </w:t>
      </w:r>
      <w:r w:rsidR="002E2AFE" w:rsidRPr="0040743B">
        <w:rPr>
          <w:color w:val="000000" w:themeColor="text1"/>
          <w:kern w:val="24"/>
          <w:lang w:val="en-US"/>
        </w:rPr>
        <w:t>evaluable for</w:t>
      </w:r>
      <w:r w:rsidRPr="0040743B">
        <w:rPr>
          <w:color w:val="000000" w:themeColor="text1"/>
          <w:kern w:val="24"/>
          <w:lang w:val="en-US"/>
        </w:rPr>
        <w:t xml:space="preserve"> APVAC1 responses; </w:t>
      </w:r>
      <w:r w:rsidR="00F72BB6" w:rsidRPr="0040743B">
        <w:rPr>
          <w:color w:val="000000" w:themeColor="text1"/>
          <w:kern w:val="24"/>
          <w:lang w:val="en-US"/>
        </w:rPr>
        <w:t xml:space="preserve">MGMT = </w:t>
      </w:r>
      <w:r w:rsidR="00B84E3A" w:rsidRPr="0040743B">
        <w:rPr>
          <w:color w:val="000000" w:themeColor="text1"/>
          <w:kern w:val="24"/>
          <w:lang w:val="en-US"/>
        </w:rPr>
        <w:t>O6-methylguanine-DNA methyltransferase</w:t>
      </w:r>
      <w:r w:rsidR="00916D78" w:rsidRPr="0040743B">
        <w:rPr>
          <w:color w:val="000000" w:themeColor="text1"/>
          <w:kern w:val="24"/>
          <w:lang w:val="en-US"/>
        </w:rPr>
        <w:t xml:space="preserve">; </w:t>
      </w:r>
      <w:proofErr w:type="spellStart"/>
      <w:r w:rsidRPr="0040743B">
        <w:rPr>
          <w:color w:val="000000" w:themeColor="text1"/>
          <w:kern w:val="24"/>
          <w:lang w:val="en-US"/>
        </w:rPr>
        <w:t>nt</w:t>
      </w:r>
      <w:proofErr w:type="spellEnd"/>
      <w:r w:rsidRPr="0040743B">
        <w:rPr>
          <w:color w:val="000000" w:themeColor="text1"/>
          <w:kern w:val="24"/>
          <w:lang w:val="en-US"/>
        </w:rPr>
        <w:t xml:space="preserve"> = not tested; </w:t>
      </w:r>
      <w:proofErr w:type="spellStart"/>
      <w:r w:rsidRPr="0040743B">
        <w:rPr>
          <w:color w:val="000000" w:themeColor="text1"/>
          <w:kern w:val="24"/>
          <w:lang w:val="en-US"/>
        </w:rPr>
        <w:t>ir</w:t>
      </w:r>
      <w:proofErr w:type="spellEnd"/>
      <w:r w:rsidRPr="0040743B">
        <w:rPr>
          <w:color w:val="000000" w:themeColor="text1"/>
          <w:kern w:val="24"/>
          <w:lang w:val="en-US"/>
        </w:rPr>
        <w:t xml:space="preserve"> = inconsistent results; ne = not evaluable.</w:t>
      </w:r>
    </w:p>
    <w:p w14:paraId="66CF1C7C" w14:textId="77777777" w:rsidR="00136ED1" w:rsidRPr="0040743B" w:rsidRDefault="00136ED1" w:rsidP="00945220">
      <w:pPr>
        <w:pStyle w:val="EndNoteBibliography"/>
        <w:spacing w:after="0" w:line="480" w:lineRule="auto"/>
        <w:ind w:left="720" w:hanging="720"/>
        <w:rPr>
          <w:rFonts w:ascii="Times New Roman" w:hAnsi="Times New Roman" w:cs="Times New Roman"/>
          <w:b/>
          <w:bCs/>
          <w:sz w:val="24"/>
          <w:szCs w:val="24"/>
        </w:rPr>
      </w:pPr>
    </w:p>
    <w:p w14:paraId="3004B710" w14:textId="2E0DFA89" w:rsidR="00E03FB2" w:rsidRPr="0040743B" w:rsidRDefault="00E03FB2">
      <w:pPr>
        <w:rPr>
          <w:rFonts w:eastAsia="Calibri"/>
          <w:color w:val="000000"/>
          <w:u w:color="000000"/>
          <w:lang w:val="en-GB"/>
        </w:rPr>
      </w:pPr>
      <w:r w:rsidRPr="0040743B">
        <w:rPr>
          <w:lang w:val="en-GB"/>
        </w:rPr>
        <w:br w:type="page"/>
      </w:r>
    </w:p>
    <w:p w14:paraId="58839953" w14:textId="77777777" w:rsidR="005A0045" w:rsidRPr="0040743B" w:rsidRDefault="005A0045" w:rsidP="00D81718">
      <w:pPr>
        <w:pStyle w:val="Text"/>
        <w:spacing w:line="480" w:lineRule="auto"/>
        <w:rPr>
          <w:rFonts w:ascii="Times New Roman" w:hAnsi="Times New Roman" w:cs="Times New Roman"/>
          <w:b/>
          <w:bCs/>
          <w:sz w:val="24"/>
          <w:szCs w:val="24"/>
          <w:lang w:val="en-GB"/>
        </w:rPr>
      </w:pPr>
      <w:r w:rsidRPr="0040743B">
        <w:rPr>
          <w:rFonts w:ascii="Times New Roman" w:hAnsi="Times New Roman" w:cs="Times New Roman"/>
          <w:b/>
          <w:bCs/>
          <w:sz w:val="24"/>
          <w:szCs w:val="24"/>
          <w:lang w:val="en-GB"/>
        </w:rPr>
        <w:lastRenderedPageBreak/>
        <w:t>Figure legends</w:t>
      </w:r>
    </w:p>
    <w:p w14:paraId="4B9DE5BC" w14:textId="7C988ECD" w:rsidR="005A0045" w:rsidRPr="0040743B" w:rsidRDefault="005A0045" w:rsidP="00D81718">
      <w:pPr>
        <w:pStyle w:val="Text"/>
        <w:spacing w:after="24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Figure 1</w:t>
      </w:r>
      <w:r w:rsidRPr="0040743B">
        <w:rPr>
          <w:rFonts w:ascii="Times New Roman" w:hAnsi="Times New Roman" w:cs="Times New Roman"/>
          <w:sz w:val="24"/>
          <w:szCs w:val="24"/>
          <w:lang w:val="en-GB"/>
        </w:rPr>
        <w:t xml:space="preserve"> </w:t>
      </w:r>
      <w:r w:rsidR="00242E3E"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GAPVAC concept of active personalization</w:t>
      </w:r>
      <w:r w:rsidRPr="0040743B">
        <w:rPr>
          <w:rFonts w:ascii="Times New Roman" w:hAnsi="Times New Roman" w:cs="Times New Roman"/>
          <w:bCs/>
          <w:sz w:val="24"/>
          <w:szCs w:val="24"/>
          <w:lang w:val="en-GB"/>
        </w:rPr>
        <w:t xml:space="preserve">. Non-mutated antigens (APVAC1) and preferentially mutated, </w:t>
      </w:r>
      <w:r w:rsidRPr="0040743B">
        <w:rPr>
          <w:rFonts w:ascii="Times New Roman" w:hAnsi="Times New Roman" w:cs="Times New Roman"/>
          <w:bCs/>
          <w:i/>
          <w:sz w:val="24"/>
          <w:szCs w:val="24"/>
          <w:lang w:val="en-GB"/>
        </w:rPr>
        <w:t>de novo</w:t>
      </w:r>
      <w:r w:rsidRPr="0040743B">
        <w:rPr>
          <w:rFonts w:ascii="Times New Roman" w:hAnsi="Times New Roman" w:cs="Times New Roman"/>
          <w:bCs/>
          <w:sz w:val="24"/>
          <w:szCs w:val="24"/>
          <w:lang w:val="en-GB"/>
        </w:rPr>
        <w:t xml:space="preserve"> antigens (APVAC2) were targeted.</w:t>
      </w:r>
      <w:r w:rsidRPr="0040743B">
        <w:rPr>
          <w:rFonts w:ascii="Times New Roman" w:hAnsi="Times New Roman" w:cs="Times New Roman"/>
          <w:sz w:val="24"/>
          <w:szCs w:val="24"/>
          <w:lang w:val="en-GB"/>
        </w:rPr>
        <w:t xml:space="preserve"> Vaccinations </w:t>
      </w:r>
      <w:r w:rsidR="00737653" w:rsidRPr="0040743B">
        <w:rPr>
          <w:rFonts w:ascii="Times New Roman" w:hAnsi="Times New Roman" w:cs="Times New Roman"/>
          <w:sz w:val="24"/>
          <w:szCs w:val="24"/>
          <w:lang w:val="en-GB"/>
        </w:rPr>
        <w:t xml:space="preserve">(triangles) </w:t>
      </w:r>
      <w:r w:rsidRPr="0040743B">
        <w:rPr>
          <w:rFonts w:ascii="Times New Roman" w:hAnsi="Times New Roman" w:cs="Times New Roman"/>
          <w:sz w:val="24"/>
          <w:szCs w:val="24"/>
          <w:lang w:val="en-GB"/>
        </w:rPr>
        <w:t xml:space="preserve">in the GAPVAC-101 trial superimposed to standard chemoradiotherapy (CRT) and maintenance TMZ cycles (T). </w:t>
      </w:r>
      <w:r w:rsidR="00E523B3" w:rsidRPr="0040743B">
        <w:rPr>
          <w:rFonts w:ascii="Times New Roman" w:hAnsi="Times New Roman" w:cs="Times New Roman"/>
          <w:sz w:val="24"/>
          <w:szCs w:val="24"/>
          <w:lang w:val="en-GB"/>
        </w:rPr>
        <w:t>Several</w:t>
      </w:r>
      <w:r w:rsidRPr="0040743B">
        <w:rPr>
          <w:rFonts w:ascii="Times New Roman" w:hAnsi="Times New Roman" w:cs="Times New Roman"/>
          <w:sz w:val="24"/>
          <w:szCs w:val="24"/>
          <w:lang w:val="en-GB"/>
        </w:rPr>
        <w:t xml:space="preserve"> pre-treatment biomarkers and immune response data </w:t>
      </w:r>
      <w:r w:rsidR="00FF4959" w:rsidRPr="0040743B">
        <w:rPr>
          <w:rFonts w:ascii="Times New Roman" w:hAnsi="Times New Roman" w:cs="Times New Roman"/>
          <w:sz w:val="24"/>
          <w:szCs w:val="24"/>
          <w:lang w:val="en-GB"/>
        </w:rPr>
        <w:t xml:space="preserve">were </w:t>
      </w:r>
      <w:r w:rsidRPr="0040743B">
        <w:rPr>
          <w:rFonts w:ascii="Times New Roman" w:hAnsi="Times New Roman" w:cs="Times New Roman"/>
          <w:sz w:val="24"/>
          <w:szCs w:val="24"/>
          <w:lang w:val="en-GB"/>
        </w:rPr>
        <w:t>evaluated. For s</w:t>
      </w:r>
      <w:r w:rsidR="00A65AC0" w:rsidRPr="0040743B">
        <w:rPr>
          <w:rFonts w:ascii="Times New Roman" w:hAnsi="Times New Roman" w:cs="Times New Roman"/>
          <w:sz w:val="24"/>
          <w:szCs w:val="24"/>
          <w:lang w:val="en-GB"/>
        </w:rPr>
        <w:t xml:space="preserve">oluble </w:t>
      </w:r>
      <w:r w:rsidRPr="0040743B">
        <w:rPr>
          <w:rFonts w:ascii="Times New Roman" w:hAnsi="Times New Roman" w:cs="Times New Roman"/>
          <w:sz w:val="24"/>
          <w:szCs w:val="24"/>
          <w:lang w:val="en-GB"/>
        </w:rPr>
        <w:t xml:space="preserve">HLA </w:t>
      </w:r>
      <w:r w:rsidR="00A65AC0" w:rsidRPr="0040743B">
        <w:rPr>
          <w:rFonts w:ascii="Times New Roman" w:hAnsi="Times New Roman" w:cs="Times New Roman"/>
          <w:sz w:val="24"/>
          <w:szCs w:val="24"/>
          <w:lang w:val="en-GB"/>
        </w:rPr>
        <w:t>(</w:t>
      </w:r>
      <w:proofErr w:type="spellStart"/>
      <w:r w:rsidR="00A65AC0" w:rsidRPr="0040743B">
        <w:rPr>
          <w:rFonts w:ascii="Times New Roman" w:hAnsi="Times New Roman" w:cs="Times New Roman"/>
          <w:sz w:val="24"/>
          <w:szCs w:val="24"/>
          <w:lang w:val="en-GB"/>
        </w:rPr>
        <w:t>sHLA</w:t>
      </w:r>
      <w:proofErr w:type="spellEnd"/>
      <w:r w:rsidR="00A65AC0"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analys</w:t>
      </w:r>
      <w:r w:rsidR="00AF56EA" w:rsidRPr="0040743B">
        <w:rPr>
          <w:rFonts w:ascii="Times New Roman" w:hAnsi="Times New Roman" w:cs="Times New Roman"/>
          <w:sz w:val="24"/>
          <w:szCs w:val="24"/>
          <w:lang w:val="en-GB"/>
        </w:rPr>
        <w:t>i</w:t>
      </w:r>
      <w:r w:rsidRPr="0040743B">
        <w:rPr>
          <w:rFonts w:ascii="Times New Roman" w:hAnsi="Times New Roman" w:cs="Times New Roman"/>
          <w:sz w:val="24"/>
          <w:szCs w:val="24"/>
          <w:lang w:val="en-GB"/>
        </w:rPr>
        <w:t>s see</w:t>
      </w:r>
      <w:r w:rsidRPr="0040743B">
        <w:rPr>
          <w:rFonts w:ascii="Times New Roman" w:hAnsi="Times New Roman" w:cs="Times New Roman"/>
          <w:noProof/>
          <w:sz w:val="24"/>
          <w:szCs w:val="24"/>
          <w:vertAlign w:val="superscript"/>
          <w:lang w:val="en-GB"/>
        </w:rPr>
        <w:t>27</w:t>
      </w:r>
      <w:r w:rsidRPr="0040743B">
        <w:rPr>
          <w:rFonts w:ascii="Times New Roman" w:hAnsi="Times New Roman" w:cs="Times New Roman"/>
          <w:sz w:val="24"/>
          <w:szCs w:val="24"/>
          <w:lang w:val="en-GB"/>
        </w:rPr>
        <w:t>.</w:t>
      </w:r>
    </w:p>
    <w:p w14:paraId="03833C4F" w14:textId="04F2A72D" w:rsidR="005A0045" w:rsidRPr="0040743B" w:rsidRDefault="005A0045" w:rsidP="00D81718">
      <w:pPr>
        <w:pStyle w:val="Text"/>
        <w:spacing w:after="24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Figure 2</w:t>
      </w:r>
      <w:r w:rsidRPr="0040743B">
        <w:rPr>
          <w:rFonts w:ascii="Times New Roman" w:hAnsi="Times New Roman" w:cs="Times New Roman"/>
          <w:sz w:val="24"/>
          <w:szCs w:val="24"/>
          <w:lang w:val="en-GB"/>
        </w:rPr>
        <w:t xml:space="preserve"> </w:t>
      </w:r>
      <w:r w:rsidR="00242E3E"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Non-mutated APVAC1 induces sustained immune responses.</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a</w:t>
      </w:r>
      <w:r w:rsidRPr="0040743B">
        <w:rPr>
          <w:rFonts w:ascii="Times New Roman" w:hAnsi="Times New Roman" w:cs="Times New Roman"/>
          <w:sz w:val="24"/>
          <w:szCs w:val="24"/>
          <w:lang w:val="en-GB"/>
        </w:rPr>
        <w:t>, Summary of immune responses to APVAC1 (n=13</w:t>
      </w:r>
      <w:r w:rsidR="00E523B3" w:rsidRPr="0040743B">
        <w:rPr>
          <w:rFonts w:ascii="Times New Roman" w:hAnsi="Times New Roman" w:cs="Times New Roman"/>
          <w:sz w:val="24"/>
          <w:szCs w:val="24"/>
          <w:lang w:val="en-GB"/>
        </w:rPr>
        <w:t xml:space="preserve"> evaluable patients</w:t>
      </w:r>
      <w:r w:rsidRPr="0040743B">
        <w:rPr>
          <w:rFonts w:ascii="Times New Roman" w:hAnsi="Times New Roman" w:cs="Times New Roman"/>
          <w:sz w:val="24"/>
          <w:szCs w:val="24"/>
          <w:lang w:val="en-GB"/>
        </w:rPr>
        <w:t xml:space="preserve">). </w:t>
      </w:r>
      <w:r w:rsidR="00A548EC" w:rsidRPr="0040743B">
        <w:rPr>
          <w:rFonts w:ascii="Times New Roman" w:hAnsi="Times New Roman" w:cs="Times New Roman"/>
          <w:sz w:val="24"/>
          <w:szCs w:val="24"/>
          <w:lang w:val="en-GB"/>
        </w:rPr>
        <w:t>T</w:t>
      </w:r>
      <w:r w:rsidR="005F2084" w:rsidRPr="0040743B">
        <w:rPr>
          <w:rFonts w:ascii="Times New Roman" w:hAnsi="Times New Roman" w:cs="Times New Roman"/>
          <w:sz w:val="24"/>
          <w:szCs w:val="24"/>
          <w:lang w:val="en-GB"/>
        </w:rPr>
        <w:t>otal</w:t>
      </w:r>
      <w:r w:rsidRPr="0040743B">
        <w:rPr>
          <w:rFonts w:ascii="Times New Roman" w:hAnsi="Times New Roman" w:cs="Times New Roman"/>
          <w:sz w:val="24"/>
          <w:szCs w:val="24"/>
          <w:lang w:val="en-GB"/>
        </w:rPr>
        <w:t xml:space="preserve"> APVAC1-specific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 frequencies</w:t>
      </w:r>
      <w:r w:rsidR="00A548EC" w:rsidRPr="0040743B">
        <w:rPr>
          <w:rFonts w:ascii="Times New Roman" w:hAnsi="Times New Roman" w:cs="Times New Roman"/>
          <w:sz w:val="24"/>
          <w:szCs w:val="24"/>
          <w:lang w:val="en-GB"/>
        </w:rPr>
        <w:t xml:space="preserve"> are shown</w:t>
      </w:r>
      <w:r w:rsidR="00427AA6"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P = pre-treatment; 1, 2, 3, … = post-treatment</w:t>
      </w:r>
      <w:r w:rsidR="00427AA6" w:rsidRPr="0040743B">
        <w:rPr>
          <w:rFonts w:ascii="Times New Roman" w:hAnsi="Times New Roman" w:cs="Times New Roman"/>
          <w:sz w:val="24"/>
          <w:szCs w:val="24"/>
          <w:lang w:val="en-GB"/>
        </w:rPr>
        <w:t xml:space="preserve">; </w:t>
      </w:r>
      <w:r w:rsidR="00F47493" w:rsidRPr="0040743B">
        <w:rPr>
          <w:rFonts w:ascii="Times New Roman" w:hAnsi="Times New Roman" w:cs="Times New Roman"/>
          <w:sz w:val="24"/>
          <w:szCs w:val="24"/>
          <w:lang w:val="en-GB"/>
        </w:rPr>
        <w:t>MCIF = memory cell induction factor</w:t>
      </w:r>
      <w:r w:rsidR="00427AA6" w:rsidRPr="0040743B">
        <w:rPr>
          <w:rFonts w:ascii="Times New Roman" w:hAnsi="Times New Roman" w:cs="Times New Roman"/>
          <w:sz w:val="24"/>
          <w:szCs w:val="24"/>
          <w:lang w:val="en-GB"/>
        </w:rPr>
        <w:t>)</w:t>
      </w:r>
      <w:r w:rsidR="001109D5" w:rsidRPr="0040743B">
        <w:rPr>
          <w:rFonts w:ascii="Times New Roman" w:hAnsi="Times New Roman" w:cs="Times New Roman"/>
          <w:sz w:val="24"/>
          <w:szCs w:val="24"/>
          <w:lang w:val="en-GB"/>
        </w:rPr>
        <w:t>.</w:t>
      </w:r>
      <w:r w:rsidR="00F47493"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For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dominant phenotypes are indicated. </w:t>
      </w:r>
      <w:r w:rsidRPr="0040743B">
        <w:rPr>
          <w:rFonts w:ascii="Times New Roman" w:hAnsi="Times New Roman" w:cs="Times New Roman"/>
          <w:b/>
          <w:bCs/>
          <w:sz w:val="24"/>
          <w:szCs w:val="24"/>
          <w:lang w:val="en-GB"/>
        </w:rPr>
        <w:t>b</w:t>
      </w:r>
      <w:r w:rsidRPr="0040743B">
        <w:rPr>
          <w:rFonts w:ascii="Times New Roman" w:hAnsi="Times New Roman" w:cs="Times New Roman"/>
          <w:sz w:val="24"/>
          <w:szCs w:val="24"/>
          <w:lang w:val="en-GB"/>
        </w:rPr>
        <w:t>,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in patient 02 against NLGN4X-001 evaluated pre- and post-treatment (Post1 to 3). Percentages of specific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are indicated. Phenotyping: </w:t>
      </w:r>
      <w:r w:rsidR="005C3217" w:rsidRPr="0040743B">
        <w:rPr>
          <w:rFonts w:ascii="Times New Roman" w:hAnsi="Times New Roman" w:cs="Times New Roman"/>
          <w:sz w:val="24"/>
          <w:szCs w:val="24"/>
          <w:lang w:val="en-GB"/>
        </w:rPr>
        <w:t>P</w:t>
      </w:r>
      <w:r w:rsidR="001F0CED" w:rsidRPr="0040743B">
        <w:rPr>
          <w:rFonts w:ascii="Times New Roman" w:hAnsi="Times New Roman" w:cs="Times New Roman"/>
          <w:sz w:val="24"/>
          <w:szCs w:val="24"/>
          <w:lang w:val="en-GB"/>
        </w:rPr>
        <w:t>er</w:t>
      </w:r>
      <w:r w:rsidR="005C3217" w:rsidRPr="0040743B">
        <w:rPr>
          <w:rFonts w:ascii="Times New Roman" w:hAnsi="Times New Roman" w:cs="Times New Roman"/>
          <w:sz w:val="24"/>
          <w:szCs w:val="24"/>
          <w:lang w:val="en-GB"/>
        </w:rPr>
        <w:t xml:space="preserve">centage of cells in the quadrants </w:t>
      </w:r>
      <w:r w:rsidR="00E4473E" w:rsidRPr="0040743B">
        <w:rPr>
          <w:rFonts w:ascii="Times New Roman" w:hAnsi="Times New Roman" w:cs="Times New Roman"/>
          <w:sz w:val="24"/>
          <w:szCs w:val="24"/>
          <w:lang w:val="en-GB"/>
        </w:rPr>
        <w:t xml:space="preserve">correspond to </w:t>
      </w:r>
      <w:r w:rsidRPr="0040743B">
        <w:rPr>
          <w:rFonts w:ascii="Times New Roman" w:hAnsi="Times New Roman" w:cs="Times New Roman"/>
          <w:sz w:val="24"/>
          <w:szCs w:val="24"/>
          <w:lang w:val="en-GB"/>
        </w:rPr>
        <w:t>differentiation phenotypes (colour code as in a</w:t>
      </w:r>
      <w:r w:rsidR="005C3217" w:rsidRPr="0040743B">
        <w:rPr>
          <w:rFonts w:ascii="Times New Roman" w:hAnsi="Times New Roman" w:cs="Times New Roman"/>
          <w:sz w:val="24"/>
          <w:szCs w:val="24"/>
          <w:lang w:val="en-GB"/>
        </w:rPr>
        <w:t xml:space="preserve">; </w:t>
      </w:r>
      <w:r w:rsidR="001636F4" w:rsidRPr="0040743B">
        <w:rPr>
          <w:rFonts w:ascii="Times New Roman" w:hAnsi="Times New Roman" w:cs="Times New Roman"/>
          <w:sz w:val="24"/>
          <w:szCs w:val="24"/>
          <w:lang w:val="en-GB"/>
        </w:rPr>
        <w:t>see also</w:t>
      </w:r>
      <w:r w:rsidRPr="0040743B">
        <w:rPr>
          <w:rFonts w:ascii="Times New Roman" w:hAnsi="Times New Roman" w:cs="Times New Roman"/>
          <w:sz w:val="24"/>
          <w:szCs w:val="24"/>
          <w:lang w:val="en-GB"/>
        </w:rPr>
        <w:t xml:space="preserve"> Extended Data Fig. 4b).</w:t>
      </w:r>
      <w:r w:rsidRPr="0040743B">
        <w:rPr>
          <w:rFonts w:ascii="Times New Roman" w:hAnsi="Times New Roman" w:cs="Times New Roman"/>
          <w:b/>
          <w:bCs/>
          <w:sz w:val="24"/>
          <w:szCs w:val="24"/>
          <w:lang w:val="en-GB"/>
        </w:rPr>
        <w:t xml:space="preserve"> c</w:t>
      </w:r>
      <w:r w:rsidRPr="0040743B">
        <w:rPr>
          <w:rFonts w:ascii="Times New Roman" w:hAnsi="Times New Roman" w:cs="Times New Roman"/>
          <w:sz w:val="24"/>
          <w:szCs w:val="24"/>
          <w:lang w:val="en-GB"/>
        </w:rPr>
        <w:t xml:space="preserve">, Avidity </w:t>
      </w:r>
      <w:r w:rsidR="002A7677" w:rsidRPr="0040743B">
        <w:rPr>
          <w:rFonts w:ascii="Times New Roman" w:hAnsi="Times New Roman" w:cs="Times New Roman"/>
          <w:sz w:val="24"/>
          <w:szCs w:val="24"/>
          <w:lang w:val="en-GB"/>
        </w:rPr>
        <w:t xml:space="preserve">determination </w:t>
      </w:r>
      <w:r w:rsidRPr="0040743B">
        <w:rPr>
          <w:rFonts w:ascii="Times New Roman" w:hAnsi="Times New Roman" w:cs="Times New Roman"/>
          <w:sz w:val="24"/>
          <w:szCs w:val="24"/>
          <w:lang w:val="en-GB"/>
        </w:rPr>
        <w:t>of PTP-013-reactive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from patient 16 </w:t>
      </w:r>
      <w:r w:rsidR="00D83BAA"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Vital-FR assay</w:t>
      </w:r>
      <w:r w:rsidR="00D83BAA" w:rsidRPr="0040743B">
        <w:rPr>
          <w:rFonts w:ascii="Times New Roman" w:hAnsi="Times New Roman" w:cs="Times New Roman"/>
          <w:sz w:val="24"/>
          <w:szCs w:val="24"/>
          <w:lang w:val="en-GB"/>
        </w:rPr>
        <w:t xml:space="preserve">; </w:t>
      </w:r>
      <w:proofErr w:type="gramStart"/>
      <w:r w:rsidR="0060145B" w:rsidRPr="0040743B">
        <w:rPr>
          <w:rFonts w:ascii="Times New Roman" w:hAnsi="Times New Roman" w:cs="Times New Roman"/>
          <w:sz w:val="24"/>
          <w:szCs w:val="24"/>
          <w:lang w:val="en-GB"/>
        </w:rPr>
        <w:t>E:T</w:t>
      </w:r>
      <w:proofErr w:type="gramEnd"/>
      <w:r w:rsidR="0024472B" w:rsidRPr="0040743B">
        <w:rPr>
          <w:rFonts w:ascii="Times New Roman" w:hAnsi="Times New Roman" w:cs="Times New Roman"/>
          <w:sz w:val="24"/>
          <w:szCs w:val="24"/>
          <w:lang w:val="en-GB"/>
        </w:rPr>
        <w:t xml:space="preserve"> = 10:1; </w:t>
      </w:r>
      <w:r w:rsidRPr="0040743B">
        <w:rPr>
          <w:rFonts w:ascii="Times New Roman" w:hAnsi="Times New Roman" w:cs="Times New Roman"/>
          <w:sz w:val="24"/>
          <w:szCs w:val="24"/>
          <w:lang w:val="en-GB"/>
        </w:rPr>
        <w:t xml:space="preserve">mean </w:t>
      </w:r>
      <w:r w:rsidRPr="0040743B">
        <w:rPr>
          <w:rFonts w:ascii="Times New Roman" w:hAnsi="Times New Roman" w:cs="Times New Roman"/>
          <w:sz w:val="24"/>
          <w:szCs w:val="24"/>
          <w:lang w:val="en-GB"/>
        </w:rPr>
        <w:sym w:font="Symbol" w:char="F0B1"/>
      </w:r>
      <w:r w:rsidRPr="0040743B">
        <w:rPr>
          <w:rFonts w:ascii="Times New Roman" w:hAnsi="Times New Roman" w:cs="Times New Roman"/>
          <w:sz w:val="24"/>
          <w:szCs w:val="24"/>
          <w:lang w:val="en-GB"/>
        </w:rPr>
        <w:t xml:space="preserve"> SD; n=3 replicates; flow cytometry data in Extended Data Fig. 3c). </w:t>
      </w:r>
      <w:r w:rsidR="00491E02" w:rsidRPr="0040743B">
        <w:rPr>
          <w:rFonts w:ascii="Times New Roman" w:hAnsi="Times New Roman" w:cs="Times New Roman"/>
          <w:sz w:val="24"/>
          <w:szCs w:val="24"/>
          <w:lang w:val="en-GB"/>
        </w:rPr>
        <w:t>Half</w:t>
      </w:r>
      <w:r w:rsidR="00D613C2" w:rsidRPr="0040743B">
        <w:rPr>
          <w:rFonts w:ascii="Times New Roman" w:hAnsi="Times New Roman" w:cs="Times New Roman"/>
          <w:sz w:val="24"/>
          <w:szCs w:val="24"/>
          <w:lang w:val="en-GB"/>
        </w:rPr>
        <w:t>-</w:t>
      </w:r>
      <w:r w:rsidR="00491E02" w:rsidRPr="0040743B">
        <w:rPr>
          <w:rFonts w:ascii="Times New Roman" w:hAnsi="Times New Roman" w:cs="Times New Roman"/>
          <w:sz w:val="24"/>
          <w:szCs w:val="24"/>
          <w:lang w:val="en-GB"/>
        </w:rPr>
        <w:t>maximal</w:t>
      </w:r>
      <w:r w:rsidR="00D613C2" w:rsidRPr="0040743B">
        <w:rPr>
          <w:rFonts w:ascii="Times New Roman" w:hAnsi="Times New Roman" w:cs="Times New Roman"/>
          <w:sz w:val="24"/>
          <w:szCs w:val="24"/>
          <w:lang w:val="en-GB"/>
        </w:rPr>
        <w:t xml:space="preserve"> effective concentration (</w:t>
      </w:r>
      <w:r w:rsidRPr="0040743B">
        <w:rPr>
          <w:rFonts w:ascii="Times New Roman" w:hAnsi="Times New Roman" w:cs="Times New Roman"/>
          <w:sz w:val="24"/>
          <w:szCs w:val="24"/>
          <w:lang w:val="en-GB"/>
        </w:rPr>
        <w:t>EC</w:t>
      </w:r>
      <w:r w:rsidRPr="0040743B">
        <w:rPr>
          <w:rFonts w:ascii="Times New Roman" w:hAnsi="Times New Roman" w:cs="Times New Roman"/>
          <w:sz w:val="24"/>
          <w:szCs w:val="24"/>
          <w:vertAlign w:val="subscript"/>
          <w:lang w:val="en-GB"/>
        </w:rPr>
        <w:t>50</w:t>
      </w:r>
      <w:r w:rsidR="00D613C2"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sym w:font="Symbol" w:char="F0B1"/>
      </w:r>
      <w:r w:rsidRPr="0040743B">
        <w:rPr>
          <w:rFonts w:ascii="Times New Roman" w:hAnsi="Times New Roman" w:cs="Times New Roman"/>
          <w:sz w:val="24"/>
          <w:szCs w:val="24"/>
          <w:lang w:val="en-GB"/>
        </w:rPr>
        <w:t xml:space="preserve"> standard error is indicated. </w:t>
      </w:r>
      <w:r w:rsidRPr="0040743B">
        <w:rPr>
          <w:rFonts w:ascii="Times New Roman" w:hAnsi="Times New Roman" w:cs="Times New Roman"/>
          <w:b/>
          <w:bCs/>
          <w:sz w:val="24"/>
          <w:szCs w:val="24"/>
          <w:lang w:val="en-GB"/>
        </w:rPr>
        <w:t>d</w:t>
      </w:r>
      <w:r w:rsidRPr="0040743B">
        <w:rPr>
          <w:rFonts w:ascii="Times New Roman" w:hAnsi="Times New Roman" w:cs="Times New Roman"/>
          <w:b/>
          <w:sz w:val="24"/>
          <w:szCs w:val="24"/>
          <w:lang w:val="en-GB"/>
        </w:rPr>
        <w:t>,</w:t>
      </w:r>
      <w:r w:rsidRPr="0040743B">
        <w:rPr>
          <w:rFonts w:ascii="Times New Roman" w:hAnsi="Times New Roman" w:cs="Times New Roman"/>
          <w:sz w:val="24"/>
          <w:szCs w:val="24"/>
          <w:lang w:val="en-GB"/>
        </w:rPr>
        <w:t xml:space="preserve"> </w:t>
      </w:r>
      <w:r w:rsidR="00A14C08" w:rsidRPr="0040743B">
        <w:rPr>
          <w:rFonts w:ascii="Times New Roman" w:hAnsi="Times New Roman" w:cs="Times New Roman"/>
          <w:sz w:val="24"/>
          <w:szCs w:val="24"/>
          <w:lang w:val="en-GB"/>
        </w:rPr>
        <w:t>PTP</w:t>
      </w:r>
      <w:r w:rsidRPr="0040743B">
        <w:rPr>
          <w:rFonts w:ascii="Times New Roman" w:hAnsi="Times New Roman" w:cs="Times New Roman"/>
          <w:sz w:val="24"/>
          <w:szCs w:val="24"/>
          <w:lang w:val="en-GB"/>
        </w:rPr>
        <w:t xml:space="preserve"> T cells show cytotoxicity against the </w:t>
      </w:r>
      <w:r w:rsidR="00012D34" w:rsidRPr="0040743B">
        <w:rPr>
          <w:rFonts w:ascii="Times New Roman" w:hAnsi="Times New Roman" w:cs="Times New Roman"/>
          <w:sz w:val="24"/>
          <w:szCs w:val="24"/>
          <w:lang w:val="en-GB"/>
        </w:rPr>
        <w:t>PTPRZ1</w:t>
      </w:r>
      <w:r w:rsidR="00012D34" w:rsidRPr="0040743B">
        <w:rPr>
          <w:rFonts w:ascii="Times New Roman" w:hAnsi="Times New Roman" w:cs="Times New Roman"/>
          <w:sz w:val="24"/>
          <w:szCs w:val="24"/>
          <w:vertAlign w:val="superscript"/>
          <w:lang w:val="en-GB"/>
        </w:rPr>
        <w:t>+</w:t>
      </w:r>
      <w:r w:rsidR="00012D34"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GB cell line L2. </w:t>
      </w:r>
      <w:r w:rsidRPr="0040743B">
        <w:rPr>
          <w:rFonts w:ascii="Times New Roman" w:hAnsi="Times New Roman" w:cs="Times New Roman"/>
          <w:b/>
          <w:sz w:val="24"/>
          <w:szCs w:val="24"/>
          <w:lang w:val="en-GB"/>
        </w:rPr>
        <w:t>e</w:t>
      </w:r>
      <w:r w:rsidRPr="0040743B">
        <w:rPr>
          <w:rFonts w:ascii="Times New Roman" w:hAnsi="Times New Roman" w:cs="Times New Roman"/>
          <w:sz w:val="24"/>
          <w:szCs w:val="24"/>
          <w:lang w:val="en-GB"/>
        </w:rPr>
        <w:t xml:space="preserve">, </w:t>
      </w:r>
      <w:r w:rsidR="006938B5" w:rsidRPr="0040743B">
        <w:rPr>
          <w:rFonts w:ascii="Times New Roman" w:hAnsi="Times New Roman" w:cs="Times New Roman"/>
          <w:sz w:val="24"/>
          <w:szCs w:val="24"/>
          <w:lang w:val="en-GB"/>
        </w:rPr>
        <w:t>NLGN4X T cells</w:t>
      </w:r>
      <w:r w:rsidRPr="0040743B">
        <w:rPr>
          <w:rFonts w:ascii="Times New Roman" w:hAnsi="Times New Roman" w:cs="Times New Roman"/>
          <w:sz w:val="24"/>
          <w:szCs w:val="24"/>
          <w:lang w:val="en-GB"/>
        </w:rPr>
        <w:t xml:space="preserve"> lysed </w:t>
      </w:r>
      <w:r w:rsidR="005B77D2" w:rsidRPr="0040743B">
        <w:rPr>
          <w:rFonts w:ascii="Times New Roman" w:hAnsi="Times New Roman" w:cs="Times New Roman"/>
          <w:sz w:val="24"/>
          <w:szCs w:val="24"/>
          <w:lang w:val="en-GB"/>
        </w:rPr>
        <w:t>NLGN4X</w:t>
      </w:r>
      <w:r w:rsidR="005B77D2" w:rsidRPr="0040743B">
        <w:rPr>
          <w:rFonts w:ascii="Times New Roman" w:hAnsi="Times New Roman" w:cs="Times New Roman"/>
          <w:sz w:val="24"/>
          <w:szCs w:val="24"/>
          <w:vertAlign w:val="superscript"/>
          <w:lang w:val="en-GB"/>
        </w:rPr>
        <w:t>+</w:t>
      </w:r>
      <w:r w:rsidR="005B77D2"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L2 cells. </w:t>
      </w:r>
      <w:r w:rsidRPr="0040743B">
        <w:rPr>
          <w:rFonts w:ascii="Times New Roman" w:hAnsi="Times New Roman" w:cs="Times New Roman"/>
          <w:b/>
          <w:sz w:val="24"/>
          <w:szCs w:val="24"/>
          <w:lang w:val="en-GB"/>
        </w:rPr>
        <w:t>d</w:t>
      </w:r>
      <w:r w:rsidRPr="0040743B">
        <w:rPr>
          <w:rFonts w:ascii="Times New Roman" w:hAnsi="Times New Roman" w:cs="Times New Roman"/>
          <w:sz w:val="24"/>
          <w:szCs w:val="24"/>
          <w:lang w:val="en-GB"/>
        </w:rPr>
        <w:t xml:space="preserve">, </w:t>
      </w:r>
      <w:r w:rsidRPr="0040743B">
        <w:rPr>
          <w:rFonts w:ascii="Times New Roman" w:hAnsi="Times New Roman" w:cs="Times New Roman"/>
          <w:b/>
          <w:sz w:val="24"/>
          <w:szCs w:val="24"/>
          <w:lang w:val="en-GB"/>
        </w:rPr>
        <w:t>e</w:t>
      </w:r>
      <w:r w:rsidRPr="0040743B">
        <w:rPr>
          <w:rFonts w:ascii="Times New Roman" w:hAnsi="Times New Roman" w:cs="Times New Roman"/>
          <w:sz w:val="24"/>
          <w:szCs w:val="24"/>
          <w:lang w:val="en-GB"/>
        </w:rPr>
        <w:t xml:space="preserve">, </w:t>
      </w:r>
      <w:r w:rsidR="002C020B" w:rsidRPr="0040743B">
        <w:rPr>
          <w:rFonts w:ascii="Times New Roman" w:hAnsi="Times New Roman" w:cs="Times New Roman"/>
          <w:sz w:val="24"/>
          <w:szCs w:val="24"/>
          <w:lang w:val="en-GB"/>
        </w:rPr>
        <w:t>Lactat</w:t>
      </w:r>
      <w:r w:rsidR="0047492C" w:rsidRPr="0040743B">
        <w:rPr>
          <w:rFonts w:ascii="Times New Roman" w:hAnsi="Times New Roman" w:cs="Times New Roman"/>
          <w:sz w:val="24"/>
          <w:szCs w:val="24"/>
          <w:lang w:val="en-GB"/>
        </w:rPr>
        <w:t xml:space="preserve">e </w:t>
      </w:r>
      <w:r w:rsidR="002C020B" w:rsidRPr="0040743B">
        <w:rPr>
          <w:rFonts w:ascii="Times New Roman" w:hAnsi="Times New Roman" w:cs="Times New Roman"/>
          <w:sz w:val="24"/>
          <w:szCs w:val="24"/>
          <w:lang w:val="en-GB"/>
        </w:rPr>
        <w:t>dehy</w:t>
      </w:r>
      <w:r w:rsidR="0047492C" w:rsidRPr="0040743B">
        <w:rPr>
          <w:rFonts w:ascii="Times New Roman" w:hAnsi="Times New Roman" w:cs="Times New Roman"/>
          <w:sz w:val="24"/>
          <w:szCs w:val="24"/>
          <w:lang w:val="en-GB"/>
        </w:rPr>
        <w:t xml:space="preserve">drogenase </w:t>
      </w:r>
      <w:r w:rsidR="002C020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LDH</w:t>
      </w:r>
      <w:r w:rsidR="002C020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release assays, n=3 replicates; median </w:t>
      </w:r>
      <w:r w:rsidRPr="0040743B">
        <w:rPr>
          <w:rFonts w:ascii="Times New Roman" w:hAnsi="Times New Roman" w:cs="Times New Roman"/>
          <w:sz w:val="24"/>
          <w:szCs w:val="24"/>
          <w:lang w:val="en-GB"/>
        </w:rPr>
        <w:sym w:font="Symbol" w:char="F0B1"/>
      </w:r>
      <w:r w:rsidRPr="0040743B">
        <w:rPr>
          <w:rFonts w:ascii="Times New Roman" w:hAnsi="Times New Roman" w:cs="Times New Roman"/>
          <w:sz w:val="24"/>
          <w:szCs w:val="24"/>
          <w:lang w:val="en-GB"/>
        </w:rPr>
        <w:t xml:space="preserve"> range; HD T cells = healthy donor-derived T cells, </w:t>
      </w:r>
      <w:r w:rsidRPr="0040743B">
        <w:rPr>
          <w:rFonts w:ascii="Times New Roman" w:hAnsi="Times New Roman" w:cs="Times New Roman"/>
          <w:sz w:val="24"/>
          <w:szCs w:val="24"/>
          <w:u w:val="single"/>
          <w:lang w:val="en-GB"/>
        </w:rPr>
        <w:t>not</w:t>
      </w:r>
      <w:r w:rsidRPr="0040743B">
        <w:rPr>
          <w:rFonts w:ascii="Times New Roman" w:hAnsi="Times New Roman" w:cs="Times New Roman"/>
          <w:sz w:val="24"/>
          <w:szCs w:val="24"/>
          <w:lang w:val="en-GB"/>
        </w:rPr>
        <w:t xml:space="preserve"> target-specific. </w:t>
      </w:r>
      <w:r w:rsidRPr="0040743B">
        <w:rPr>
          <w:rFonts w:ascii="Times New Roman" w:hAnsi="Times New Roman" w:cs="Times New Roman"/>
          <w:b/>
          <w:sz w:val="24"/>
          <w:szCs w:val="24"/>
          <w:lang w:val="en-GB"/>
        </w:rPr>
        <w:t>f</w:t>
      </w:r>
      <w:r w:rsidRPr="0040743B">
        <w:rPr>
          <w:rFonts w:ascii="Times New Roman" w:hAnsi="Times New Roman" w:cs="Times New Roman"/>
          <w:sz w:val="24"/>
          <w:szCs w:val="24"/>
          <w:lang w:val="en-GB"/>
        </w:rPr>
        <w:t>,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to </w:t>
      </w:r>
      <w:r w:rsidR="00962037" w:rsidRPr="0040743B">
        <w:rPr>
          <w:rFonts w:ascii="Times New Roman" w:hAnsi="Times New Roman" w:cs="Times New Roman"/>
          <w:sz w:val="24"/>
          <w:szCs w:val="24"/>
          <w:lang w:val="en-GB"/>
        </w:rPr>
        <w:t>the</w:t>
      </w:r>
      <w:r w:rsidRPr="0040743B">
        <w:rPr>
          <w:rFonts w:ascii="Times New Roman" w:hAnsi="Times New Roman" w:cs="Times New Roman"/>
          <w:sz w:val="24"/>
          <w:szCs w:val="24"/>
          <w:lang w:val="en-GB"/>
        </w:rPr>
        <w:t xml:space="preserve"> </w:t>
      </w:r>
      <w:r w:rsidR="00962037" w:rsidRPr="0040743B">
        <w:rPr>
          <w:rFonts w:ascii="Times New Roman" w:hAnsi="Times New Roman" w:cs="Times New Roman"/>
          <w:sz w:val="24"/>
          <w:szCs w:val="24"/>
          <w:lang w:val="en-GB"/>
        </w:rPr>
        <w:t>pan-DR</w:t>
      </w:r>
      <w:r w:rsidRPr="0040743B">
        <w:rPr>
          <w:rFonts w:ascii="Times New Roman" w:hAnsi="Times New Roman" w:cs="Times New Roman"/>
          <w:sz w:val="24"/>
          <w:szCs w:val="24"/>
          <w:lang w:val="en-GB"/>
        </w:rPr>
        <w:t xml:space="preserve"> peptide BIR-002 in patient 07 (</w:t>
      </w:r>
      <w:bookmarkStart w:id="7" w:name="_Hlk511388003"/>
      <w:r w:rsidRPr="0040743B">
        <w:rPr>
          <w:rFonts w:ascii="Times New Roman" w:hAnsi="Times New Roman" w:cs="Times New Roman"/>
          <w:sz w:val="24"/>
          <w:szCs w:val="24"/>
          <w:lang w:val="en-GB"/>
        </w:rPr>
        <w:t>flow cytometry data in Extended Data Fig. 5).</w:t>
      </w:r>
      <w:bookmarkEnd w:id="7"/>
      <w:r w:rsidRPr="0040743B">
        <w:rPr>
          <w:rFonts w:ascii="Times New Roman" w:hAnsi="Times New Roman" w:cs="Times New Roman"/>
          <w:sz w:val="24"/>
          <w:szCs w:val="24"/>
          <w:lang w:val="en-GB"/>
        </w:rPr>
        <w:t xml:space="preserve"> </w:t>
      </w:r>
      <w:r w:rsidR="007A03F1" w:rsidRPr="0040743B">
        <w:rPr>
          <w:rFonts w:ascii="Times New Roman" w:hAnsi="Times New Roman" w:cs="Times New Roman"/>
          <w:sz w:val="24"/>
          <w:szCs w:val="24"/>
          <w:lang w:val="en-GB"/>
        </w:rPr>
        <w:t>For a</w:t>
      </w:r>
      <w:r w:rsidRPr="0040743B">
        <w:rPr>
          <w:rFonts w:ascii="Times New Roman" w:hAnsi="Times New Roman" w:cs="Times New Roman"/>
          <w:sz w:val="24"/>
          <w:szCs w:val="24"/>
          <w:lang w:val="en-GB"/>
        </w:rPr>
        <w:t>ssays with limited patient material</w:t>
      </w:r>
      <w:r w:rsidR="00320548"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see </w:t>
      </w:r>
      <w:r w:rsidR="007A03F1" w:rsidRPr="0040743B">
        <w:rPr>
          <w:rFonts w:ascii="Times New Roman" w:hAnsi="Times New Roman" w:cs="Times New Roman"/>
          <w:sz w:val="24"/>
          <w:szCs w:val="24"/>
          <w:lang w:val="en-GB"/>
        </w:rPr>
        <w:t>statistics section</w:t>
      </w:r>
      <w:r w:rsidRPr="0040743B">
        <w:rPr>
          <w:rFonts w:ascii="Times New Roman" w:hAnsi="Times New Roman" w:cs="Times New Roman"/>
          <w:sz w:val="24"/>
          <w:szCs w:val="24"/>
          <w:lang w:val="en-GB"/>
        </w:rPr>
        <w:t>.</w:t>
      </w:r>
    </w:p>
    <w:p w14:paraId="5CAD6276" w14:textId="74659E60" w:rsidR="005A0045" w:rsidRPr="0040743B" w:rsidRDefault="005A0045" w:rsidP="00D81718">
      <w:pPr>
        <w:pStyle w:val="Text"/>
        <w:spacing w:after="24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lastRenderedPageBreak/>
        <w:t xml:space="preserve">Figure 3 </w:t>
      </w:r>
      <w:r w:rsidR="000F58A7"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Neo-epitope-targeting APVAC2 induce</w:t>
      </w:r>
      <w:r w:rsidR="00CE41F0" w:rsidRPr="0040743B">
        <w:rPr>
          <w:rFonts w:ascii="Times New Roman" w:hAnsi="Times New Roman" w:cs="Times New Roman"/>
          <w:b/>
          <w:bCs/>
          <w:sz w:val="24"/>
          <w:szCs w:val="24"/>
          <w:lang w:val="en-GB"/>
        </w:rPr>
        <w:t>s</w:t>
      </w:r>
      <w:r w:rsidRPr="0040743B">
        <w:rPr>
          <w:rFonts w:ascii="Times New Roman" w:hAnsi="Times New Roman" w:cs="Times New Roman"/>
          <w:b/>
          <w:bCs/>
          <w:sz w:val="24"/>
          <w:szCs w:val="24"/>
          <w:lang w:val="en-GB"/>
        </w:rPr>
        <w:t xml:space="preserve"> predominantly T</w:t>
      </w:r>
      <w:r w:rsidRPr="0040743B">
        <w:rPr>
          <w:rFonts w:ascii="Times New Roman" w:hAnsi="Times New Roman" w:cs="Times New Roman"/>
          <w:b/>
          <w:bCs/>
          <w:sz w:val="24"/>
          <w:szCs w:val="24"/>
          <w:vertAlign w:val="subscript"/>
          <w:lang w:val="en-GB"/>
        </w:rPr>
        <w:t>H</w:t>
      </w:r>
      <w:r w:rsidRPr="0040743B">
        <w:rPr>
          <w:rFonts w:ascii="Times New Roman" w:hAnsi="Times New Roman" w:cs="Times New Roman"/>
          <w:b/>
          <w:bCs/>
          <w:sz w:val="24"/>
          <w:szCs w:val="24"/>
          <w:lang w:val="en-GB"/>
        </w:rPr>
        <w:t>1 CD4</w:t>
      </w:r>
      <w:r w:rsidRPr="0040743B">
        <w:rPr>
          <w:rFonts w:ascii="Times New Roman" w:hAnsi="Times New Roman" w:cs="Times New Roman"/>
          <w:b/>
          <w:bCs/>
          <w:sz w:val="24"/>
          <w:szCs w:val="24"/>
          <w:vertAlign w:val="superscript"/>
          <w:lang w:val="en-GB"/>
        </w:rPr>
        <w:t>+</w:t>
      </w:r>
      <w:r w:rsidRPr="0040743B">
        <w:rPr>
          <w:rFonts w:ascii="Times New Roman" w:hAnsi="Times New Roman" w:cs="Times New Roman"/>
          <w:b/>
          <w:bCs/>
          <w:sz w:val="24"/>
          <w:szCs w:val="24"/>
          <w:lang w:val="en-GB"/>
        </w:rPr>
        <w:t xml:space="preserve"> T-cell responses.</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a</w:t>
      </w:r>
      <w:r w:rsidRPr="0040743B">
        <w:rPr>
          <w:rFonts w:ascii="Times New Roman" w:hAnsi="Times New Roman" w:cs="Times New Roman"/>
          <w:sz w:val="24"/>
          <w:szCs w:val="24"/>
          <w:lang w:val="en-GB"/>
        </w:rPr>
        <w:t>, Exemplary T</w:t>
      </w:r>
      <w:r w:rsidRPr="0040743B">
        <w:rPr>
          <w:rFonts w:ascii="Times New Roman" w:hAnsi="Times New Roman" w:cs="Times New Roman"/>
          <w:sz w:val="24"/>
          <w:szCs w:val="24"/>
          <w:vertAlign w:val="subscript"/>
          <w:lang w:val="en-GB"/>
        </w:rPr>
        <w:t>H</w:t>
      </w:r>
      <w:r w:rsidRPr="0040743B">
        <w:rPr>
          <w:rFonts w:ascii="Times New Roman" w:hAnsi="Times New Roman" w:cs="Times New Roman"/>
          <w:sz w:val="24"/>
          <w:szCs w:val="24"/>
          <w:lang w:val="en-GB"/>
        </w:rPr>
        <w:t>1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to mutated peptide 16-M06. </w:t>
      </w:r>
      <w:r w:rsidRPr="0040743B">
        <w:rPr>
          <w:rFonts w:ascii="Times New Roman" w:hAnsi="Times New Roman" w:cs="Times New Roman"/>
          <w:b/>
          <w:bCs/>
          <w:sz w:val="24"/>
          <w:szCs w:val="24"/>
          <w:lang w:val="en-GB"/>
        </w:rPr>
        <w:t>b</w:t>
      </w:r>
      <w:r w:rsidRPr="0040743B">
        <w:rPr>
          <w:rFonts w:ascii="Times New Roman" w:hAnsi="Times New Roman" w:cs="Times New Roman"/>
          <w:sz w:val="24"/>
          <w:szCs w:val="24"/>
          <w:lang w:val="en-GB"/>
        </w:rPr>
        <w:t>, Exemplary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to mutated peptide 15-M05. </w:t>
      </w:r>
      <w:r w:rsidRPr="0040743B">
        <w:rPr>
          <w:rFonts w:ascii="Times New Roman" w:hAnsi="Times New Roman" w:cs="Times New Roman"/>
          <w:b/>
          <w:sz w:val="24"/>
          <w:szCs w:val="24"/>
          <w:lang w:val="en-GB"/>
        </w:rPr>
        <w:t>a</w:t>
      </w:r>
      <w:r w:rsidRPr="0040743B">
        <w:rPr>
          <w:rFonts w:ascii="Times New Roman" w:hAnsi="Times New Roman" w:cs="Times New Roman"/>
          <w:sz w:val="24"/>
          <w:szCs w:val="24"/>
          <w:lang w:val="en-GB"/>
        </w:rPr>
        <w:t xml:space="preserve">, </w:t>
      </w:r>
      <w:r w:rsidRPr="0040743B">
        <w:rPr>
          <w:rFonts w:ascii="Times New Roman" w:hAnsi="Times New Roman" w:cs="Times New Roman"/>
          <w:b/>
          <w:sz w:val="24"/>
          <w:szCs w:val="24"/>
          <w:lang w:val="en-GB"/>
        </w:rPr>
        <w:t>b</w:t>
      </w:r>
      <w:r w:rsidRPr="0040743B">
        <w:rPr>
          <w:rFonts w:ascii="Times New Roman" w:hAnsi="Times New Roman" w:cs="Times New Roman"/>
          <w:sz w:val="24"/>
          <w:szCs w:val="24"/>
          <w:lang w:val="en-GB"/>
        </w:rPr>
        <w:t xml:space="preserve">, pan-ICS after </w:t>
      </w:r>
      <w:r w:rsidR="00090AF2" w:rsidRPr="0040743B">
        <w:rPr>
          <w:rFonts w:ascii="Times New Roman" w:hAnsi="Times New Roman" w:cs="Times New Roman"/>
          <w:sz w:val="24"/>
          <w:szCs w:val="24"/>
          <w:lang w:val="en-GB"/>
        </w:rPr>
        <w:t>IVS</w:t>
      </w:r>
      <w:r w:rsidR="00967DA4" w:rsidRPr="0040743B">
        <w:rPr>
          <w:rFonts w:ascii="Times New Roman" w:hAnsi="Times New Roman" w:cs="Times New Roman"/>
          <w:sz w:val="24"/>
          <w:szCs w:val="24"/>
          <w:lang w:val="en-GB"/>
        </w:rPr>
        <w:t xml:space="preserve"> (f</w:t>
      </w:r>
      <w:r w:rsidRPr="0040743B">
        <w:rPr>
          <w:rFonts w:ascii="Times New Roman" w:hAnsi="Times New Roman" w:cs="Times New Roman"/>
          <w:sz w:val="24"/>
          <w:szCs w:val="24"/>
          <w:lang w:val="en-GB"/>
        </w:rPr>
        <w:t>low cytometry data in Extended Data Fig. 6</w:t>
      </w:r>
      <w:r w:rsidR="00967DA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sz w:val="24"/>
          <w:szCs w:val="24"/>
          <w:lang w:val="en-GB"/>
        </w:rPr>
        <w:t>c</w:t>
      </w:r>
      <w:r w:rsidRPr="0040743B">
        <w:rPr>
          <w:rFonts w:ascii="Times New Roman" w:hAnsi="Times New Roman" w:cs="Times New Roman"/>
          <w:sz w:val="24"/>
          <w:szCs w:val="24"/>
          <w:lang w:val="en-GB"/>
        </w:rPr>
        <w:t>,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to a mutated epitope (HMKVSVYLL) contained in the 19mer peptide 14-M09 (</w:t>
      </w:r>
      <w:r w:rsidRPr="0040743B">
        <w:rPr>
          <w:rFonts w:ascii="Times New Roman" w:hAnsi="Times New Roman" w:cs="Times New Roman"/>
          <w:i/>
          <w:sz w:val="24"/>
          <w:szCs w:val="24"/>
          <w:lang w:val="en-GB"/>
        </w:rPr>
        <w:t>e</w:t>
      </w:r>
      <w:r w:rsidRPr="0040743B">
        <w:rPr>
          <w:rFonts w:ascii="Times New Roman" w:hAnsi="Times New Roman" w:cs="Times New Roman"/>
          <w:i/>
          <w:iCs/>
          <w:sz w:val="24"/>
          <w:szCs w:val="24"/>
          <w:lang w:val="en-GB"/>
        </w:rPr>
        <w:t>x vivo</w:t>
      </w:r>
      <w:r w:rsidRPr="0040743B">
        <w:rPr>
          <w:rFonts w:ascii="Times New Roman" w:hAnsi="Times New Roman" w:cs="Times New Roman"/>
          <w:sz w:val="24"/>
          <w:szCs w:val="24"/>
          <w:lang w:val="en-GB"/>
        </w:rPr>
        <w:t xml:space="preserve"> 2D multimer assay, flow cytometry data in Extended Data Fig. 7b). </w:t>
      </w:r>
      <w:r w:rsidR="007A03F1" w:rsidRPr="0040743B">
        <w:rPr>
          <w:rFonts w:ascii="Times New Roman" w:hAnsi="Times New Roman" w:cs="Times New Roman"/>
          <w:sz w:val="24"/>
          <w:szCs w:val="24"/>
          <w:lang w:val="en-GB"/>
        </w:rPr>
        <w:t>For assays with limited patient material</w:t>
      </w:r>
      <w:r w:rsidR="00320548" w:rsidRPr="0040743B">
        <w:rPr>
          <w:rFonts w:ascii="Times New Roman" w:hAnsi="Times New Roman" w:cs="Times New Roman"/>
          <w:sz w:val="24"/>
          <w:szCs w:val="24"/>
          <w:lang w:val="en-GB"/>
        </w:rPr>
        <w:t>,</w:t>
      </w:r>
      <w:r w:rsidR="007A03F1" w:rsidRPr="0040743B">
        <w:rPr>
          <w:rFonts w:ascii="Times New Roman" w:hAnsi="Times New Roman" w:cs="Times New Roman"/>
          <w:sz w:val="24"/>
          <w:szCs w:val="24"/>
          <w:lang w:val="en-GB"/>
        </w:rPr>
        <w:t xml:space="preserve"> see statistics section.</w:t>
      </w:r>
    </w:p>
    <w:p w14:paraId="02A738D0" w14:textId="3547B4F0" w:rsidR="005A0045" w:rsidRPr="0040743B" w:rsidRDefault="005A0045" w:rsidP="00D81718">
      <w:pPr>
        <w:pStyle w:val="Text"/>
        <w:spacing w:after="240" w:line="480" w:lineRule="auto"/>
        <w:rPr>
          <w:rFonts w:ascii="Times New Roman" w:hAnsi="Times New Roman" w:cs="Times New Roman"/>
          <w:b/>
          <w:bCs/>
          <w:sz w:val="24"/>
          <w:szCs w:val="24"/>
          <w:lang w:val="en-GB"/>
        </w:rPr>
      </w:pPr>
      <w:r w:rsidRPr="0040743B">
        <w:rPr>
          <w:rFonts w:ascii="Times New Roman" w:hAnsi="Times New Roman" w:cs="Times New Roman"/>
          <w:b/>
          <w:bCs/>
          <w:sz w:val="24"/>
          <w:szCs w:val="24"/>
          <w:lang w:val="en-GB"/>
        </w:rPr>
        <w:t xml:space="preserve">Figure 4 </w:t>
      </w:r>
      <w:r w:rsidR="000F58A7"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sz w:val="24"/>
          <w:szCs w:val="24"/>
          <w:lang w:val="en-GB"/>
        </w:rPr>
        <w:t>Summary of APVAC-induced responses.</w:t>
      </w:r>
      <w:r w:rsidRPr="0040743B">
        <w:rPr>
          <w:rFonts w:ascii="Times New Roman" w:hAnsi="Times New Roman" w:cs="Times New Roman"/>
          <w:sz w:val="24"/>
          <w:szCs w:val="24"/>
          <w:lang w:val="en-GB"/>
        </w:rPr>
        <w:t xml:space="preserve"> Typical amino acid (aa) lengths for APVAC peptide categories are indicated.</w:t>
      </w:r>
    </w:p>
    <w:p w14:paraId="695132D2" w14:textId="7D80ACD9" w:rsidR="00C952D7" w:rsidRPr="0040743B" w:rsidRDefault="005A0045" w:rsidP="00366770">
      <w:pPr>
        <w:pStyle w:val="Text"/>
        <w:spacing w:line="480" w:lineRule="auto"/>
        <w:rPr>
          <w:lang w:val="en-GB"/>
        </w:rPr>
      </w:pPr>
      <w:r w:rsidRPr="0040743B">
        <w:rPr>
          <w:rFonts w:ascii="Times New Roman" w:hAnsi="Times New Roman" w:cs="Times New Roman"/>
          <w:b/>
          <w:bCs/>
          <w:sz w:val="24"/>
          <w:szCs w:val="24"/>
          <w:lang w:val="en-GB"/>
        </w:rPr>
        <w:t xml:space="preserve">Figure 5 </w:t>
      </w:r>
      <w:r w:rsidR="000F58A7"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Clinical outcome and intra-tumoral T cells in patient 08.</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a</w:t>
      </w:r>
      <w:r w:rsidRPr="0040743B">
        <w:rPr>
          <w:rFonts w:ascii="Times New Roman" w:hAnsi="Times New Roman" w:cs="Times New Roman"/>
          <w:sz w:val="24"/>
          <w:szCs w:val="24"/>
          <w:lang w:val="en-GB"/>
        </w:rPr>
        <w:t xml:space="preserve">, Swimmer plot for enrolled patients (n=16). </w:t>
      </w:r>
      <w:r w:rsidRPr="0040743B">
        <w:rPr>
          <w:rFonts w:ascii="Times New Roman" w:hAnsi="Times New Roman" w:cs="Times New Roman"/>
          <w:b/>
          <w:bCs/>
          <w:sz w:val="24"/>
          <w:szCs w:val="24"/>
          <w:lang w:val="en-GB"/>
        </w:rPr>
        <w:t>b</w:t>
      </w:r>
      <w:r w:rsidRPr="0040743B">
        <w:rPr>
          <w:rFonts w:ascii="Times New Roman" w:hAnsi="Times New Roman" w:cs="Times New Roman"/>
          <w:sz w:val="24"/>
          <w:szCs w:val="24"/>
          <w:lang w:val="en-GB"/>
        </w:rPr>
        <w:t xml:space="preserve">, </w:t>
      </w:r>
      <w:r w:rsidR="00933D4C" w:rsidRPr="0040743B">
        <w:rPr>
          <w:rFonts w:ascii="Times New Roman" w:hAnsi="Times New Roman" w:cs="Times New Roman"/>
          <w:sz w:val="24"/>
          <w:szCs w:val="24"/>
          <w:lang w:val="en-GB"/>
        </w:rPr>
        <w:t>I</w:t>
      </w:r>
      <w:r w:rsidRPr="0040743B">
        <w:rPr>
          <w:rFonts w:ascii="Times New Roman" w:hAnsi="Times New Roman" w:cs="Times New Roman"/>
          <w:sz w:val="24"/>
          <w:szCs w:val="24"/>
          <w:lang w:val="en-GB"/>
        </w:rPr>
        <w:t xml:space="preserve">mmunohistochemical staining of patient 08’s tumour tissues </w:t>
      </w:r>
      <w:r w:rsidR="00B70A77" w:rsidRPr="0040743B">
        <w:rPr>
          <w:rFonts w:ascii="Times New Roman" w:hAnsi="Times New Roman" w:cs="Times New Roman"/>
          <w:sz w:val="24"/>
          <w:szCs w:val="24"/>
          <w:lang w:val="en-GB"/>
        </w:rPr>
        <w:t xml:space="preserve">primary </w:t>
      </w:r>
      <w:r w:rsidR="00924C72" w:rsidRPr="0040743B">
        <w:rPr>
          <w:rFonts w:ascii="Times New Roman" w:hAnsi="Times New Roman" w:cs="Times New Roman"/>
          <w:sz w:val="24"/>
          <w:szCs w:val="24"/>
          <w:lang w:val="en-GB"/>
        </w:rPr>
        <w:t xml:space="preserve">and at </w:t>
      </w:r>
      <w:r w:rsidRPr="0040743B">
        <w:rPr>
          <w:rFonts w:ascii="Times New Roman" w:hAnsi="Times New Roman" w:cs="Times New Roman"/>
          <w:sz w:val="24"/>
          <w:szCs w:val="24"/>
          <w:lang w:val="en-GB"/>
        </w:rPr>
        <w:t>1</w:t>
      </w:r>
      <w:r w:rsidRPr="0040743B">
        <w:rPr>
          <w:rFonts w:ascii="Times New Roman" w:hAnsi="Times New Roman" w:cs="Times New Roman"/>
          <w:sz w:val="24"/>
          <w:szCs w:val="24"/>
          <w:vertAlign w:val="superscript"/>
          <w:lang w:val="en-GB"/>
        </w:rPr>
        <w:t>st</w:t>
      </w:r>
      <w:r w:rsidRPr="0040743B">
        <w:rPr>
          <w:rFonts w:ascii="Times New Roman" w:hAnsi="Times New Roman" w:cs="Times New Roman"/>
          <w:sz w:val="24"/>
          <w:szCs w:val="24"/>
          <w:lang w:val="en-GB"/>
        </w:rPr>
        <w:t xml:space="preserve"> re-resection. </w:t>
      </w:r>
      <w:r w:rsidR="009A7A13"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xml:space="preserve">tained cells per mm² tumour tissue section </w:t>
      </w:r>
      <w:proofErr w:type="gramStart"/>
      <w:r w:rsidRPr="0040743B">
        <w:rPr>
          <w:rFonts w:ascii="Times New Roman" w:hAnsi="Times New Roman" w:cs="Times New Roman"/>
          <w:sz w:val="24"/>
          <w:szCs w:val="24"/>
          <w:lang w:val="en-GB"/>
        </w:rPr>
        <w:t>are</w:t>
      </w:r>
      <w:proofErr w:type="gramEnd"/>
      <w:r w:rsidRPr="0040743B">
        <w:rPr>
          <w:rFonts w:ascii="Times New Roman" w:hAnsi="Times New Roman" w:cs="Times New Roman"/>
          <w:sz w:val="24"/>
          <w:szCs w:val="24"/>
          <w:lang w:val="en-GB"/>
        </w:rPr>
        <w:t xml:space="preserve"> indicated</w:t>
      </w:r>
      <w:r w:rsidR="00800266"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n=4 independent regions</w:t>
      </w:r>
      <w:r w:rsidR="00CE4665" w:rsidRPr="0040743B">
        <w:rPr>
          <w:rFonts w:ascii="Times New Roman" w:hAnsi="Times New Roman" w:cs="Times New Roman"/>
          <w:sz w:val="24"/>
          <w:szCs w:val="24"/>
          <w:lang w:val="en-GB"/>
        </w:rPr>
        <w:t xml:space="preserve"> analy</w:t>
      </w:r>
      <w:r w:rsidR="00FF6CFD" w:rsidRPr="0040743B">
        <w:rPr>
          <w:rFonts w:ascii="Times New Roman" w:hAnsi="Times New Roman" w:cs="Times New Roman"/>
          <w:sz w:val="24"/>
          <w:szCs w:val="24"/>
          <w:lang w:val="en-GB"/>
        </w:rPr>
        <w:t>s</w:t>
      </w:r>
      <w:r w:rsidR="00CE4665" w:rsidRPr="0040743B">
        <w:rPr>
          <w:rFonts w:ascii="Times New Roman" w:hAnsi="Times New Roman" w:cs="Times New Roman"/>
          <w:sz w:val="24"/>
          <w:szCs w:val="24"/>
          <w:lang w:val="en-GB"/>
        </w:rPr>
        <w:t>ed</w:t>
      </w:r>
      <w:r w:rsidR="00800266"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c</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d</w:t>
      </w:r>
      <w:r w:rsidRPr="0040743B">
        <w:rPr>
          <w:rFonts w:ascii="Times New Roman" w:hAnsi="Times New Roman" w:cs="Times New Roman"/>
          <w:sz w:val="24"/>
          <w:szCs w:val="24"/>
          <w:lang w:val="en-GB"/>
        </w:rPr>
        <w:t>,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against the APVAC1 </w:t>
      </w:r>
      <w:r w:rsidR="00840284" w:rsidRPr="0040743B">
        <w:rPr>
          <w:rFonts w:ascii="Times New Roman" w:hAnsi="Times New Roman" w:cs="Times New Roman"/>
          <w:sz w:val="24"/>
          <w:szCs w:val="24"/>
          <w:lang w:val="en-GB"/>
        </w:rPr>
        <w:t>pan-DR</w:t>
      </w:r>
      <w:r w:rsidRPr="0040743B">
        <w:rPr>
          <w:rFonts w:ascii="Times New Roman" w:hAnsi="Times New Roman" w:cs="Times New Roman"/>
          <w:sz w:val="24"/>
          <w:szCs w:val="24"/>
          <w:lang w:val="en-GB"/>
        </w:rPr>
        <w:t xml:space="preserve"> </w:t>
      </w:r>
      <w:r w:rsidR="003458DC" w:rsidRPr="0040743B">
        <w:rPr>
          <w:rFonts w:ascii="Times New Roman" w:hAnsi="Times New Roman" w:cs="Times New Roman"/>
          <w:sz w:val="24"/>
          <w:szCs w:val="24"/>
          <w:lang w:val="en-GB"/>
        </w:rPr>
        <w:t xml:space="preserve">peptide </w:t>
      </w:r>
      <w:r w:rsidRPr="0040743B">
        <w:rPr>
          <w:rFonts w:ascii="Times New Roman" w:hAnsi="Times New Roman" w:cs="Times New Roman"/>
          <w:sz w:val="24"/>
          <w:szCs w:val="24"/>
          <w:lang w:val="en-GB"/>
        </w:rPr>
        <w:t>PTP-010 in TIL at re-resection (c; ICS)</w:t>
      </w:r>
      <w:r w:rsidR="007A03F1"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and in PBMC of patient 08 (d; IFN-</w:t>
      </w:r>
      <w:r w:rsidRPr="0040743B">
        <w:rPr>
          <w:rFonts w:ascii="Times New Roman" w:hAnsi="Times New Roman" w:cs="Times New Roman"/>
          <w:sz w:val="24"/>
          <w:szCs w:val="24"/>
          <w:lang w:val="en-GB"/>
        </w:rPr>
        <w:sym w:font="Symbol" w:char="F067"/>
      </w:r>
      <w:r w:rsidRPr="0040743B">
        <w:rPr>
          <w:rFonts w:ascii="Times New Roman" w:hAnsi="Times New Roman" w:cs="Times New Roman"/>
          <w:sz w:val="24"/>
          <w:szCs w:val="24"/>
          <w:lang w:val="en-GB"/>
        </w:rPr>
        <w:t xml:space="preserve"> ELISpot; tested once in n=2 replicates; </w:t>
      </w:r>
      <w:r w:rsidR="00366770" w:rsidRPr="0040743B">
        <w:rPr>
          <w:rFonts w:ascii="Times New Roman" w:hAnsi="Times New Roman" w:cs="Times New Roman"/>
          <w:sz w:val="24"/>
          <w:szCs w:val="24"/>
          <w:lang w:val="en-GB"/>
        </w:rPr>
        <w:t>for</w:t>
      </w:r>
      <w:r w:rsidR="00CE41F0" w:rsidRPr="0040743B">
        <w:rPr>
          <w:rFonts w:ascii="Times New Roman" w:hAnsi="Times New Roman" w:cs="Times New Roman"/>
          <w:sz w:val="24"/>
          <w:szCs w:val="24"/>
          <w:lang w:val="en-GB"/>
        </w:rPr>
        <w:t xml:space="preserve"> ICS data </w:t>
      </w:r>
      <w:r w:rsidR="00366770" w:rsidRPr="0040743B">
        <w:rPr>
          <w:rFonts w:ascii="Times New Roman" w:hAnsi="Times New Roman" w:cs="Times New Roman"/>
          <w:sz w:val="24"/>
          <w:szCs w:val="24"/>
          <w:lang w:val="en-GB"/>
        </w:rPr>
        <w:t>see</w:t>
      </w:r>
      <w:r w:rsidRPr="0040743B">
        <w:rPr>
          <w:rFonts w:ascii="Times New Roman" w:hAnsi="Times New Roman" w:cs="Times New Roman"/>
          <w:sz w:val="24"/>
          <w:szCs w:val="24"/>
          <w:lang w:val="en-GB"/>
        </w:rPr>
        <w:t xml:space="preserve"> Extended Data Fig. 4c). </w:t>
      </w:r>
      <w:r w:rsidRPr="0040743B">
        <w:rPr>
          <w:rFonts w:ascii="Times New Roman" w:hAnsi="Times New Roman" w:cs="Times New Roman"/>
          <w:b/>
          <w:sz w:val="24"/>
          <w:szCs w:val="24"/>
          <w:lang w:val="en-GB"/>
        </w:rPr>
        <w:t>c</w:t>
      </w:r>
      <w:r w:rsidRPr="0040743B">
        <w:rPr>
          <w:rFonts w:ascii="Times New Roman" w:hAnsi="Times New Roman" w:cs="Times New Roman"/>
          <w:sz w:val="24"/>
          <w:szCs w:val="24"/>
          <w:lang w:val="en-GB"/>
        </w:rPr>
        <w:t xml:space="preserve">, n=5 independent experiments with 6 TIL cultures. Results </w:t>
      </w:r>
      <w:r w:rsidR="00F824AD" w:rsidRPr="0040743B">
        <w:rPr>
          <w:rFonts w:ascii="Times New Roman" w:hAnsi="Times New Roman" w:cs="Times New Roman"/>
          <w:sz w:val="24"/>
          <w:szCs w:val="24"/>
          <w:lang w:val="en-GB"/>
        </w:rPr>
        <w:t xml:space="preserve">provided </w:t>
      </w:r>
      <w:r w:rsidRPr="0040743B">
        <w:rPr>
          <w:rFonts w:ascii="Times New Roman" w:hAnsi="Times New Roman" w:cs="Times New Roman"/>
          <w:sz w:val="24"/>
          <w:szCs w:val="24"/>
          <w:lang w:val="en-GB"/>
        </w:rPr>
        <w:t xml:space="preserve">from </w:t>
      </w:r>
      <w:r w:rsidR="00770115" w:rsidRPr="0040743B">
        <w:rPr>
          <w:rFonts w:ascii="Times New Roman" w:hAnsi="Times New Roman" w:cs="Times New Roman"/>
          <w:sz w:val="24"/>
          <w:szCs w:val="24"/>
          <w:lang w:val="en-GB"/>
        </w:rPr>
        <w:t xml:space="preserve">one </w:t>
      </w:r>
      <w:r w:rsidRPr="0040743B">
        <w:rPr>
          <w:rFonts w:ascii="Times New Roman" w:hAnsi="Times New Roman" w:cs="Times New Roman"/>
          <w:sz w:val="24"/>
          <w:szCs w:val="24"/>
          <w:lang w:val="en-GB"/>
        </w:rPr>
        <w:t>of n=3 positive cultures.</w:t>
      </w:r>
      <w:r w:rsidR="00C952D7" w:rsidRPr="0040743B">
        <w:rPr>
          <w:lang w:val="en-GB"/>
        </w:rPr>
        <w:br w:type="page"/>
      </w:r>
    </w:p>
    <w:p w14:paraId="6316CF14" w14:textId="50FECACA" w:rsidR="00501FED" w:rsidRPr="0040743B" w:rsidRDefault="00CF41F8" w:rsidP="00D81718">
      <w:pPr>
        <w:pStyle w:val="TextA"/>
        <w:spacing w:after="120" w:line="480" w:lineRule="auto"/>
        <w:rPr>
          <w:rFonts w:ascii="Times New Roman" w:hAnsi="Times New Roman" w:cs="Times New Roman"/>
          <w:b/>
          <w:sz w:val="24"/>
          <w:szCs w:val="24"/>
          <w:lang w:val="en-GB"/>
        </w:rPr>
      </w:pPr>
      <w:r w:rsidRPr="0040743B">
        <w:rPr>
          <w:rFonts w:ascii="Times New Roman" w:hAnsi="Times New Roman" w:cs="Times New Roman"/>
          <w:b/>
          <w:sz w:val="24"/>
          <w:szCs w:val="24"/>
          <w:lang w:val="en-GB"/>
        </w:rPr>
        <w:lastRenderedPageBreak/>
        <w:t xml:space="preserve">Online </w:t>
      </w:r>
      <w:r w:rsidR="00C952D7" w:rsidRPr="0040743B">
        <w:rPr>
          <w:rFonts w:ascii="Times New Roman" w:hAnsi="Times New Roman" w:cs="Times New Roman"/>
          <w:b/>
          <w:sz w:val="24"/>
          <w:szCs w:val="24"/>
          <w:lang w:val="en-GB"/>
        </w:rPr>
        <w:t>Methods</w:t>
      </w:r>
    </w:p>
    <w:p w14:paraId="0C4BF3E4" w14:textId="17F9D7CC" w:rsidR="00CF41F8" w:rsidRPr="0040743B" w:rsidRDefault="00CF41F8" w:rsidP="00CF41F8">
      <w:pPr>
        <w:pStyle w:val="Text"/>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 xml:space="preserve">APVAC1 warehouse. </w:t>
      </w:r>
      <w:r w:rsidRPr="0040743B">
        <w:rPr>
          <w:rFonts w:ascii="Times New Roman" w:hAnsi="Times New Roman" w:cs="Times New Roman"/>
          <w:sz w:val="24"/>
          <w:szCs w:val="24"/>
          <w:lang w:val="en-GB"/>
        </w:rPr>
        <w:t>For APVAC1 warehouse setup, a total of 30 HLA-A*02</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and HLA-A*24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GB tumour samples was analysed in 2012/13 for their immunopeptidomes by MS revealing several thousands of different HLA-A*02:01 and A*24:02-presented peptides applying the XPRESIDENT</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antigen discovery platform</w:t>
      </w:r>
      <w:r w:rsidRPr="0040743B">
        <w:rPr>
          <w:rFonts w:ascii="Times New Roman" w:hAnsi="Times New Roman" w:cs="Times New Roman"/>
          <w:noProof/>
          <w:sz w:val="24"/>
          <w:szCs w:val="24"/>
          <w:vertAlign w:val="superscript"/>
          <w:lang w:val="en-GB"/>
        </w:rPr>
        <w:t>17,28</w:t>
      </w:r>
      <w:r w:rsidRPr="0040743B">
        <w:rPr>
          <w:rFonts w:ascii="Times New Roman" w:hAnsi="Times New Roman" w:cs="Times New Roman"/>
          <w:sz w:val="24"/>
          <w:szCs w:val="24"/>
          <w:lang w:val="en-GB"/>
        </w:rPr>
        <w:t>. From this repertoire, strongly tumour-associated candidates were identified, i.e. peptides exclusively found on tumours or highly over-presented as compared to the immunopeptidome of a panel of normal tissue types. Expression analysis of source gene mRNA in GB samples in comparison to normal tissue expression and immunogenicity analysis in the blood of healthy donors was used as supportive data to select for 33 A*02:01 and 26 A*24:02 warehouse peptides (</w:t>
      </w:r>
      <w:r w:rsidR="00E11E1A" w:rsidRPr="0040743B">
        <w:rPr>
          <w:rFonts w:ascii="Times New Roman" w:hAnsi="Times New Roman" w:cs="Times New Roman"/>
          <w:bCs/>
          <w:sz w:val="24"/>
          <w:szCs w:val="24"/>
          <w:lang w:val="en-GB"/>
        </w:rPr>
        <w:t>Supplementary</w:t>
      </w:r>
      <w:r w:rsidRPr="0040743B">
        <w:rPr>
          <w:rFonts w:ascii="Times New Roman" w:hAnsi="Times New Roman" w:cs="Times New Roman"/>
          <w:bCs/>
          <w:sz w:val="24"/>
          <w:szCs w:val="24"/>
          <w:lang w:val="en-GB"/>
        </w:rPr>
        <w:t xml:space="preserve"> Table 1</w:t>
      </w:r>
      <w:r w:rsidRPr="0040743B">
        <w:rPr>
          <w:rFonts w:ascii="Times New Roman" w:hAnsi="Times New Roman" w:cs="Times New Roman"/>
          <w:sz w:val="24"/>
          <w:szCs w:val="24"/>
          <w:lang w:val="en-GB"/>
        </w:rPr>
        <w:t>).</w:t>
      </w:r>
    </w:p>
    <w:p w14:paraId="58D83AA8" w14:textId="58867B1E" w:rsidR="00CF41F8" w:rsidRPr="0040743B" w:rsidRDefault="00CF41F8" w:rsidP="00CF41F8">
      <w:pPr>
        <w:pStyle w:val="Text"/>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 xml:space="preserve">GAPVAC-101 phase I trial design. </w:t>
      </w:r>
      <w:r w:rsidRPr="0040743B">
        <w:rPr>
          <w:rFonts w:ascii="Times New Roman" w:hAnsi="Times New Roman" w:cs="Times New Roman"/>
          <w:sz w:val="24"/>
          <w:szCs w:val="24"/>
          <w:lang w:val="en-GB"/>
        </w:rPr>
        <w:t>Between 2014 and 2018, a single-arm, open-label first-in-human trial (NCT02149225) was conducted at six study centres in Germany, Switzerland, The Netherlands, Spain, and Denmark in accordance with the Declaration of Helsinki, International Conference on Harmonization/Good Clinical Practice guidelines and all other applicable regulatory and ethical requirements. The trial was approved by the responsible Ethic</w:t>
      </w:r>
      <w:r w:rsidR="001F7263"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xml:space="preserve"> Committees </w:t>
      </w:r>
      <w:r w:rsidR="0078443D" w:rsidRPr="0040743B">
        <w:rPr>
          <w:rFonts w:ascii="Times New Roman" w:hAnsi="Times New Roman" w:cs="Times New Roman"/>
          <w:sz w:val="24"/>
          <w:szCs w:val="24"/>
          <w:lang w:val="en-GB"/>
        </w:rPr>
        <w:t xml:space="preserve">and regulatory agencies </w:t>
      </w:r>
      <w:r w:rsidRPr="0040743B">
        <w:rPr>
          <w:rFonts w:ascii="Times New Roman" w:hAnsi="Times New Roman" w:cs="Times New Roman"/>
          <w:sz w:val="24"/>
          <w:szCs w:val="24"/>
          <w:lang w:val="en-GB"/>
        </w:rPr>
        <w:t xml:space="preserve">as </w:t>
      </w:r>
      <w:r w:rsidR="0078443D" w:rsidRPr="0040743B">
        <w:rPr>
          <w:rFonts w:ascii="Times New Roman" w:hAnsi="Times New Roman" w:cs="Times New Roman"/>
          <w:sz w:val="24"/>
          <w:szCs w:val="24"/>
          <w:lang w:val="en-GB"/>
        </w:rPr>
        <w:t>detailed in the Supplementary Notes</w:t>
      </w:r>
      <w:r w:rsidRPr="0040743B">
        <w:rPr>
          <w:rFonts w:ascii="Times New Roman" w:hAnsi="Times New Roman" w:cs="Times New Roman"/>
          <w:sz w:val="24"/>
          <w:szCs w:val="24"/>
          <w:lang w:val="en-GB"/>
        </w:rPr>
        <w:t>.</w:t>
      </w:r>
      <w:r w:rsidR="00FA09E4" w:rsidRPr="0040743B">
        <w:rPr>
          <w:rFonts w:ascii="Times New Roman" w:hAnsi="Times New Roman" w:cs="Times New Roman"/>
          <w:sz w:val="24"/>
          <w:szCs w:val="24"/>
          <w:lang w:val="en-GB"/>
        </w:rPr>
        <w:t xml:space="preserve"> All patients provided written informed consent. Pseudonymization of patients was performed at the clinical centres. Patient identification logs were kept strictly confidential by the investigators.</w:t>
      </w:r>
      <w:r w:rsidRPr="0040743B">
        <w:rPr>
          <w:rFonts w:ascii="Times New Roman" w:hAnsi="Times New Roman" w:cs="Times New Roman"/>
          <w:sz w:val="24"/>
          <w:szCs w:val="24"/>
          <w:lang w:val="en-GB"/>
        </w:rPr>
        <w:t xml:space="preserve"> </w:t>
      </w:r>
      <w:bookmarkStart w:id="8" w:name="_Hlk511815549"/>
      <w:r w:rsidRPr="0040743B">
        <w:rPr>
          <w:rFonts w:ascii="Times New Roman" w:hAnsi="Times New Roman" w:cs="Times New Roman"/>
          <w:sz w:val="24"/>
          <w:szCs w:val="24"/>
          <w:lang w:val="en-GB"/>
        </w:rPr>
        <w:t>HLA-A*02:01</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w:t>
      </w:r>
      <w:r w:rsidR="00680B1D" w:rsidRPr="0040743B">
        <w:rPr>
          <w:rFonts w:ascii="Times New Roman" w:hAnsi="Times New Roman" w:cs="Times New Roman"/>
          <w:sz w:val="24"/>
          <w:szCs w:val="24"/>
          <w:lang w:val="en-GB"/>
        </w:rPr>
        <w:t>and/</w:t>
      </w:r>
      <w:r w:rsidRPr="0040743B">
        <w:rPr>
          <w:rFonts w:ascii="Times New Roman" w:hAnsi="Times New Roman" w:cs="Times New Roman"/>
          <w:sz w:val="24"/>
          <w:szCs w:val="24"/>
          <w:lang w:val="en-GB"/>
        </w:rPr>
        <w:t>or HLA-A*24:02</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w:t>
      </w:r>
      <w:bookmarkEnd w:id="8"/>
      <w:r w:rsidRPr="0040743B">
        <w:rPr>
          <w:rFonts w:ascii="Times New Roman" w:hAnsi="Times New Roman" w:cs="Times New Roman"/>
          <w:sz w:val="24"/>
          <w:szCs w:val="24"/>
          <w:lang w:val="en-GB"/>
        </w:rPr>
        <w:t xml:space="preserve">patients with newly diagnosed GB after gross total resection as judged by a post-operative scan within 48 h post-surgery, KPS ≥70% and a life expectancy &gt;6 months were enrolled (see clinicaltrials.gov for details on eligibility criteria). From the initial surgery, a tumour tissue specimen was freshly frozen for later immunopeptidome, mRNA expression and mutanome analysis. If possible, a further tumour tissue sample was used freshly </w:t>
      </w:r>
      <w:r w:rsidRPr="0040743B">
        <w:rPr>
          <w:rFonts w:ascii="Times New Roman" w:hAnsi="Times New Roman" w:cs="Times New Roman"/>
          <w:sz w:val="24"/>
          <w:szCs w:val="24"/>
          <w:lang w:val="en-GB"/>
        </w:rPr>
        <w:lastRenderedPageBreak/>
        <w:t>for isolation of tumour-infiltrating lymphocytes (TIL, see below). Moreover, plasma samples were collected pre- and post-surgery for analysis of the soluble HLA ligandome</w:t>
      </w:r>
      <w:r w:rsidRPr="0040743B">
        <w:rPr>
          <w:rFonts w:ascii="Times New Roman" w:hAnsi="Times New Roman" w:cs="Times New Roman"/>
          <w:noProof/>
          <w:sz w:val="24"/>
          <w:szCs w:val="24"/>
          <w:vertAlign w:val="superscript"/>
          <w:lang w:val="en-GB"/>
        </w:rPr>
        <w:t>27</w:t>
      </w:r>
      <w:r w:rsidRPr="0040743B">
        <w:rPr>
          <w:rFonts w:ascii="Times New Roman" w:hAnsi="Times New Roman" w:cs="Times New Roman"/>
          <w:sz w:val="24"/>
          <w:szCs w:val="24"/>
          <w:lang w:val="en-GB"/>
        </w:rPr>
        <w:t>. Before start of standard CRT with TMZ, a leukapheresis was performed (target cell yield: 4.8 x 10</w:t>
      </w:r>
      <w:r w:rsidRPr="0040743B">
        <w:rPr>
          <w:rFonts w:ascii="Times New Roman" w:hAnsi="Times New Roman" w:cs="Times New Roman"/>
          <w:sz w:val="24"/>
          <w:szCs w:val="24"/>
          <w:vertAlign w:val="superscript"/>
          <w:lang w:val="en-GB"/>
        </w:rPr>
        <w:t>9</w:t>
      </w:r>
      <w:r w:rsidRPr="0040743B">
        <w:rPr>
          <w:rFonts w:ascii="Times New Roman" w:hAnsi="Times New Roman" w:cs="Times New Roman"/>
          <w:sz w:val="24"/>
          <w:szCs w:val="24"/>
          <w:lang w:val="en-GB"/>
        </w:rPr>
        <w:t xml:space="preserve"> white blood cells) and peripheral blood mononuclear cells (PBMC) were isolated for patient-individual immune repertoire analysis (see below). APVAC1 and APVAC2 vaccines for each patient were designed and manufactured starting during standard of care CRT</w:t>
      </w:r>
      <w:r w:rsidRPr="0040743B">
        <w:rPr>
          <w:rFonts w:ascii="Times New Roman" w:hAnsi="Times New Roman" w:cs="Times New Roman"/>
          <w:noProof/>
          <w:sz w:val="24"/>
          <w:szCs w:val="24"/>
          <w:vertAlign w:val="superscript"/>
          <w:lang w:val="en-GB"/>
        </w:rPr>
        <w:t>29</w:t>
      </w:r>
      <w:r w:rsidRPr="0040743B">
        <w:rPr>
          <w:rFonts w:ascii="Times New Roman" w:hAnsi="Times New Roman" w:cs="Times New Roman"/>
          <w:sz w:val="24"/>
          <w:szCs w:val="24"/>
          <w:lang w:val="en-GB"/>
        </w:rPr>
        <w:t>. Vaccinations with APVAC1 (400 µg per peptide i.d., 11 vaccinations scheduled) started on day 15 of the 1</w:t>
      </w:r>
      <w:r w:rsidRPr="0040743B">
        <w:rPr>
          <w:rFonts w:ascii="Times New Roman" w:hAnsi="Times New Roman" w:cs="Times New Roman"/>
          <w:sz w:val="24"/>
          <w:szCs w:val="24"/>
          <w:vertAlign w:val="superscript"/>
          <w:lang w:val="en-GB"/>
        </w:rPr>
        <w:t>st</w:t>
      </w:r>
      <w:r w:rsidRPr="0040743B">
        <w:rPr>
          <w:rFonts w:ascii="Times New Roman" w:hAnsi="Times New Roman" w:cs="Times New Roman"/>
          <w:sz w:val="24"/>
          <w:szCs w:val="24"/>
          <w:lang w:val="en-GB"/>
        </w:rPr>
        <w:t xml:space="preserve"> adjuvant TMZ cycle (see </w:t>
      </w:r>
      <w:r w:rsidRPr="0040743B">
        <w:rPr>
          <w:rFonts w:ascii="Times New Roman" w:hAnsi="Times New Roman" w:cs="Times New Roman"/>
          <w:bCs/>
          <w:sz w:val="24"/>
          <w:szCs w:val="24"/>
          <w:lang w:val="en-GB"/>
        </w:rPr>
        <w:t>Extended Data Fig. 2b</w:t>
      </w:r>
      <w:r w:rsidRPr="0040743B">
        <w:rPr>
          <w:rFonts w:ascii="Times New Roman" w:hAnsi="Times New Roman" w:cs="Times New Roman"/>
          <w:sz w:val="24"/>
          <w:szCs w:val="24"/>
          <w:lang w:val="en-GB"/>
        </w:rPr>
        <w:t xml:space="preserve"> for schedule details). GM-CSF (75 µg i.d.) and poly-ICLC (1.5 mg </w:t>
      </w:r>
      <w:proofErr w:type="spellStart"/>
      <w:r w:rsidRPr="0040743B">
        <w:rPr>
          <w:rFonts w:ascii="Times New Roman" w:hAnsi="Times New Roman" w:cs="Times New Roman"/>
          <w:sz w:val="24"/>
          <w:szCs w:val="24"/>
          <w:lang w:val="en-GB"/>
        </w:rPr>
        <w:t>s.c.</w:t>
      </w:r>
      <w:proofErr w:type="spellEnd"/>
      <w:r w:rsidRPr="0040743B">
        <w:rPr>
          <w:rFonts w:ascii="Times New Roman" w:hAnsi="Times New Roman" w:cs="Times New Roman"/>
          <w:sz w:val="24"/>
          <w:szCs w:val="24"/>
          <w:lang w:val="en-GB"/>
        </w:rPr>
        <w:t>) were used as immune modulators and were applied near the APVAC injection site. APVAC2 vaccines were applied starting on day 15 of the 4</w:t>
      </w:r>
      <w:r w:rsidRPr="0040743B">
        <w:rPr>
          <w:rFonts w:ascii="Times New Roman" w:hAnsi="Times New Roman" w:cs="Times New Roman"/>
          <w:sz w:val="24"/>
          <w:szCs w:val="24"/>
          <w:vertAlign w:val="superscript"/>
          <w:lang w:val="en-GB"/>
        </w:rPr>
        <w:t>th</w:t>
      </w:r>
      <w:r w:rsidRPr="0040743B">
        <w:rPr>
          <w:rFonts w:ascii="Times New Roman" w:hAnsi="Times New Roman" w:cs="Times New Roman"/>
          <w:sz w:val="24"/>
          <w:szCs w:val="24"/>
          <w:lang w:val="en-GB"/>
        </w:rPr>
        <w:t xml:space="preserve"> adjuvant TMZ cycle (400 µg per peptide i.d., 8 vaccinations scheduled), usually leading to co-application of APVAC1 and APVAC2 at three visits (</w:t>
      </w:r>
      <w:r w:rsidRPr="0040743B">
        <w:rPr>
          <w:rFonts w:ascii="Times New Roman" w:hAnsi="Times New Roman" w:cs="Times New Roman"/>
          <w:bCs/>
          <w:sz w:val="24"/>
          <w:szCs w:val="24"/>
          <w:lang w:val="en-GB"/>
        </w:rPr>
        <w:t>Fig. 1</w:t>
      </w:r>
      <w:r w:rsidRPr="0040743B">
        <w:rPr>
          <w:rFonts w:ascii="Times New Roman" w:hAnsi="Times New Roman" w:cs="Times New Roman"/>
          <w:sz w:val="24"/>
          <w:szCs w:val="24"/>
          <w:lang w:val="en-GB"/>
        </w:rPr>
        <w:t xml:space="preserve">). After completion of the regular APVAC vaccinations or after progression, it was possible to continue vaccinations if in the patient’s best interest and if medication was still available. Continued vaccinations beyond the regular schedule were performed in 4-weekly intervals. </w:t>
      </w:r>
      <w:r w:rsidR="001C2692" w:rsidRPr="0040743B">
        <w:rPr>
          <w:rFonts w:ascii="Times New Roman" w:hAnsi="Times New Roman" w:cs="Times New Roman"/>
          <w:sz w:val="24"/>
          <w:szCs w:val="24"/>
          <w:lang w:val="en-GB"/>
        </w:rPr>
        <w:t>Nine patients received vaccinations under th</w:t>
      </w:r>
      <w:r w:rsidR="00725419" w:rsidRPr="0040743B">
        <w:rPr>
          <w:rFonts w:ascii="Times New Roman" w:hAnsi="Times New Roman" w:cs="Times New Roman"/>
          <w:sz w:val="24"/>
          <w:szCs w:val="24"/>
          <w:lang w:val="en-GB"/>
        </w:rPr>
        <w:t>is</w:t>
      </w:r>
      <w:r w:rsidR="001C2692" w:rsidRPr="0040743B">
        <w:rPr>
          <w:rFonts w:ascii="Times New Roman" w:hAnsi="Times New Roman" w:cs="Times New Roman"/>
          <w:sz w:val="24"/>
          <w:szCs w:val="24"/>
          <w:lang w:val="en-GB"/>
        </w:rPr>
        <w:t xml:space="preserve"> </w:t>
      </w:r>
      <w:r w:rsidR="00725419" w:rsidRPr="0040743B">
        <w:rPr>
          <w:rFonts w:ascii="Times New Roman" w:hAnsi="Times New Roman" w:cs="Times New Roman"/>
          <w:sz w:val="24"/>
          <w:szCs w:val="24"/>
          <w:lang w:val="en-GB"/>
        </w:rPr>
        <w:t>“C</w:t>
      </w:r>
      <w:r w:rsidR="001C2692" w:rsidRPr="0040743B">
        <w:rPr>
          <w:rFonts w:ascii="Times New Roman" w:hAnsi="Times New Roman" w:cs="Times New Roman"/>
          <w:sz w:val="24"/>
          <w:szCs w:val="24"/>
          <w:lang w:val="en-GB"/>
        </w:rPr>
        <w:t>ontinued vaccination</w:t>
      </w:r>
      <w:r w:rsidR="00725419" w:rsidRPr="0040743B">
        <w:rPr>
          <w:rFonts w:ascii="Times New Roman" w:hAnsi="Times New Roman" w:cs="Times New Roman"/>
          <w:sz w:val="24"/>
          <w:szCs w:val="24"/>
          <w:lang w:val="en-GB"/>
        </w:rPr>
        <w:t>”</w:t>
      </w:r>
      <w:r w:rsidR="001C2692" w:rsidRPr="0040743B">
        <w:rPr>
          <w:rFonts w:ascii="Times New Roman" w:hAnsi="Times New Roman" w:cs="Times New Roman"/>
          <w:sz w:val="24"/>
          <w:szCs w:val="24"/>
          <w:lang w:val="en-GB"/>
        </w:rPr>
        <w:t xml:space="preserve"> option. </w:t>
      </w:r>
      <w:r w:rsidR="006B6645" w:rsidRPr="0040743B">
        <w:rPr>
          <w:rFonts w:ascii="Times New Roman" w:hAnsi="Times New Roman" w:cs="Times New Roman"/>
          <w:sz w:val="24"/>
          <w:szCs w:val="24"/>
          <w:lang w:val="en-GB"/>
        </w:rPr>
        <w:t xml:space="preserve">Exposure to standard therapy was not altered for patients in the GAPVAC-101 trial (Extended Data Fig. 2d). </w:t>
      </w:r>
      <w:r w:rsidRPr="0040743B">
        <w:rPr>
          <w:rFonts w:ascii="Times New Roman" w:hAnsi="Times New Roman" w:cs="Times New Roman"/>
          <w:sz w:val="24"/>
          <w:szCs w:val="24"/>
          <w:lang w:val="en-GB"/>
        </w:rPr>
        <w:t>Primary endpoints of the trial were safety</w:t>
      </w:r>
      <w:r w:rsidR="00EE77CB" w:rsidRPr="0040743B">
        <w:rPr>
          <w:rFonts w:ascii="Times New Roman" w:hAnsi="Times New Roman" w:cs="Times New Roman"/>
          <w:sz w:val="24"/>
          <w:szCs w:val="24"/>
          <w:lang w:val="en-GB"/>
        </w:rPr>
        <w:t xml:space="preserve"> and tolerability</w:t>
      </w:r>
      <w:r w:rsidRPr="0040743B">
        <w:rPr>
          <w:rFonts w:ascii="Times New Roman" w:hAnsi="Times New Roman" w:cs="Times New Roman"/>
          <w:sz w:val="24"/>
          <w:szCs w:val="24"/>
          <w:lang w:val="en-GB"/>
        </w:rPr>
        <w:t xml:space="preserve">, feasibility of the personalized approach and biological activity. </w:t>
      </w:r>
    </w:p>
    <w:p w14:paraId="7A4F2E26" w14:textId="3A2E2230" w:rsidR="00CF41F8" w:rsidRPr="0040743B" w:rsidRDefault="00CF41F8" w:rsidP="00CF41F8">
      <w:pPr>
        <w:pStyle w:val="Text"/>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APVAC1 selection and manufacturing.</w:t>
      </w:r>
      <w:r w:rsidRPr="0040743B">
        <w:rPr>
          <w:rFonts w:ascii="Times New Roman" w:hAnsi="Times New Roman" w:cs="Times New Roman"/>
          <w:sz w:val="24"/>
          <w:szCs w:val="24"/>
          <w:lang w:val="en-GB"/>
        </w:rPr>
        <w:t xml:space="preserve"> The patients’ fresh frozen tumour samples underwent central pathology review to enrich for necrosis-free tumour pieces with high tumour cell content. Tumour cell enriched specimens were lysed and HLA class I and class II associated peptides were isolated and analysed by MS as previously described</w:t>
      </w:r>
      <w:r w:rsidRPr="0040743B">
        <w:rPr>
          <w:rFonts w:ascii="Times New Roman" w:hAnsi="Times New Roman" w:cs="Times New Roman"/>
          <w:noProof/>
          <w:sz w:val="24"/>
          <w:szCs w:val="24"/>
          <w:vertAlign w:val="superscript"/>
          <w:lang w:val="en-GB"/>
        </w:rPr>
        <w:t>17</w:t>
      </w:r>
      <w:r w:rsidRPr="0040743B">
        <w:rPr>
          <w:rFonts w:ascii="Times New Roman" w:hAnsi="Times New Roman" w:cs="Times New Roman"/>
          <w:sz w:val="24"/>
          <w:szCs w:val="24"/>
          <w:lang w:val="en-GB"/>
        </w:rPr>
        <w:t xml:space="preserve">. </w:t>
      </w:r>
      <w:r w:rsidR="00AF0855" w:rsidRPr="0040743B">
        <w:rPr>
          <w:rFonts w:ascii="Times New Roman" w:hAnsi="Times New Roman" w:cs="Times New Roman"/>
          <w:sz w:val="24"/>
          <w:szCs w:val="24"/>
          <w:lang w:val="en-GB"/>
        </w:rPr>
        <w:t xml:space="preserve">Briefly, </w:t>
      </w:r>
      <w:r w:rsidR="009C0AA6" w:rsidRPr="0040743B">
        <w:rPr>
          <w:rFonts w:ascii="Times New Roman" w:hAnsi="Times New Roman" w:cs="Times New Roman"/>
          <w:sz w:val="24"/>
          <w:szCs w:val="24"/>
          <w:lang w:val="en-GB"/>
        </w:rPr>
        <w:t>HLA peptide extracts were separated by reversed-phase chromatography (</w:t>
      </w:r>
      <w:proofErr w:type="spellStart"/>
      <w:r w:rsidR="009C0AA6" w:rsidRPr="0040743B">
        <w:rPr>
          <w:rFonts w:ascii="Times New Roman" w:hAnsi="Times New Roman" w:cs="Times New Roman"/>
          <w:sz w:val="24"/>
          <w:szCs w:val="24"/>
          <w:lang w:val="en-GB"/>
        </w:rPr>
        <w:t>nanoAcquity</w:t>
      </w:r>
      <w:proofErr w:type="spellEnd"/>
      <w:r w:rsidR="009C0AA6" w:rsidRPr="0040743B">
        <w:rPr>
          <w:rFonts w:ascii="Times New Roman" w:hAnsi="Times New Roman" w:cs="Times New Roman"/>
          <w:sz w:val="24"/>
          <w:szCs w:val="24"/>
          <w:lang w:val="en-GB"/>
        </w:rPr>
        <w:t xml:space="preserve"> UPLC system, Waters, </w:t>
      </w:r>
      <w:r w:rsidR="00AF0855" w:rsidRPr="0040743B">
        <w:rPr>
          <w:rFonts w:ascii="Times New Roman" w:hAnsi="Times New Roman" w:cs="Times New Roman"/>
          <w:sz w:val="24"/>
          <w:szCs w:val="24"/>
          <w:lang w:val="en-GB"/>
        </w:rPr>
        <w:t>USA</w:t>
      </w:r>
      <w:r w:rsidR="009C0AA6" w:rsidRPr="0040743B">
        <w:rPr>
          <w:rFonts w:ascii="Times New Roman" w:hAnsi="Times New Roman" w:cs="Times New Roman"/>
          <w:sz w:val="24"/>
          <w:szCs w:val="24"/>
          <w:lang w:val="en-GB"/>
        </w:rPr>
        <w:t xml:space="preserve">) using </w:t>
      </w:r>
      <w:r w:rsidR="009C0AA6" w:rsidRPr="0040743B">
        <w:rPr>
          <w:rFonts w:ascii="Times New Roman" w:hAnsi="Times New Roman" w:cs="Times New Roman"/>
          <w:sz w:val="24"/>
          <w:szCs w:val="24"/>
          <w:lang w:val="en-GB"/>
        </w:rPr>
        <w:lastRenderedPageBreak/>
        <w:t xml:space="preserve">ACQUITY UPLC BEH C18 columns (75 µm × 250 mm, Waters). Mass spectrometry was performed on Orbitrap LTQ </w:t>
      </w:r>
      <w:proofErr w:type="spellStart"/>
      <w:r w:rsidR="009C0AA6" w:rsidRPr="0040743B">
        <w:rPr>
          <w:rFonts w:ascii="Times New Roman" w:hAnsi="Times New Roman" w:cs="Times New Roman"/>
          <w:sz w:val="24"/>
          <w:szCs w:val="24"/>
          <w:lang w:val="en-GB"/>
        </w:rPr>
        <w:t>Velos</w:t>
      </w:r>
      <w:proofErr w:type="spellEnd"/>
      <w:r w:rsidR="009C0AA6" w:rsidRPr="0040743B">
        <w:rPr>
          <w:rFonts w:ascii="Times New Roman" w:hAnsi="Times New Roman" w:cs="Times New Roman"/>
          <w:sz w:val="24"/>
          <w:szCs w:val="24"/>
          <w:lang w:val="en-GB"/>
        </w:rPr>
        <w:t xml:space="preserve"> </w:t>
      </w:r>
      <w:r w:rsidR="00235082" w:rsidRPr="0040743B">
        <w:rPr>
          <w:rFonts w:ascii="Times New Roman" w:hAnsi="Times New Roman" w:cs="Times New Roman"/>
          <w:sz w:val="24"/>
          <w:szCs w:val="24"/>
          <w:lang w:val="en-GB"/>
        </w:rPr>
        <w:t>or</w:t>
      </w:r>
      <w:r w:rsidR="009C0AA6" w:rsidRPr="0040743B">
        <w:rPr>
          <w:rFonts w:ascii="Times New Roman" w:hAnsi="Times New Roman" w:cs="Times New Roman"/>
          <w:sz w:val="24"/>
          <w:szCs w:val="24"/>
          <w:lang w:val="en-GB"/>
        </w:rPr>
        <w:t xml:space="preserve"> Fusion mass spectrometers (Thermo Fisher Scientific, </w:t>
      </w:r>
      <w:r w:rsidR="00235082" w:rsidRPr="0040743B">
        <w:rPr>
          <w:rFonts w:ascii="Times New Roman" w:hAnsi="Times New Roman" w:cs="Times New Roman"/>
          <w:sz w:val="24"/>
          <w:szCs w:val="24"/>
          <w:lang w:val="en-GB"/>
        </w:rPr>
        <w:t>USA</w:t>
      </w:r>
      <w:r w:rsidR="009C0AA6" w:rsidRPr="0040743B">
        <w:rPr>
          <w:rFonts w:ascii="Times New Roman" w:hAnsi="Times New Roman" w:cs="Times New Roman"/>
          <w:sz w:val="24"/>
          <w:szCs w:val="24"/>
          <w:lang w:val="en-GB"/>
        </w:rPr>
        <w:t>) by data-dependent (DDA) acquisition using collision-induced dissociation (CID) as well as higher-energy collisional dissociation (HCD)</w:t>
      </w:r>
      <w:r w:rsidR="00235082"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Further, genomic DNA and mRNA was isolated from the same lysate for mutanome and gene expression analyses, respectively. mRNA was quality-controlled and analysed by gene microarray analysis using Affymetrix Human Genome (HG) U133 Plus 2.0 oligonucleotide microarrays (Affymetrix). Finally, the patient’s PBMC were assessed for precursor T cells specific for the APVAC1 warehouse peptides as previously described</w:t>
      </w:r>
      <w:r w:rsidRPr="0040743B">
        <w:rPr>
          <w:rFonts w:ascii="Times New Roman" w:hAnsi="Times New Roman" w:cs="Times New Roman"/>
          <w:noProof/>
          <w:sz w:val="24"/>
          <w:szCs w:val="24"/>
          <w:vertAlign w:val="superscript"/>
          <w:lang w:val="en-GB"/>
        </w:rPr>
        <w:t>30</w:t>
      </w:r>
      <w:r w:rsidRPr="0040743B">
        <w:rPr>
          <w:rFonts w:ascii="Times New Roman" w:hAnsi="Times New Roman" w:cs="Times New Roman"/>
          <w:sz w:val="24"/>
          <w:szCs w:val="24"/>
          <w:lang w:val="en-GB"/>
        </w:rPr>
        <w:t>. Briefly,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were stimulated </w:t>
      </w:r>
      <w:r w:rsidRPr="0040743B">
        <w:rPr>
          <w:rFonts w:ascii="Times New Roman" w:hAnsi="Times New Roman" w:cs="Times New Roman"/>
          <w:i/>
          <w:iCs/>
          <w:sz w:val="24"/>
          <w:szCs w:val="24"/>
          <w:lang w:val="en-GB"/>
        </w:rPr>
        <w:t>in vitro</w:t>
      </w:r>
      <w:r w:rsidRPr="0040743B">
        <w:rPr>
          <w:rFonts w:ascii="Times New Roman" w:hAnsi="Times New Roman" w:cs="Times New Roman"/>
          <w:sz w:val="24"/>
          <w:szCs w:val="24"/>
          <w:lang w:val="en-GB"/>
        </w:rPr>
        <w:t xml:space="preserve"> under limited dilution conditions (usually 12 wells per peptide) using artificial antigen presenting cells. Wells with &gt;1% specific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as per multimer staining after 3 weeks of culture were counted as positive. If no patient individual immunogenicity data were available (pat</w:t>
      </w:r>
      <w:r w:rsidR="0057183E" w:rsidRPr="0040743B">
        <w:rPr>
          <w:rFonts w:ascii="Times New Roman" w:hAnsi="Times New Roman" w:cs="Times New Roman"/>
          <w:sz w:val="24"/>
          <w:szCs w:val="24"/>
          <w:lang w:val="en-GB"/>
        </w:rPr>
        <w:t>ient</w:t>
      </w:r>
      <w:r w:rsidRPr="0040743B">
        <w:rPr>
          <w:rFonts w:ascii="Times New Roman" w:hAnsi="Times New Roman" w:cs="Times New Roman"/>
          <w:sz w:val="24"/>
          <w:szCs w:val="24"/>
          <w:lang w:val="en-GB"/>
        </w:rPr>
        <w:t xml:space="preserve"> 13), the percentage of positive wells in healthy donors was used as surrogate. For each patient a ranking score was calculated for each warehouse peptide, considering the individual peptide presentation data, mRNA expression data and immunogenicity data (see </w:t>
      </w:r>
      <w:r w:rsidRPr="0040743B">
        <w:rPr>
          <w:rFonts w:ascii="Times New Roman" w:hAnsi="Times New Roman" w:cs="Times New Roman"/>
          <w:bCs/>
          <w:sz w:val="24"/>
          <w:szCs w:val="24"/>
          <w:lang w:val="en-GB"/>
        </w:rPr>
        <w:t>Supplementary Methods 1</w:t>
      </w:r>
      <w:r w:rsidR="00946D07" w:rsidRPr="0040743B">
        <w:rPr>
          <w:rFonts w:ascii="Times New Roman" w:hAnsi="Times New Roman" w:cs="Times New Roman"/>
          <w:bCs/>
          <w:sz w:val="24"/>
          <w:szCs w:val="24"/>
          <w:lang w:val="en-GB"/>
        </w:rPr>
        <w:t xml:space="preserve">: </w:t>
      </w:r>
      <w:r w:rsidRPr="0040743B">
        <w:rPr>
          <w:rFonts w:ascii="Times New Roman" w:hAnsi="Times New Roman" w:cs="Times New Roman"/>
          <w:bCs/>
          <w:sz w:val="24"/>
          <w:szCs w:val="24"/>
          <w:lang w:val="en-GB"/>
        </w:rPr>
        <w:t>‘APVAC1 selection process’</w:t>
      </w:r>
      <w:r w:rsidRPr="0040743B">
        <w:rPr>
          <w:rFonts w:ascii="Times New Roman" w:hAnsi="Times New Roman" w:cs="Times New Roman"/>
          <w:sz w:val="24"/>
          <w:szCs w:val="24"/>
          <w:lang w:val="en-GB"/>
        </w:rPr>
        <w:t xml:space="preserve"> for details). In brief, the different parameters were transformed into probability scores (values between 0 and 1) using a Bayesian method. The rank score of a warehouse peptide constitutes a probabilistic score ensuring a strong tumour association as well as </w:t>
      </w:r>
      <w:proofErr w:type="gramStart"/>
      <w:r w:rsidRPr="0040743B">
        <w:rPr>
          <w:rFonts w:ascii="Times New Roman" w:hAnsi="Times New Roman" w:cs="Times New Roman"/>
          <w:sz w:val="24"/>
          <w:szCs w:val="24"/>
          <w:lang w:val="en-GB"/>
        </w:rPr>
        <w:t>sufficient</w:t>
      </w:r>
      <w:proofErr w:type="gramEnd"/>
      <w:r w:rsidRPr="0040743B">
        <w:rPr>
          <w:rFonts w:ascii="Times New Roman" w:hAnsi="Times New Roman" w:cs="Times New Roman"/>
          <w:sz w:val="24"/>
          <w:szCs w:val="24"/>
          <w:lang w:val="en-GB"/>
        </w:rPr>
        <w:t xml:space="preserve"> immunogenicity for highly ranked peptides. For each patient, the seven best</w:t>
      </w:r>
      <w:r w:rsidR="006B284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ranked peptides were selected into the personalized APVAC1 composition (</w:t>
      </w:r>
      <w:r w:rsidR="00F92B5C" w:rsidRPr="0040743B">
        <w:rPr>
          <w:rFonts w:ascii="Times New Roman" w:hAnsi="Times New Roman" w:cs="Times New Roman"/>
          <w:sz w:val="24"/>
          <w:szCs w:val="24"/>
          <w:lang w:val="en-GB"/>
        </w:rPr>
        <w:t xml:space="preserve">as shown exemplarily for patient 05 in </w:t>
      </w:r>
      <w:r w:rsidRPr="0040743B">
        <w:rPr>
          <w:rFonts w:ascii="Times New Roman" w:hAnsi="Times New Roman" w:cs="Times New Roman"/>
          <w:bCs/>
          <w:sz w:val="24"/>
          <w:szCs w:val="24"/>
          <w:lang w:val="en-GB"/>
        </w:rPr>
        <w:t>Extended Data Fig. 1a</w:t>
      </w:r>
      <w:r w:rsidRPr="0040743B">
        <w:rPr>
          <w:rFonts w:ascii="Times New Roman" w:hAnsi="Times New Roman" w:cs="Times New Roman"/>
          <w:sz w:val="24"/>
          <w:szCs w:val="24"/>
          <w:lang w:val="en-GB"/>
        </w:rPr>
        <w:t xml:space="preserve">) together with a viral marker peptide (HBV-001 or HCV-002) and BIR-002/PTP-010 as invariant </w:t>
      </w:r>
      <w:r w:rsidR="00685DB1" w:rsidRPr="0040743B">
        <w:rPr>
          <w:rFonts w:ascii="Times New Roman" w:hAnsi="Times New Roman" w:cs="Times New Roman"/>
          <w:sz w:val="24"/>
          <w:szCs w:val="24"/>
          <w:lang w:val="en-GB"/>
        </w:rPr>
        <w:t>pan-</w:t>
      </w:r>
      <w:r w:rsidRPr="0040743B">
        <w:rPr>
          <w:rFonts w:ascii="Times New Roman" w:hAnsi="Times New Roman" w:cs="Times New Roman"/>
          <w:sz w:val="24"/>
          <w:szCs w:val="24"/>
          <w:lang w:val="en-GB"/>
        </w:rPr>
        <w:t>HLA</w:t>
      </w:r>
      <w:r w:rsidR="00685DB1" w:rsidRPr="0040743B">
        <w:rPr>
          <w:rFonts w:ascii="Times New Roman" w:hAnsi="Times New Roman" w:cs="Times New Roman"/>
          <w:sz w:val="24"/>
          <w:szCs w:val="24"/>
          <w:lang w:val="en-GB"/>
        </w:rPr>
        <w:t>-DR</w:t>
      </w:r>
      <w:r w:rsidRPr="0040743B">
        <w:rPr>
          <w:rFonts w:ascii="Times New Roman" w:hAnsi="Times New Roman" w:cs="Times New Roman"/>
          <w:sz w:val="24"/>
          <w:szCs w:val="24"/>
          <w:lang w:val="en-GB"/>
        </w:rPr>
        <w:t xml:space="preserve"> </w:t>
      </w:r>
      <w:r w:rsidR="00685DB1"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class II</w:t>
      </w:r>
      <w:r w:rsidR="00685DB1"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binding peptides (PTP-010 was replaced by BCA-005 for two compositions due to stability issues). Finally, APVAC1 compositions were </w:t>
      </w:r>
      <w:r w:rsidRPr="0040743B">
        <w:rPr>
          <w:rFonts w:ascii="Times New Roman" w:hAnsi="Times New Roman" w:cs="Times New Roman"/>
          <w:sz w:val="24"/>
          <w:szCs w:val="24"/>
          <w:lang w:val="en-GB"/>
        </w:rPr>
        <w:lastRenderedPageBreak/>
        <w:t xml:space="preserve">reviewed and approved by a Target Selection Committee (TSC). The peptides were formulated into single-dose vials and released according to GMP at the manufacturing site of the Department of Immunology, </w:t>
      </w:r>
      <w:r w:rsidR="006B756C" w:rsidRPr="0040743B">
        <w:rPr>
          <w:rFonts w:ascii="Times New Roman" w:hAnsi="Times New Roman" w:cs="Times New Roman"/>
          <w:sz w:val="24"/>
          <w:szCs w:val="24"/>
          <w:lang w:val="en-GB"/>
        </w:rPr>
        <w:t>Univer</w:t>
      </w:r>
      <w:r w:rsidR="00F92B5C" w:rsidRPr="0040743B">
        <w:rPr>
          <w:rFonts w:ascii="Times New Roman" w:hAnsi="Times New Roman" w:cs="Times New Roman"/>
          <w:sz w:val="24"/>
          <w:szCs w:val="24"/>
          <w:lang w:val="en-GB"/>
        </w:rPr>
        <w:t>si</w:t>
      </w:r>
      <w:r w:rsidR="006B756C" w:rsidRPr="0040743B">
        <w:rPr>
          <w:rFonts w:ascii="Times New Roman" w:hAnsi="Times New Roman" w:cs="Times New Roman"/>
          <w:sz w:val="24"/>
          <w:szCs w:val="24"/>
          <w:lang w:val="en-GB"/>
        </w:rPr>
        <w:t xml:space="preserve">ty </w:t>
      </w:r>
      <w:r w:rsidRPr="0040743B">
        <w:rPr>
          <w:rFonts w:ascii="Times New Roman" w:hAnsi="Times New Roman" w:cs="Times New Roman"/>
          <w:sz w:val="24"/>
          <w:szCs w:val="24"/>
          <w:lang w:val="en-GB"/>
        </w:rPr>
        <w:t xml:space="preserve">of </w:t>
      </w:r>
      <w:r w:rsidR="001860E4" w:rsidRPr="0040743B">
        <w:rPr>
          <w:rFonts w:ascii="Times New Roman" w:hAnsi="Times New Roman" w:cs="Times New Roman"/>
          <w:sz w:val="24"/>
          <w:szCs w:val="24"/>
          <w:lang w:val="en-GB"/>
        </w:rPr>
        <w:t xml:space="preserve">Tübingen </w:t>
      </w:r>
      <w:r w:rsidRPr="0040743B">
        <w:rPr>
          <w:rFonts w:ascii="Times New Roman" w:hAnsi="Times New Roman" w:cs="Times New Roman"/>
          <w:sz w:val="24"/>
          <w:szCs w:val="24"/>
          <w:lang w:val="en-GB"/>
        </w:rPr>
        <w:t>(Germany).</w:t>
      </w:r>
    </w:p>
    <w:p w14:paraId="4AAA4FF4" w14:textId="16E261AF" w:rsidR="00CF41F8" w:rsidRPr="0040743B" w:rsidRDefault="00CF41F8" w:rsidP="00CF41F8">
      <w:pPr>
        <w:pStyle w:val="Text"/>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APVAC2 selection and manufacturing.</w:t>
      </w:r>
      <w:r w:rsidRPr="0040743B">
        <w:rPr>
          <w:rFonts w:ascii="Times New Roman" w:hAnsi="Times New Roman" w:cs="Times New Roman"/>
          <w:sz w:val="24"/>
          <w:szCs w:val="24"/>
          <w:lang w:val="en-GB"/>
        </w:rPr>
        <w:t xml:space="preserve"> For APVAC2, tumour-specific somatic mutations were analysed by </w:t>
      </w:r>
      <w:proofErr w:type="spellStart"/>
      <w:r w:rsidRPr="0040743B">
        <w:rPr>
          <w:rFonts w:ascii="Times New Roman" w:hAnsi="Times New Roman" w:cs="Times New Roman"/>
          <w:sz w:val="24"/>
          <w:szCs w:val="24"/>
          <w:lang w:val="en-GB"/>
        </w:rPr>
        <w:t>BioNTech</w:t>
      </w:r>
      <w:proofErr w:type="spellEnd"/>
      <w:r w:rsidRPr="0040743B">
        <w:rPr>
          <w:rFonts w:ascii="Times New Roman" w:hAnsi="Times New Roman" w:cs="Times New Roman"/>
          <w:sz w:val="24"/>
          <w:szCs w:val="24"/>
          <w:lang w:val="en-GB"/>
        </w:rPr>
        <w:t xml:space="preserve"> AG (Mainz, Germany) from the </w:t>
      </w:r>
      <w:r w:rsidR="004B6CA4" w:rsidRPr="0040743B">
        <w:rPr>
          <w:rFonts w:ascii="Times New Roman" w:hAnsi="Times New Roman" w:cs="Times New Roman"/>
          <w:sz w:val="24"/>
          <w:szCs w:val="24"/>
          <w:lang w:val="en-GB"/>
        </w:rPr>
        <w:t>de</w:t>
      </w:r>
      <w:r w:rsidR="0053029E" w:rsidRPr="0040743B">
        <w:rPr>
          <w:rFonts w:ascii="Times New Roman" w:hAnsi="Times New Roman" w:cs="Times New Roman"/>
          <w:sz w:val="24"/>
          <w:szCs w:val="24"/>
          <w:lang w:val="en-GB"/>
        </w:rPr>
        <w:t>ox</w:t>
      </w:r>
      <w:r w:rsidR="005F40C4" w:rsidRPr="0040743B">
        <w:rPr>
          <w:rFonts w:ascii="Times New Roman" w:hAnsi="Times New Roman" w:cs="Times New Roman"/>
          <w:sz w:val="24"/>
          <w:szCs w:val="24"/>
          <w:lang w:val="en-GB"/>
        </w:rPr>
        <w:t>y</w:t>
      </w:r>
      <w:r w:rsidR="0053029E" w:rsidRPr="0040743B">
        <w:rPr>
          <w:rFonts w:ascii="Times New Roman" w:hAnsi="Times New Roman" w:cs="Times New Roman"/>
          <w:sz w:val="24"/>
          <w:szCs w:val="24"/>
          <w:lang w:val="en-GB"/>
        </w:rPr>
        <w:t>rib</w:t>
      </w:r>
      <w:r w:rsidR="005F40C4" w:rsidRPr="0040743B">
        <w:rPr>
          <w:rFonts w:ascii="Times New Roman" w:hAnsi="Times New Roman" w:cs="Times New Roman"/>
          <w:sz w:val="24"/>
          <w:szCs w:val="24"/>
          <w:lang w:val="en-GB"/>
        </w:rPr>
        <w:t>o</w:t>
      </w:r>
      <w:r w:rsidR="0053029E" w:rsidRPr="0040743B">
        <w:rPr>
          <w:rFonts w:ascii="Times New Roman" w:hAnsi="Times New Roman" w:cs="Times New Roman"/>
          <w:sz w:val="24"/>
          <w:szCs w:val="24"/>
          <w:lang w:val="en-GB"/>
        </w:rPr>
        <w:t>nucleic acid (</w:t>
      </w:r>
      <w:r w:rsidRPr="0040743B">
        <w:rPr>
          <w:rFonts w:ascii="Times New Roman" w:hAnsi="Times New Roman" w:cs="Times New Roman"/>
          <w:sz w:val="24"/>
          <w:szCs w:val="24"/>
          <w:lang w:val="en-GB"/>
        </w:rPr>
        <w:t>DNA</w:t>
      </w:r>
      <w:r w:rsidR="0053029E"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and </w:t>
      </w:r>
      <w:r w:rsidR="0053029E" w:rsidRPr="0040743B">
        <w:rPr>
          <w:rFonts w:ascii="Times New Roman" w:hAnsi="Times New Roman" w:cs="Times New Roman"/>
          <w:sz w:val="24"/>
          <w:szCs w:val="24"/>
          <w:lang w:val="en-GB"/>
        </w:rPr>
        <w:t>ribonucleic acid (</w:t>
      </w:r>
      <w:r w:rsidRPr="0040743B">
        <w:rPr>
          <w:rFonts w:ascii="Times New Roman" w:hAnsi="Times New Roman" w:cs="Times New Roman"/>
          <w:sz w:val="24"/>
          <w:szCs w:val="24"/>
          <w:lang w:val="en-GB"/>
        </w:rPr>
        <w:t>RNA</w:t>
      </w:r>
      <w:r w:rsidR="0053029E"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samples extracted from high quality enriched tumour material as compared to DNA from normal blood cells from the same patient using Next Generation Sequencing (NGS). Whole exome sequencing libraries were prepared using Agilent’s </w:t>
      </w:r>
      <w:proofErr w:type="spellStart"/>
      <w:r w:rsidRPr="0040743B">
        <w:rPr>
          <w:rFonts w:ascii="Times New Roman" w:hAnsi="Times New Roman" w:cs="Times New Roman"/>
          <w:sz w:val="24"/>
          <w:szCs w:val="24"/>
          <w:lang w:val="en-GB"/>
        </w:rPr>
        <w:t>SureSelect</w:t>
      </w:r>
      <w:proofErr w:type="spellEnd"/>
      <w:r w:rsidRPr="0040743B">
        <w:rPr>
          <w:rFonts w:ascii="Times New Roman" w:hAnsi="Times New Roman" w:cs="Times New Roman"/>
          <w:sz w:val="24"/>
          <w:szCs w:val="24"/>
          <w:lang w:val="en-GB"/>
        </w:rPr>
        <w:t xml:space="preserve"> V6 XT Kit. From the tumour RNA, poly(A)-based RNA sequencing libraries were prepared using Illumina’s </w:t>
      </w:r>
      <w:proofErr w:type="spellStart"/>
      <w:r w:rsidRPr="0040743B">
        <w:rPr>
          <w:rFonts w:ascii="Times New Roman" w:hAnsi="Times New Roman" w:cs="Times New Roman"/>
          <w:sz w:val="24"/>
          <w:szCs w:val="24"/>
          <w:lang w:val="en-GB"/>
        </w:rPr>
        <w:t>TruSeq</w:t>
      </w:r>
      <w:proofErr w:type="spellEnd"/>
      <w:r w:rsidRPr="0040743B">
        <w:rPr>
          <w:rFonts w:ascii="Times New Roman" w:hAnsi="Times New Roman" w:cs="Times New Roman"/>
          <w:sz w:val="24"/>
          <w:szCs w:val="24"/>
          <w:lang w:val="en-GB"/>
        </w:rPr>
        <w:t>. For samples with a tumour content above 40%, whole exome and RNA sequencing libraries were prepared in singletons and sequenced paired-end for 50 nucleotides (</w:t>
      </w:r>
      <w:proofErr w:type="spellStart"/>
      <w:r w:rsidRPr="0040743B">
        <w:rPr>
          <w:rFonts w:ascii="Times New Roman" w:hAnsi="Times New Roman" w:cs="Times New Roman"/>
          <w:sz w:val="24"/>
          <w:szCs w:val="24"/>
          <w:lang w:val="en-GB"/>
        </w:rPr>
        <w:t>nt</w:t>
      </w:r>
      <w:proofErr w:type="spellEnd"/>
      <w:r w:rsidRPr="0040743B">
        <w:rPr>
          <w:rFonts w:ascii="Times New Roman" w:hAnsi="Times New Roman" w:cs="Times New Roman"/>
          <w:sz w:val="24"/>
          <w:szCs w:val="24"/>
          <w:lang w:val="en-GB"/>
        </w:rPr>
        <w:t xml:space="preserve">) on an Illumina </w:t>
      </w:r>
      <w:proofErr w:type="spellStart"/>
      <w:r w:rsidRPr="0040743B">
        <w:rPr>
          <w:rFonts w:ascii="Times New Roman" w:hAnsi="Times New Roman" w:cs="Times New Roman"/>
          <w:sz w:val="24"/>
          <w:szCs w:val="24"/>
          <w:lang w:val="en-GB"/>
        </w:rPr>
        <w:t>HiSeq</w:t>
      </w:r>
      <w:proofErr w:type="spellEnd"/>
      <w:r w:rsidRPr="0040743B">
        <w:rPr>
          <w:rFonts w:ascii="Times New Roman" w:hAnsi="Times New Roman" w:cs="Times New Roman"/>
          <w:sz w:val="24"/>
          <w:szCs w:val="24"/>
          <w:lang w:val="en-GB"/>
        </w:rPr>
        <w:t xml:space="preserve"> 2500, aiming for a minimum of 150 million reads per library. For samples with a tumour content below 40%, library preparation and sequencing were done in duplicates. All mutanome-related data analysis steps were coordinated by a software pipeline. For the DNA libraries, a minimum of 150 × 10</w:t>
      </w:r>
      <w:r w:rsidRPr="0040743B">
        <w:rPr>
          <w:rFonts w:ascii="Times New Roman" w:hAnsi="Times New Roman" w:cs="Times New Roman"/>
          <w:sz w:val="24"/>
          <w:szCs w:val="24"/>
          <w:vertAlign w:val="superscript"/>
          <w:lang w:val="en-GB"/>
        </w:rPr>
        <w:t>6</w:t>
      </w:r>
      <w:r w:rsidRPr="0040743B">
        <w:rPr>
          <w:rFonts w:ascii="Times New Roman" w:hAnsi="Times New Roman" w:cs="Times New Roman"/>
          <w:sz w:val="24"/>
          <w:szCs w:val="24"/>
          <w:lang w:val="en-GB"/>
        </w:rPr>
        <w:t xml:space="preserve"> paired-end 50 </w:t>
      </w:r>
      <w:proofErr w:type="spellStart"/>
      <w:r w:rsidRPr="0040743B">
        <w:rPr>
          <w:rFonts w:ascii="Times New Roman" w:hAnsi="Times New Roman" w:cs="Times New Roman"/>
          <w:sz w:val="24"/>
          <w:szCs w:val="24"/>
          <w:lang w:val="en-GB"/>
        </w:rPr>
        <w:t>nt</w:t>
      </w:r>
      <w:proofErr w:type="spellEnd"/>
      <w:r w:rsidRPr="0040743B">
        <w:rPr>
          <w:rFonts w:ascii="Times New Roman" w:hAnsi="Times New Roman" w:cs="Times New Roman"/>
          <w:sz w:val="24"/>
          <w:szCs w:val="24"/>
          <w:lang w:val="en-GB"/>
        </w:rPr>
        <w:t xml:space="preserve"> reads and for the RNA libraries a minimum of 75 × 10</w:t>
      </w:r>
      <w:r w:rsidRPr="0040743B">
        <w:rPr>
          <w:rFonts w:ascii="Times New Roman" w:hAnsi="Times New Roman" w:cs="Times New Roman"/>
          <w:sz w:val="24"/>
          <w:szCs w:val="24"/>
          <w:vertAlign w:val="superscript"/>
          <w:lang w:val="en-GB"/>
        </w:rPr>
        <w:t>6</w:t>
      </w:r>
      <w:r w:rsidRPr="0040743B">
        <w:rPr>
          <w:rFonts w:ascii="Times New Roman" w:hAnsi="Times New Roman" w:cs="Times New Roman"/>
          <w:sz w:val="24"/>
          <w:szCs w:val="24"/>
          <w:lang w:val="en-GB"/>
        </w:rPr>
        <w:t xml:space="preserve"> paired-end 50 </w:t>
      </w:r>
      <w:proofErr w:type="spellStart"/>
      <w:r w:rsidRPr="0040743B">
        <w:rPr>
          <w:rFonts w:ascii="Times New Roman" w:hAnsi="Times New Roman" w:cs="Times New Roman"/>
          <w:sz w:val="24"/>
          <w:szCs w:val="24"/>
          <w:lang w:val="en-GB"/>
        </w:rPr>
        <w:t>nt</w:t>
      </w:r>
      <w:proofErr w:type="spellEnd"/>
      <w:r w:rsidRPr="0040743B">
        <w:rPr>
          <w:rFonts w:ascii="Times New Roman" w:hAnsi="Times New Roman" w:cs="Times New Roman"/>
          <w:sz w:val="24"/>
          <w:szCs w:val="24"/>
          <w:lang w:val="en-GB"/>
        </w:rPr>
        <w:t xml:space="preserve"> reads were required. For mutation detection, DNA reads were aligned to the reference genome hg19 with bwa</w:t>
      </w:r>
      <w:r w:rsidRPr="0040743B">
        <w:rPr>
          <w:rFonts w:ascii="Times New Roman" w:hAnsi="Times New Roman" w:cs="Times New Roman"/>
          <w:noProof/>
          <w:sz w:val="24"/>
          <w:szCs w:val="24"/>
          <w:vertAlign w:val="superscript"/>
          <w:lang w:val="en-GB"/>
        </w:rPr>
        <w:t>31</w:t>
      </w:r>
      <w:r w:rsidRPr="0040743B">
        <w:rPr>
          <w:rFonts w:ascii="Times New Roman" w:hAnsi="Times New Roman" w:cs="Times New Roman"/>
          <w:sz w:val="24"/>
          <w:szCs w:val="24"/>
          <w:lang w:val="en-GB"/>
        </w:rPr>
        <w:t xml:space="preserve">. Exomes from tumour and matched normal samples were analysed for single nucleotide variants. Loci with putative homozygous genotypes in the normal samples were identified and filtered to retain high confidence calls for single nucleotide variants. Remaining sites were further inspected for a putative homozygous or heterozygous mutational event. Suspected sites were filtered to remove potential false positives. The final list of single-nucleotide variants was comprised of high confidence homozygous sites in the normal samples and high confidence heterozygous or homozygous mutational events in </w:t>
      </w:r>
      <w:r w:rsidRPr="0040743B">
        <w:rPr>
          <w:rFonts w:ascii="Times New Roman" w:hAnsi="Times New Roman" w:cs="Times New Roman"/>
          <w:sz w:val="24"/>
          <w:szCs w:val="24"/>
          <w:lang w:val="en-GB"/>
        </w:rPr>
        <w:lastRenderedPageBreak/>
        <w:t>the tumour samples. Genomic coordinates of identified variants were compared with the University of California Santa Cruz (UCSC) known genes transcript coordinates to associate the variants with genes, transcripts, potential amino acid sequence changes and the RNAseq-derived expression values. For RNAseq, RNA reads were aligned to the hg19 reference genome and transcriptome using bowtie</w:t>
      </w:r>
      <w:r w:rsidRPr="0040743B">
        <w:rPr>
          <w:rFonts w:ascii="Times New Roman" w:hAnsi="Times New Roman" w:cs="Times New Roman"/>
          <w:noProof/>
          <w:sz w:val="24"/>
          <w:szCs w:val="24"/>
          <w:vertAlign w:val="superscript"/>
          <w:lang w:val="en-GB"/>
        </w:rPr>
        <w:t>32</w:t>
      </w:r>
      <w:r w:rsidRPr="0040743B">
        <w:rPr>
          <w:rFonts w:ascii="Times New Roman" w:hAnsi="Times New Roman" w:cs="Times New Roman"/>
          <w:sz w:val="24"/>
          <w:szCs w:val="24"/>
          <w:lang w:val="en-GB"/>
        </w:rPr>
        <w:t xml:space="preserve">, and gene expression was determined by comparison with UCSC known genes transcript and exon coordinates, followed by normalization to </w:t>
      </w:r>
      <w:r w:rsidR="003250AC" w:rsidRPr="0040743B">
        <w:rPr>
          <w:rFonts w:ascii="Times New Roman" w:hAnsi="Times New Roman" w:cs="Times New Roman"/>
          <w:sz w:val="24"/>
          <w:szCs w:val="24"/>
          <w:lang w:val="en-GB"/>
        </w:rPr>
        <w:t>reads per kilobase million (</w:t>
      </w:r>
      <w:r w:rsidRPr="0040743B">
        <w:rPr>
          <w:rFonts w:ascii="Times New Roman" w:hAnsi="Times New Roman" w:cs="Times New Roman"/>
          <w:sz w:val="24"/>
          <w:szCs w:val="24"/>
          <w:lang w:val="en-GB"/>
        </w:rPr>
        <w:t>RPKM</w:t>
      </w:r>
      <w:r w:rsidR="003250AC"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units</w:t>
      </w:r>
      <w:r w:rsidRPr="0040743B">
        <w:rPr>
          <w:rFonts w:ascii="Times New Roman" w:hAnsi="Times New Roman" w:cs="Times New Roman"/>
          <w:noProof/>
          <w:sz w:val="24"/>
          <w:szCs w:val="24"/>
          <w:vertAlign w:val="superscript"/>
          <w:lang w:val="en-GB"/>
        </w:rPr>
        <w:t>33</w:t>
      </w:r>
      <w:r w:rsidRPr="0040743B">
        <w:rPr>
          <w:rFonts w:ascii="Times New Roman" w:hAnsi="Times New Roman" w:cs="Times New Roman"/>
          <w:sz w:val="24"/>
          <w:szCs w:val="24"/>
          <w:lang w:val="en-GB"/>
        </w:rPr>
        <w:t>. High sensitivity liquid chromatography tandem MS (LC-MS/MS) data were analysed against a personalized proteome library containing all single-nucleotide variants to identify HLA class I</w:t>
      </w:r>
      <w:r w:rsidR="00754121"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and class II-presented, mutation-containing peptides. MS-confirmed mutations containing HLA epitopes would have gained priority for APVAC2 (but were not detected). As second track, predicted variants were selected from the identified single-nucleotide variants by first removing of non-sense variants and filtering by non-zero exon- and transcript expression and then sorting by exon expression followed by HLA class I binding prediction score using a stable sorting algorithm. HLA binding affinity was predicted via the Immune Epitope Database (IEDB) T-cell prediction tools (version 2.5</w:t>
      </w:r>
      <w:r w:rsidR="009605DE" w:rsidRPr="0040743B">
        <w:rPr>
          <w:rFonts w:ascii="Times New Roman" w:hAnsi="Times New Roman" w:cs="Times New Roman"/>
          <w:sz w:val="24"/>
          <w:szCs w:val="24"/>
          <w:lang w:val="en-GB"/>
        </w:rPr>
        <w:t>, IEDB-recommended mode</w:t>
      </w:r>
      <w:r w:rsidRPr="0040743B">
        <w:rPr>
          <w:rFonts w:ascii="Times New Roman" w:hAnsi="Times New Roman" w:cs="Times New Roman"/>
          <w:sz w:val="24"/>
          <w:szCs w:val="24"/>
          <w:lang w:val="en-GB"/>
        </w:rPr>
        <w:t>)</w:t>
      </w:r>
      <w:r w:rsidRPr="0040743B">
        <w:rPr>
          <w:rFonts w:ascii="Times New Roman" w:hAnsi="Times New Roman" w:cs="Times New Roman"/>
          <w:noProof/>
          <w:sz w:val="24"/>
          <w:szCs w:val="24"/>
          <w:vertAlign w:val="superscript"/>
          <w:lang w:val="en-GB"/>
        </w:rPr>
        <w:t>34</w:t>
      </w:r>
      <w:r w:rsidRPr="0040743B">
        <w:rPr>
          <w:rFonts w:ascii="Times New Roman" w:hAnsi="Times New Roman" w:cs="Times New Roman"/>
          <w:sz w:val="24"/>
          <w:szCs w:val="24"/>
          <w:lang w:val="en-GB"/>
        </w:rPr>
        <w:t xml:space="preserve"> using all variant-containing 8-11mers for HLA-A/B binding estimations. Out of all predictions for a single variant, the best IEDB consensus score was associated with the respective variants. Potential immunogenicity was assessed by calculating the difference of the predicted HLA binding affinity of the mutant peptide and the wild type counterpart as well as the absolute predicted HLA binding and the variant expression, in analogy to a previously published algorithm</w:t>
      </w:r>
      <w:r w:rsidRPr="0040743B">
        <w:rPr>
          <w:rFonts w:ascii="Times New Roman" w:hAnsi="Times New Roman" w:cs="Times New Roman"/>
          <w:noProof/>
          <w:sz w:val="24"/>
          <w:szCs w:val="24"/>
          <w:vertAlign w:val="superscript"/>
          <w:lang w:val="en-GB"/>
        </w:rPr>
        <w:t>35</w:t>
      </w:r>
      <w:r w:rsidRPr="0040743B">
        <w:rPr>
          <w:rFonts w:ascii="Times New Roman" w:hAnsi="Times New Roman" w:cs="Times New Roman"/>
          <w:sz w:val="24"/>
          <w:szCs w:val="24"/>
          <w:lang w:val="en-GB"/>
        </w:rPr>
        <w:t>. A shortlist of up to 46 single-nucleotide variants (SNV) was selected for confirmation by Sanger sequencing. For primer design, genomic sequences flanking the mutation sites were extracted from the reference genome and used as input for the primer3 software</w:t>
      </w:r>
      <w:r w:rsidRPr="0040743B">
        <w:rPr>
          <w:rFonts w:ascii="Times New Roman" w:hAnsi="Times New Roman" w:cs="Times New Roman"/>
          <w:noProof/>
          <w:sz w:val="24"/>
          <w:szCs w:val="24"/>
          <w:vertAlign w:val="superscript"/>
          <w:lang w:val="en-GB"/>
        </w:rPr>
        <w:t>36,37</w:t>
      </w:r>
      <w:r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lastRenderedPageBreak/>
        <w:t>The output primer pairs were aligned to the reference genome using BLAT</w:t>
      </w:r>
      <w:r w:rsidRPr="0040743B">
        <w:rPr>
          <w:rFonts w:ascii="Times New Roman" w:hAnsi="Times New Roman" w:cs="Times New Roman"/>
          <w:noProof/>
          <w:sz w:val="24"/>
          <w:szCs w:val="24"/>
          <w:vertAlign w:val="superscript"/>
          <w:lang w:val="en-GB"/>
        </w:rPr>
        <w:t>38</w:t>
      </w:r>
      <w:r w:rsidRPr="0040743B">
        <w:rPr>
          <w:rFonts w:ascii="Times New Roman" w:hAnsi="Times New Roman" w:cs="Times New Roman"/>
          <w:sz w:val="24"/>
          <w:szCs w:val="24"/>
          <w:lang w:val="en-GB"/>
        </w:rPr>
        <w:t xml:space="preserve">. Primer pairs with alignments to off-target loci were removed, and the remaining optimal primer pair was returned for each input site. Sanger sequencing was performed by amplifying each selected mutated locus from tumour tissue and </w:t>
      </w:r>
      <w:r w:rsidR="00A049E3" w:rsidRPr="0040743B">
        <w:rPr>
          <w:rFonts w:ascii="Times New Roman" w:hAnsi="Times New Roman" w:cs="Times New Roman"/>
          <w:sz w:val="24"/>
          <w:szCs w:val="24"/>
          <w:lang w:val="en-GB"/>
        </w:rPr>
        <w:t xml:space="preserve">white blood cell </w:t>
      </w:r>
      <w:r w:rsidRPr="0040743B">
        <w:rPr>
          <w:rFonts w:ascii="Times New Roman" w:hAnsi="Times New Roman" w:cs="Times New Roman"/>
          <w:sz w:val="24"/>
          <w:szCs w:val="24"/>
          <w:lang w:val="en-GB"/>
        </w:rPr>
        <w:t xml:space="preserve">DNA by </w:t>
      </w:r>
      <w:r w:rsidR="00A049E3" w:rsidRPr="0040743B">
        <w:rPr>
          <w:rFonts w:ascii="Times New Roman" w:hAnsi="Times New Roman" w:cs="Times New Roman"/>
          <w:sz w:val="24"/>
          <w:szCs w:val="24"/>
          <w:lang w:val="en-GB"/>
        </w:rPr>
        <w:t>polymerase chain reaction (</w:t>
      </w:r>
      <w:r w:rsidRPr="0040743B">
        <w:rPr>
          <w:rFonts w:ascii="Times New Roman" w:hAnsi="Times New Roman" w:cs="Times New Roman"/>
          <w:sz w:val="24"/>
          <w:szCs w:val="24"/>
          <w:lang w:val="en-GB"/>
        </w:rPr>
        <w:t>PCR</w:t>
      </w:r>
      <w:r w:rsidR="00A049E3"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(15 min at 95 °C for the initial activation followed by 35 cycles of 30 s at 94 °C for denaturation, 30 s at 60 °C for annealing, 30 s at 72 °C for extension, and 6 min at 72 °C for the final extension). Each PCR product was quality controlled using a </w:t>
      </w:r>
      <w:proofErr w:type="spellStart"/>
      <w:r w:rsidRPr="0040743B">
        <w:rPr>
          <w:rFonts w:ascii="Times New Roman" w:hAnsi="Times New Roman" w:cs="Times New Roman"/>
          <w:sz w:val="24"/>
          <w:szCs w:val="24"/>
          <w:lang w:val="en-GB"/>
        </w:rPr>
        <w:t>QIAxcel</w:t>
      </w:r>
      <w:proofErr w:type="spellEnd"/>
      <w:r w:rsidRPr="0040743B">
        <w:rPr>
          <w:rFonts w:ascii="Times New Roman" w:hAnsi="Times New Roman" w:cs="Times New Roman"/>
          <w:sz w:val="24"/>
          <w:szCs w:val="24"/>
          <w:lang w:val="en-GB"/>
        </w:rPr>
        <w:t xml:space="preserve"> (Qiagen) device and purified via </w:t>
      </w:r>
      <w:proofErr w:type="spellStart"/>
      <w:r w:rsidRPr="0040743B">
        <w:rPr>
          <w:rFonts w:ascii="Times New Roman" w:hAnsi="Times New Roman" w:cs="Times New Roman"/>
          <w:sz w:val="24"/>
          <w:szCs w:val="24"/>
          <w:lang w:val="en-GB"/>
        </w:rPr>
        <w:t>ExoI</w:t>
      </w:r>
      <w:proofErr w:type="spellEnd"/>
      <w:r w:rsidRPr="0040743B">
        <w:rPr>
          <w:rFonts w:ascii="Times New Roman" w:hAnsi="Times New Roman" w:cs="Times New Roman"/>
          <w:sz w:val="24"/>
          <w:szCs w:val="24"/>
          <w:lang w:val="en-GB"/>
        </w:rPr>
        <w:t>/AP treatment. Sanger sequencing was performed by Eurofins/MWG (Germany). From the confirmed mutations, only the highest-ranking ones as judged by HLA binding, expression and immunogenicity were considered for APVAC2 as 19mer peptides (mutation flanked by 9 amino acids of the natural sequence on each side to cover all potential mutation-containing HLA binding 9-10mers while minimizing the number of contained potential HLA binders that do not contain the mutation). As a third track, HLA class I peptidome data were assessed for tumour-associated non-mutated peptides not contained in the warehouse</w:t>
      </w:r>
      <w:r w:rsidR="00EE30C1"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00EE30C1" w:rsidRPr="0040743B">
        <w:rPr>
          <w:rFonts w:ascii="Times New Roman" w:hAnsi="Times New Roman" w:cs="Times New Roman"/>
          <w:sz w:val="24"/>
          <w:szCs w:val="24"/>
          <w:lang w:val="en-GB"/>
        </w:rPr>
        <w:t>Highly</w:t>
      </w:r>
      <w:r w:rsidRPr="0040743B">
        <w:rPr>
          <w:rFonts w:ascii="Times New Roman" w:hAnsi="Times New Roman" w:cs="Times New Roman"/>
          <w:sz w:val="24"/>
          <w:szCs w:val="24"/>
          <w:lang w:val="en-GB"/>
        </w:rPr>
        <w:t xml:space="preserve"> promising candidates were integrated into the prioritized ranking (without immunogenicity pre-testing). The TSC selected the most promising candidates from all APVAC2 tracks to a ranked shortlist with up to four candidates. The final selection also considered variant allele frequency, tissue distribution of wildtype source gene expression and confirmation of mutations by Sanger sequencing. Manufacturability of the four candidates was tested under non-GMP conditions. If successful, the two highest</w:t>
      </w:r>
      <w:r w:rsidR="006B263C"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ranking APVAC2 peptides were </w:t>
      </w:r>
      <w:r w:rsidRPr="0040743B">
        <w:rPr>
          <w:rFonts w:ascii="Times New Roman" w:hAnsi="Times New Roman" w:cs="Times New Roman"/>
          <w:i/>
          <w:iCs/>
          <w:sz w:val="24"/>
          <w:szCs w:val="24"/>
          <w:lang w:val="en-GB"/>
        </w:rPr>
        <w:t>de novo</w:t>
      </w:r>
      <w:r w:rsidRPr="0040743B">
        <w:rPr>
          <w:rFonts w:ascii="Times New Roman" w:hAnsi="Times New Roman" w:cs="Times New Roman"/>
          <w:sz w:val="24"/>
          <w:szCs w:val="24"/>
          <w:lang w:val="en-GB"/>
        </w:rPr>
        <w:t xml:space="preserve"> synthesized, formulated under GMP conditions and filled into single-use vials at the manufacturing site of Department of Immunology, </w:t>
      </w:r>
      <w:r w:rsidR="00F90A7D" w:rsidRPr="0040743B">
        <w:rPr>
          <w:rFonts w:ascii="Times New Roman" w:hAnsi="Times New Roman" w:cs="Times New Roman"/>
          <w:sz w:val="24"/>
          <w:szCs w:val="24"/>
          <w:lang w:val="en-GB"/>
        </w:rPr>
        <w:t>University</w:t>
      </w:r>
      <w:r w:rsidRPr="0040743B">
        <w:rPr>
          <w:rFonts w:ascii="Times New Roman" w:hAnsi="Times New Roman" w:cs="Times New Roman"/>
          <w:sz w:val="24"/>
          <w:szCs w:val="24"/>
          <w:lang w:val="en-GB"/>
        </w:rPr>
        <w:t xml:space="preserve"> of T</w:t>
      </w:r>
      <w:r w:rsidR="00F90A7D" w:rsidRPr="0040743B">
        <w:rPr>
          <w:rFonts w:ascii="Times New Roman" w:hAnsi="Times New Roman" w:cs="Times New Roman"/>
          <w:sz w:val="24"/>
          <w:szCs w:val="24"/>
          <w:lang w:val="en-GB"/>
        </w:rPr>
        <w:t>ü</w:t>
      </w:r>
      <w:r w:rsidRPr="0040743B">
        <w:rPr>
          <w:rFonts w:ascii="Times New Roman" w:hAnsi="Times New Roman" w:cs="Times New Roman"/>
          <w:sz w:val="24"/>
          <w:szCs w:val="24"/>
          <w:lang w:val="en-GB"/>
        </w:rPr>
        <w:t xml:space="preserve">bingen (Germany). </w:t>
      </w:r>
      <w:r w:rsidR="001D02ED" w:rsidRPr="0040743B">
        <w:rPr>
          <w:rFonts w:ascii="Times New Roman" w:hAnsi="Times New Roman" w:cs="Times New Roman"/>
          <w:sz w:val="24"/>
          <w:szCs w:val="24"/>
          <w:lang w:val="en-GB"/>
        </w:rPr>
        <w:t xml:space="preserve">For patients 01, 02, 06, 12, and 15, low yield and/or purity of an APVAC2 peptide candidate required replacement by backup candidates or </w:t>
      </w:r>
      <w:r w:rsidR="001D02ED" w:rsidRPr="0040743B">
        <w:rPr>
          <w:rFonts w:ascii="Times New Roman" w:hAnsi="Times New Roman" w:cs="Times New Roman"/>
          <w:sz w:val="24"/>
          <w:szCs w:val="24"/>
          <w:lang w:val="en-GB"/>
        </w:rPr>
        <w:lastRenderedPageBreak/>
        <w:t xml:space="preserve">removal of one peptide (patients 06, 12). </w:t>
      </w:r>
      <w:r w:rsidRPr="0040743B">
        <w:rPr>
          <w:rFonts w:ascii="Times New Roman" w:hAnsi="Times New Roman" w:cs="Times New Roman"/>
          <w:sz w:val="24"/>
          <w:szCs w:val="24"/>
          <w:lang w:val="en-GB"/>
        </w:rPr>
        <w:t>For patient 06, first application of APVAC2 was delayed by one TMZ cycle due to delays in manufacturing. In all other cases, GMP manufacturing of APVAC2 was completed in time.</w:t>
      </w:r>
      <w:r w:rsidRPr="0040743B">
        <w:rPr>
          <w:rFonts w:ascii="Times New Roman" w:hAnsi="Times New Roman" w:cs="Times New Roman"/>
          <w:sz w:val="24"/>
          <w:szCs w:val="24"/>
          <w:lang w:val="en-GB" w:eastAsia="de-DE"/>
        </w:rPr>
        <w:t xml:space="preserve"> </w:t>
      </w:r>
    </w:p>
    <w:p w14:paraId="02CA3011" w14:textId="1E2065FD" w:rsidR="00CF41F8" w:rsidRPr="0040743B" w:rsidRDefault="00CF41F8" w:rsidP="00CF41F8">
      <w:pPr>
        <w:pStyle w:val="Text"/>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 xml:space="preserve">Clinical assessments and feasibility assessment. </w:t>
      </w:r>
      <w:r w:rsidRPr="0040743B">
        <w:rPr>
          <w:rFonts w:ascii="Times New Roman" w:hAnsi="Times New Roman" w:cs="Times New Roman"/>
          <w:sz w:val="24"/>
          <w:szCs w:val="24"/>
          <w:lang w:val="en-GB"/>
        </w:rPr>
        <w:t xml:space="preserve">Safety in this trial was analysed based on the occurrence of adverse events which were categorized according to US National Cancer Institute’s Common Terminology Criteria for adverse events (NCI-CTCAE) version 4.0 and summarized on Medical Dictionary for Regulatory Activities (MedDRA) version 18.0 preferred term level and according to their potential relation to study drugs (APVAC vaccines, GM-CSF, poly-ICLC) and TMZ treatment. Operational feasibility was assessed based on success rates and duration of APVAC1 and APVAC2 definition and manufacturing processes. Magnetic resonance imaging (MRI) scans were taken according to </w:t>
      </w:r>
      <w:r w:rsidR="000E210D" w:rsidRPr="0040743B">
        <w:rPr>
          <w:rFonts w:ascii="Times New Roman" w:hAnsi="Times New Roman" w:cs="Times New Roman"/>
          <w:sz w:val="24"/>
          <w:szCs w:val="24"/>
          <w:lang w:val="en-GB"/>
        </w:rPr>
        <w:t xml:space="preserve">European Society </w:t>
      </w:r>
      <w:r w:rsidR="005F40C4" w:rsidRPr="0040743B">
        <w:rPr>
          <w:rFonts w:ascii="Times New Roman" w:hAnsi="Times New Roman" w:cs="Times New Roman"/>
          <w:sz w:val="24"/>
          <w:szCs w:val="24"/>
          <w:lang w:val="en-GB"/>
        </w:rPr>
        <w:t>of</w:t>
      </w:r>
      <w:r w:rsidR="000E210D" w:rsidRPr="0040743B">
        <w:rPr>
          <w:rFonts w:ascii="Times New Roman" w:hAnsi="Times New Roman" w:cs="Times New Roman"/>
          <w:sz w:val="24"/>
          <w:szCs w:val="24"/>
          <w:lang w:val="en-GB"/>
        </w:rPr>
        <w:t xml:space="preserve"> Medical Oncology (</w:t>
      </w:r>
      <w:r w:rsidRPr="0040743B">
        <w:rPr>
          <w:rFonts w:ascii="Times New Roman" w:hAnsi="Times New Roman" w:cs="Times New Roman"/>
          <w:sz w:val="24"/>
          <w:szCs w:val="24"/>
          <w:lang w:val="en-GB"/>
        </w:rPr>
        <w:t>ESMO</w:t>
      </w:r>
      <w:r w:rsidR="000E210D"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guidelines</w:t>
      </w:r>
      <w:r w:rsidRPr="0040743B">
        <w:rPr>
          <w:rFonts w:ascii="Times New Roman" w:hAnsi="Times New Roman" w:cs="Times New Roman"/>
          <w:noProof/>
          <w:sz w:val="24"/>
          <w:szCs w:val="24"/>
          <w:vertAlign w:val="superscript"/>
          <w:lang w:val="en-GB"/>
        </w:rPr>
        <w:t>39</w:t>
      </w:r>
      <w:r w:rsidRPr="0040743B">
        <w:rPr>
          <w:rFonts w:ascii="Times New Roman" w:hAnsi="Times New Roman" w:cs="Times New Roman"/>
          <w:sz w:val="24"/>
          <w:szCs w:val="24"/>
          <w:lang w:val="en-GB"/>
        </w:rPr>
        <w:t xml:space="preserve"> and evaluated based on the criteria defined by the Neuro-Oncology Working Group (RANO)</w:t>
      </w:r>
      <w:r w:rsidRPr="0040743B">
        <w:rPr>
          <w:rFonts w:ascii="Times New Roman" w:hAnsi="Times New Roman" w:cs="Times New Roman"/>
          <w:noProof/>
          <w:sz w:val="24"/>
          <w:szCs w:val="24"/>
          <w:vertAlign w:val="superscript"/>
          <w:lang w:val="en-GB"/>
        </w:rPr>
        <w:t>40</w:t>
      </w:r>
      <w:r w:rsidRPr="0040743B">
        <w:rPr>
          <w:rFonts w:ascii="Times New Roman" w:hAnsi="Times New Roman" w:cs="Times New Roman"/>
          <w:sz w:val="24"/>
          <w:szCs w:val="24"/>
          <w:lang w:val="en-GB"/>
        </w:rPr>
        <w:t xml:space="preserve"> taking special care in the aspect of potential pseudo-progression which may be frequent in immunotherapy trials due to immune cell infiltration into the GB tumour</w:t>
      </w:r>
      <w:r w:rsidRPr="0040743B">
        <w:rPr>
          <w:rFonts w:ascii="Times New Roman" w:hAnsi="Times New Roman" w:cs="Times New Roman"/>
          <w:noProof/>
          <w:sz w:val="24"/>
          <w:szCs w:val="24"/>
          <w:vertAlign w:val="superscript"/>
          <w:lang w:val="en-GB"/>
        </w:rPr>
        <w:t>14</w:t>
      </w:r>
      <w:r w:rsidRPr="0040743B">
        <w:rPr>
          <w:rFonts w:ascii="Times New Roman" w:hAnsi="Times New Roman" w:cs="Times New Roman"/>
          <w:sz w:val="24"/>
          <w:szCs w:val="24"/>
          <w:lang w:val="en-GB"/>
        </w:rPr>
        <w:t>.</w:t>
      </w:r>
    </w:p>
    <w:p w14:paraId="21A2A949" w14:textId="0A1AE649" w:rsidR="00CF41F8" w:rsidRPr="0040743B" w:rsidRDefault="00CF41F8" w:rsidP="00CF41F8">
      <w:pPr>
        <w:pStyle w:val="Text"/>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 xml:space="preserve">Immune response assessment and biomarker analyses. </w:t>
      </w:r>
      <w:r w:rsidRPr="0040743B">
        <w:rPr>
          <w:rFonts w:ascii="Times New Roman" w:hAnsi="Times New Roman" w:cs="Times New Roman"/>
          <w:sz w:val="24"/>
          <w:szCs w:val="24"/>
          <w:lang w:val="en-GB"/>
        </w:rPr>
        <w:t>At different time-points pre- and post-vaccination (</w:t>
      </w:r>
      <w:r w:rsidRPr="0040743B">
        <w:rPr>
          <w:rFonts w:ascii="Times New Roman" w:hAnsi="Times New Roman" w:cs="Times New Roman"/>
          <w:bCs/>
          <w:sz w:val="24"/>
          <w:szCs w:val="24"/>
          <w:lang w:val="en-GB"/>
        </w:rPr>
        <w:t>Fig. 1</w:t>
      </w:r>
      <w:r w:rsidRPr="0040743B">
        <w:rPr>
          <w:rFonts w:ascii="Times New Roman" w:hAnsi="Times New Roman" w:cs="Times New Roman"/>
          <w:sz w:val="24"/>
          <w:szCs w:val="24"/>
          <w:lang w:val="en-GB"/>
        </w:rPr>
        <w:t xml:space="preserve">), PBMC </w:t>
      </w:r>
      <w:r w:rsidR="00FC1F9F" w:rsidRPr="0040743B">
        <w:rPr>
          <w:rFonts w:ascii="Times New Roman" w:hAnsi="Times New Roman" w:cs="Times New Roman"/>
          <w:sz w:val="24"/>
          <w:szCs w:val="24"/>
          <w:lang w:val="en-GB"/>
        </w:rPr>
        <w:t xml:space="preserve">for immunomonitoring </w:t>
      </w:r>
      <w:r w:rsidRPr="0040743B">
        <w:rPr>
          <w:rFonts w:ascii="Times New Roman" w:hAnsi="Times New Roman" w:cs="Times New Roman"/>
          <w:sz w:val="24"/>
          <w:szCs w:val="24"/>
          <w:lang w:val="en-GB"/>
        </w:rPr>
        <w:t xml:space="preserve">were isolated within 8 h from </w:t>
      </w:r>
      <w:proofErr w:type="spellStart"/>
      <w:r w:rsidRPr="0040743B">
        <w:rPr>
          <w:rFonts w:ascii="Times New Roman" w:hAnsi="Times New Roman" w:cs="Times New Roman"/>
          <w:sz w:val="24"/>
          <w:szCs w:val="24"/>
          <w:lang w:val="en-GB"/>
        </w:rPr>
        <w:t>venipuncture</w:t>
      </w:r>
      <w:proofErr w:type="spellEnd"/>
      <w:r w:rsidRPr="0040743B">
        <w:rPr>
          <w:rFonts w:ascii="Times New Roman" w:hAnsi="Times New Roman" w:cs="Times New Roman"/>
          <w:sz w:val="24"/>
          <w:szCs w:val="24"/>
          <w:lang w:val="en-GB"/>
        </w:rPr>
        <w:t xml:space="preserve"> from patients’ sodium heparin blood by standard </w:t>
      </w:r>
      <w:proofErr w:type="spellStart"/>
      <w:r w:rsidRPr="0040743B">
        <w:rPr>
          <w:rFonts w:ascii="Times New Roman" w:hAnsi="Times New Roman" w:cs="Times New Roman"/>
          <w:sz w:val="24"/>
          <w:szCs w:val="24"/>
          <w:lang w:val="en-GB"/>
        </w:rPr>
        <w:t>Ficoll-Hypaque</w:t>
      </w:r>
      <w:proofErr w:type="spellEnd"/>
      <w:r w:rsidRPr="0040743B">
        <w:rPr>
          <w:rFonts w:ascii="Times New Roman" w:hAnsi="Times New Roman" w:cs="Times New Roman"/>
          <w:sz w:val="24"/>
          <w:szCs w:val="24"/>
          <w:lang w:val="en-GB"/>
        </w:rPr>
        <w:t xml:space="preserve"> density gradient centrifugation. Cells were cryopreserved in serum-free medium until standardized assessment of immune responses (Immatics). Thawed PBMC samples were labelled with CD8 microbeads (</w:t>
      </w:r>
      <w:proofErr w:type="spellStart"/>
      <w:r w:rsidRPr="0040743B">
        <w:rPr>
          <w:rFonts w:ascii="Times New Roman" w:hAnsi="Times New Roman" w:cs="Times New Roman"/>
          <w:sz w:val="24"/>
          <w:szCs w:val="24"/>
          <w:lang w:val="en-GB"/>
        </w:rPr>
        <w:t>Milteny</w:t>
      </w:r>
      <w:proofErr w:type="spellEnd"/>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Biotec</w:t>
      </w:r>
      <w:proofErr w:type="spellEnd"/>
      <w:r w:rsidRPr="0040743B">
        <w:rPr>
          <w:rFonts w:ascii="Times New Roman" w:hAnsi="Times New Roman" w:cs="Times New Roman"/>
          <w:sz w:val="24"/>
          <w:szCs w:val="24"/>
          <w:lang w:val="en-GB"/>
        </w:rPr>
        <w:t>) and the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 fraction was separated from CD8</w:t>
      </w:r>
      <w:r w:rsidRPr="0040743B">
        <w:rPr>
          <w:rFonts w:ascii="Times New Roman" w:hAnsi="Times New Roman" w:cs="Times New Roman"/>
          <w:sz w:val="24"/>
          <w:szCs w:val="24"/>
          <w:vertAlign w:val="superscript"/>
          <w:lang w:val="en-GB"/>
        </w:rPr>
        <w:t>neg</w:t>
      </w:r>
      <w:r w:rsidRPr="0040743B">
        <w:rPr>
          <w:rFonts w:ascii="Times New Roman" w:hAnsi="Times New Roman" w:cs="Times New Roman"/>
          <w:sz w:val="24"/>
          <w:szCs w:val="24"/>
          <w:lang w:val="en-GB"/>
        </w:rPr>
        <w:t xml:space="preserve"> cells by </w:t>
      </w:r>
      <w:proofErr w:type="spellStart"/>
      <w:r w:rsidRPr="0040743B">
        <w:rPr>
          <w:rFonts w:ascii="Times New Roman" w:hAnsi="Times New Roman" w:cs="Times New Roman"/>
          <w:sz w:val="24"/>
          <w:szCs w:val="24"/>
          <w:lang w:val="en-GB"/>
        </w:rPr>
        <w:t>MultiMACS</w:t>
      </w:r>
      <w:r w:rsidRPr="0040743B">
        <w:rPr>
          <w:rFonts w:ascii="Times New Roman" w:hAnsi="Times New Roman" w:cs="Times New Roman"/>
          <w:sz w:val="24"/>
          <w:szCs w:val="24"/>
          <w:vertAlign w:val="superscript"/>
          <w:lang w:val="en-GB"/>
        </w:rPr>
        <w:t>TM</w:t>
      </w:r>
      <w:proofErr w:type="spellEnd"/>
      <w:r w:rsidRPr="0040743B">
        <w:rPr>
          <w:rFonts w:ascii="Times New Roman" w:hAnsi="Times New Roman" w:cs="Times New Roman"/>
          <w:sz w:val="24"/>
          <w:szCs w:val="24"/>
          <w:lang w:val="en-GB"/>
        </w:rPr>
        <w:t xml:space="preserve"> device according to manufacturer instructions. Both cell fractions were rested overnight.</w:t>
      </w:r>
    </w:p>
    <w:p w14:paraId="78451655" w14:textId="1969503B" w:rsidR="00CF41F8" w:rsidRPr="0040743B" w:rsidRDefault="00CF41F8" w:rsidP="00CF41F8">
      <w:pPr>
        <w:pStyle w:val="Text"/>
        <w:tabs>
          <w:tab w:val="left" w:pos="5753"/>
        </w:tabs>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HLA class I</w:t>
      </w:r>
      <w:r w:rsidRPr="0040743B">
        <w:rPr>
          <w:rFonts w:ascii="Times New Roman" w:hAnsi="Times New Roman" w:cs="Times New Roman"/>
          <w:b/>
          <w:bCs/>
          <w:i/>
          <w:iCs/>
          <w:sz w:val="24"/>
          <w:szCs w:val="24"/>
          <w:lang w:val="en-GB"/>
        </w:rPr>
        <w:t xml:space="preserve"> ex vivo</w:t>
      </w:r>
      <w:r w:rsidRPr="0040743B">
        <w:rPr>
          <w:rFonts w:ascii="Times New Roman" w:hAnsi="Times New Roman" w:cs="Times New Roman"/>
          <w:b/>
          <w:bCs/>
          <w:sz w:val="24"/>
          <w:szCs w:val="24"/>
          <w:lang w:val="en-GB"/>
        </w:rPr>
        <w:t xml:space="preserve"> 2D multimer assay.</w:t>
      </w:r>
      <w:r w:rsidRPr="0040743B">
        <w:rPr>
          <w:rFonts w:ascii="Times New Roman" w:hAnsi="Times New Roman" w:cs="Times New Roman"/>
          <w:sz w:val="24"/>
          <w:szCs w:val="24"/>
          <w:lang w:val="en-GB"/>
        </w:rPr>
        <w:t xml:space="preserve"> UV-exchange was used to create </w:t>
      </w:r>
      <w:proofErr w:type="spellStart"/>
      <w:proofErr w:type="gramStart"/>
      <w:r w:rsidRPr="0040743B">
        <w:rPr>
          <w:rFonts w:ascii="Times New Roman" w:hAnsi="Times New Roman" w:cs="Times New Roman"/>
          <w:sz w:val="24"/>
          <w:szCs w:val="24"/>
          <w:lang w:val="en-GB"/>
        </w:rPr>
        <w:t>peptide:MHC</w:t>
      </w:r>
      <w:proofErr w:type="spellEnd"/>
      <w:proofErr w:type="gramEnd"/>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pMHC</w:t>
      </w:r>
      <w:proofErr w:type="spellEnd"/>
      <w:r w:rsidRPr="0040743B">
        <w:rPr>
          <w:rFonts w:ascii="Times New Roman" w:hAnsi="Times New Roman" w:cs="Times New Roman"/>
          <w:sz w:val="24"/>
          <w:szCs w:val="24"/>
          <w:lang w:val="en-GB"/>
        </w:rPr>
        <w:t>) monomers loaded with specific APVAC peptides as previously described</w:t>
      </w:r>
      <w:r w:rsidRPr="0040743B">
        <w:rPr>
          <w:rFonts w:ascii="Times New Roman" w:hAnsi="Times New Roman" w:cs="Times New Roman"/>
          <w:noProof/>
          <w:sz w:val="24"/>
          <w:szCs w:val="24"/>
          <w:vertAlign w:val="superscript"/>
          <w:lang w:val="en-GB"/>
        </w:rPr>
        <w:t>41</w:t>
      </w:r>
      <w:r w:rsidRPr="0040743B">
        <w:rPr>
          <w:rFonts w:ascii="Times New Roman" w:hAnsi="Times New Roman" w:cs="Times New Roman"/>
          <w:sz w:val="24"/>
          <w:szCs w:val="24"/>
          <w:lang w:val="en-GB"/>
        </w:rPr>
        <w:t>. Anti-</w:t>
      </w:r>
      <w:r w:rsidRPr="0040743B">
        <w:rPr>
          <w:rFonts w:ascii="Times New Roman" w:hAnsi="Times New Roman" w:cs="Times New Roman"/>
          <w:sz w:val="24"/>
          <w:szCs w:val="24"/>
          <w:lang w:val="en-GB"/>
        </w:rPr>
        <w:sym w:font="Symbol" w:char="F062"/>
      </w:r>
      <w:r w:rsidRPr="0040743B">
        <w:rPr>
          <w:rFonts w:ascii="Times New Roman" w:hAnsi="Times New Roman" w:cs="Times New Roman"/>
          <w:sz w:val="24"/>
          <w:szCs w:val="24"/>
          <w:lang w:val="en-GB"/>
        </w:rPr>
        <w:t>2-</w:t>
      </w:r>
      <w:r w:rsidRPr="0040743B">
        <w:rPr>
          <w:rFonts w:ascii="Times New Roman" w:hAnsi="Times New Roman" w:cs="Times New Roman"/>
          <w:sz w:val="24"/>
          <w:szCs w:val="24"/>
          <w:lang w:val="en-GB"/>
        </w:rPr>
        <w:lastRenderedPageBreak/>
        <w:t>microglobulin</w:t>
      </w:r>
      <w:r w:rsidR="005D4742" w:rsidRPr="0040743B">
        <w:rPr>
          <w:rFonts w:ascii="Times New Roman" w:hAnsi="Times New Roman" w:cs="Times New Roman"/>
          <w:sz w:val="24"/>
          <w:szCs w:val="24"/>
          <w:lang w:val="en-GB"/>
        </w:rPr>
        <w:t xml:space="preserve"> enzyme-linked immunosorbent assay (</w:t>
      </w:r>
      <w:r w:rsidRPr="0040743B">
        <w:rPr>
          <w:rFonts w:ascii="Times New Roman" w:hAnsi="Times New Roman" w:cs="Times New Roman"/>
          <w:sz w:val="24"/>
          <w:szCs w:val="24"/>
          <w:lang w:val="en-GB"/>
        </w:rPr>
        <w:t>ELISA</w:t>
      </w:r>
      <w:r w:rsidR="005D4742"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was performed to confirm efficiency of peptide exchange. For each peptide to be tested, two </w:t>
      </w:r>
      <w:proofErr w:type="spellStart"/>
      <w:r w:rsidRPr="0040743B">
        <w:rPr>
          <w:rFonts w:ascii="Times New Roman" w:hAnsi="Times New Roman" w:cs="Times New Roman"/>
          <w:sz w:val="24"/>
          <w:szCs w:val="24"/>
          <w:lang w:val="en-GB"/>
        </w:rPr>
        <w:t>pMHC</w:t>
      </w:r>
      <w:proofErr w:type="spellEnd"/>
      <w:r w:rsidRPr="0040743B">
        <w:rPr>
          <w:rFonts w:ascii="Times New Roman" w:hAnsi="Times New Roman" w:cs="Times New Roman"/>
          <w:sz w:val="24"/>
          <w:szCs w:val="24"/>
          <w:lang w:val="en-GB"/>
        </w:rPr>
        <w:t xml:space="preserve"> multimers of the same specificity but with two different fluorochromes were combined as previously described</w:t>
      </w:r>
      <w:r w:rsidRPr="0040743B">
        <w:rPr>
          <w:rFonts w:ascii="Times New Roman" w:hAnsi="Times New Roman" w:cs="Times New Roman"/>
          <w:noProof/>
          <w:sz w:val="24"/>
          <w:szCs w:val="24"/>
          <w:vertAlign w:val="superscript"/>
          <w:lang w:val="en-GB"/>
        </w:rPr>
        <w:t>42</w:t>
      </w:r>
      <w:r w:rsidRPr="0040743B">
        <w:rPr>
          <w:rFonts w:ascii="Times New Roman" w:hAnsi="Times New Roman" w:cs="Times New Roman"/>
          <w:sz w:val="24"/>
          <w:szCs w:val="24"/>
          <w:lang w:val="en-GB"/>
        </w:rPr>
        <w:t xml:space="preserve">. All APVAC and control </w:t>
      </w:r>
      <w:proofErr w:type="spellStart"/>
      <w:r w:rsidRPr="0040743B">
        <w:rPr>
          <w:rFonts w:ascii="Times New Roman" w:hAnsi="Times New Roman" w:cs="Times New Roman"/>
          <w:sz w:val="24"/>
          <w:szCs w:val="24"/>
          <w:lang w:val="en-GB"/>
        </w:rPr>
        <w:t>pMHC</w:t>
      </w:r>
      <w:proofErr w:type="spellEnd"/>
      <w:r w:rsidRPr="0040743B">
        <w:rPr>
          <w:rFonts w:ascii="Times New Roman" w:hAnsi="Times New Roman" w:cs="Times New Roman"/>
          <w:sz w:val="24"/>
          <w:szCs w:val="24"/>
          <w:lang w:val="en-GB"/>
        </w:rPr>
        <w:t xml:space="preserve"> multimer solutions for a given patient were combined to one personalized </w:t>
      </w:r>
      <w:proofErr w:type="spellStart"/>
      <w:r w:rsidRPr="0040743B">
        <w:rPr>
          <w:rFonts w:ascii="Times New Roman" w:hAnsi="Times New Roman" w:cs="Times New Roman"/>
          <w:sz w:val="24"/>
          <w:szCs w:val="24"/>
          <w:lang w:val="en-GB"/>
        </w:rPr>
        <w:t>pMHC</w:t>
      </w:r>
      <w:proofErr w:type="spellEnd"/>
      <w:r w:rsidRPr="0040743B">
        <w:rPr>
          <w:rFonts w:ascii="Times New Roman" w:hAnsi="Times New Roman" w:cs="Times New Roman"/>
          <w:sz w:val="24"/>
          <w:szCs w:val="24"/>
          <w:lang w:val="en-GB"/>
        </w:rPr>
        <w:t xml:space="preserve"> multimer staining cocktail. Potential aggregates were removed by centrifugation. Staining was performed as previously described</w:t>
      </w:r>
      <w:r w:rsidRPr="0040743B">
        <w:rPr>
          <w:rFonts w:ascii="Times New Roman" w:hAnsi="Times New Roman" w:cs="Times New Roman"/>
          <w:noProof/>
          <w:sz w:val="24"/>
          <w:szCs w:val="24"/>
          <w:vertAlign w:val="superscript"/>
          <w:lang w:val="en-GB"/>
        </w:rPr>
        <w:t>43</w:t>
      </w:r>
      <w:r w:rsidRPr="0040743B">
        <w:rPr>
          <w:rFonts w:ascii="Times New Roman" w:hAnsi="Times New Roman" w:cs="Times New Roman"/>
          <w:sz w:val="24"/>
          <w:szCs w:val="24"/>
          <w:lang w:val="en-GB"/>
        </w:rPr>
        <w:t>. In brief, between 1.5x10</w:t>
      </w:r>
      <w:r w:rsidRPr="0040743B">
        <w:rPr>
          <w:rFonts w:ascii="Times New Roman" w:hAnsi="Times New Roman" w:cs="Times New Roman"/>
          <w:sz w:val="24"/>
          <w:szCs w:val="24"/>
          <w:vertAlign w:val="superscript"/>
          <w:lang w:val="en-GB"/>
        </w:rPr>
        <w:t>6</w:t>
      </w:r>
      <w:r w:rsidRPr="0040743B">
        <w:rPr>
          <w:rFonts w:ascii="Times New Roman" w:hAnsi="Times New Roman" w:cs="Times New Roman"/>
          <w:sz w:val="24"/>
          <w:szCs w:val="24"/>
          <w:lang w:val="en-GB"/>
        </w:rPr>
        <w:t xml:space="preserve"> and 5x10</w:t>
      </w:r>
      <w:r w:rsidRPr="0040743B">
        <w:rPr>
          <w:rFonts w:ascii="Times New Roman" w:hAnsi="Times New Roman" w:cs="Times New Roman"/>
          <w:sz w:val="24"/>
          <w:szCs w:val="24"/>
          <w:vertAlign w:val="superscript"/>
          <w:lang w:val="en-GB"/>
        </w:rPr>
        <w:t>6</w:t>
      </w:r>
      <w:r w:rsidRPr="0040743B">
        <w:rPr>
          <w:rFonts w:ascii="Times New Roman" w:hAnsi="Times New Roman" w:cs="Times New Roman"/>
          <w:sz w:val="24"/>
          <w:szCs w:val="24"/>
          <w:lang w:val="en-GB"/>
        </w:rPr>
        <w:t xml:space="preserve">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were treated first with Life/Dead near infrared (Life Technologies), followed by patient-individual 2D multimer staining</w:t>
      </w:r>
      <w:r w:rsidRPr="0040743B">
        <w:rPr>
          <w:rFonts w:ascii="Times New Roman" w:hAnsi="Times New Roman" w:cs="Times New Roman"/>
          <w:sz w:val="24"/>
          <w:szCs w:val="24"/>
          <w:vertAlign w:val="superscript"/>
          <w:lang w:val="en-GB"/>
        </w:rPr>
        <w:t>18</w:t>
      </w:r>
      <w:r w:rsidRPr="0040743B">
        <w:rPr>
          <w:rFonts w:ascii="Times New Roman" w:hAnsi="Times New Roman" w:cs="Times New Roman"/>
          <w:sz w:val="24"/>
          <w:szCs w:val="24"/>
          <w:lang w:val="en-GB"/>
        </w:rPr>
        <w:t xml:space="preserve"> (each </w:t>
      </w:r>
      <w:proofErr w:type="spellStart"/>
      <w:r w:rsidRPr="0040743B">
        <w:rPr>
          <w:rFonts w:ascii="Times New Roman" w:hAnsi="Times New Roman" w:cs="Times New Roman"/>
          <w:sz w:val="24"/>
          <w:szCs w:val="24"/>
          <w:lang w:val="en-GB"/>
        </w:rPr>
        <w:t>pMHC</w:t>
      </w:r>
      <w:proofErr w:type="spellEnd"/>
      <w:r w:rsidRPr="0040743B">
        <w:rPr>
          <w:rFonts w:ascii="Times New Roman" w:hAnsi="Times New Roman" w:cs="Times New Roman"/>
          <w:sz w:val="24"/>
          <w:szCs w:val="24"/>
          <w:lang w:val="en-GB"/>
        </w:rPr>
        <w:t xml:space="preserve"> multimer at a concentration of 1-5 µg/mL) and surface staining with antibodies CD8-FITC (</w:t>
      </w:r>
      <w:r w:rsidR="00BF0069" w:rsidRPr="0040743B">
        <w:rPr>
          <w:rFonts w:ascii="Times New Roman" w:hAnsi="Times New Roman" w:cs="Times New Roman"/>
          <w:sz w:val="24"/>
          <w:szCs w:val="24"/>
          <w:lang w:val="en-GB"/>
        </w:rPr>
        <w:t xml:space="preserve">fluorescein </w:t>
      </w:r>
      <w:r w:rsidR="00E47062" w:rsidRPr="0040743B">
        <w:rPr>
          <w:rFonts w:ascii="Times New Roman" w:hAnsi="Times New Roman" w:cs="Times New Roman"/>
          <w:sz w:val="24"/>
          <w:szCs w:val="24"/>
          <w:lang w:val="en-GB"/>
        </w:rPr>
        <w:t xml:space="preserve">isothiocyanate; </w:t>
      </w:r>
      <w:r w:rsidRPr="0040743B">
        <w:rPr>
          <w:rFonts w:ascii="Times New Roman" w:hAnsi="Times New Roman" w:cs="Times New Roman"/>
          <w:sz w:val="24"/>
          <w:szCs w:val="24"/>
          <w:lang w:val="en-GB"/>
        </w:rPr>
        <w:t xml:space="preserve">SK1,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CD279/PD-1-BV786 (EH12.1, BD); CD197/CCR7-</w:t>
      </w:r>
      <w:r w:rsidR="00967DE4" w:rsidRPr="0040743B">
        <w:rPr>
          <w:rFonts w:ascii="Times New Roman" w:hAnsi="Times New Roman" w:cs="Times New Roman"/>
          <w:sz w:val="24"/>
          <w:szCs w:val="24"/>
          <w:lang w:val="en-GB"/>
        </w:rPr>
        <w:t>phycoer</w:t>
      </w:r>
      <w:r w:rsidR="005F40C4" w:rsidRPr="0040743B">
        <w:rPr>
          <w:rFonts w:ascii="Times New Roman" w:hAnsi="Times New Roman" w:cs="Times New Roman"/>
          <w:sz w:val="24"/>
          <w:szCs w:val="24"/>
          <w:lang w:val="en-GB"/>
        </w:rPr>
        <w:t>y</w:t>
      </w:r>
      <w:r w:rsidR="00967DE4" w:rsidRPr="0040743B">
        <w:rPr>
          <w:rFonts w:ascii="Times New Roman" w:hAnsi="Times New Roman" w:cs="Times New Roman"/>
          <w:sz w:val="24"/>
          <w:szCs w:val="24"/>
          <w:lang w:val="en-GB"/>
        </w:rPr>
        <w:t>thr</w:t>
      </w:r>
      <w:r w:rsidR="005F40C4" w:rsidRPr="0040743B">
        <w:rPr>
          <w:rFonts w:ascii="Times New Roman" w:hAnsi="Times New Roman" w:cs="Times New Roman"/>
          <w:sz w:val="24"/>
          <w:szCs w:val="24"/>
          <w:lang w:val="en-GB"/>
        </w:rPr>
        <w:t>i</w:t>
      </w:r>
      <w:r w:rsidR="00967DE4" w:rsidRPr="0040743B">
        <w:rPr>
          <w:rFonts w:ascii="Times New Roman" w:hAnsi="Times New Roman" w:cs="Times New Roman"/>
          <w:sz w:val="24"/>
          <w:szCs w:val="24"/>
          <w:lang w:val="en-GB"/>
        </w:rPr>
        <w:t>n (</w:t>
      </w:r>
      <w:r w:rsidRPr="0040743B">
        <w:rPr>
          <w:rFonts w:ascii="Times New Roman" w:hAnsi="Times New Roman" w:cs="Times New Roman"/>
          <w:sz w:val="24"/>
          <w:szCs w:val="24"/>
          <w:lang w:val="en-GB"/>
        </w:rPr>
        <w:t>PE</w:t>
      </w:r>
      <w:r w:rsidR="00967DE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-CF594 (150503, BD); CD45RA-AF700 (HI100,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xml:space="preserve">) and CD4 (RPA-T4, BD), CD14 (61D3, </w:t>
      </w:r>
      <w:proofErr w:type="spellStart"/>
      <w:r w:rsidRPr="0040743B">
        <w:rPr>
          <w:rFonts w:ascii="Times New Roman" w:hAnsi="Times New Roman" w:cs="Times New Roman"/>
          <w:sz w:val="24"/>
          <w:szCs w:val="24"/>
          <w:lang w:val="en-GB"/>
        </w:rPr>
        <w:t>ebioscience</w:t>
      </w:r>
      <w:proofErr w:type="spellEnd"/>
      <w:r w:rsidRPr="0040743B">
        <w:rPr>
          <w:rFonts w:ascii="Times New Roman" w:hAnsi="Times New Roman" w:cs="Times New Roman"/>
          <w:sz w:val="24"/>
          <w:szCs w:val="24"/>
          <w:lang w:val="en-GB"/>
        </w:rPr>
        <w:t xml:space="preserve">), CD16 (3G8, BD) and CD19 (HIB19, BD) antibodies for dump channel (all PE-Cy5). All washing steps were carried out in </w:t>
      </w:r>
      <w:r w:rsidR="005468A8" w:rsidRPr="0040743B">
        <w:rPr>
          <w:rFonts w:ascii="Times New Roman" w:hAnsi="Times New Roman" w:cs="Times New Roman"/>
          <w:sz w:val="24"/>
          <w:szCs w:val="24"/>
          <w:lang w:val="en-GB"/>
        </w:rPr>
        <w:t>phosphate buffered saline (</w:t>
      </w:r>
      <w:r w:rsidRPr="0040743B">
        <w:rPr>
          <w:rFonts w:ascii="Times New Roman" w:hAnsi="Times New Roman" w:cs="Times New Roman"/>
          <w:sz w:val="24"/>
          <w:szCs w:val="24"/>
          <w:lang w:val="en-GB"/>
        </w:rPr>
        <w:t>PBS</w:t>
      </w:r>
      <w:r w:rsidR="005468A8"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2% </w:t>
      </w:r>
      <w:r w:rsidR="005468A8" w:rsidRPr="0040743B">
        <w:rPr>
          <w:rFonts w:ascii="Times New Roman" w:hAnsi="Times New Roman" w:cs="Times New Roman"/>
          <w:sz w:val="24"/>
          <w:szCs w:val="24"/>
          <w:lang w:val="en-GB"/>
        </w:rPr>
        <w:t>foetal calf serum (</w:t>
      </w:r>
      <w:r w:rsidRPr="0040743B">
        <w:rPr>
          <w:rFonts w:ascii="Times New Roman" w:hAnsi="Times New Roman" w:cs="Times New Roman"/>
          <w:sz w:val="24"/>
          <w:szCs w:val="24"/>
          <w:lang w:val="en-GB"/>
        </w:rPr>
        <w:t>FCS</w:t>
      </w:r>
      <w:r w:rsidR="005468A8"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2 mM </w:t>
      </w:r>
      <w:r w:rsidR="005468A8" w:rsidRPr="0040743B">
        <w:rPr>
          <w:rFonts w:ascii="Times New Roman" w:hAnsi="Times New Roman" w:cs="Times New Roman"/>
          <w:sz w:val="24"/>
          <w:szCs w:val="24"/>
          <w:lang w:val="en-GB"/>
        </w:rPr>
        <w:t>ethylenediaminetetraacetic acid (</w:t>
      </w:r>
      <w:r w:rsidRPr="0040743B">
        <w:rPr>
          <w:rFonts w:ascii="Times New Roman" w:hAnsi="Times New Roman" w:cs="Times New Roman"/>
          <w:sz w:val="24"/>
          <w:szCs w:val="24"/>
          <w:lang w:val="en-GB"/>
        </w:rPr>
        <w:t>EDTA</w:t>
      </w:r>
      <w:r w:rsidR="005468A8"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0.01% </w:t>
      </w:r>
      <w:proofErr w:type="spellStart"/>
      <w:r w:rsidRPr="0040743B">
        <w:rPr>
          <w:rFonts w:ascii="Times New Roman" w:hAnsi="Times New Roman" w:cs="Times New Roman"/>
          <w:sz w:val="24"/>
          <w:szCs w:val="24"/>
          <w:lang w:val="en-GB"/>
        </w:rPr>
        <w:t>azide</w:t>
      </w:r>
      <w:proofErr w:type="spellEnd"/>
      <w:r w:rsidRPr="0040743B">
        <w:rPr>
          <w:rFonts w:ascii="Times New Roman" w:hAnsi="Times New Roman" w:cs="Times New Roman"/>
          <w:sz w:val="24"/>
          <w:szCs w:val="24"/>
          <w:lang w:val="en-GB"/>
        </w:rPr>
        <w:t>. Stained cells, fixed with FACS Perm2 solution (BD), were acquired on a LSRII SORP flow cytometer</w:t>
      </w:r>
      <w:r w:rsidR="005468A8" w:rsidRPr="0040743B">
        <w:rPr>
          <w:rFonts w:ascii="Times New Roman" w:hAnsi="Times New Roman" w:cs="Times New Roman"/>
          <w:sz w:val="24"/>
          <w:szCs w:val="24"/>
          <w:lang w:val="en-GB"/>
        </w:rPr>
        <w:t xml:space="preserve"> (BD)</w:t>
      </w:r>
      <w:r w:rsidRPr="0040743B">
        <w:rPr>
          <w:rFonts w:ascii="Times New Roman" w:hAnsi="Times New Roman" w:cs="Times New Roman"/>
          <w:sz w:val="24"/>
          <w:szCs w:val="24"/>
          <w:lang w:val="en-GB"/>
        </w:rPr>
        <w:t xml:space="preserve"> and analysed by </w:t>
      </w:r>
      <w:proofErr w:type="spellStart"/>
      <w:r w:rsidRPr="0040743B">
        <w:rPr>
          <w:rFonts w:ascii="Times New Roman" w:hAnsi="Times New Roman" w:cs="Times New Roman"/>
          <w:sz w:val="24"/>
          <w:szCs w:val="24"/>
          <w:lang w:val="en-GB"/>
        </w:rPr>
        <w:t>FlowJo</w:t>
      </w:r>
      <w:proofErr w:type="spellEnd"/>
      <w:r w:rsidRPr="0040743B">
        <w:rPr>
          <w:rFonts w:ascii="Times New Roman" w:hAnsi="Times New Roman" w:cs="Times New Roman"/>
          <w:sz w:val="24"/>
          <w:szCs w:val="24"/>
          <w:lang w:val="en-GB"/>
        </w:rPr>
        <w:t xml:space="preserve"> software version 10.1 (Tree Star, Ashland, USA). 2D multimer-positive cells had to be positive for the corresponding fluorochrome combination, but negative for any other fluorochrome as determined by Boolean gating</w:t>
      </w:r>
      <w:r w:rsidRPr="0040743B">
        <w:rPr>
          <w:rFonts w:ascii="Times New Roman" w:hAnsi="Times New Roman" w:cs="Times New Roman"/>
          <w:noProof/>
          <w:sz w:val="24"/>
          <w:szCs w:val="24"/>
          <w:vertAlign w:val="superscript"/>
          <w:lang w:val="en-GB"/>
        </w:rPr>
        <w:t>42</w:t>
      </w:r>
      <w:r w:rsidRPr="0040743B">
        <w:rPr>
          <w:rFonts w:ascii="Times New Roman" w:hAnsi="Times New Roman" w:cs="Times New Roman"/>
          <w:sz w:val="24"/>
          <w:szCs w:val="24"/>
          <w:lang w:val="en-GB"/>
        </w:rPr>
        <w:t xml:space="preserve">. The gating strategy is shown in </w:t>
      </w:r>
      <w:r w:rsidRPr="0040743B">
        <w:rPr>
          <w:rFonts w:ascii="Times New Roman" w:hAnsi="Times New Roman" w:cs="Times New Roman"/>
          <w:bCs/>
          <w:sz w:val="24"/>
          <w:szCs w:val="24"/>
          <w:lang w:val="en-GB"/>
        </w:rPr>
        <w:t>Extended Data Figure 10a</w:t>
      </w:r>
      <w:r w:rsidRPr="0040743B">
        <w:rPr>
          <w:rFonts w:ascii="Times New Roman" w:hAnsi="Times New Roman" w:cs="Times New Roman"/>
          <w:sz w:val="24"/>
          <w:szCs w:val="24"/>
          <w:lang w:val="en-GB"/>
        </w:rPr>
        <w:t>. The presence of a vaccine-induced response was determined according to pre-defined criteria</w:t>
      </w:r>
      <w:r w:rsidRPr="0040743B">
        <w:rPr>
          <w:rFonts w:ascii="Times New Roman" w:hAnsi="Times New Roman" w:cs="Times New Roman"/>
          <w:noProof/>
          <w:sz w:val="24"/>
          <w:szCs w:val="24"/>
          <w:vertAlign w:val="superscript"/>
          <w:lang w:val="en-GB"/>
        </w:rPr>
        <w:t>43</w:t>
      </w:r>
      <w:r w:rsidRPr="0040743B">
        <w:rPr>
          <w:rFonts w:ascii="Times New Roman" w:hAnsi="Times New Roman" w:cs="Times New Roman"/>
          <w:sz w:val="24"/>
          <w:szCs w:val="24"/>
          <w:lang w:val="en-GB"/>
        </w:rPr>
        <w:t>: Briefly, frequencies of 2D multimer-positive cells among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had to be at least twofold above the corresponding frequency before vaccination and had to form a clustered population, discrete from multimer-negative cells. Staining against viral control antigens was performed for each donor: Influenza-derived peptide FLUM-001 (GILGFVFTL, </w:t>
      </w:r>
      <w:r w:rsidRPr="0040743B">
        <w:rPr>
          <w:rFonts w:ascii="Times New Roman" w:hAnsi="Times New Roman" w:cs="Times New Roman"/>
          <w:sz w:val="24"/>
          <w:szCs w:val="24"/>
          <w:lang w:val="en-GB"/>
        </w:rPr>
        <w:lastRenderedPageBreak/>
        <w:t xml:space="preserve">HLA-A*02) and/or </w:t>
      </w:r>
      <w:r w:rsidR="005468A8" w:rsidRPr="0040743B">
        <w:rPr>
          <w:rFonts w:ascii="Times New Roman" w:hAnsi="Times New Roman" w:cs="Times New Roman"/>
          <w:sz w:val="24"/>
          <w:szCs w:val="24"/>
          <w:lang w:val="en-GB"/>
        </w:rPr>
        <w:t>Epstein-Barr virus (</w:t>
      </w:r>
      <w:r w:rsidRPr="0040743B">
        <w:rPr>
          <w:rFonts w:ascii="Times New Roman" w:hAnsi="Times New Roman" w:cs="Times New Roman"/>
          <w:sz w:val="24"/>
          <w:szCs w:val="24"/>
          <w:lang w:val="en-GB"/>
        </w:rPr>
        <w:t>EBV</w:t>
      </w:r>
      <w:r w:rsidR="005468A8"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-derived peptide EBV-014 (TYSAGIVQI, HLA-A*24) as positive controls; </w:t>
      </w:r>
      <w:r w:rsidR="005468A8" w:rsidRPr="0040743B">
        <w:rPr>
          <w:rFonts w:ascii="Times New Roman" w:hAnsi="Times New Roman" w:cs="Times New Roman"/>
          <w:sz w:val="24"/>
          <w:szCs w:val="24"/>
          <w:lang w:val="en-GB"/>
        </w:rPr>
        <w:t>human immunodeficiency virus (</w:t>
      </w:r>
      <w:r w:rsidRPr="0040743B">
        <w:rPr>
          <w:rFonts w:ascii="Times New Roman" w:hAnsi="Times New Roman" w:cs="Times New Roman"/>
          <w:sz w:val="24"/>
          <w:szCs w:val="24"/>
          <w:lang w:val="en-GB"/>
        </w:rPr>
        <w:t>HIV</w:t>
      </w:r>
      <w:r w:rsidR="005468A8"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-derived peptides HIV-001 (ILKEPVHGV, HLA-A*02) and/or HIV-015 (RYPLTFGW, HLA-A*24) as negative controls. Viral marker peptides (HBV-001 or HCV</w:t>
      </w:r>
      <w:r w:rsidR="005468A8"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002) were co-vaccinated in APVAC1 and used as vaccination controls</w:t>
      </w:r>
      <w:r w:rsidRPr="0040743B">
        <w:rPr>
          <w:rFonts w:ascii="Times New Roman" w:hAnsi="Times New Roman" w:cs="Times New Roman"/>
          <w:noProof/>
          <w:sz w:val="24"/>
          <w:szCs w:val="24"/>
          <w:vertAlign w:val="superscript"/>
          <w:lang w:val="en-GB"/>
        </w:rPr>
        <w:t>44,45</w:t>
      </w:r>
      <w:r w:rsidRPr="0040743B">
        <w:rPr>
          <w:rFonts w:ascii="Times New Roman" w:hAnsi="Times New Roman" w:cs="Times New Roman"/>
          <w:sz w:val="24"/>
          <w:szCs w:val="24"/>
          <w:lang w:val="en-GB"/>
        </w:rPr>
        <w:t>. For each stain experiment, two healthy donors (one HLA-A*02</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one HLA-A*24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were used as external assay controls. </w:t>
      </w:r>
      <w:bookmarkStart w:id="9" w:name="_Hlk513033444"/>
      <w:r w:rsidRPr="0040743B">
        <w:rPr>
          <w:rFonts w:ascii="Times New Roman" w:hAnsi="Times New Roman" w:cs="Times New Roman"/>
          <w:sz w:val="24"/>
          <w:szCs w:val="24"/>
          <w:lang w:val="en-GB"/>
        </w:rPr>
        <w:t>Patient 09 and 11 were vaccinated with APVAC1 but were not evaluable, as they left the study before post-vaccination PBMC were available. For patient 16, only one post-vaccinations time point was available and was included post-hoc into the APVAC1 immune response analysis. The memory cell induction factor (MCIF) for patient</w:t>
      </w:r>
      <w:r w:rsidR="005468A8"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xml:space="preserve"> was calculated as follows: The sum of frequencies of all APVAC1-specific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of central memory (CD45RA</w:t>
      </w:r>
      <w:r w:rsidRPr="0040743B">
        <w:rPr>
          <w:rFonts w:ascii="Times New Roman" w:hAnsi="Times New Roman" w:cs="Times New Roman"/>
          <w:sz w:val="24"/>
          <w:szCs w:val="24"/>
          <w:vertAlign w:val="superscript"/>
          <w:lang w:val="en-GB"/>
        </w:rPr>
        <w:t>neg</w:t>
      </w:r>
      <w:r w:rsidRPr="0040743B">
        <w:rPr>
          <w:rFonts w:ascii="Times New Roman" w:hAnsi="Times New Roman" w:cs="Times New Roman"/>
          <w:sz w:val="24"/>
          <w:szCs w:val="24"/>
          <w:lang w:val="en-GB"/>
        </w:rPr>
        <w:t xml:space="preserve"> CD197</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effector memory (CD45RA</w:t>
      </w:r>
      <w:r w:rsidRPr="0040743B">
        <w:rPr>
          <w:rFonts w:ascii="Times New Roman" w:hAnsi="Times New Roman" w:cs="Times New Roman"/>
          <w:sz w:val="24"/>
          <w:szCs w:val="24"/>
          <w:vertAlign w:val="superscript"/>
          <w:lang w:val="en-GB"/>
        </w:rPr>
        <w:t>neg</w:t>
      </w:r>
      <w:r w:rsidRPr="0040743B">
        <w:rPr>
          <w:rFonts w:ascii="Times New Roman" w:hAnsi="Times New Roman" w:cs="Times New Roman"/>
          <w:sz w:val="24"/>
          <w:szCs w:val="24"/>
          <w:lang w:val="en-GB"/>
        </w:rPr>
        <w:t xml:space="preserve"> CD197</w:t>
      </w:r>
      <w:r w:rsidRPr="0040743B">
        <w:rPr>
          <w:rFonts w:ascii="Times New Roman" w:hAnsi="Times New Roman" w:cs="Times New Roman"/>
          <w:sz w:val="24"/>
          <w:szCs w:val="24"/>
          <w:vertAlign w:val="superscript"/>
          <w:lang w:val="en-GB"/>
        </w:rPr>
        <w:t>neg</w:t>
      </w:r>
      <w:r w:rsidRPr="0040743B">
        <w:rPr>
          <w:rFonts w:ascii="Times New Roman" w:hAnsi="Times New Roman" w:cs="Times New Roman"/>
          <w:sz w:val="24"/>
          <w:szCs w:val="24"/>
          <w:lang w:val="en-GB"/>
        </w:rPr>
        <w:t>), and effector memory RA (CD45RA</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CD197</w:t>
      </w:r>
      <w:r w:rsidRPr="0040743B">
        <w:rPr>
          <w:rFonts w:ascii="Times New Roman" w:hAnsi="Times New Roman" w:cs="Times New Roman"/>
          <w:sz w:val="24"/>
          <w:szCs w:val="24"/>
          <w:vertAlign w:val="superscript"/>
          <w:lang w:val="en-GB"/>
        </w:rPr>
        <w:t>neg</w:t>
      </w:r>
      <w:r w:rsidRPr="0040743B">
        <w:rPr>
          <w:rFonts w:ascii="Times New Roman" w:hAnsi="Times New Roman" w:cs="Times New Roman"/>
          <w:sz w:val="24"/>
          <w:szCs w:val="24"/>
          <w:lang w:val="en-GB"/>
        </w:rPr>
        <w:t xml:space="preserve">) phenotypes was calculated per assay time point. In case that no event was detected, 0.1 event per antigen specificity was assumed. Next, the ratios of these memory cell frequencies post-vaccination vs. pre-vaccination </w:t>
      </w:r>
      <w:r w:rsidR="00824134" w:rsidRPr="0040743B">
        <w:rPr>
          <w:rFonts w:ascii="Times New Roman" w:hAnsi="Times New Roman" w:cs="Times New Roman"/>
          <w:sz w:val="24"/>
          <w:szCs w:val="24"/>
          <w:lang w:val="en-GB"/>
        </w:rPr>
        <w:t>were</w:t>
      </w:r>
      <w:r w:rsidRPr="0040743B">
        <w:rPr>
          <w:rFonts w:ascii="Times New Roman" w:hAnsi="Times New Roman" w:cs="Times New Roman"/>
          <w:sz w:val="24"/>
          <w:szCs w:val="24"/>
          <w:lang w:val="en-GB"/>
        </w:rPr>
        <w:t xml:space="preserve"> calculated for each post-vaccination time point. The MCIF for a patient was defined as the maximum of these ratios.</w:t>
      </w:r>
      <w:bookmarkEnd w:id="9"/>
      <w:r w:rsidR="005A3976" w:rsidRPr="0040743B">
        <w:rPr>
          <w:rFonts w:ascii="Times New Roman" w:hAnsi="Times New Roman" w:cs="Times New Roman"/>
          <w:sz w:val="24"/>
          <w:szCs w:val="24"/>
          <w:lang w:val="en-GB"/>
        </w:rPr>
        <w:t xml:space="preserve"> </w:t>
      </w:r>
      <w:r w:rsidR="005E7FB4" w:rsidRPr="0040743B">
        <w:rPr>
          <w:rFonts w:ascii="Times New Roman" w:hAnsi="Times New Roman" w:cs="Times New Roman"/>
          <w:sz w:val="24"/>
          <w:szCs w:val="24"/>
          <w:lang w:val="en-GB"/>
        </w:rPr>
        <w:t>For patient 04, BCA-002- and PLEKHA4-001-reactive T cells were present before vaccination and did not expand</w:t>
      </w:r>
      <w:r w:rsidR="007524F4" w:rsidRPr="0040743B">
        <w:rPr>
          <w:rFonts w:ascii="Times New Roman" w:hAnsi="Times New Roman" w:cs="Times New Roman"/>
          <w:sz w:val="24"/>
          <w:szCs w:val="24"/>
          <w:lang w:val="en-GB"/>
        </w:rPr>
        <w:t>, resulting in a low MCIF (Fig. 2a)</w:t>
      </w:r>
      <w:r w:rsidR="005E7FB4" w:rsidRPr="0040743B">
        <w:rPr>
          <w:rFonts w:ascii="Times New Roman" w:hAnsi="Times New Roman" w:cs="Times New Roman"/>
          <w:sz w:val="24"/>
          <w:szCs w:val="24"/>
          <w:lang w:val="en-GB"/>
        </w:rPr>
        <w:t>.</w:t>
      </w:r>
    </w:p>
    <w:p w14:paraId="0D76B04C" w14:textId="2F2889AA" w:rsidR="00CF41F8" w:rsidRPr="0040743B" w:rsidRDefault="00CF41F8" w:rsidP="00CF41F8">
      <w:pPr>
        <w:pStyle w:val="Text"/>
        <w:spacing w:after="120" w:line="480" w:lineRule="auto"/>
        <w:rPr>
          <w:rFonts w:ascii="Times New Roman" w:hAnsi="Times New Roman" w:cs="Times New Roman"/>
          <w:sz w:val="24"/>
          <w:szCs w:val="24"/>
          <w:lang w:val="en-GB"/>
        </w:rPr>
      </w:pPr>
      <w:r w:rsidRPr="0040743B">
        <w:rPr>
          <w:rFonts w:ascii="Times New Roman" w:hAnsi="Times New Roman" w:cs="Times New Roman"/>
          <w:b/>
          <w:bCs/>
          <w:i/>
          <w:iCs/>
          <w:sz w:val="24"/>
          <w:szCs w:val="24"/>
          <w:lang w:val="en-GB"/>
        </w:rPr>
        <w:t>Ex vivo</w:t>
      </w:r>
      <w:r w:rsidRPr="0040743B">
        <w:rPr>
          <w:rFonts w:ascii="Times New Roman" w:hAnsi="Times New Roman" w:cs="Times New Roman"/>
          <w:b/>
          <w:bCs/>
          <w:sz w:val="24"/>
          <w:szCs w:val="24"/>
          <w:lang w:val="en-GB"/>
        </w:rPr>
        <w:t xml:space="preserve"> HLA class II ICS assay.</w:t>
      </w:r>
      <w:r w:rsidRPr="0040743B">
        <w:rPr>
          <w:rFonts w:ascii="Times New Roman" w:hAnsi="Times New Roman" w:cs="Times New Roman"/>
          <w:sz w:val="24"/>
          <w:szCs w:val="24"/>
          <w:lang w:val="en-GB"/>
        </w:rPr>
        <w:t xml:space="preserve"> After overnight rest, between 1.7</w:t>
      </w:r>
      <w:r w:rsidR="00987BAC" w:rsidRPr="0040743B">
        <w:rPr>
          <w:rFonts w:ascii="Times New Roman" w:hAnsi="Times New Roman" w:cs="Times New Roman"/>
          <w:sz w:val="24"/>
          <w:szCs w:val="24"/>
          <w:lang w:val="en-GB"/>
        </w:rPr>
        <w:t xml:space="preserve"> and </w:t>
      </w:r>
      <w:r w:rsidRPr="0040743B">
        <w:rPr>
          <w:rFonts w:ascii="Times New Roman" w:hAnsi="Times New Roman" w:cs="Times New Roman"/>
          <w:sz w:val="24"/>
          <w:szCs w:val="24"/>
          <w:lang w:val="en-GB"/>
        </w:rPr>
        <w:t>5.1x10</w:t>
      </w:r>
      <w:r w:rsidRPr="0040743B">
        <w:rPr>
          <w:rFonts w:ascii="Times New Roman" w:hAnsi="Times New Roman" w:cs="Times New Roman"/>
          <w:sz w:val="24"/>
          <w:szCs w:val="24"/>
          <w:vertAlign w:val="superscript"/>
          <w:lang w:val="en-GB"/>
        </w:rPr>
        <w:t>6</w:t>
      </w:r>
      <w:r w:rsidRPr="0040743B">
        <w:rPr>
          <w:rFonts w:ascii="Times New Roman" w:hAnsi="Times New Roman" w:cs="Times New Roman"/>
          <w:sz w:val="24"/>
          <w:szCs w:val="24"/>
          <w:lang w:val="en-GB"/>
        </w:rPr>
        <w:t xml:space="preserve"> CD8</w:t>
      </w:r>
      <w:r w:rsidRPr="0040743B">
        <w:rPr>
          <w:rFonts w:ascii="Times New Roman" w:hAnsi="Times New Roman" w:cs="Times New Roman"/>
          <w:sz w:val="24"/>
          <w:szCs w:val="24"/>
          <w:vertAlign w:val="superscript"/>
          <w:lang w:val="en-GB"/>
        </w:rPr>
        <w:t>neg</w:t>
      </w:r>
      <w:r w:rsidRPr="0040743B">
        <w:rPr>
          <w:rFonts w:ascii="Times New Roman" w:hAnsi="Times New Roman" w:cs="Times New Roman"/>
          <w:sz w:val="24"/>
          <w:szCs w:val="24"/>
          <w:lang w:val="en-GB"/>
        </w:rPr>
        <w:t xml:space="preserve"> T cells per well were incubated with antigenic peptide (10 µg/mL) in the presence of </w:t>
      </w:r>
      <w:proofErr w:type="spellStart"/>
      <w:r w:rsidRPr="0040743B">
        <w:rPr>
          <w:rFonts w:ascii="Times New Roman" w:hAnsi="Times New Roman" w:cs="Times New Roman"/>
          <w:sz w:val="24"/>
          <w:szCs w:val="24"/>
          <w:lang w:val="en-GB"/>
        </w:rPr>
        <w:t>monensin</w:t>
      </w:r>
      <w:proofErr w:type="spellEnd"/>
      <w:r w:rsidRPr="0040743B">
        <w:rPr>
          <w:rFonts w:ascii="Times New Roman" w:hAnsi="Times New Roman" w:cs="Times New Roman"/>
          <w:sz w:val="24"/>
          <w:szCs w:val="24"/>
          <w:lang w:val="en-GB"/>
        </w:rPr>
        <w:t xml:space="preserve"> and brefeldin A per manufacturer’s instructions (both BD) for 6 h at 37°C. Cells of each assay time-point were stimulated with the corresponding APVAC1 class II peptides. Furthermore, cells were stimulated with MOCK peptide (solvent only) as internal negative and CMV-002 (LPLKMLNIPSINVH)/CEFT peptide pool MHC Class II</w:t>
      </w:r>
      <w:r w:rsidR="000F1DE9"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Panatecs</w:t>
      </w:r>
      <w:proofErr w:type="spellEnd"/>
      <w:r w:rsidRPr="0040743B">
        <w:rPr>
          <w:rFonts w:ascii="Times New Roman" w:hAnsi="Times New Roman" w:cs="Times New Roman"/>
          <w:sz w:val="24"/>
          <w:szCs w:val="24"/>
          <w:lang w:val="en-GB"/>
        </w:rPr>
        <w:t xml:space="preserve">, Germany) as positive </w:t>
      </w:r>
      <w:r w:rsidRPr="0040743B">
        <w:rPr>
          <w:rFonts w:ascii="Times New Roman" w:hAnsi="Times New Roman" w:cs="Times New Roman"/>
          <w:sz w:val="24"/>
          <w:szCs w:val="24"/>
          <w:lang w:val="en-GB"/>
        </w:rPr>
        <w:lastRenderedPageBreak/>
        <w:t>control. Additionally, in each assay two healthy donors were used as external controls and stimulated using MOCK, HIV-001/HIV-015 as negative and a pool of CMV</w:t>
      </w:r>
      <w:r w:rsidR="0080440A"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002/EBV</w:t>
      </w:r>
      <w:r w:rsidR="0080440A"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014/influenza-derived FLUM</w:t>
      </w:r>
      <w:r w:rsidR="0080440A"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001 (GILGFVFTL)/CEFT peptides as positive controls. After stimulation, CD8</w:t>
      </w:r>
      <w:r w:rsidRPr="0040743B">
        <w:rPr>
          <w:rFonts w:ascii="Times New Roman" w:hAnsi="Times New Roman" w:cs="Times New Roman"/>
          <w:sz w:val="24"/>
          <w:szCs w:val="24"/>
          <w:vertAlign w:val="superscript"/>
          <w:lang w:val="en-GB"/>
        </w:rPr>
        <w:t>neg</w:t>
      </w:r>
      <w:r w:rsidRPr="0040743B">
        <w:rPr>
          <w:rFonts w:ascii="Times New Roman" w:hAnsi="Times New Roman" w:cs="Times New Roman"/>
          <w:sz w:val="24"/>
          <w:szCs w:val="24"/>
          <w:lang w:val="en-GB"/>
        </w:rPr>
        <w:t xml:space="preserve"> cells were treated with Life/Dead near infrared (Life Technologies), followed by surface staining using a CD8-BV570 (RPA-T8,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xml:space="preserve">). After a washing step in PBS, 2% FCS, 2 mM EDTA, 0.01% </w:t>
      </w:r>
      <w:proofErr w:type="spellStart"/>
      <w:r w:rsidRPr="0040743B">
        <w:rPr>
          <w:rFonts w:ascii="Times New Roman" w:hAnsi="Times New Roman" w:cs="Times New Roman"/>
          <w:sz w:val="24"/>
          <w:szCs w:val="24"/>
          <w:lang w:val="en-GB"/>
        </w:rPr>
        <w:t>azide</w:t>
      </w:r>
      <w:proofErr w:type="spellEnd"/>
      <w:r w:rsidRPr="0040743B">
        <w:rPr>
          <w:rFonts w:ascii="Times New Roman" w:hAnsi="Times New Roman" w:cs="Times New Roman"/>
          <w:sz w:val="24"/>
          <w:szCs w:val="24"/>
          <w:lang w:val="en-GB"/>
        </w:rPr>
        <w:t xml:space="preserve">, cells were fixed using FACS Perm2 solution (BD) and intracellular staining was carried out using </w:t>
      </w:r>
      <w:proofErr w:type="spellStart"/>
      <w:r w:rsidRPr="0040743B">
        <w:rPr>
          <w:rFonts w:ascii="Times New Roman" w:hAnsi="Times New Roman" w:cs="Times New Roman"/>
          <w:sz w:val="24"/>
          <w:szCs w:val="24"/>
          <w:lang w:val="en-GB"/>
        </w:rPr>
        <w:t>PermWash</w:t>
      </w:r>
      <w:proofErr w:type="spellEnd"/>
      <w:r w:rsidRPr="0040743B">
        <w:rPr>
          <w:rFonts w:ascii="Times New Roman" w:hAnsi="Times New Roman" w:cs="Times New Roman"/>
          <w:sz w:val="24"/>
          <w:szCs w:val="24"/>
          <w:lang w:val="en-GB"/>
        </w:rPr>
        <w:t xml:space="preserve"> (BD) and CD3-BV711 (OKT3,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xml:space="preserve">), CD4-BV605 (OKT4,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CD154-FITC (TRAP1, BD), IFN-</w:t>
      </w:r>
      <w:r w:rsidRPr="0040743B">
        <w:rPr>
          <w:rFonts w:ascii="Times New Roman" w:hAnsi="Times New Roman" w:cs="Times New Roman"/>
          <w:sz w:val="24"/>
          <w:szCs w:val="24"/>
          <w:lang w:val="en-GB"/>
        </w:rPr>
        <w:sym w:font="Symbol" w:char="F067"/>
      </w:r>
      <w:r w:rsidRPr="0040743B">
        <w:rPr>
          <w:rFonts w:ascii="Times New Roman" w:hAnsi="Times New Roman" w:cs="Times New Roman"/>
          <w:sz w:val="24"/>
          <w:szCs w:val="24"/>
          <w:lang w:val="en-GB"/>
        </w:rPr>
        <w:t xml:space="preserve">-PE-Cy7 (4S.B3, BD), </w:t>
      </w:r>
      <w:r w:rsidR="0080440A" w:rsidRPr="0040743B">
        <w:rPr>
          <w:rFonts w:ascii="Times New Roman" w:hAnsi="Times New Roman" w:cs="Times New Roman"/>
          <w:sz w:val="24"/>
          <w:szCs w:val="24"/>
          <w:lang w:val="en-GB"/>
        </w:rPr>
        <w:t>interleukin (</w:t>
      </w:r>
      <w:r w:rsidRPr="0040743B">
        <w:rPr>
          <w:rFonts w:ascii="Times New Roman" w:hAnsi="Times New Roman" w:cs="Times New Roman"/>
          <w:sz w:val="24"/>
          <w:szCs w:val="24"/>
          <w:lang w:val="en-GB"/>
        </w:rPr>
        <w:t>IL</w:t>
      </w:r>
      <w:r w:rsidR="0080440A"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-2-BV510 (MQ1-17H12,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xml:space="preserve">), IL-4-BV421 (MP4-25D2,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IL-5-PE (JES1-39D10, 1:10 BD), IL-10-</w:t>
      </w:r>
      <w:r w:rsidR="0080440A" w:rsidRPr="0040743B">
        <w:rPr>
          <w:rFonts w:ascii="Times New Roman" w:hAnsi="Times New Roman" w:cs="Times New Roman"/>
          <w:sz w:val="24"/>
          <w:szCs w:val="24"/>
          <w:lang w:val="en-GB"/>
        </w:rPr>
        <w:t>allophycocyanin (</w:t>
      </w:r>
      <w:r w:rsidRPr="0040743B">
        <w:rPr>
          <w:rFonts w:ascii="Times New Roman" w:hAnsi="Times New Roman" w:cs="Times New Roman"/>
          <w:sz w:val="24"/>
          <w:szCs w:val="24"/>
          <w:lang w:val="en-GB"/>
        </w:rPr>
        <w:t>APC</w:t>
      </w:r>
      <w:r w:rsidR="0080440A"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(JES3-9D7, </w:t>
      </w:r>
      <w:proofErr w:type="spellStart"/>
      <w:r w:rsidRPr="0040743B">
        <w:rPr>
          <w:rFonts w:ascii="Times New Roman" w:hAnsi="Times New Roman" w:cs="Times New Roman"/>
          <w:sz w:val="24"/>
          <w:szCs w:val="24"/>
          <w:lang w:val="en-GB"/>
        </w:rPr>
        <w:t>Miltenyi</w:t>
      </w:r>
      <w:proofErr w:type="spellEnd"/>
      <w:r w:rsidRPr="0040743B">
        <w:rPr>
          <w:rFonts w:ascii="Times New Roman" w:hAnsi="Times New Roman" w:cs="Times New Roman"/>
          <w:sz w:val="24"/>
          <w:szCs w:val="24"/>
          <w:lang w:val="en-GB"/>
        </w:rPr>
        <w:t xml:space="preserve">) and </w:t>
      </w:r>
      <w:r w:rsidR="000F1DE9" w:rsidRPr="0040743B">
        <w:rPr>
          <w:rFonts w:ascii="Times New Roman" w:hAnsi="Times New Roman" w:cs="Times New Roman"/>
          <w:sz w:val="24"/>
          <w:szCs w:val="24"/>
          <w:lang w:val="en-GB"/>
        </w:rPr>
        <w:t>tumour necrosis factor (</w:t>
      </w:r>
      <w:r w:rsidRPr="0040743B">
        <w:rPr>
          <w:rFonts w:ascii="Times New Roman" w:hAnsi="Times New Roman" w:cs="Times New Roman"/>
          <w:sz w:val="24"/>
          <w:szCs w:val="24"/>
          <w:lang w:val="en-GB"/>
        </w:rPr>
        <w:t>TNF</w:t>
      </w:r>
      <w:r w:rsidR="000F1DE9"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sym w:font="Symbol" w:char="F061"/>
      </w:r>
      <w:r w:rsidRPr="0040743B">
        <w:rPr>
          <w:rFonts w:ascii="Times New Roman" w:hAnsi="Times New Roman" w:cs="Times New Roman"/>
          <w:sz w:val="24"/>
          <w:szCs w:val="24"/>
          <w:lang w:val="en-GB"/>
        </w:rPr>
        <w:t>-AF700 (MAb11, BD). Cells were acquired and analysed as described above. Gating and analysis of vaccine-induced responses was performed according to recommendations of the CIP</w:t>
      </w:r>
      <w:r w:rsidRPr="0040743B">
        <w:rPr>
          <w:rFonts w:ascii="Times New Roman" w:hAnsi="Times New Roman" w:cs="Times New Roman"/>
          <w:noProof/>
          <w:sz w:val="24"/>
          <w:szCs w:val="24"/>
          <w:vertAlign w:val="superscript"/>
          <w:lang w:val="en-GB"/>
        </w:rPr>
        <w:t>46</w:t>
      </w:r>
      <w:r w:rsidRPr="0040743B">
        <w:rPr>
          <w:rFonts w:ascii="Times New Roman" w:hAnsi="Times New Roman" w:cs="Times New Roman"/>
          <w:sz w:val="24"/>
          <w:szCs w:val="24"/>
          <w:lang w:val="en-GB"/>
        </w:rPr>
        <w:t xml:space="preserve"> (Extended Data</w:t>
      </w:r>
      <w:r w:rsidRPr="0040743B">
        <w:rPr>
          <w:rFonts w:ascii="Times New Roman" w:hAnsi="Times New Roman" w:cs="Times New Roman"/>
          <w:bCs/>
          <w:sz w:val="24"/>
          <w:szCs w:val="24"/>
          <w:lang w:val="en-GB"/>
        </w:rPr>
        <w:t xml:space="preserve"> Fig. 10b</w:t>
      </w:r>
      <w:r w:rsidRPr="0040743B">
        <w:rPr>
          <w:rFonts w:ascii="Times New Roman" w:hAnsi="Times New Roman" w:cs="Times New Roman"/>
          <w:sz w:val="24"/>
          <w:szCs w:val="24"/>
          <w:lang w:val="en-GB"/>
        </w:rPr>
        <w:t xml:space="preserve">). </w:t>
      </w:r>
      <w:r w:rsidR="005F6696" w:rsidRPr="0040743B">
        <w:rPr>
          <w:rFonts w:ascii="Times New Roman" w:hAnsi="Times New Roman" w:cs="Times New Roman"/>
          <w:sz w:val="24"/>
          <w:szCs w:val="24"/>
          <w:lang w:val="en-GB"/>
        </w:rPr>
        <w:t>O</w:t>
      </w:r>
      <w:r w:rsidRPr="0040743B">
        <w:rPr>
          <w:rFonts w:ascii="Times New Roman" w:hAnsi="Times New Roman" w:cs="Times New Roman"/>
          <w:sz w:val="24"/>
          <w:szCs w:val="24"/>
          <w:lang w:val="en-GB"/>
        </w:rPr>
        <w:t>ut of 7 cytokines/markers, all 2</w:t>
      </w:r>
      <w:r w:rsidRPr="0040743B">
        <w:rPr>
          <w:rFonts w:ascii="Times New Roman" w:hAnsi="Times New Roman" w:cs="Times New Roman"/>
          <w:sz w:val="24"/>
          <w:szCs w:val="24"/>
          <w:vertAlign w:val="superscript"/>
          <w:lang w:val="en-GB"/>
        </w:rPr>
        <w:t>7</w:t>
      </w:r>
      <w:r w:rsidRPr="0040743B">
        <w:rPr>
          <w:rFonts w:ascii="Times New Roman" w:hAnsi="Times New Roman" w:cs="Times New Roman"/>
          <w:sz w:val="24"/>
          <w:szCs w:val="24"/>
          <w:lang w:val="en-GB"/>
        </w:rPr>
        <w:t xml:space="preserve">=128 possible combinatorial patterns were calculated using Boolean gating. To be defined as a vaccine-induced response, the frequency of cytokine positive cells within </w:t>
      </w:r>
      <w:r w:rsidR="009F7B7F" w:rsidRPr="0040743B">
        <w:rPr>
          <w:rFonts w:ascii="Times New Roman" w:hAnsi="Times New Roman" w:cs="Times New Roman"/>
          <w:sz w:val="24"/>
          <w:szCs w:val="24"/>
          <w:lang w:val="en-GB"/>
        </w:rPr>
        <w:t>one</w:t>
      </w:r>
      <w:r w:rsidRPr="0040743B">
        <w:rPr>
          <w:rFonts w:ascii="Times New Roman" w:hAnsi="Times New Roman" w:cs="Times New Roman"/>
          <w:sz w:val="24"/>
          <w:szCs w:val="24"/>
          <w:lang w:val="en-GB"/>
        </w:rPr>
        <w:t xml:space="preserve"> combinatorial </w:t>
      </w:r>
      <w:r w:rsidR="009F7B7F" w:rsidRPr="0040743B">
        <w:rPr>
          <w:rFonts w:ascii="Times New Roman" w:hAnsi="Times New Roman" w:cs="Times New Roman"/>
          <w:sz w:val="24"/>
          <w:szCs w:val="24"/>
          <w:lang w:val="en-GB"/>
        </w:rPr>
        <w:t xml:space="preserve">pattern </w:t>
      </w:r>
      <w:r w:rsidRPr="0040743B">
        <w:rPr>
          <w:rFonts w:ascii="Times New Roman" w:hAnsi="Times New Roman" w:cs="Times New Roman"/>
          <w:sz w:val="24"/>
          <w:szCs w:val="24"/>
          <w:lang w:val="en-GB"/>
        </w:rPr>
        <w:t>had to be at least twofold over the frequency in the corresponding MOCK control and the frequency before vaccination.</w:t>
      </w:r>
    </w:p>
    <w:p w14:paraId="1D55F900" w14:textId="19C865D4" w:rsidR="00CF41F8" w:rsidRPr="0040743B" w:rsidRDefault="00CF41F8" w:rsidP="00CF41F8">
      <w:pPr>
        <w:pStyle w:val="Text"/>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HLA-class I and class-II pan-ICS assay.</w:t>
      </w:r>
      <w:r w:rsidRPr="0040743B">
        <w:rPr>
          <w:rFonts w:ascii="Times New Roman" w:hAnsi="Times New Roman" w:cs="Times New Roman"/>
          <w:sz w:val="24"/>
          <w:szCs w:val="24"/>
          <w:lang w:val="en-GB"/>
        </w:rPr>
        <w:t xml:space="preserve"> PBMC samples were incubated with 0.5 U/mL </w:t>
      </w:r>
      <w:proofErr w:type="spellStart"/>
      <w:r w:rsidRPr="0040743B">
        <w:rPr>
          <w:rFonts w:ascii="Times New Roman" w:hAnsi="Times New Roman" w:cs="Times New Roman"/>
          <w:sz w:val="24"/>
          <w:szCs w:val="24"/>
          <w:lang w:val="en-GB"/>
        </w:rPr>
        <w:t>benzonase</w:t>
      </w:r>
      <w:proofErr w:type="spellEnd"/>
      <w:r w:rsidRPr="0040743B">
        <w:rPr>
          <w:rFonts w:ascii="Times New Roman" w:hAnsi="Times New Roman" w:cs="Times New Roman"/>
          <w:sz w:val="24"/>
          <w:szCs w:val="24"/>
          <w:lang w:val="en-GB"/>
        </w:rPr>
        <w:t xml:space="preserve"> (Merck, Germany). APVAC2- or control peptide-specific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and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were amplified by a single round of IVS for 12 days using 2.5x10</w:t>
      </w:r>
      <w:r w:rsidRPr="0040743B">
        <w:rPr>
          <w:rFonts w:ascii="Times New Roman" w:hAnsi="Times New Roman" w:cs="Times New Roman"/>
          <w:sz w:val="24"/>
          <w:szCs w:val="24"/>
          <w:vertAlign w:val="superscript"/>
          <w:lang w:val="en-GB"/>
        </w:rPr>
        <w:t>6</w:t>
      </w:r>
      <w:r w:rsidRPr="0040743B">
        <w:rPr>
          <w:rFonts w:ascii="Times New Roman" w:hAnsi="Times New Roman" w:cs="Times New Roman"/>
          <w:sz w:val="24"/>
          <w:szCs w:val="24"/>
          <w:lang w:val="en-GB"/>
        </w:rPr>
        <w:t xml:space="preserve"> PBMC per well, 10 µg/mL of antigenic peptide and 20 U/mL IL-2 (Novartis, Germany). Samples of each assay time point of a given patient were stimulated with a pool of all patient-specific full length APVAC2 peptides as well as separately with a viral peptide pool (FLUM-001/CMV-002/EBV-014/CEFT pool) </w:t>
      </w:r>
      <w:r w:rsidRPr="0040743B">
        <w:rPr>
          <w:rFonts w:ascii="Times New Roman" w:hAnsi="Times New Roman" w:cs="Times New Roman"/>
          <w:sz w:val="24"/>
          <w:szCs w:val="24"/>
          <w:lang w:val="en-GB"/>
        </w:rPr>
        <w:lastRenderedPageBreak/>
        <w:t>serving as positive control for IVS. As inter-assay control, two healthy donor controls were included in each individual assay. After 12 days, cells were re-stimulated (0.275 - 1.7x10</w:t>
      </w:r>
      <w:r w:rsidRPr="0040743B">
        <w:rPr>
          <w:rFonts w:ascii="Times New Roman" w:hAnsi="Times New Roman" w:cs="Times New Roman"/>
          <w:sz w:val="24"/>
          <w:szCs w:val="24"/>
          <w:vertAlign w:val="superscript"/>
          <w:lang w:val="en-GB"/>
        </w:rPr>
        <w:t>6</w:t>
      </w:r>
      <w:r w:rsidRPr="0040743B">
        <w:rPr>
          <w:rFonts w:ascii="Times New Roman" w:hAnsi="Times New Roman" w:cs="Times New Roman"/>
          <w:sz w:val="24"/>
          <w:szCs w:val="24"/>
          <w:lang w:val="en-GB"/>
        </w:rPr>
        <w:t xml:space="preserve"> cells per well) with 10 µg/mL antigen peptide in the presence of </w:t>
      </w:r>
      <w:proofErr w:type="spellStart"/>
      <w:r w:rsidRPr="0040743B">
        <w:rPr>
          <w:rFonts w:ascii="Times New Roman" w:hAnsi="Times New Roman" w:cs="Times New Roman"/>
          <w:sz w:val="24"/>
          <w:szCs w:val="24"/>
          <w:lang w:val="en-GB"/>
        </w:rPr>
        <w:t>monensin</w:t>
      </w:r>
      <w:proofErr w:type="spellEnd"/>
      <w:r w:rsidRPr="0040743B">
        <w:rPr>
          <w:rFonts w:ascii="Times New Roman" w:hAnsi="Times New Roman" w:cs="Times New Roman"/>
          <w:sz w:val="24"/>
          <w:szCs w:val="24"/>
          <w:lang w:val="en-GB"/>
        </w:rPr>
        <w:t xml:space="preserve">, brefeldin A and CD107a-FITC (H4A3, BD) for 6 h at 37 °C. Re-stimulation was either performed with individual full-length APVAC2 peptides or pools of all possible </w:t>
      </w:r>
      <w:proofErr w:type="spellStart"/>
      <w:r w:rsidRPr="0040743B">
        <w:rPr>
          <w:rFonts w:ascii="Times New Roman" w:hAnsi="Times New Roman" w:cs="Times New Roman"/>
          <w:sz w:val="24"/>
          <w:szCs w:val="24"/>
          <w:lang w:val="en-GB"/>
        </w:rPr>
        <w:t>nonamers</w:t>
      </w:r>
      <w:proofErr w:type="spellEnd"/>
      <w:r w:rsidRPr="0040743B">
        <w:rPr>
          <w:rFonts w:ascii="Times New Roman" w:hAnsi="Times New Roman" w:cs="Times New Roman"/>
          <w:sz w:val="24"/>
          <w:szCs w:val="24"/>
          <w:lang w:val="en-GB"/>
        </w:rPr>
        <w:t xml:space="preserve"> and predicted HLA class I epitopes derived from a given parental APVAC2 peptide (if applicable). MOCK peptide control and stimulation with viral peptide pool as positive control were included. Stimulated cells were surface stained using CD8-BV605 (SK1,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xml:space="preserve">) before fixation with FACS Perm2 solution (BD). Intracellular staining with antibodies CD4-BV785 (RPA-T4,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CD154-BV421 (TRAP1, BD), IFN-</w:t>
      </w:r>
      <w:r w:rsidRPr="0040743B">
        <w:rPr>
          <w:rFonts w:ascii="Times New Roman" w:hAnsi="Times New Roman" w:cs="Times New Roman"/>
          <w:sz w:val="24"/>
          <w:szCs w:val="24"/>
          <w:lang w:val="en-GB"/>
        </w:rPr>
        <w:sym w:font="Symbol" w:char="F067"/>
      </w:r>
      <w:r w:rsidRPr="0040743B">
        <w:rPr>
          <w:rFonts w:ascii="Times New Roman" w:hAnsi="Times New Roman" w:cs="Times New Roman"/>
          <w:sz w:val="24"/>
          <w:szCs w:val="24"/>
          <w:lang w:val="en-GB"/>
        </w:rPr>
        <w:t xml:space="preserve">-PE-Cy7 (4S.B3, BD), IL-2-BV510 (MQ1-17H12,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xml:space="preserve">), IL-5-PE (JES1-39D10, BD), IL-10-BV650 (JES3-9D7, BD), IL-17-BV570 (BL168,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xml:space="preserve">), IL-21-APC (3A3-N2,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and TNF-</w:t>
      </w:r>
      <w:r w:rsidRPr="0040743B">
        <w:rPr>
          <w:rFonts w:ascii="Times New Roman" w:hAnsi="Times New Roman" w:cs="Times New Roman"/>
          <w:sz w:val="24"/>
          <w:szCs w:val="24"/>
          <w:lang w:val="en-GB"/>
        </w:rPr>
        <w:sym w:font="Symbol" w:char="F061"/>
      </w:r>
      <w:r w:rsidRPr="0040743B">
        <w:rPr>
          <w:rFonts w:ascii="Times New Roman" w:hAnsi="Times New Roman" w:cs="Times New Roman"/>
          <w:sz w:val="24"/>
          <w:szCs w:val="24"/>
          <w:lang w:val="en-GB"/>
        </w:rPr>
        <w:t xml:space="preserve">-AF700 (MAb11, BD) was carried out in </w:t>
      </w:r>
      <w:proofErr w:type="spellStart"/>
      <w:r w:rsidRPr="0040743B">
        <w:rPr>
          <w:rFonts w:ascii="Times New Roman" w:hAnsi="Times New Roman" w:cs="Times New Roman"/>
          <w:sz w:val="24"/>
          <w:szCs w:val="24"/>
          <w:lang w:val="en-GB"/>
        </w:rPr>
        <w:t>PermWash</w:t>
      </w:r>
      <w:proofErr w:type="spellEnd"/>
      <w:r w:rsidRPr="0040743B">
        <w:rPr>
          <w:rFonts w:ascii="Times New Roman" w:hAnsi="Times New Roman" w:cs="Times New Roman"/>
          <w:sz w:val="24"/>
          <w:szCs w:val="24"/>
          <w:lang w:val="en-GB"/>
        </w:rPr>
        <w:t xml:space="preserve"> buffer (BD). Cells were acquired and analysed as described above to assess cytokine positive cells among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and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Gating was performed according to recommendations of the CIP (</w:t>
      </w:r>
      <w:r w:rsidRPr="0040743B">
        <w:rPr>
          <w:rFonts w:ascii="Times New Roman" w:hAnsi="Times New Roman" w:cs="Times New Roman"/>
          <w:bCs/>
          <w:sz w:val="24"/>
          <w:szCs w:val="24"/>
          <w:lang w:val="en-GB"/>
        </w:rPr>
        <w:t>Extended Data Fig. 10c</w:t>
      </w:r>
      <w:r w:rsidRPr="0040743B">
        <w:rPr>
          <w:rFonts w:ascii="Times New Roman" w:hAnsi="Times New Roman" w:cs="Times New Roman"/>
          <w:sz w:val="24"/>
          <w:szCs w:val="24"/>
          <w:lang w:val="en-GB"/>
        </w:rPr>
        <w:t xml:space="preserve">). </w:t>
      </w:r>
      <w:r w:rsidR="00B143E1" w:rsidRPr="0040743B">
        <w:rPr>
          <w:rFonts w:ascii="Times New Roman" w:hAnsi="Times New Roman" w:cs="Times New Roman"/>
          <w:sz w:val="24"/>
          <w:szCs w:val="24"/>
          <w:lang w:val="en-GB"/>
        </w:rPr>
        <w:t>U</w:t>
      </w:r>
      <w:r w:rsidRPr="0040743B">
        <w:rPr>
          <w:rFonts w:ascii="Times New Roman" w:hAnsi="Times New Roman" w:cs="Times New Roman"/>
          <w:sz w:val="24"/>
          <w:szCs w:val="24"/>
          <w:lang w:val="en-GB"/>
        </w:rPr>
        <w:t>sing Boolean gating, 77 of 512 combinatorial patterns were selected reflecting the cytokine expression profiles of T</w:t>
      </w:r>
      <w:r w:rsidRPr="0040743B">
        <w:rPr>
          <w:rFonts w:ascii="Times New Roman" w:hAnsi="Times New Roman" w:cs="Times New Roman"/>
          <w:sz w:val="24"/>
          <w:szCs w:val="24"/>
          <w:vertAlign w:val="subscript"/>
          <w:lang w:val="en-GB"/>
        </w:rPr>
        <w:t>H</w:t>
      </w:r>
      <w:r w:rsidRPr="0040743B">
        <w:rPr>
          <w:rFonts w:ascii="Times New Roman" w:hAnsi="Times New Roman" w:cs="Times New Roman"/>
          <w:sz w:val="24"/>
          <w:szCs w:val="24"/>
          <w:lang w:val="en-GB"/>
        </w:rPr>
        <w:t xml:space="preserve"> cell subsets according to recent literature</w:t>
      </w:r>
      <w:r w:rsidRPr="0040743B">
        <w:rPr>
          <w:rFonts w:ascii="Times New Roman" w:hAnsi="Times New Roman" w:cs="Times New Roman"/>
          <w:noProof/>
          <w:sz w:val="24"/>
          <w:szCs w:val="24"/>
          <w:vertAlign w:val="superscript"/>
          <w:lang w:val="en-GB"/>
        </w:rPr>
        <w:t>47</w:t>
      </w:r>
      <w:r w:rsidRPr="0040743B">
        <w:rPr>
          <w:rFonts w:ascii="Times New Roman" w:hAnsi="Times New Roman" w:cs="Times New Roman"/>
          <w:sz w:val="24"/>
          <w:szCs w:val="24"/>
          <w:lang w:val="en-GB"/>
        </w:rPr>
        <w:t>. To be defined as vaccine-induced response, frequency of cytokine positive cells within</w:t>
      </w:r>
      <w:r w:rsidRPr="0040743B" w:rsidDel="00666889">
        <w:rPr>
          <w:rFonts w:ascii="Times New Roman" w:hAnsi="Times New Roman" w:cs="Times New Roman"/>
          <w:sz w:val="24"/>
          <w:szCs w:val="24"/>
          <w:lang w:val="en-GB"/>
        </w:rPr>
        <w:t xml:space="preserve"> </w:t>
      </w:r>
      <w:r w:rsidR="00666889" w:rsidRPr="0040743B">
        <w:rPr>
          <w:rFonts w:ascii="Times New Roman" w:hAnsi="Times New Roman" w:cs="Times New Roman"/>
          <w:sz w:val="24"/>
          <w:szCs w:val="24"/>
          <w:lang w:val="en-GB"/>
        </w:rPr>
        <w:t>one</w:t>
      </w:r>
      <w:r w:rsidRPr="0040743B">
        <w:rPr>
          <w:rFonts w:ascii="Times New Roman" w:hAnsi="Times New Roman" w:cs="Times New Roman"/>
          <w:sz w:val="24"/>
          <w:szCs w:val="24"/>
          <w:lang w:val="en-GB"/>
        </w:rPr>
        <w:t xml:space="preserve"> combinatorial </w:t>
      </w:r>
      <w:r w:rsidR="00666889" w:rsidRPr="0040743B">
        <w:rPr>
          <w:rFonts w:ascii="Times New Roman" w:hAnsi="Times New Roman" w:cs="Times New Roman"/>
          <w:sz w:val="24"/>
          <w:szCs w:val="24"/>
          <w:lang w:val="en-GB"/>
        </w:rPr>
        <w:t xml:space="preserve">pattern </w:t>
      </w:r>
      <w:r w:rsidRPr="0040743B">
        <w:rPr>
          <w:rFonts w:ascii="Times New Roman" w:hAnsi="Times New Roman" w:cs="Times New Roman"/>
          <w:sz w:val="24"/>
          <w:szCs w:val="24"/>
          <w:lang w:val="en-GB"/>
        </w:rPr>
        <w:t>had to be at least 4-fold over the frequency of the corresponding MOCK control and the frequency before vaccination.</w:t>
      </w:r>
    </w:p>
    <w:p w14:paraId="063E40FB" w14:textId="3B55F140" w:rsidR="00CF41F8" w:rsidRPr="0040743B" w:rsidRDefault="00CF41F8" w:rsidP="00CF41F8">
      <w:pPr>
        <w:pStyle w:val="Text"/>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IFN-</w:t>
      </w:r>
      <w:r w:rsidRPr="0040743B">
        <w:rPr>
          <w:rFonts w:ascii="Times New Roman" w:hAnsi="Times New Roman" w:cs="Times New Roman"/>
          <w:b/>
          <w:sz w:val="24"/>
          <w:szCs w:val="24"/>
          <w:lang w:val="en-GB"/>
        </w:rPr>
        <w:sym w:font="Symbol" w:char="F067"/>
      </w:r>
      <w:r w:rsidRPr="0040743B">
        <w:rPr>
          <w:rFonts w:ascii="Times New Roman" w:hAnsi="Times New Roman" w:cs="Times New Roman"/>
          <w:b/>
          <w:sz w:val="24"/>
          <w:szCs w:val="24"/>
          <w:lang w:val="en-GB"/>
        </w:rPr>
        <w:t xml:space="preserve"> </w:t>
      </w:r>
      <w:r w:rsidRPr="0040743B">
        <w:rPr>
          <w:rFonts w:ascii="Times New Roman" w:hAnsi="Times New Roman" w:cs="Times New Roman"/>
          <w:b/>
          <w:bCs/>
          <w:sz w:val="24"/>
          <w:szCs w:val="24"/>
          <w:lang w:val="en-GB"/>
        </w:rPr>
        <w:t>ELISpot</w:t>
      </w:r>
      <w:r w:rsidR="000F1DE9" w:rsidRPr="0040743B">
        <w:rPr>
          <w:rFonts w:ascii="Times New Roman" w:hAnsi="Times New Roman" w:cs="Times New Roman"/>
          <w:b/>
          <w:bCs/>
          <w:sz w:val="24"/>
          <w:szCs w:val="24"/>
          <w:lang w:val="en-GB"/>
        </w:rPr>
        <w:t xml:space="preserve"> (</w:t>
      </w:r>
      <w:r w:rsidR="000F1DE9" w:rsidRPr="0040743B">
        <w:rPr>
          <w:rFonts w:ascii="Times New Roman" w:hAnsi="Times New Roman" w:cs="Times New Roman"/>
          <w:b/>
          <w:sz w:val="24"/>
          <w:szCs w:val="24"/>
          <w:lang w:val="en-GB"/>
        </w:rPr>
        <w:t>enzyme</w:t>
      </w:r>
      <w:r w:rsidR="007D54F7" w:rsidRPr="0040743B">
        <w:rPr>
          <w:rFonts w:ascii="Times New Roman" w:hAnsi="Times New Roman" w:cs="Times New Roman"/>
          <w:b/>
          <w:sz w:val="24"/>
          <w:szCs w:val="24"/>
          <w:lang w:val="en-GB"/>
        </w:rPr>
        <w:t>-</w:t>
      </w:r>
      <w:r w:rsidR="000F1DE9" w:rsidRPr="0040743B">
        <w:rPr>
          <w:rFonts w:ascii="Times New Roman" w:hAnsi="Times New Roman" w:cs="Times New Roman"/>
          <w:b/>
          <w:sz w:val="24"/>
          <w:szCs w:val="24"/>
          <w:lang w:val="en-GB"/>
        </w:rPr>
        <w:t xml:space="preserve">linked </w:t>
      </w:r>
      <w:proofErr w:type="spellStart"/>
      <w:r w:rsidR="000F1DE9" w:rsidRPr="0040743B">
        <w:rPr>
          <w:rFonts w:ascii="Times New Roman" w:hAnsi="Times New Roman" w:cs="Times New Roman"/>
          <w:b/>
          <w:sz w:val="24"/>
          <w:szCs w:val="24"/>
          <w:lang w:val="en-GB"/>
        </w:rPr>
        <w:t>immun</w:t>
      </w:r>
      <w:r w:rsidR="007D54F7" w:rsidRPr="0040743B">
        <w:rPr>
          <w:rFonts w:ascii="Times New Roman" w:hAnsi="Times New Roman" w:cs="Times New Roman"/>
          <w:b/>
          <w:sz w:val="24"/>
          <w:szCs w:val="24"/>
          <w:lang w:val="en-GB"/>
        </w:rPr>
        <w:t>o</w:t>
      </w:r>
      <w:r w:rsidR="000F1DE9" w:rsidRPr="0040743B">
        <w:rPr>
          <w:rFonts w:ascii="Times New Roman" w:hAnsi="Times New Roman" w:cs="Times New Roman"/>
          <w:b/>
          <w:sz w:val="24"/>
          <w:szCs w:val="24"/>
          <w:lang w:val="en-GB"/>
        </w:rPr>
        <w:t>spot</w:t>
      </w:r>
      <w:proofErr w:type="spellEnd"/>
      <w:r w:rsidR="000F1DE9" w:rsidRPr="0040743B">
        <w:rPr>
          <w:rFonts w:ascii="Times New Roman" w:hAnsi="Times New Roman" w:cs="Times New Roman"/>
          <w:b/>
          <w:sz w:val="24"/>
          <w:szCs w:val="24"/>
          <w:lang w:val="en-GB"/>
        </w:rPr>
        <w:t xml:space="preserve"> assay</w:t>
      </w:r>
      <w:r w:rsidR="000F1DE9" w:rsidRPr="0040743B">
        <w:rPr>
          <w:rFonts w:ascii="Times New Roman" w:hAnsi="Times New Roman" w:cs="Times New Roman"/>
          <w:b/>
          <w:bCs/>
          <w:sz w:val="24"/>
          <w:szCs w:val="24"/>
          <w:lang w:val="en-GB"/>
        </w:rPr>
        <w:t>)</w:t>
      </w:r>
      <w:r w:rsidRPr="0040743B">
        <w:rPr>
          <w:rFonts w:ascii="Times New Roman" w:hAnsi="Times New Roman" w:cs="Times New Roman"/>
          <w:b/>
          <w:bCs/>
          <w:sz w:val="24"/>
          <w:szCs w:val="24"/>
          <w:lang w:val="en-GB"/>
        </w:rPr>
        <w:t>.</w:t>
      </w:r>
      <w:r w:rsidRPr="0040743B">
        <w:rPr>
          <w:rFonts w:ascii="Times New Roman" w:hAnsi="Times New Roman" w:cs="Times New Roman"/>
          <w:sz w:val="24"/>
          <w:szCs w:val="24"/>
          <w:lang w:val="en-GB"/>
        </w:rPr>
        <w:t xml:space="preserve"> Detailed protocols have been described previously</w:t>
      </w:r>
      <w:r w:rsidRPr="0040743B">
        <w:rPr>
          <w:rFonts w:ascii="Times New Roman" w:hAnsi="Times New Roman" w:cs="Times New Roman"/>
          <w:noProof/>
          <w:sz w:val="24"/>
          <w:szCs w:val="24"/>
          <w:vertAlign w:val="superscript"/>
          <w:lang w:val="en-GB"/>
        </w:rPr>
        <w:t>48,49</w:t>
      </w:r>
      <w:r w:rsidRPr="0040743B">
        <w:rPr>
          <w:rFonts w:ascii="Times New Roman" w:hAnsi="Times New Roman" w:cs="Times New Roman"/>
          <w:sz w:val="24"/>
          <w:szCs w:val="24"/>
          <w:lang w:val="en-GB"/>
        </w:rPr>
        <w:t xml:space="preserve">. Briefly for </w:t>
      </w:r>
      <w:r w:rsidRPr="0040743B">
        <w:rPr>
          <w:rFonts w:ascii="Times New Roman" w:hAnsi="Times New Roman" w:cs="Times New Roman"/>
          <w:bCs/>
          <w:sz w:val="24"/>
          <w:szCs w:val="24"/>
          <w:lang w:val="en-GB"/>
        </w:rPr>
        <w:t>Fig. 5d</w:t>
      </w:r>
      <w:r w:rsidRPr="0040743B">
        <w:rPr>
          <w:rFonts w:ascii="Times New Roman" w:hAnsi="Times New Roman" w:cs="Times New Roman"/>
          <w:sz w:val="24"/>
          <w:szCs w:val="24"/>
          <w:lang w:val="en-GB"/>
        </w:rPr>
        <w:t>, PBMC from patient 08 were thawed and expanded during 12 days in the presence of 5 µg/mL peptide and 2 ng/mL recombinant human IL-2 (R&amp;D, MN). Cells were harvested and tested in duplicates by IFN-</w:t>
      </w:r>
      <w:r w:rsidRPr="0040743B">
        <w:rPr>
          <w:rFonts w:ascii="Times New Roman" w:hAnsi="Times New Roman" w:cs="Times New Roman"/>
          <w:sz w:val="24"/>
          <w:szCs w:val="24"/>
          <w:lang w:val="en-GB"/>
        </w:rPr>
        <w:sym w:font="Symbol" w:char="F067"/>
      </w:r>
      <w:r w:rsidRPr="0040743B">
        <w:rPr>
          <w:rFonts w:ascii="Times New Roman" w:hAnsi="Times New Roman" w:cs="Times New Roman"/>
          <w:sz w:val="24"/>
          <w:szCs w:val="24"/>
          <w:lang w:val="en-GB"/>
        </w:rPr>
        <w:t xml:space="preserve"> ELISpot with 2.5 µg/mL peptide, 10 </w:t>
      </w:r>
      <w:r w:rsidRPr="0040743B">
        <w:rPr>
          <w:rFonts w:ascii="Times New Roman" w:hAnsi="Times New Roman" w:cs="Times New Roman"/>
          <w:sz w:val="24"/>
          <w:szCs w:val="24"/>
          <w:lang w:val="en-GB"/>
        </w:rPr>
        <w:lastRenderedPageBreak/>
        <w:t xml:space="preserve">µg/mL </w:t>
      </w:r>
      <w:proofErr w:type="spellStart"/>
      <w:r w:rsidR="007D54F7" w:rsidRPr="0040743B">
        <w:rPr>
          <w:rFonts w:ascii="Times New Roman" w:hAnsi="Times New Roman" w:cs="Times New Roman"/>
          <w:sz w:val="24"/>
          <w:szCs w:val="24"/>
          <w:lang w:val="en-GB"/>
        </w:rPr>
        <w:t>phytohaemagglutinin</w:t>
      </w:r>
      <w:proofErr w:type="spellEnd"/>
      <w:r w:rsidR="007D54F7"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PHA</w:t>
      </w:r>
      <w:r w:rsidR="007D54F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-L as positive control, or 10% </w:t>
      </w:r>
      <w:r w:rsidR="007D54F7" w:rsidRPr="0040743B">
        <w:rPr>
          <w:rFonts w:ascii="Times New Roman" w:hAnsi="Times New Roman" w:cs="Times New Roman"/>
          <w:sz w:val="24"/>
          <w:szCs w:val="24"/>
          <w:lang w:val="en-GB"/>
        </w:rPr>
        <w:t>dimethyl sulfoxide (</w:t>
      </w:r>
      <w:r w:rsidRPr="0040743B">
        <w:rPr>
          <w:rFonts w:ascii="Times New Roman" w:hAnsi="Times New Roman" w:cs="Times New Roman"/>
          <w:sz w:val="24"/>
          <w:szCs w:val="24"/>
          <w:lang w:val="en-GB"/>
        </w:rPr>
        <w:t>DMSO</w:t>
      </w:r>
      <w:r w:rsidR="007D54F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as MOCK. After 26 h incubation, spots were revealed with </w:t>
      </w:r>
      <w:r w:rsidR="007D54F7" w:rsidRPr="0040743B">
        <w:rPr>
          <w:rFonts w:ascii="Times New Roman" w:hAnsi="Times New Roman" w:cs="Times New Roman"/>
          <w:sz w:val="24"/>
          <w:szCs w:val="24"/>
          <w:lang w:val="en-GB"/>
        </w:rPr>
        <w:t>5-bromo-4-chloro-3-indolyl-phosphate (</w:t>
      </w:r>
      <w:r w:rsidRPr="0040743B">
        <w:rPr>
          <w:rFonts w:ascii="Times New Roman" w:hAnsi="Times New Roman" w:cs="Times New Roman"/>
          <w:sz w:val="24"/>
          <w:szCs w:val="24"/>
          <w:lang w:val="en-GB"/>
        </w:rPr>
        <w:t>BCIP</w:t>
      </w:r>
      <w:r w:rsidR="007D54F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w:t>
      </w:r>
      <w:r w:rsidR="007D54F7" w:rsidRPr="0040743B">
        <w:rPr>
          <w:rFonts w:ascii="Times New Roman" w:hAnsi="Times New Roman" w:cs="Times New Roman"/>
          <w:sz w:val="24"/>
          <w:szCs w:val="24"/>
          <w:lang w:val="en-GB"/>
        </w:rPr>
        <w:t xml:space="preserve"> nitro blue tetrazolium chloride (</w:t>
      </w:r>
      <w:r w:rsidRPr="0040743B">
        <w:rPr>
          <w:rFonts w:ascii="Times New Roman" w:hAnsi="Times New Roman" w:cs="Times New Roman"/>
          <w:sz w:val="24"/>
          <w:szCs w:val="24"/>
          <w:lang w:val="en-GB"/>
        </w:rPr>
        <w:t>NBT</w:t>
      </w:r>
      <w:r w:rsidR="007D54F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and analysed with an </w:t>
      </w:r>
      <w:proofErr w:type="spellStart"/>
      <w:r w:rsidRPr="0040743B">
        <w:rPr>
          <w:rFonts w:ascii="Times New Roman" w:hAnsi="Times New Roman" w:cs="Times New Roman"/>
          <w:sz w:val="24"/>
          <w:szCs w:val="24"/>
          <w:lang w:val="en-GB"/>
        </w:rPr>
        <w:t>ImmunoSpot</w:t>
      </w:r>
      <w:proofErr w:type="spellEnd"/>
      <w:r w:rsidRPr="0040743B">
        <w:rPr>
          <w:rFonts w:ascii="Times New Roman" w:hAnsi="Times New Roman" w:cs="Times New Roman"/>
          <w:sz w:val="24"/>
          <w:szCs w:val="24"/>
          <w:lang w:val="en-GB"/>
        </w:rPr>
        <w:t xml:space="preserve"> Series 6 ELISpot Reader (C.T.L. Europe, Germany).</w:t>
      </w:r>
    </w:p>
    <w:p w14:paraId="1D4F97B4" w14:textId="137821B5" w:rsidR="00CF41F8" w:rsidRPr="0040743B" w:rsidRDefault="00CF41F8" w:rsidP="00CF41F8">
      <w:pPr>
        <w:pStyle w:val="Text"/>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TIL expansion protocol.</w:t>
      </w:r>
      <w:r w:rsidRPr="0040743B">
        <w:rPr>
          <w:rFonts w:ascii="Times New Roman" w:hAnsi="Times New Roman" w:cs="Times New Roman"/>
          <w:sz w:val="24"/>
          <w:szCs w:val="24"/>
          <w:lang w:val="en-GB"/>
        </w:rPr>
        <w:t xml:space="preserve"> A harmonized protocol for TIL expansion was established during the preclinical phase of the project. First, information on protocols established at each clinical centre for TIL isolation and </w:t>
      </w:r>
      <w:r w:rsidRPr="0040743B">
        <w:rPr>
          <w:rFonts w:ascii="Times New Roman" w:hAnsi="Times New Roman" w:cs="Times New Roman"/>
          <w:i/>
          <w:iCs/>
          <w:sz w:val="24"/>
          <w:szCs w:val="24"/>
          <w:lang w:val="en-GB"/>
        </w:rPr>
        <w:t>in vitro</w:t>
      </w:r>
      <w:r w:rsidRPr="0040743B">
        <w:rPr>
          <w:rFonts w:ascii="Times New Roman" w:hAnsi="Times New Roman" w:cs="Times New Roman"/>
          <w:sz w:val="24"/>
          <w:szCs w:val="24"/>
          <w:lang w:val="en-GB"/>
        </w:rPr>
        <w:t xml:space="preserve"> expansion were compared; based on this survey, three IL-2 concentrations (150, 1</w:t>
      </w:r>
      <w:r w:rsidR="00F9444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000 and 6</w:t>
      </w:r>
      <w:r w:rsidR="00F9444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000 IU/mL) and the addition of a CD3 signal (soluble CD3 Ab or beads coated with CD3/CD28 Ab) were tested for expanding glioma TIL. Cell outgrowth, cell yields and distribution of T- and </w:t>
      </w:r>
      <w:r w:rsidR="007D54F7" w:rsidRPr="0040743B">
        <w:rPr>
          <w:rFonts w:ascii="Times New Roman" w:hAnsi="Times New Roman" w:cs="Times New Roman"/>
          <w:sz w:val="24"/>
          <w:szCs w:val="24"/>
          <w:lang w:val="en-GB"/>
        </w:rPr>
        <w:t>natural killer (</w:t>
      </w:r>
      <w:r w:rsidRPr="0040743B">
        <w:rPr>
          <w:rFonts w:ascii="Times New Roman" w:hAnsi="Times New Roman" w:cs="Times New Roman"/>
          <w:sz w:val="24"/>
          <w:szCs w:val="24"/>
          <w:lang w:val="en-GB"/>
        </w:rPr>
        <w:t>NK</w:t>
      </w:r>
      <w:r w:rsidR="007D54F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-cell subsets were determined for altogether 24 gliomas at four centres. T cell expansion was similar in the presence of 6</w:t>
      </w:r>
      <w:r w:rsidR="00F9444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000 IU/mL and 1</w:t>
      </w:r>
      <w:r w:rsidR="00F94444"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000 IU/mL</w:t>
      </w:r>
      <w:r w:rsidR="001313F5" w:rsidRPr="0040743B">
        <w:rPr>
          <w:rFonts w:ascii="Times New Roman" w:hAnsi="Times New Roman" w:cs="Times New Roman"/>
          <w:sz w:val="24"/>
          <w:szCs w:val="24"/>
          <w:lang w:val="en-GB"/>
        </w:rPr>
        <w:t xml:space="preserve"> IL-2</w:t>
      </w:r>
      <w:r w:rsidRPr="0040743B">
        <w:rPr>
          <w:rFonts w:ascii="Times New Roman" w:hAnsi="Times New Roman" w:cs="Times New Roman"/>
          <w:sz w:val="24"/>
          <w:szCs w:val="24"/>
          <w:lang w:val="en-GB"/>
        </w:rPr>
        <w:t>,</w:t>
      </w:r>
      <w:r w:rsidR="007D54F7"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but lower with 150 IU/</w:t>
      </w:r>
      <w:proofErr w:type="spellStart"/>
      <w:r w:rsidRPr="0040743B">
        <w:rPr>
          <w:rFonts w:ascii="Times New Roman" w:hAnsi="Times New Roman" w:cs="Times New Roman"/>
          <w:sz w:val="24"/>
          <w:szCs w:val="24"/>
          <w:lang w:val="en-GB"/>
        </w:rPr>
        <w:t>mL.</w:t>
      </w:r>
      <w:proofErr w:type="spellEnd"/>
      <w:r w:rsidRPr="0040743B">
        <w:rPr>
          <w:rFonts w:ascii="Times New Roman" w:hAnsi="Times New Roman" w:cs="Times New Roman"/>
          <w:sz w:val="24"/>
          <w:szCs w:val="24"/>
          <w:lang w:val="en-GB"/>
        </w:rPr>
        <w:t xml:space="preserve"> CD3</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TCR</w:t>
      </w:r>
      <w:r w:rsidRPr="0040743B">
        <w:rPr>
          <w:rFonts w:ascii="Times New Roman" w:hAnsi="Times New Roman" w:cs="Times New Roman"/>
          <w:sz w:val="24"/>
          <w:szCs w:val="24"/>
          <w:lang w:val="en-GB"/>
        </w:rPr>
        <w:sym w:font="Symbol" w:char="F061"/>
      </w:r>
      <w:r w:rsidRPr="0040743B">
        <w:rPr>
          <w:rFonts w:ascii="Times New Roman" w:hAnsi="Times New Roman" w:cs="Times New Roman"/>
          <w:sz w:val="24"/>
          <w:szCs w:val="24"/>
          <w:lang w:val="en-GB"/>
        </w:rPr>
        <w:sym w:font="Symbol" w:char="F062"/>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cells were prominent in most cultures, which is different when compared to what is found for melanoma (</w:t>
      </w:r>
      <w:r w:rsidRPr="0040743B">
        <w:rPr>
          <w:rFonts w:ascii="Times New Roman" w:hAnsi="Times New Roman" w:cs="Times New Roman"/>
          <w:bCs/>
          <w:sz w:val="24"/>
          <w:szCs w:val="24"/>
          <w:lang w:val="en-GB"/>
        </w:rPr>
        <w:t>Extended Data Fig. 8a</w:t>
      </w:r>
      <w:r w:rsidRPr="0040743B">
        <w:rPr>
          <w:rFonts w:ascii="Times New Roman" w:hAnsi="Times New Roman" w:cs="Times New Roman"/>
          <w:sz w:val="24"/>
          <w:szCs w:val="24"/>
          <w:lang w:val="en-GB"/>
        </w:rPr>
        <w:t>). In some individual cultures, a stronger expansion of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was observed (</w:t>
      </w:r>
      <w:r w:rsidRPr="0040743B">
        <w:rPr>
          <w:rFonts w:ascii="Times New Roman" w:hAnsi="Times New Roman" w:cs="Times New Roman"/>
          <w:bCs/>
          <w:sz w:val="24"/>
          <w:szCs w:val="24"/>
          <w:lang w:val="en-GB"/>
        </w:rPr>
        <w:t>Extended Data Fig</w:t>
      </w:r>
      <w:r w:rsidR="00F629DD" w:rsidRPr="0040743B">
        <w:rPr>
          <w:rFonts w:ascii="Times New Roman" w:hAnsi="Times New Roman" w:cs="Times New Roman"/>
          <w:bCs/>
          <w:sz w:val="24"/>
          <w:szCs w:val="24"/>
          <w:lang w:val="en-GB"/>
        </w:rPr>
        <w:t>.</w:t>
      </w:r>
      <w:r w:rsidRPr="0040743B">
        <w:rPr>
          <w:rFonts w:ascii="Times New Roman" w:hAnsi="Times New Roman" w:cs="Times New Roman"/>
          <w:bCs/>
          <w:sz w:val="24"/>
          <w:szCs w:val="24"/>
          <w:lang w:val="en-GB"/>
        </w:rPr>
        <w:t xml:space="preserve"> 8c</w:t>
      </w:r>
      <w:r w:rsidRPr="0040743B">
        <w:rPr>
          <w:rFonts w:ascii="Times New Roman" w:hAnsi="Times New Roman" w:cs="Times New Roman"/>
          <w:sz w:val="24"/>
          <w:szCs w:val="24"/>
          <w:lang w:val="en-GB"/>
        </w:rPr>
        <w:t>). Hence, we recommend culturing several individual cultures rather than pooling all TIL. CD3 stimulation clearly increased cell yield as compared to IL-2 alone (</w:t>
      </w:r>
      <w:r w:rsidRPr="0040743B">
        <w:rPr>
          <w:rFonts w:ascii="Times New Roman" w:hAnsi="Times New Roman" w:cs="Times New Roman"/>
          <w:bCs/>
          <w:sz w:val="24"/>
          <w:szCs w:val="24"/>
          <w:lang w:val="en-GB"/>
        </w:rPr>
        <w:t>Extended Data Fig. 8b</w:t>
      </w:r>
      <w:r w:rsidRPr="0040743B">
        <w:rPr>
          <w:rFonts w:ascii="Times New Roman" w:hAnsi="Times New Roman" w:cs="Times New Roman"/>
          <w:sz w:val="24"/>
          <w:szCs w:val="24"/>
          <w:lang w:val="en-GB"/>
        </w:rPr>
        <w:t>), as observed previously by others</w:t>
      </w:r>
      <w:r w:rsidRPr="0040743B">
        <w:rPr>
          <w:rFonts w:ascii="Times New Roman" w:hAnsi="Times New Roman" w:cs="Times New Roman"/>
          <w:noProof/>
          <w:sz w:val="24"/>
          <w:szCs w:val="24"/>
          <w:vertAlign w:val="superscript"/>
          <w:lang w:val="en-GB"/>
        </w:rPr>
        <w:t>50</w:t>
      </w:r>
      <w:r w:rsidRPr="0040743B">
        <w:rPr>
          <w:rFonts w:ascii="Times New Roman" w:hAnsi="Times New Roman" w:cs="Times New Roman"/>
          <w:sz w:val="24"/>
          <w:szCs w:val="24"/>
          <w:lang w:val="en-GB"/>
        </w:rPr>
        <w:t>. In 2/2 tumours tested, the ratio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did not change significantly over the weeks of culture (3 tests at one-week intervals, not shown). Based on the results obtained in these optimization experiments, a concentration of rhIL-2 of 1</w:t>
      </w:r>
      <w:r w:rsidR="0030558C"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000 IU/mL and the addition of a CD3 antibody were finally chosen. The final GAPVAC harmonized protocol for GB TIL expansion which was afterwards applied during the clinical phase is provided as </w:t>
      </w:r>
      <w:r w:rsidRPr="0040743B">
        <w:rPr>
          <w:rFonts w:ascii="Times New Roman" w:hAnsi="Times New Roman" w:cs="Times New Roman"/>
          <w:bCs/>
          <w:sz w:val="24"/>
          <w:szCs w:val="24"/>
          <w:lang w:val="en-GB"/>
        </w:rPr>
        <w:t>Supplementary Method 2</w:t>
      </w:r>
      <w:r w:rsidR="00946D07" w:rsidRPr="0040743B">
        <w:rPr>
          <w:rFonts w:ascii="Times New Roman" w:hAnsi="Times New Roman" w:cs="Times New Roman"/>
          <w:bCs/>
          <w:sz w:val="24"/>
          <w:szCs w:val="24"/>
          <w:lang w:val="en-GB"/>
        </w:rPr>
        <w:t xml:space="preserve"> (</w:t>
      </w:r>
      <w:r w:rsidRPr="0040743B">
        <w:rPr>
          <w:rFonts w:ascii="Times New Roman" w:hAnsi="Times New Roman" w:cs="Times New Roman"/>
          <w:bCs/>
          <w:sz w:val="24"/>
          <w:szCs w:val="24"/>
          <w:lang w:val="en-GB"/>
        </w:rPr>
        <w:t>‘Harmonized GAPVAC TIL isolation and expansion protocol from glioblastoma tumour specimens’</w:t>
      </w:r>
      <w:r w:rsidRPr="0040743B">
        <w:rPr>
          <w:rFonts w:ascii="Times New Roman" w:hAnsi="Times New Roman" w:cs="Times New Roman"/>
          <w:sz w:val="24"/>
          <w:szCs w:val="24"/>
          <w:lang w:val="en-GB"/>
        </w:rPr>
        <w:t>).</w:t>
      </w:r>
    </w:p>
    <w:p w14:paraId="117BA8EA" w14:textId="26E1C358" w:rsidR="00CF41F8" w:rsidRPr="0040743B" w:rsidRDefault="00CF41F8" w:rsidP="00CF41F8">
      <w:pPr>
        <w:pStyle w:val="Text"/>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lastRenderedPageBreak/>
        <w:t xml:space="preserve">Functional testing of TIL. </w:t>
      </w:r>
      <w:r w:rsidRPr="0040743B">
        <w:rPr>
          <w:rFonts w:ascii="Times New Roman" w:hAnsi="Times New Roman" w:cs="Times New Roman"/>
          <w:sz w:val="24"/>
          <w:szCs w:val="24"/>
          <w:lang w:val="en-GB"/>
        </w:rPr>
        <w:t>TIL peptide-specificity testing was performed using ICS (for HLA class I peptides and HLA class II or long peptides) and HLA-multimer staining (for HLA class I peptides only). Both assays were harmonized during the pre-clinical phase by organizing successive proficiency panels (</w:t>
      </w:r>
      <w:r w:rsidR="00E21F49" w:rsidRPr="0040743B">
        <w:rPr>
          <w:rFonts w:ascii="Times New Roman" w:hAnsi="Times New Roman" w:cs="Times New Roman"/>
          <w:sz w:val="24"/>
          <w:szCs w:val="24"/>
          <w:lang w:val="en-GB"/>
        </w:rPr>
        <w:t>n</w:t>
      </w:r>
      <w:r w:rsidRPr="0040743B">
        <w:rPr>
          <w:rFonts w:ascii="Times New Roman" w:hAnsi="Times New Roman" w:cs="Times New Roman"/>
          <w:sz w:val="24"/>
          <w:szCs w:val="24"/>
          <w:lang w:val="en-GB"/>
        </w:rPr>
        <w:t xml:space="preserve">=4 in total) based on those published by the </w:t>
      </w:r>
      <w:proofErr w:type="spellStart"/>
      <w:r w:rsidRPr="0040743B">
        <w:rPr>
          <w:rFonts w:ascii="Times New Roman" w:hAnsi="Times New Roman" w:cs="Times New Roman"/>
          <w:sz w:val="24"/>
          <w:szCs w:val="24"/>
          <w:lang w:val="en-GB"/>
        </w:rPr>
        <w:t>Immunoguiding</w:t>
      </w:r>
      <w:proofErr w:type="spellEnd"/>
      <w:r w:rsidRPr="0040743B">
        <w:rPr>
          <w:rFonts w:ascii="Times New Roman" w:hAnsi="Times New Roman" w:cs="Times New Roman"/>
          <w:sz w:val="24"/>
          <w:szCs w:val="24"/>
          <w:lang w:val="en-GB"/>
        </w:rPr>
        <w:t xml:space="preserve"> program of the Association for Cancer Immunotherapy (CIP-CIMT)</w:t>
      </w:r>
      <w:r w:rsidRPr="0040743B">
        <w:rPr>
          <w:rFonts w:ascii="Times New Roman" w:hAnsi="Times New Roman" w:cs="Times New Roman"/>
          <w:noProof/>
          <w:sz w:val="24"/>
          <w:szCs w:val="24"/>
          <w:vertAlign w:val="superscript"/>
          <w:lang w:val="en-GB"/>
        </w:rPr>
        <w:t>46,51,52</w:t>
      </w:r>
      <w:r w:rsidRPr="0040743B">
        <w:rPr>
          <w:rFonts w:ascii="Times New Roman" w:hAnsi="Times New Roman" w:cs="Times New Roman"/>
          <w:sz w:val="24"/>
          <w:szCs w:val="24"/>
          <w:lang w:val="en-GB"/>
        </w:rPr>
        <w:t xml:space="preserve">. For </w:t>
      </w:r>
      <w:r w:rsidRPr="0040743B">
        <w:rPr>
          <w:rFonts w:ascii="Times New Roman" w:hAnsi="Times New Roman" w:cs="Times New Roman"/>
          <w:bCs/>
          <w:sz w:val="24"/>
          <w:szCs w:val="24"/>
          <w:lang w:val="en-GB"/>
        </w:rPr>
        <w:t>Fig. 5c</w:t>
      </w:r>
      <w:r w:rsidRPr="0040743B">
        <w:rPr>
          <w:rFonts w:ascii="Times New Roman" w:hAnsi="Times New Roman" w:cs="Times New Roman"/>
          <w:sz w:val="24"/>
          <w:szCs w:val="24"/>
          <w:lang w:val="en-GB"/>
        </w:rPr>
        <w:t xml:space="preserve">, TIL were thawed, counted and allowed to rest in the presence of 1 µg/mL </w:t>
      </w:r>
      <w:proofErr w:type="spellStart"/>
      <w:r w:rsidRPr="0040743B">
        <w:rPr>
          <w:rFonts w:ascii="Times New Roman" w:hAnsi="Times New Roman" w:cs="Times New Roman"/>
          <w:sz w:val="24"/>
          <w:szCs w:val="24"/>
          <w:lang w:val="en-GB"/>
        </w:rPr>
        <w:t>DNAse</w:t>
      </w:r>
      <w:proofErr w:type="spellEnd"/>
      <w:r w:rsidRPr="0040743B">
        <w:rPr>
          <w:rFonts w:ascii="Times New Roman" w:hAnsi="Times New Roman" w:cs="Times New Roman"/>
          <w:sz w:val="24"/>
          <w:szCs w:val="24"/>
          <w:lang w:val="en-GB"/>
        </w:rPr>
        <w:t xml:space="preserve"> I. Cells were then washed and stimulated with peptide (10 </w:t>
      </w:r>
      <w:proofErr w:type="spellStart"/>
      <w:r w:rsidRPr="0040743B">
        <w:rPr>
          <w:rFonts w:ascii="Times New Roman" w:hAnsi="Times New Roman" w:cs="Times New Roman"/>
          <w:sz w:val="24"/>
          <w:szCs w:val="24"/>
          <w:lang w:val="en-GB"/>
        </w:rPr>
        <w:t>μg</w:t>
      </w:r>
      <w:proofErr w:type="spellEnd"/>
      <w:r w:rsidRPr="0040743B">
        <w:rPr>
          <w:rFonts w:ascii="Times New Roman" w:hAnsi="Times New Roman" w:cs="Times New Roman"/>
          <w:sz w:val="24"/>
          <w:szCs w:val="24"/>
          <w:lang w:val="en-GB"/>
        </w:rPr>
        <w:t xml:space="preserve">/mL) or 10% DMSO in the presence of </w:t>
      </w:r>
      <w:proofErr w:type="spellStart"/>
      <w:r w:rsidR="002563E5" w:rsidRPr="0040743B">
        <w:rPr>
          <w:rFonts w:ascii="Times New Roman" w:hAnsi="Times New Roman" w:cs="Times New Roman"/>
          <w:sz w:val="24"/>
          <w:szCs w:val="24"/>
          <w:lang w:val="en-GB"/>
        </w:rPr>
        <w:t>monensin</w:t>
      </w:r>
      <w:proofErr w:type="spellEnd"/>
      <w:r w:rsidR="002563E5"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and </w:t>
      </w:r>
      <w:r w:rsidR="002563E5" w:rsidRPr="0040743B">
        <w:rPr>
          <w:rFonts w:ascii="Times New Roman" w:hAnsi="Times New Roman" w:cs="Times New Roman"/>
          <w:sz w:val="24"/>
          <w:szCs w:val="24"/>
          <w:lang w:val="en-GB"/>
        </w:rPr>
        <w:t xml:space="preserve">brefeldin </w:t>
      </w:r>
      <w:r w:rsidRPr="0040743B">
        <w:rPr>
          <w:rFonts w:ascii="Times New Roman" w:hAnsi="Times New Roman" w:cs="Times New Roman"/>
          <w:sz w:val="24"/>
          <w:szCs w:val="24"/>
          <w:lang w:val="en-GB"/>
        </w:rPr>
        <w:t xml:space="preserve">A (10 </w:t>
      </w:r>
      <w:proofErr w:type="spellStart"/>
      <w:r w:rsidRPr="0040743B">
        <w:rPr>
          <w:rFonts w:ascii="Times New Roman" w:hAnsi="Times New Roman" w:cs="Times New Roman"/>
          <w:sz w:val="24"/>
          <w:szCs w:val="24"/>
          <w:lang w:val="en-GB"/>
        </w:rPr>
        <w:t>μg</w:t>
      </w:r>
      <w:proofErr w:type="spellEnd"/>
      <w:r w:rsidRPr="0040743B">
        <w:rPr>
          <w:rFonts w:ascii="Times New Roman" w:hAnsi="Times New Roman" w:cs="Times New Roman"/>
          <w:sz w:val="24"/>
          <w:szCs w:val="24"/>
          <w:lang w:val="en-GB"/>
        </w:rPr>
        <w:t>/mL, Sigma). After overnight stimulation, cells were washed and stained with Zombie Aqua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and antibodies CD4-APC-Cy7 (BD), CD8-PE</w:t>
      </w:r>
      <w:r w:rsidR="007D54F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Cy7 (Beckman Coulter) and CD3-BV711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for 20 min at 4</w:t>
      </w:r>
      <w:r w:rsidR="00001751"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°C, fixed and permeabilized (</w:t>
      </w:r>
      <w:proofErr w:type="spellStart"/>
      <w:r w:rsidRPr="0040743B">
        <w:rPr>
          <w:rFonts w:ascii="Times New Roman" w:hAnsi="Times New Roman" w:cs="Times New Roman"/>
          <w:sz w:val="24"/>
          <w:szCs w:val="24"/>
          <w:lang w:val="en-GB"/>
        </w:rPr>
        <w:t>Cytofix</w:t>
      </w:r>
      <w:proofErr w:type="spellEnd"/>
      <w:r w:rsidRPr="0040743B">
        <w:rPr>
          <w:rFonts w:ascii="Times New Roman" w:hAnsi="Times New Roman" w:cs="Times New Roman"/>
          <w:sz w:val="24"/>
          <w:szCs w:val="24"/>
          <w:lang w:val="en-GB"/>
        </w:rPr>
        <w:t>/</w:t>
      </w:r>
      <w:proofErr w:type="spellStart"/>
      <w:r w:rsidRPr="0040743B">
        <w:rPr>
          <w:rFonts w:ascii="Times New Roman" w:hAnsi="Times New Roman" w:cs="Times New Roman"/>
          <w:sz w:val="24"/>
          <w:szCs w:val="24"/>
          <w:lang w:val="en-GB"/>
        </w:rPr>
        <w:t>Cytoperm</w:t>
      </w:r>
      <w:proofErr w:type="spellEnd"/>
      <w:r w:rsidRPr="0040743B">
        <w:rPr>
          <w:rFonts w:ascii="Times New Roman" w:hAnsi="Times New Roman" w:cs="Times New Roman"/>
          <w:sz w:val="24"/>
          <w:szCs w:val="24"/>
          <w:lang w:val="en-GB"/>
        </w:rPr>
        <w:t>, BD) and stained with anti-</w:t>
      </w:r>
      <w:r w:rsidR="007D54F7" w:rsidRPr="0040743B">
        <w:rPr>
          <w:rFonts w:ascii="Times New Roman" w:hAnsi="Times New Roman" w:cs="Times New Roman"/>
          <w:sz w:val="24"/>
          <w:szCs w:val="24"/>
          <w:lang w:val="en-GB"/>
        </w:rPr>
        <w:t>CD154-</w:t>
      </w:r>
      <w:r w:rsidRPr="0040743B">
        <w:rPr>
          <w:rFonts w:ascii="Times New Roman" w:hAnsi="Times New Roman" w:cs="Times New Roman"/>
          <w:sz w:val="24"/>
          <w:szCs w:val="24"/>
          <w:lang w:val="en-GB"/>
        </w:rPr>
        <w:t>APC, anti-IFN</w:t>
      </w:r>
      <w:r w:rsidR="007D54F7" w:rsidRPr="0040743B">
        <w:rPr>
          <w:rFonts w:ascii="Times New Roman" w:hAnsi="Times New Roman" w:cs="Times New Roman"/>
          <w:sz w:val="24"/>
          <w:szCs w:val="24"/>
          <w:lang w:val="en-GB"/>
        </w:rPr>
        <w:t>-</w:t>
      </w:r>
      <w:r w:rsidR="007D54F7" w:rsidRPr="0040743B">
        <w:rPr>
          <w:rFonts w:ascii="Times New Roman" w:hAnsi="Times New Roman" w:cs="Times New Roman"/>
          <w:sz w:val="24"/>
          <w:szCs w:val="24"/>
          <w:lang w:val="en-GB"/>
        </w:rPr>
        <w:sym w:font="Symbol" w:char="F067"/>
      </w:r>
      <w:r w:rsidR="007D54F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FITC, anti-IL-</w:t>
      </w:r>
      <w:r w:rsidR="007D54F7" w:rsidRPr="0040743B">
        <w:rPr>
          <w:rFonts w:ascii="Times New Roman" w:hAnsi="Times New Roman" w:cs="Times New Roman"/>
          <w:sz w:val="24"/>
          <w:szCs w:val="24"/>
          <w:lang w:val="en-GB"/>
        </w:rPr>
        <w:t>2-</w:t>
      </w:r>
      <w:r w:rsidRPr="0040743B">
        <w:rPr>
          <w:rFonts w:ascii="Times New Roman" w:hAnsi="Times New Roman" w:cs="Times New Roman"/>
          <w:sz w:val="24"/>
          <w:szCs w:val="24"/>
          <w:lang w:val="en-GB"/>
        </w:rPr>
        <w:t>PE (all BD) and anti-</w:t>
      </w:r>
      <w:r w:rsidR="007D54F7" w:rsidRPr="0040743B">
        <w:rPr>
          <w:rFonts w:ascii="Times New Roman" w:hAnsi="Times New Roman" w:cs="Times New Roman"/>
          <w:sz w:val="24"/>
          <w:szCs w:val="24"/>
          <w:lang w:val="en-GB"/>
        </w:rPr>
        <w:t>TNF-</w:t>
      </w:r>
      <w:r w:rsidRPr="0040743B">
        <w:rPr>
          <w:rFonts w:ascii="Times New Roman" w:hAnsi="Times New Roman" w:cs="Times New Roman"/>
          <w:sz w:val="24"/>
          <w:szCs w:val="24"/>
          <w:lang w:val="en-GB"/>
        </w:rPr>
        <w:t>Pacific Blue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for 20 min at 4</w:t>
      </w:r>
      <w:r w:rsidR="00001751"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°C. Cells were washed and acquired on a LSR </w:t>
      </w:r>
      <w:proofErr w:type="spellStart"/>
      <w:r w:rsidRPr="0040743B">
        <w:rPr>
          <w:rFonts w:ascii="Times New Roman" w:hAnsi="Times New Roman" w:cs="Times New Roman"/>
          <w:sz w:val="24"/>
          <w:szCs w:val="24"/>
          <w:lang w:val="en-GB"/>
        </w:rPr>
        <w:t>Fortessa</w:t>
      </w:r>
      <w:proofErr w:type="spellEnd"/>
      <w:r w:rsidRPr="0040743B">
        <w:rPr>
          <w:rFonts w:ascii="Times New Roman" w:hAnsi="Times New Roman" w:cs="Times New Roman"/>
          <w:sz w:val="24"/>
          <w:szCs w:val="24"/>
          <w:lang w:val="en-GB"/>
        </w:rPr>
        <w:t xml:space="preserve"> SORP equipped with Diva v6.1.2</w:t>
      </w:r>
      <w:r w:rsidR="007D54F7" w:rsidRPr="0040743B">
        <w:rPr>
          <w:rFonts w:ascii="Times New Roman" w:hAnsi="Times New Roman" w:cs="Times New Roman"/>
          <w:sz w:val="24"/>
          <w:szCs w:val="24"/>
          <w:lang w:val="en-GB"/>
        </w:rPr>
        <w:t xml:space="preserve"> (BD)</w:t>
      </w:r>
      <w:r w:rsidRPr="0040743B">
        <w:rPr>
          <w:rFonts w:ascii="Times New Roman" w:hAnsi="Times New Roman" w:cs="Times New Roman"/>
          <w:sz w:val="24"/>
          <w:szCs w:val="24"/>
          <w:lang w:val="en-GB"/>
        </w:rPr>
        <w:t xml:space="preserve">. Results were analysed with </w:t>
      </w:r>
      <w:proofErr w:type="spellStart"/>
      <w:r w:rsidRPr="0040743B">
        <w:rPr>
          <w:rFonts w:ascii="Times New Roman" w:hAnsi="Times New Roman" w:cs="Times New Roman"/>
          <w:sz w:val="24"/>
          <w:szCs w:val="24"/>
          <w:lang w:val="en-GB"/>
        </w:rPr>
        <w:t>FlowJo</w:t>
      </w:r>
      <w:proofErr w:type="spellEnd"/>
      <w:r w:rsidRPr="0040743B">
        <w:rPr>
          <w:rFonts w:ascii="Times New Roman" w:hAnsi="Times New Roman" w:cs="Times New Roman"/>
          <w:sz w:val="24"/>
          <w:szCs w:val="24"/>
          <w:lang w:val="en-GB"/>
        </w:rPr>
        <w:t xml:space="preserve"> version 10. The gating strategy was: time histogram, FSC-A/FSC-H (singlets), FSC-A/Zombie Aqua (living cells), FSC-A/SSC-A (lymphocytes), FSC-A/CD3 (CD3</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lymphocytes), CD4/CD8 (CD8</w:t>
      </w:r>
      <w:r w:rsidRPr="0040743B">
        <w:rPr>
          <w:rFonts w:ascii="Times New Roman" w:hAnsi="Times New Roman" w:cs="Times New Roman"/>
          <w:sz w:val="24"/>
          <w:szCs w:val="24"/>
          <w:vertAlign w:val="superscript"/>
          <w:lang w:val="en-GB"/>
        </w:rPr>
        <w:t>neg</w:t>
      </w:r>
      <w:r w:rsidRPr="0040743B">
        <w:rPr>
          <w:rFonts w:ascii="Times New Roman" w:hAnsi="Times New Roman" w:cs="Times New Roman"/>
          <w:sz w:val="24"/>
          <w:szCs w:val="24"/>
          <w:lang w:val="en-GB"/>
        </w:rPr>
        <w:t>).</w:t>
      </w:r>
    </w:p>
    <w:p w14:paraId="500BC849" w14:textId="3E0FD1AC" w:rsidR="00CF41F8" w:rsidRPr="0040743B" w:rsidRDefault="00CF41F8" w:rsidP="00CF41F8">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TCR clonotype analysis.</w:t>
      </w:r>
      <w:r w:rsidRPr="0040743B">
        <w:rPr>
          <w:rFonts w:ascii="Times New Roman" w:hAnsi="Times New Roman" w:cs="Times New Roman"/>
          <w:sz w:val="24"/>
          <w:szCs w:val="24"/>
          <w:lang w:val="en-GB"/>
        </w:rPr>
        <w:t xml:space="preserve"> RNA was isolated from tumour specimens and TIL cultures using the </w:t>
      </w:r>
      <w:proofErr w:type="spellStart"/>
      <w:r w:rsidRPr="0040743B">
        <w:rPr>
          <w:rFonts w:ascii="Times New Roman" w:hAnsi="Times New Roman" w:cs="Times New Roman"/>
          <w:sz w:val="24"/>
          <w:szCs w:val="24"/>
          <w:lang w:val="en-GB"/>
        </w:rPr>
        <w:t>NucleoSpin</w:t>
      </w:r>
      <w:proofErr w:type="spellEnd"/>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RNA kit (MACHEREY-NAGEL, Germany) according to manufacturer’s instructions. RNA was reverse-transcribed to </w:t>
      </w:r>
      <w:r w:rsidR="005F595B" w:rsidRPr="0040743B">
        <w:rPr>
          <w:rFonts w:ascii="Times New Roman" w:hAnsi="Times New Roman" w:cs="Times New Roman"/>
          <w:sz w:val="24"/>
          <w:szCs w:val="24"/>
          <w:lang w:val="en-GB"/>
        </w:rPr>
        <w:t>complementary DNA (</w:t>
      </w:r>
      <w:r w:rsidRPr="0040743B">
        <w:rPr>
          <w:rFonts w:ascii="Times New Roman" w:hAnsi="Times New Roman" w:cs="Times New Roman"/>
          <w:sz w:val="24"/>
          <w:szCs w:val="24"/>
          <w:lang w:val="en-GB"/>
        </w:rPr>
        <w:t>cDNA</w:t>
      </w:r>
      <w:r w:rsidR="005F595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using </w:t>
      </w:r>
      <w:proofErr w:type="spellStart"/>
      <w:r w:rsidRPr="0040743B">
        <w:rPr>
          <w:rFonts w:ascii="Times New Roman" w:hAnsi="Times New Roman" w:cs="Times New Roman"/>
          <w:sz w:val="24"/>
          <w:szCs w:val="24"/>
          <w:lang w:val="en-GB"/>
        </w:rPr>
        <w:t>SuperScript</w:t>
      </w:r>
      <w:proofErr w:type="spellEnd"/>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VILO™ cDNA Synthesis Kit (</w:t>
      </w:r>
      <w:proofErr w:type="spellStart"/>
      <w:r w:rsidRPr="0040743B">
        <w:rPr>
          <w:rFonts w:ascii="Times New Roman" w:hAnsi="Times New Roman" w:cs="Times New Roman"/>
          <w:sz w:val="24"/>
          <w:szCs w:val="24"/>
          <w:lang w:val="en-GB"/>
        </w:rPr>
        <w:t>ThermoFisher</w:t>
      </w:r>
      <w:proofErr w:type="spellEnd"/>
      <w:r w:rsidRPr="0040743B">
        <w:rPr>
          <w:rFonts w:ascii="Times New Roman" w:hAnsi="Times New Roman" w:cs="Times New Roman"/>
          <w:sz w:val="24"/>
          <w:szCs w:val="24"/>
          <w:lang w:val="en-GB"/>
        </w:rPr>
        <w:t xml:space="preserve"> Scientific). TCR clonotype mapping was carried out as previously described</w:t>
      </w:r>
      <w:r w:rsidRPr="0040743B">
        <w:rPr>
          <w:rFonts w:ascii="Times New Roman" w:hAnsi="Times New Roman" w:cs="Times New Roman"/>
          <w:noProof/>
          <w:sz w:val="24"/>
          <w:szCs w:val="24"/>
          <w:vertAlign w:val="superscript"/>
          <w:lang w:val="en-GB"/>
        </w:rPr>
        <w:t>53</w:t>
      </w:r>
      <w:r w:rsidRPr="0040743B">
        <w:rPr>
          <w:rFonts w:ascii="Times New Roman" w:hAnsi="Times New Roman" w:cs="Times New Roman"/>
          <w:sz w:val="24"/>
          <w:szCs w:val="24"/>
          <w:lang w:val="en-GB"/>
        </w:rPr>
        <w:t xml:space="preserve">. In short, cDNA was amplified by PCR using a primer panel amplifying the 24 </w:t>
      </w:r>
      <w:r w:rsidR="005F595B" w:rsidRPr="0040743B">
        <w:rPr>
          <w:rFonts w:ascii="Times New Roman" w:hAnsi="Times New Roman" w:cs="Times New Roman"/>
          <w:sz w:val="24"/>
          <w:szCs w:val="24"/>
          <w:lang w:val="en-GB"/>
        </w:rPr>
        <w:t xml:space="preserve">beta-chain variable </w:t>
      </w:r>
      <w:r w:rsidRPr="0040743B">
        <w:rPr>
          <w:rFonts w:ascii="Times New Roman" w:hAnsi="Times New Roman" w:cs="Times New Roman"/>
          <w:sz w:val="24"/>
          <w:szCs w:val="24"/>
          <w:lang w:val="en-GB"/>
        </w:rPr>
        <w:t>region</w:t>
      </w:r>
      <w:r w:rsidR="005F595B" w:rsidRPr="0040743B">
        <w:rPr>
          <w:rFonts w:ascii="Times New Roman" w:hAnsi="Times New Roman" w:cs="Times New Roman"/>
          <w:sz w:val="24"/>
          <w:szCs w:val="24"/>
          <w:lang w:val="en-GB"/>
        </w:rPr>
        <w:t xml:space="preserve"> (BV)</w:t>
      </w:r>
      <w:r w:rsidRPr="0040743B">
        <w:rPr>
          <w:rFonts w:ascii="Times New Roman" w:hAnsi="Times New Roman" w:cs="Times New Roman"/>
          <w:sz w:val="24"/>
          <w:szCs w:val="24"/>
          <w:lang w:val="en-GB"/>
        </w:rPr>
        <w:t xml:space="preserve"> families of the TCR in DNA fragments suitable for TCR clonotype mapping by electrophoresis on a denaturing gradient gel (DGGE) </w:t>
      </w:r>
      <w:r w:rsidRPr="0040743B">
        <w:rPr>
          <w:rFonts w:ascii="Times New Roman" w:hAnsi="Times New Roman" w:cs="Times New Roman"/>
          <w:sz w:val="24"/>
          <w:szCs w:val="24"/>
          <w:lang w:val="en-GB"/>
        </w:rPr>
        <w:lastRenderedPageBreak/>
        <w:t>containing 6% polyacrylamide and a gradient of urea (Sigma Life Science) and formamide (Sigma-Aldrich) from 20% to 80%. Gels were run at 160-175 V for 4.5 h in TAE (0.04 M Tris-acetate, 0.001 M EDTA) and kept constantly at 56</w:t>
      </w:r>
      <w:r w:rsidR="00001751"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°C. Gels were stained with cyber green and visualized under UV light.</w:t>
      </w:r>
    </w:p>
    <w:p w14:paraId="6F0F89F5" w14:textId="3554A7F9" w:rsidR="00CF41F8" w:rsidRPr="0040743B" w:rsidRDefault="00CF41F8" w:rsidP="00CF41F8">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 xml:space="preserve">TCR identification and </w:t>
      </w:r>
      <w:r w:rsidRPr="0040743B">
        <w:rPr>
          <w:rFonts w:ascii="Times New Roman" w:hAnsi="Times New Roman" w:cs="Times New Roman"/>
          <w:b/>
          <w:bCs/>
          <w:i/>
          <w:iCs/>
          <w:sz w:val="24"/>
          <w:szCs w:val="24"/>
          <w:lang w:val="en-GB"/>
        </w:rPr>
        <w:t>in vitro</w:t>
      </w:r>
      <w:r w:rsidRPr="0040743B">
        <w:rPr>
          <w:rFonts w:ascii="Times New Roman" w:hAnsi="Times New Roman" w:cs="Times New Roman"/>
          <w:b/>
          <w:bCs/>
          <w:sz w:val="24"/>
          <w:szCs w:val="24"/>
          <w:lang w:val="en-GB"/>
        </w:rPr>
        <w:t xml:space="preserve"> expansion. </w:t>
      </w:r>
      <w:r w:rsidRPr="0040743B">
        <w:rPr>
          <w:rFonts w:ascii="Times New Roman" w:hAnsi="Times New Roman" w:cs="Times New Roman"/>
          <w:sz w:val="24"/>
          <w:szCs w:val="24"/>
          <w:lang w:val="en-GB"/>
        </w:rPr>
        <w:t xml:space="preserve">APVAC1-specific T cells were sorted from post-vaccination PBMC of patient 16. TCR sequences were obtained by single-cell </w:t>
      </w:r>
      <w:r w:rsidR="005F595B" w:rsidRPr="0040743B">
        <w:rPr>
          <w:rFonts w:ascii="Times New Roman" w:hAnsi="Times New Roman" w:cs="Times New Roman"/>
          <w:sz w:val="24"/>
          <w:szCs w:val="24"/>
          <w:lang w:val="en-GB"/>
        </w:rPr>
        <w:t>rapid amplification of cDNA-ends (</w:t>
      </w:r>
      <w:r w:rsidRPr="0040743B">
        <w:rPr>
          <w:rFonts w:ascii="Times New Roman" w:hAnsi="Times New Roman" w:cs="Times New Roman"/>
          <w:sz w:val="24"/>
          <w:szCs w:val="24"/>
          <w:lang w:val="en-GB"/>
        </w:rPr>
        <w:t>RACE</w:t>
      </w:r>
      <w:r w:rsidR="005F595B"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PCR and subsequent sequencing of the </w:t>
      </w:r>
      <w:r w:rsidRPr="0040743B">
        <w:rPr>
          <w:rFonts w:ascii="Times New Roman" w:hAnsi="Times New Roman" w:cs="Times New Roman"/>
          <w:sz w:val="24"/>
          <w:szCs w:val="24"/>
          <w:lang w:val="en-GB"/>
        </w:rPr>
        <w:sym w:font="Symbol" w:char="F061"/>
      </w:r>
      <w:r w:rsidRPr="0040743B">
        <w:rPr>
          <w:rFonts w:ascii="Times New Roman" w:hAnsi="Times New Roman" w:cs="Times New Roman"/>
          <w:sz w:val="24"/>
          <w:szCs w:val="24"/>
          <w:lang w:val="en-GB"/>
        </w:rPr>
        <w:t xml:space="preserve"> and </w:t>
      </w:r>
      <w:r w:rsidRPr="0040743B">
        <w:rPr>
          <w:rFonts w:ascii="Times New Roman" w:hAnsi="Times New Roman" w:cs="Times New Roman"/>
          <w:sz w:val="24"/>
          <w:szCs w:val="24"/>
          <w:lang w:val="en-GB"/>
        </w:rPr>
        <w:sym w:font="Symbol" w:char="F062"/>
      </w:r>
      <w:r w:rsidRPr="0040743B">
        <w:rPr>
          <w:rFonts w:ascii="Times New Roman" w:hAnsi="Times New Roman" w:cs="Times New Roman"/>
          <w:sz w:val="24"/>
          <w:szCs w:val="24"/>
          <w:lang w:val="en-GB"/>
        </w:rPr>
        <w:t xml:space="preserve"> chains</w:t>
      </w:r>
      <w:r w:rsidRPr="0040743B">
        <w:rPr>
          <w:rFonts w:ascii="Times New Roman" w:hAnsi="Times New Roman" w:cs="Times New Roman"/>
          <w:noProof/>
          <w:sz w:val="24"/>
          <w:szCs w:val="24"/>
          <w:vertAlign w:val="superscript"/>
          <w:lang w:val="en-GB"/>
        </w:rPr>
        <w:t>54</w:t>
      </w:r>
      <w:r w:rsidRPr="0040743B">
        <w:rPr>
          <w:rFonts w:ascii="Times New Roman" w:hAnsi="Times New Roman" w:cs="Times New Roman"/>
          <w:sz w:val="24"/>
          <w:szCs w:val="24"/>
          <w:lang w:val="en-GB"/>
        </w:rPr>
        <w:t xml:space="preserve">. In parallel, sorted T cells were stimulated </w:t>
      </w:r>
      <w:r w:rsidRPr="0040743B">
        <w:rPr>
          <w:rFonts w:ascii="Times New Roman" w:hAnsi="Times New Roman" w:cs="Times New Roman"/>
          <w:i/>
          <w:iCs/>
          <w:sz w:val="24"/>
          <w:szCs w:val="24"/>
          <w:lang w:val="en-GB"/>
        </w:rPr>
        <w:t>in vitro</w:t>
      </w:r>
      <w:r w:rsidRPr="0040743B">
        <w:rPr>
          <w:rFonts w:ascii="Times New Roman" w:hAnsi="Times New Roman" w:cs="Times New Roman"/>
          <w:sz w:val="24"/>
          <w:szCs w:val="24"/>
          <w:lang w:val="en-GB"/>
        </w:rPr>
        <w:t xml:space="preserve"> for 3 weeks using PHA (2µg/mL), IL-2 (300 IU/mL), IL-7 (10 ng/mL) and IL-21 (10 ng/mL) and were subsequently used in Vital-FR killing assays.</w:t>
      </w:r>
    </w:p>
    <w:p w14:paraId="422C7C5B" w14:textId="5630B786" w:rsidR="00CF41F8" w:rsidRPr="0040743B" w:rsidRDefault="00CF41F8" w:rsidP="00CF41F8">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TCR cloning.</w:t>
      </w:r>
      <w:r w:rsidRPr="0040743B">
        <w:rPr>
          <w:rFonts w:ascii="Times New Roman" w:hAnsi="Times New Roman" w:cs="Times New Roman"/>
          <w:sz w:val="24"/>
          <w:szCs w:val="24"/>
          <w:lang w:val="en-GB"/>
        </w:rPr>
        <w:t xml:space="preserve"> The VDJ regions of the TCR were combined </w:t>
      </w:r>
      <w:r w:rsidRPr="0040743B">
        <w:rPr>
          <w:rFonts w:ascii="Times New Roman" w:hAnsi="Times New Roman" w:cs="Times New Roman"/>
          <w:i/>
          <w:iCs/>
          <w:sz w:val="24"/>
          <w:szCs w:val="24"/>
          <w:lang w:val="en-GB"/>
        </w:rPr>
        <w:t>in silico</w:t>
      </w:r>
      <w:r w:rsidRPr="0040743B">
        <w:rPr>
          <w:rFonts w:ascii="Times New Roman" w:hAnsi="Times New Roman" w:cs="Times New Roman"/>
          <w:sz w:val="24"/>
          <w:szCs w:val="24"/>
          <w:lang w:val="en-GB"/>
        </w:rPr>
        <w:t xml:space="preserve"> with murine constant regions modified to include an additional disulphide bond, as </w:t>
      </w:r>
      <w:r w:rsidR="00062760" w:rsidRPr="0040743B">
        <w:rPr>
          <w:rFonts w:ascii="Times New Roman" w:hAnsi="Times New Roman" w:cs="Times New Roman"/>
          <w:sz w:val="24"/>
          <w:szCs w:val="24"/>
          <w:lang w:val="en-GB"/>
        </w:rPr>
        <w:t xml:space="preserve">described </w:t>
      </w:r>
      <w:r w:rsidRPr="0040743B">
        <w:rPr>
          <w:rFonts w:ascii="Times New Roman" w:hAnsi="Times New Roman" w:cs="Times New Roman"/>
          <w:sz w:val="24"/>
          <w:szCs w:val="24"/>
          <w:lang w:val="en-GB"/>
        </w:rPr>
        <w:t>previously</w:t>
      </w:r>
      <w:r w:rsidRPr="0040743B">
        <w:rPr>
          <w:rFonts w:ascii="Times New Roman" w:hAnsi="Times New Roman" w:cs="Times New Roman"/>
          <w:noProof/>
          <w:sz w:val="24"/>
          <w:szCs w:val="24"/>
          <w:vertAlign w:val="superscript"/>
          <w:lang w:val="en-GB"/>
        </w:rPr>
        <w:t>55</w:t>
      </w:r>
      <w:r w:rsidRPr="0040743B">
        <w:rPr>
          <w:rFonts w:ascii="Times New Roman" w:hAnsi="Times New Roman" w:cs="Times New Roman"/>
          <w:sz w:val="24"/>
          <w:szCs w:val="24"/>
          <w:lang w:val="en-GB"/>
        </w:rPr>
        <w:t xml:space="preserve">. The </w:t>
      </w:r>
      <w:r w:rsidRPr="0040743B">
        <w:rPr>
          <w:rFonts w:ascii="Times New Roman" w:hAnsi="Times New Roman" w:cs="Times New Roman"/>
          <w:sz w:val="24"/>
          <w:szCs w:val="24"/>
          <w:lang w:val="en-GB"/>
        </w:rPr>
        <w:sym w:font="Symbol" w:char="F061"/>
      </w:r>
      <w:r w:rsidRPr="0040743B">
        <w:rPr>
          <w:rFonts w:ascii="Times New Roman" w:hAnsi="Times New Roman" w:cs="Times New Roman"/>
          <w:sz w:val="24"/>
          <w:szCs w:val="24"/>
          <w:lang w:val="en-GB"/>
        </w:rPr>
        <w:t xml:space="preserve"> and </w:t>
      </w:r>
      <w:r w:rsidRPr="0040743B">
        <w:rPr>
          <w:rFonts w:ascii="Times New Roman" w:hAnsi="Times New Roman" w:cs="Times New Roman"/>
          <w:sz w:val="24"/>
          <w:szCs w:val="24"/>
          <w:lang w:val="en-GB"/>
        </w:rPr>
        <w:sym w:font="Symbol" w:char="F062"/>
      </w:r>
      <w:r w:rsidRPr="0040743B">
        <w:rPr>
          <w:lang w:val="en-GB"/>
        </w:rPr>
        <w:t xml:space="preserve"> </w:t>
      </w:r>
      <w:r w:rsidRPr="0040743B">
        <w:rPr>
          <w:rFonts w:ascii="Times New Roman" w:hAnsi="Times New Roman" w:cs="Times New Roman"/>
          <w:sz w:val="24"/>
          <w:szCs w:val="24"/>
          <w:lang w:val="en-GB"/>
        </w:rPr>
        <w:t xml:space="preserve">human/mouse chimeric TCR chains were codon optimised </w:t>
      </w:r>
      <w:r w:rsidRPr="0040743B">
        <w:rPr>
          <w:rFonts w:ascii="Times New Roman" w:hAnsi="Times New Roman" w:cs="Times New Roman"/>
          <w:i/>
          <w:iCs/>
          <w:sz w:val="24"/>
          <w:szCs w:val="24"/>
          <w:lang w:val="en-GB"/>
        </w:rPr>
        <w:t>in silico</w:t>
      </w:r>
      <w:r w:rsidRPr="0040743B">
        <w:rPr>
          <w:rFonts w:ascii="Times New Roman" w:hAnsi="Times New Roman" w:cs="Times New Roman"/>
          <w:sz w:val="24"/>
          <w:szCs w:val="24"/>
          <w:lang w:val="en-GB"/>
        </w:rPr>
        <w:t xml:space="preserve"> and linked by a </w:t>
      </w:r>
      <w:proofErr w:type="spellStart"/>
      <w:r w:rsidRPr="0040743B">
        <w:rPr>
          <w:rFonts w:ascii="Times New Roman" w:hAnsi="Times New Roman" w:cs="Times New Roman"/>
          <w:sz w:val="24"/>
          <w:szCs w:val="24"/>
          <w:lang w:val="en-GB"/>
        </w:rPr>
        <w:t>furin</w:t>
      </w:r>
      <w:proofErr w:type="spellEnd"/>
      <w:r w:rsidRPr="0040743B">
        <w:rPr>
          <w:rFonts w:ascii="Times New Roman" w:hAnsi="Times New Roman" w:cs="Times New Roman"/>
          <w:sz w:val="24"/>
          <w:szCs w:val="24"/>
          <w:lang w:val="en-GB"/>
        </w:rPr>
        <w:t xml:space="preserve"> cleavage site and P2A sequence to form a polycistronic transcript. Constructs were synthesised by </w:t>
      </w:r>
      <w:proofErr w:type="spellStart"/>
      <w:r w:rsidRPr="0040743B">
        <w:rPr>
          <w:rFonts w:ascii="Times New Roman" w:hAnsi="Times New Roman" w:cs="Times New Roman"/>
          <w:sz w:val="24"/>
          <w:szCs w:val="24"/>
          <w:lang w:val="en-GB"/>
        </w:rPr>
        <w:t>ThermoFisher</w:t>
      </w:r>
      <w:proofErr w:type="spellEnd"/>
      <w:r w:rsidRPr="0040743B">
        <w:rPr>
          <w:rFonts w:ascii="Times New Roman" w:hAnsi="Times New Roman" w:cs="Times New Roman"/>
          <w:sz w:val="24"/>
          <w:szCs w:val="24"/>
          <w:lang w:val="en-GB"/>
        </w:rPr>
        <w:t xml:space="preserve"> Scientific or Eurofins Genomics, before being cloned downstream of an EF1a promoter in a mammalian transient expression vector using golden gate assembly.</w:t>
      </w:r>
    </w:p>
    <w:p w14:paraId="3FAB8EBE" w14:textId="40CE9E2B" w:rsidR="00CF41F8" w:rsidRPr="0040743B" w:rsidRDefault="00CF41F8" w:rsidP="00CF41F8">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 xml:space="preserve">Cloning of over-expression constructs. </w:t>
      </w:r>
      <w:r w:rsidRPr="0040743B">
        <w:rPr>
          <w:rFonts w:ascii="Times New Roman" w:hAnsi="Times New Roman" w:cs="Times New Roman"/>
          <w:sz w:val="24"/>
          <w:szCs w:val="24"/>
          <w:lang w:val="en-GB"/>
        </w:rPr>
        <w:t xml:space="preserve">cDNA of NLGN4X in </w:t>
      </w:r>
      <w:proofErr w:type="spellStart"/>
      <w:r w:rsidRPr="0040743B">
        <w:rPr>
          <w:rFonts w:ascii="Times New Roman" w:hAnsi="Times New Roman" w:cs="Times New Roman"/>
          <w:sz w:val="24"/>
          <w:szCs w:val="24"/>
          <w:lang w:val="en-GB"/>
        </w:rPr>
        <w:t>pDONR</w:t>
      </w:r>
      <w:proofErr w:type="spellEnd"/>
      <w:r w:rsidR="00F35387" w:rsidRPr="0040743B">
        <w:rPr>
          <w:rFonts w:ascii="Times New Roman" w:hAnsi="Times New Roman" w:cs="Times New Roman"/>
          <w:sz w:val="24"/>
          <w:szCs w:val="24"/>
          <w:lang w:val="en-GB"/>
        </w:rPr>
        <w:t xml:space="preserve"> vector</w:t>
      </w:r>
      <w:r w:rsidRPr="0040743B">
        <w:rPr>
          <w:rFonts w:ascii="Times New Roman" w:hAnsi="Times New Roman" w:cs="Times New Roman"/>
          <w:sz w:val="24"/>
          <w:szCs w:val="24"/>
          <w:lang w:val="en-GB"/>
        </w:rPr>
        <w:t xml:space="preserve"> was provided by </w:t>
      </w:r>
      <w:proofErr w:type="spellStart"/>
      <w:r w:rsidRPr="0040743B">
        <w:rPr>
          <w:rFonts w:ascii="Times New Roman" w:hAnsi="Times New Roman" w:cs="Times New Roman"/>
          <w:sz w:val="24"/>
          <w:szCs w:val="24"/>
          <w:lang w:val="en-GB"/>
        </w:rPr>
        <w:t>Dr</w:t>
      </w:r>
      <w:r w:rsidR="006F7342" w:rsidRPr="0040743B">
        <w:rPr>
          <w:rFonts w:ascii="Times New Roman" w:hAnsi="Times New Roman" w:cs="Times New Roman"/>
          <w:sz w:val="24"/>
          <w:szCs w:val="24"/>
          <w:lang w:val="en-GB"/>
        </w:rPr>
        <w:t>.</w:t>
      </w:r>
      <w:proofErr w:type="spellEnd"/>
      <w:r w:rsidRPr="0040743B">
        <w:rPr>
          <w:rFonts w:ascii="Times New Roman" w:hAnsi="Times New Roman" w:cs="Times New Roman"/>
          <w:sz w:val="24"/>
          <w:szCs w:val="24"/>
          <w:lang w:val="en-GB"/>
        </w:rPr>
        <w:t xml:space="preserve"> Rainer Will of the DKFZ GPCF Vector and Clone Repository. An </w:t>
      </w:r>
      <w:r w:rsidR="00F35387" w:rsidRPr="0040743B">
        <w:rPr>
          <w:rFonts w:ascii="Times New Roman" w:hAnsi="Times New Roman" w:cs="Times New Roman"/>
          <w:sz w:val="24"/>
          <w:szCs w:val="24"/>
          <w:lang w:val="en-GB"/>
        </w:rPr>
        <w:t>internal ribosomal entry site (</w:t>
      </w:r>
      <w:r w:rsidRPr="0040743B">
        <w:rPr>
          <w:rFonts w:ascii="Times New Roman" w:hAnsi="Times New Roman" w:cs="Times New Roman"/>
          <w:sz w:val="24"/>
          <w:szCs w:val="24"/>
          <w:lang w:val="en-GB"/>
        </w:rPr>
        <w:t>IRES</w:t>
      </w:r>
      <w:r w:rsidR="00F3538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sequence was appended to the </w:t>
      </w:r>
      <w:proofErr w:type="spellStart"/>
      <w:r w:rsidRPr="0040743B">
        <w:rPr>
          <w:rFonts w:ascii="Times New Roman" w:hAnsi="Times New Roman" w:cs="Times New Roman"/>
          <w:sz w:val="24"/>
          <w:szCs w:val="24"/>
          <w:lang w:val="en-GB"/>
        </w:rPr>
        <w:t>NanoLuc</w:t>
      </w:r>
      <w:proofErr w:type="spellEnd"/>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luciferase sequence using tailed primer PCR, and the resulting PCR product was inserted into </w:t>
      </w:r>
      <w:proofErr w:type="spellStart"/>
      <w:r w:rsidRPr="0040743B">
        <w:rPr>
          <w:rFonts w:ascii="Times New Roman" w:hAnsi="Times New Roman" w:cs="Times New Roman"/>
          <w:sz w:val="24"/>
          <w:szCs w:val="24"/>
          <w:lang w:val="en-GB"/>
        </w:rPr>
        <w:t>pDONRTM</w:t>
      </w:r>
      <w:proofErr w:type="spellEnd"/>
      <w:r w:rsidRPr="0040743B">
        <w:rPr>
          <w:rFonts w:ascii="Times New Roman" w:hAnsi="Times New Roman" w:cs="Times New Roman"/>
          <w:sz w:val="24"/>
          <w:szCs w:val="24"/>
          <w:lang w:val="en-GB"/>
        </w:rPr>
        <w:t xml:space="preserve"> P2rP3 using </w:t>
      </w:r>
      <w:proofErr w:type="spellStart"/>
      <w:r w:rsidRPr="0040743B">
        <w:rPr>
          <w:rFonts w:ascii="Times New Roman" w:hAnsi="Times New Roman" w:cs="Times New Roman"/>
          <w:sz w:val="24"/>
          <w:szCs w:val="24"/>
          <w:lang w:val="en-GB"/>
        </w:rPr>
        <w:t>Gateway</w:t>
      </w:r>
      <w:r w:rsidRPr="0040743B">
        <w:rPr>
          <w:rFonts w:ascii="Times New Roman" w:hAnsi="Times New Roman" w:cs="Times New Roman"/>
          <w:sz w:val="24"/>
          <w:szCs w:val="24"/>
          <w:vertAlign w:val="superscript"/>
          <w:lang w:val="en-GB"/>
        </w:rPr>
        <w:t>TM</w:t>
      </w:r>
      <w:proofErr w:type="spellEnd"/>
      <w:r w:rsidRPr="0040743B">
        <w:rPr>
          <w:rFonts w:ascii="Times New Roman" w:hAnsi="Times New Roman" w:cs="Times New Roman"/>
          <w:sz w:val="24"/>
          <w:szCs w:val="24"/>
          <w:lang w:val="en-GB"/>
        </w:rPr>
        <w:t xml:space="preserve"> BP cloning. The </w:t>
      </w:r>
      <w:r w:rsidR="00F35387" w:rsidRPr="0040743B">
        <w:rPr>
          <w:rFonts w:ascii="Times New Roman" w:hAnsi="Times New Roman" w:cs="Times New Roman"/>
          <w:sz w:val="24"/>
          <w:szCs w:val="24"/>
          <w:lang w:val="en-GB"/>
        </w:rPr>
        <w:t>phosphoglycerate kinase (</w:t>
      </w:r>
      <w:r w:rsidRPr="0040743B">
        <w:rPr>
          <w:rFonts w:ascii="Times New Roman" w:hAnsi="Times New Roman" w:cs="Times New Roman"/>
          <w:sz w:val="24"/>
          <w:szCs w:val="24"/>
          <w:lang w:val="en-GB"/>
        </w:rPr>
        <w:t>PGK</w:t>
      </w:r>
      <w:r w:rsidR="00F3538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promoter was inserted into </w:t>
      </w:r>
      <w:proofErr w:type="spellStart"/>
      <w:r w:rsidRPr="0040743B">
        <w:rPr>
          <w:rFonts w:ascii="Times New Roman" w:hAnsi="Times New Roman" w:cs="Times New Roman"/>
          <w:sz w:val="24"/>
          <w:szCs w:val="24"/>
          <w:lang w:val="en-GB"/>
        </w:rPr>
        <w:t>pDONRTM</w:t>
      </w:r>
      <w:proofErr w:type="spellEnd"/>
      <w:r w:rsidRPr="0040743B">
        <w:rPr>
          <w:rFonts w:ascii="Times New Roman" w:hAnsi="Times New Roman" w:cs="Times New Roman"/>
          <w:sz w:val="24"/>
          <w:szCs w:val="24"/>
          <w:lang w:val="en-GB"/>
        </w:rPr>
        <w:t xml:space="preserve"> P4-P1r using tailed primer PCR and </w:t>
      </w:r>
      <w:proofErr w:type="spellStart"/>
      <w:r w:rsidRPr="0040743B">
        <w:rPr>
          <w:rFonts w:ascii="Times New Roman" w:hAnsi="Times New Roman" w:cs="Times New Roman"/>
          <w:sz w:val="24"/>
          <w:szCs w:val="24"/>
          <w:lang w:val="en-GB"/>
        </w:rPr>
        <w:t>Gateway</w:t>
      </w:r>
      <w:r w:rsidRPr="0040743B">
        <w:rPr>
          <w:rFonts w:ascii="Times New Roman" w:hAnsi="Times New Roman" w:cs="Times New Roman"/>
          <w:sz w:val="24"/>
          <w:szCs w:val="24"/>
          <w:vertAlign w:val="superscript"/>
          <w:lang w:val="en-GB"/>
        </w:rPr>
        <w:t>TM</w:t>
      </w:r>
      <w:proofErr w:type="spellEnd"/>
      <w:r w:rsidRPr="0040743B">
        <w:rPr>
          <w:rFonts w:ascii="Times New Roman" w:hAnsi="Times New Roman" w:cs="Times New Roman"/>
          <w:sz w:val="24"/>
          <w:szCs w:val="24"/>
          <w:lang w:val="en-GB"/>
        </w:rPr>
        <w:t xml:space="preserve"> BP cloning. Expression vectors combining the PGK </w:t>
      </w:r>
      <w:r w:rsidRPr="0040743B">
        <w:rPr>
          <w:rFonts w:ascii="Times New Roman" w:hAnsi="Times New Roman" w:cs="Times New Roman"/>
          <w:sz w:val="24"/>
          <w:szCs w:val="24"/>
          <w:lang w:val="en-GB"/>
        </w:rPr>
        <w:lastRenderedPageBreak/>
        <w:t>promoter, NLGN4X or NRCAM full length cDNA, and the IRES-</w:t>
      </w:r>
      <w:proofErr w:type="spellStart"/>
      <w:r w:rsidRPr="0040743B">
        <w:rPr>
          <w:rFonts w:ascii="Times New Roman" w:hAnsi="Times New Roman" w:cs="Times New Roman"/>
          <w:sz w:val="24"/>
          <w:szCs w:val="24"/>
          <w:lang w:val="en-GB"/>
        </w:rPr>
        <w:t>NanoLuc</w:t>
      </w:r>
      <w:proofErr w:type="spellEnd"/>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luciferase marker </w:t>
      </w:r>
      <w:proofErr w:type="gramStart"/>
      <w:r w:rsidRPr="0040743B">
        <w:rPr>
          <w:rFonts w:ascii="Times New Roman" w:hAnsi="Times New Roman" w:cs="Times New Roman"/>
          <w:sz w:val="24"/>
          <w:szCs w:val="24"/>
          <w:lang w:val="en-GB"/>
        </w:rPr>
        <w:t>were</w:t>
      </w:r>
      <w:proofErr w:type="gramEnd"/>
      <w:r w:rsidRPr="0040743B">
        <w:rPr>
          <w:rFonts w:ascii="Times New Roman" w:hAnsi="Times New Roman" w:cs="Times New Roman"/>
          <w:sz w:val="24"/>
          <w:szCs w:val="24"/>
          <w:lang w:val="en-GB"/>
        </w:rPr>
        <w:t xml:space="preserve"> assembled using Multisite </w:t>
      </w:r>
      <w:proofErr w:type="spellStart"/>
      <w:r w:rsidRPr="0040743B">
        <w:rPr>
          <w:rFonts w:ascii="Times New Roman" w:hAnsi="Times New Roman" w:cs="Times New Roman"/>
          <w:sz w:val="24"/>
          <w:szCs w:val="24"/>
          <w:lang w:val="en-GB"/>
        </w:rPr>
        <w:t>Gateway</w:t>
      </w:r>
      <w:r w:rsidRPr="0040743B">
        <w:rPr>
          <w:rFonts w:ascii="Times New Roman" w:hAnsi="Times New Roman" w:cs="Times New Roman"/>
          <w:sz w:val="24"/>
          <w:szCs w:val="24"/>
          <w:vertAlign w:val="superscript"/>
          <w:lang w:val="en-GB"/>
        </w:rPr>
        <w:t>TM</w:t>
      </w:r>
      <w:proofErr w:type="spellEnd"/>
      <w:r w:rsidRPr="0040743B">
        <w:rPr>
          <w:rFonts w:ascii="Times New Roman" w:hAnsi="Times New Roman" w:cs="Times New Roman"/>
          <w:sz w:val="24"/>
          <w:szCs w:val="24"/>
          <w:lang w:val="en-GB"/>
        </w:rPr>
        <w:t xml:space="preserve"> LR cloning.</w:t>
      </w:r>
    </w:p>
    <w:p w14:paraId="338FE724" w14:textId="0DEAA513" w:rsidR="00CF41F8" w:rsidRPr="0040743B" w:rsidRDefault="00CF41F8" w:rsidP="00CF41F8">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Electroporation of T cells and transfection of target cells.</w:t>
      </w:r>
      <w:r w:rsidRPr="0040743B">
        <w:rPr>
          <w:rFonts w:ascii="Times New Roman" w:hAnsi="Times New Roman" w:cs="Times New Roman"/>
          <w:sz w:val="24"/>
          <w:szCs w:val="24"/>
          <w:lang w:val="en-GB"/>
        </w:rPr>
        <w:t xml:space="preserve"> T cells were isolated from PBMC from HLA-A2*01-positive healthy donors using the </w:t>
      </w:r>
      <w:proofErr w:type="spellStart"/>
      <w:r w:rsidRPr="0040743B">
        <w:rPr>
          <w:rFonts w:ascii="Times New Roman" w:hAnsi="Times New Roman" w:cs="Times New Roman"/>
          <w:sz w:val="24"/>
          <w:szCs w:val="24"/>
          <w:lang w:val="en-GB"/>
        </w:rPr>
        <w:t>MagniSort</w:t>
      </w:r>
      <w:r w:rsidRPr="0040743B">
        <w:rPr>
          <w:rFonts w:ascii="Times New Roman" w:hAnsi="Times New Roman" w:cs="Times New Roman"/>
          <w:sz w:val="24"/>
          <w:szCs w:val="24"/>
          <w:vertAlign w:val="superscript"/>
          <w:lang w:val="en-GB"/>
        </w:rPr>
        <w:t>TM</w:t>
      </w:r>
      <w:proofErr w:type="spellEnd"/>
      <w:r w:rsidRPr="0040743B">
        <w:rPr>
          <w:rFonts w:ascii="Times New Roman" w:hAnsi="Times New Roman" w:cs="Times New Roman"/>
          <w:sz w:val="24"/>
          <w:szCs w:val="24"/>
          <w:lang w:val="en-GB"/>
        </w:rPr>
        <w:t xml:space="preserve"> Human T cell Enrichment Kit according to manufacturer’s instructions. T cells were kept in </w:t>
      </w:r>
      <w:proofErr w:type="spellStart"/>
      <w:r w:rsidRPr="0040743B">
        <w:rPr>
          <w:rFonts w:ascii="Times New Roman" w:hAnsi="Times New Roman" w:cs="Times New Roman"/>
          <w:sz w:val="24"/>
          <w:szCs w:val="24"/>
          <w:lang w:val="en-GB"/>
        </w:rPr>
        <w:t>TexMACS</w:t>
      </w:r>
      <w:r w:rsidRPr="0040743B">
        <w:rPr>
          <w:rFonts w:ascii="Times New Roman" w:hAnsi="Times New Roman" w:cs="Times New Roman"/>
          <w:sz w:val="24"/>
          <w:szCs w:val="24"/>
          <w:vertAlign w:val="superscript"/>
          <w:lang w:val="en-GB"/>
        </w:rPr>
        <w:t>TM</w:t>
      </w:r>
      <w:proofErr w:type="spellEnd"/>
      <w:r w:rsidRPr="0040743B">
        <w:rPr>
          <w:rFonts w:ascii="Times New Roman" w:hAnsi="Times New Roman" w:cs="Times New Roman"/>
          <w:sz w:val="24"/>
          <w:szCs w:val="24"/>
          <w:lang w:val="en-GB"/>
        </w:rPr>
        <w:t xml:space="preserve"> without phenol red and activated with 155 U/mL human IL-7, 290 U/mL human IL-15, and T Cell </w:t>
      </w:r>
      <w:proofErr w:type="spellStart"/>
      <w:r w:rsidRPr="0040743B">
        <w:rPr>
          <w:rFonts w:ascii="Times New Roman" w:hAnsi="Times New Roman" w:cs="Times New Roman"/>
          <w:sz w:val="24"/>
          <w:szCs w:val="24"/>
          <w:lang w:val="en-GB"/>
        </w:rPr>
        <w:t>TransAct</w:t>
      </w:r>
      <w:r w:rsidRPr="0040743B">
        <w:rPr>
          <w:rFonts w:ascii="Times New Roman" w:hAnsi="Times New Roman" w:cs="Times New Roman"/>
          <w:sz w:val="24"/>
          <w:szCs w:val="24"/>
          <w:vertAlign w:val="superscript"/>
          <w:lang w:val="en-GB"/>
        </w:rPr>
        <w:t>TM</w:t>
      </w:r>
      <w:proofErr w:type="spellEnd"/>
      <w:r w:rsidRPr="0040743B">
        <w:rPr>
          <w:rFonts w:ascii="Times New Roman" w:hAnsi="Times New Roman" w:cs="Times New Roman"/>
          <w:sz w:val="24"/>
          <w:szCs w:val="24"/>
          <w:lang w:val="en-GB"/>
        </w:rPr>
        <w:t xml:space="preserve">. Vector DNA was prepared using a </w:t>
      </w:r>
      <w:proofErr w:type="spellStart"/>
      <w:r w:rsidRPr="0040743B">
        <w:rPr>
          <w:rFonts w:ascii="Times New Roman" w:hAnsi="Times New Roman" w:cs="Times New Roman"/>
          <w:sz w:val="24"/>
          <w:szCs w:val="24"/>
          <w:lang w:val="en-GB"/>
        </w:rPr>
        <w:t>ZymoPURE</w:t>
      </w:r>
      <w:proofErr w:type="spellEnd"/>
      <w:r w:rsidRPr="0040743B">
        <w:rPr>
          <w:rFonts w:ascii="Times New Roman" w:hAnsi="Times New Roman" w:cs="Times New Roman"/>
          <w:sz w:val="24"/>
          <w:szCs w:val="24"/>
          <w:lang w:val="en-GB"/>
        </w:rPr>
        <w:t xml:space="preserve"> II plasmid maxiprep kit (</w:t>
      </w:r>
      <w:proofErr w:type="spellStart"/>
      <w:r w:rsidRPr="0040743B">
        <w:rPr>
          <w:rFonts w:ascii="Times New Roman" w:hAnsi="Times New Roman" w:cs="Times New Roman"/>
          <w:sz w:val="24"/>
          <w:szCs w:val="24"/>
          <w:lang w:val="en-GB"/>
        </w:rPr>
        <w:t>Zymo</w:t>
      </w:r>
      <w:proofErr w:type="spellEnd"/>
      <w:r w:rsidRPr="0040743B">
        <w:rPr>
          <w:rFonts w:ascii="Times New Roman" w:hAnsi="Times New Roman" w:cs="Times New Roman"/>
          <w:sz w:val="24"/>
          <w:szCs w:val="24"/>
          <w:lang w:val="en-GB"/>
        </w:rPr>
        <w:t xml:space="preserve"> Research). Plasmid DNA was electroporated using a Neon electroporator (</w:t>
      </w:r>
      <w:proofErr w:type="spellStart"/>
      <w:r w:rsidRPr="0040743B">
        <w:rPr>
          <w:rFonts w:ascii="Times New Roman" w:hAnsi="Times New Roman" w:cs="Times New Roman"/>
          <w:sz w:val="24"/>
          <w:szCs w:val="24"/>
          <w:lang w:val="en-GB"/>
        </w:rPr>
        <w:t>ThermoFisher</w:t>
      </w:r>
      <w:proofErr w:type="spellEnd"/>
      <w:r w:rsidRPr="0040743B">
        <w:rPr>
          <w:rFonts w:ascii="Times New Roman" w:hAnsi="Times New Roman" w:cs="Times New Roman"/>
          <w:sz w:val="24"/>
          <w:szCs w:val="24"/>
          <w:lang w:val="en-GB"/>
        </w:rPr>
        <w:t xml:space="preserve"> Scientific; pulse voltage 2</w:t>
      </w:r>
      <w:r w:rsidR="00942828"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200 V, pulse width 20ms, pulse number =1, cell density = 5x10</w:t>
      </w:r>
      <w:r w:rsidRPr="0040743B">
        <w:rPr>
          <w:rFonts w:ascii="Times New Roman" w:hAnsi="Times New Roman" w:cs="Times New Roman"/>
          <w:sz w:val="24"/>
          <w:szCs w:val="24"/>
          <w:vertAlign w:val="superscript"/>
          <w:lang w:val="en-GB"/>
        </w:rPr>
        <w:t>6</w:t>
      </w:r>
      <w:r w:rsidRPr="0040743B">
        <w:rPr>
          <w:rFonts w:ascii="Times New Roman" w:hAnsi="Times New Roman" w:cs="Times New Roman"/>
          <w:sz w:val="24"/>
          <w:szCs w:val="24"/>
          <w:lang w:val="en-GB"/>
        </w:rPr>
        <w:t>). Transfection of HLA-A2*01-positive U87</w:t>
      </w:r>
      <w:r w:rsidR="00F35387" w:rsidRPr="0040743B">
        <w:rPr>
          <w:rFonts w:ascii="Times New Roman" w:hAnsi="Times New Roman" w:cs="Times New Roman"/>
          <w:sz w:val="24"/>
          <w:szCs w:val="24"/>
          <w:lang w:val="en-GB"/>
        </w:rPr>
        <w:t>MG</w:t>
      </w:r>
      <w:r w:rsidRPr="0040743B">
        <w:rPr>
          <w:rFonts w:ascii="Times New Roman" w:hAnsi="Times New Roman" w:cs="Times New Roman"/>
          <w:sz w:val="24"/>
          <w:szCs w:val="24"/>
          <w:lang w:val="en-GB"/>
        </w:rPr>
        <w:t xml:space="preserve"> cells was done using </w:t>
      </w:r>
      <w:proofErr w:type="spellStart"/>
      <w:r w:rsidRPr="0040743B">
        <w:rPr>
          <w:rFonts w:ascii="Times New Roman" w:hAnsi="Times New Roman" w:cs="Times New Roman"/>
          <w:sz w:val="24"/>
          <w:szCs w:val="24"/>
          <w:lang w:val="en-GB"/>
        </w:rPr>
        <w:t>FuGENE</w:t>
      </w:r>
      <w:proofErr w:type="spellEnd"/>
      <w:r w:rsidR="00F35387" w:rsidRPr="0040743B">
        <w:rPr>
          <w:rFonts w:ascii="Times New Roman" w:hAnsi="Times New Roman" w:cs="Times New Roman"/>
          <w:sz w:val="24"/>
          <w:szCs w:val="24"/>
          <w:vertAlign w:val="superscript"/>
          <w:lang w:val="en-GB"/>
        </w:rPr>
        <w:t>®</w:t>
      </w:r>
      <w:r w:rsidR="00F35387"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HD (Promega).</w:t>
      </w:r>
    </w:p>
    <w:p w14:paraId="32A31AEF" w14:textId="010BF5A2" w:rsidR="00CF41F8" w:rsidRPr="0040743B" w:rsidRDefault="00CF41F8" w:rsidP="00CF41F8">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 xml:space="preserve">Cytotoxicity assays. </w:t>
      </w:r>
      <w:r w:rsidRPr="0040743B">
        <w:rPr>
          <w:rFonts w:ascii="Times New Roman" w:hAnsi="Times New Roman" w:cs="Times New Roman"/>
          <w:sz w:val="24"/>
          <w:szCs w:val="24"/>
          <w:lang w:val="en-GB"/>
        </w:rPr>
        <w:t>Avidity of APVAC1-specific T cells as shown in Fig. 2c was analysed using the Vital-FR assay</w:t>
      </w:r>
      <w:r w:rsidRPr="0040743B">
        <w:rPr>
          <w:rFonts w:ascii="Times New Roman" w:hAnsi="Times New Roman" w:cs="Times New Roman"/>
          <w:noProof/>
          <w:sz w:val="24"/>
          <w:szCs w:val="24"/>
          <w:vertAlign w:val="superscript"/>
          <w:lang w:val="en-GB"/>
        </w:rPr>
        <w:t>56</w:t>
      </w:r>
      <w:r w:rsidRPr="0040743B">
        <w:rPr>
          <w:rFonts w:ascii="Times New Roman" w:hAnsi="Times New Roman" w:cs="Times New Roman"/>
          <w:sz w:val="24"/>
          <w:szCs w:val="24"/>
          <w:lang w:val="en-GB"/>
        </w:rPr>
        <w:t>. In brief, T cells were co-cultured with K562-A2 cells loaded with titrated amounts of test peptide (</w:t>
      </w:r>
      <w:proofErr w:type="spellStart"/>
      <w:r w:rsidR="00F35387" w:rsidRPr="0040743B">
        <w:rPr>
          <w:rFonts w:ascii="Times New Roman" w:hAnsi="Times New Roman" w:cs="Times New Roman"/>
          <w:sz w:val="24"/>
          <w:szCs w:val="24"/>
          <w:lang w:val="en-GB"/>
        </w:rPr>
        <w:t>carboxyfluorescein</w:t>
      </w:r>
      <w:proofErr w:type="spellEnd"/>
      <w:r w:rsidR="00F35387" w:rsidRPr="0040743B">
        <w:rPr>
          <w:rFonts w:ascii="Times New Roman" w:hAnsi="Times New Roman" w:cs="Times New Roman"/>
          <w:sz w:val="24"/>
          <w:szCs w:val="24"/>
          <w:lang w:val="en-GB"/>
        </w:rPr>
        <w:t xml:space="preserve"> </w:t>
      </w:r>
      <w:proofErr w:type="spellStart"/>
      <w:r w:rsidR="00F35387" w:rsidRPr="0040743B">
        <w:rPr>
          <w:rFonts w:ascii="Times New Roman" w:hAnsi="Times New Roman" w:cs="Times New Roman"/>
          <w:sz w:val="24"/>
          <w:szCs w:val="24"/>
          <w:lang w:val="en-GB"/>
        </w:rPr>
        <w:t>succinimidyl</w:t>
      </w:r>
      <w:proofErr w:type="spellEnd"/>
      <w:r w:rsidR="00F35387" w:rsidRPr="0040743B">
        <w:rPr>
          <w:rFonts w:ascii="Times New Roman" w:hAnsi="Times New Roman" w:cs="Times New Roman"/>
          <w:sz w:val="24"/>
          <w:szCs w:val="24"/>
          <w:lang w:val="en-GB"/>
        </w:rPr>
        <w:t xml:space="preserve"> ester (</w:t>
      </w:r>
      <w:r w:rsidRPr="0040743B">
        <w:rPr>
          <w:rFonts w:ascii="Times New Roman" w:hAnsi="Times New Roman" w:cs="Times New Roman"/>
          <w:sz w:val="24"/>
          <w:szCs w:val="24"/>
          <w:lang w:val="en-GB"/>
        </w:rPr>
        <w:t>CFSE</w:t>
      </w:r>
      <w:r w:rsidR="00F3538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-labelled) and K562-A2 cells loaded with an irrelevant peptide (</w:t>
      </w:r>
      <w:proofErr w:type="spellStart"/>
      <w:r w:rsidRPr="0040743B">
        <w:rPr>
          <w:rFonts w:ascii="Times New Roman" w:hAnsi="Times New Roman" w:cs="Times New Roman"/>
          <w:sz w:val="24"/>
          <w:szCs w:val="24"/>
          <w:lang w:val="en-GB"/>
        </w:rPr>
        <w:t>FarRed</w:t>
      </w:r>
      <w:proofErr w:type="spellEnd"/>
      <w:r w:rsidRPr="0040743B">
        <w:rPr>
          <w:rFonts w:ascii="Times New Roman" w:hAnsi="Times New Roman" w:cs="Times New Roman"/>
          <w:sz w:val="24"/>
          <w:szCs w:val="24"/>
          <w:lang w:val="en-GB"/>
        </w:rPr>
        <w:t xml:space="preserve">-labelled). After 20 h, numbers of CFSE- and </w:t>
      </w:r>
      <w:proofErr w:type="spellStart"/>
      <w:r w:rsidRPr="0040743B">
        <w:rPr>
          <w:rFonts w:ascii="Times New Roman" w:hAnsi="Times New Roman" w:cs="Times New Roman"/>
          <w:sz w:val="24"/>
          <w:szCs w:val="24"/>
          <w:lang w:val="en-GB"/>
        </w:rPr>
        <w:t>FarRed</w:t>
      </w:r>
      <w:proofErr w:type="spellEnd"/>
      <w:r w:rsidRPr="0040743B">
        <w:rPr>
          <w:rFonts w:ascii="Times New Roman" w:hAnsi="Times New Roman" w:cs="Times New Roman"/>
          <w:sz w:val="24"/>
          <w:szCs w:val="24"/>
          <w:lang w:val="en-GB"/>
        </w:rPr>
        <w:t xml:space="preserve">-labelled cells were assessed by flow cytometry and specific lysis was calculated. For peptide titration experiments as shown in Extended Data Fig. 3d, T2 cells were stained with </w:t>
      </w:r>
      <w:proofErr w:type="spellStart"/>
      <w:r w:rsidRPr="0040743B">
        <w:rPr>
          <w:rFonts w:ascii="Times New Roman" w:hAnsi="Times New Roman" w:cs="Times New Roman"/>
          <w:sz w:val="24"/>
          <w:szCs w:val="24"/>
          <w:lang w:val="en-GB"/>
        </w:rPr>
        <w:t>Vybrant</w:t>
      </w:r>
      <w:proofErr w:type="spellEnd"/>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DiD</w:t>
      </w:r>
      <w:proofErr w:type="spellEnd"/>
      <w:r w:rsidRPr="0040743B">
        <w:rPr>
          <w:rFonts w:ascii="Times New Roman" w:hAnsi="Times New Roman" w:cs="Times New Roman"/>
          <w:sz w:val="24"/>
          <w:szCs w:val="24"/>
          <w:lang w:val="en-GB"/>
        </w:rPr>
        <w:t xml:space="preserve"> and T-cell clones with CFSE. Co-culture (4 h) was performed with increasing concentrations of peptide (effector-to-target ratio [</w:t>
      </w:r>
      <w:proofErr w:type="gramStart"/>
      <w:r w:rsidRPr="0040743B">
        <w:rPr>
          <w:rFonts w:ascii="Times New Roman" w:hAnsi="Times New Roman" w:cs="Times New Roman"/>
          <w:sz w:val="24"/>
          <w:szCs w:val="24"/>
          <w:lang w:val="en-GB"/>
        </w:rPr>
        <w:t>E:T</w:t>
      </w:r>
      <w:proofErr w:type="gramEnd"/>
      <w:r w:rsidRPr="0040743B">
        <w:rPr>
          <w:rFonts w:ascii="Times New Roman" w:hAnsi="Times New Roman" w:cs="Times New Roman"/>
          <w:sz w:val="24"/>
          <w:szCs w:val="24"/>
          <w:lang w:val="en-GB"/>
        </w:rPr>
        <w:t xml:space="preserve">] = 10:1). Cell death was measured by addition of </w:t>
      </w:r>
      <w:r w:rsidR="00F35387" w:rsidRPr="0040743B">
        <w:rPr>
          <w:rFonts w:ascii="Times New Roman" w:hAnsi="Times New Roman" w:cs="Times New Roman"/>
          <w:sz w:val="24"/>
          <w:szCs w:val="24"/>
          <w:lang w:val="en-GB"/>
        </w:rPr>
        <w:t>7-aminoactinomycin D (</w:t>
      </w:r>
      <w:r w:rsidRPr="0040743B">
        <w:rPr>
          <w:rFonts w:ascii="Times New Roman" w:hAnsi="Times New Roman" w:cs="Times New Roman"/>
          <w:sz w:val="24"/>
          <w:szCs w:val="24"/>
          <w:lang w:val="en-GB"/>
        </w:rPr>
        <w:t>7AAD</w:t>
      </w:r>
      <w:r w:rsidR="00F35387"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and detection of 7AAD</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Vybrant</w:t>
      </w:r>
      <w:proofErr w:type="spellEnd"/>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w:t>
      </w:r>
      <w:proofErr w:type="spellStart"/>
      <w:r w:rsidRPr="0040743B">
        <w:rPr>
          <w:rFonts w:ascii="Times New Roman" w:hAnsi="Times New Roman" w:cs="Times New Roman"/>
          <w:sz w:val="24"/>
          <w:szCs w:val="24"/>
          <w:lang w:val="en-GB"/>
        </w:rPr>
        <w:t>DiD</w:t>
      </w:r>
      <w:proofErr w:type="spellEnd"/>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T2 cells by flow cytometry. For </w:t>
      </w:r>
      <w:proofErr w:type="spellStart"/>
      <w:r w:rsidRPr="0040743B">
        <w:rPr>
          <w:rFonts w:ascii="Times New Roman" w:hAnsi="Times New Roman" w:cs="Times New Roman"/>
          <w:sz w:val="24"/>
          <w:szCs w:val="24"/>
          <w:lang w:val="en-GB"/>
        </w:rPr>
        <w:t>NanoLuc</w:t>
      </w:r>
      <w:proofErr w:type="spellEnd"/>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luciferase-based killing assays, TCR-engineered T cells and transfected U87</w:t>
      </w:r>
      <w:r w:rsidR="00F35387" w:rsidRPr="0040743B">
        <w:rPr>
          <w:rFonts w:ascii="Times New Roman" w:hAnsi="Times New Roman" w:cs="Times New Roman"/>
          <w:sz w:val="24"/>
          <w:szCs w:val="24"/>
          <w:lang w:val="en-GB"/>
        </w:rPr>
        <w:t>MG</w:t>
      </w:r>
      <w:r w:rsidRPr="0040743B">
        <w:rPr>
          <w:rFonts w:ascii="Times New Roman" w:hAnsi="Times New Roman" w:cs="Times New Roman"/>
          <w:sz w:val="24"/>
          <w:szCs w:val="24"/>
          <w:lang w:val="en-GB"/>
        </w:rPr>
        <w:t xml:space="preserve"> target cells (NLGN4X, NRCAM) were co-cultured for 9 h. Supernatants were carefully removed to remove cell debris. After addition of new medium, the Nano-Glo</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Luciferase Assay System (Promega) was used according to </w:t>
      </w:r>
      <w:r w:rsidRPr="0040743B">
        <w:rPr>
          <w:rFonts w:ascii="Times New Roman" w:hAnsi="Times New Roman" w:cs="Times New Roman"/>
          <w:sz w:val="24"/>
          <w:szCs w:val="24"/>
          <w:lang w:val="en-GB"/>
        </w:rPr>
        <w:lastRenderedPageBreak/>
        <w:t xml:space="preserve">manufacturer’s instruction to measure </w:t>
      </w:r>
      <w:proofErr w:type="spellStart"/>
      <w:r w:rsidRPr="0040743B">
        <w:rPr>
          <w:rFonts w:ascii="Times New Roman" w:hAnsi="Times New Roman" w:cs="Times New Roman"/>
          <w:sz w:val="24"/>
          <w:szCs w:val="24"/>
          <w:lang w:val="en-GB"/>
        </w:rPr>
        <w:t>NanoLuc</w:t>
      </w:r>
      <w:proofErr w:type="spellEnd"/>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luciferase expression. For LDH-based killing assays, autologous (NLGN4X-001-reactive, PTP-013-reactive) and HLA-A2*01</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were rested overnight and co-cultured for 9 h with HLA-A2*01</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glioma-initiating cell lines (L2 or P2XX). CytoTox96</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Non-Radioactive Cytotoxicity Assay (Promega) was used according to manufacturer´s instructions to quantify LDH-release. Absorbance was measured at 490</w:t>
      </w:r>
      <w:r w:rsidR="00C43D4B"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nm.</w:t>
      </w:r>
    </w:p>
    <w:p w14:paraId="364D07E9" w14:textId="7090A7F9" w:rsidR="00CF41F8" w:rsidRPr="0040743B" w:rsidRDefault="00CF41F8" w:rsidP="00CF41F8">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Assessment of T</w:t>
      </w:r>
      <w:r w:rsidRPr="0040743B">
        <w:rPr>
          <w:rFonts w:ascii="Times New Roman" w:hAnsi="Times New Roman" w:cs="Times New Roman"/>
          <w:b/>
          <w:bCs/>
          <w:sz w:val="24"/>
          <w:szCs w:val="24"/>
          <w:vertAlign w:val="subscript"/>
          <w:lang w:val="en-GB"/>
        </w:rPr>
        <w:t>reg</w:t>
      </w:r>
      <w:r w:rsidRPr="0040743B">
        <w:rPr>
          <w:rFonts w:ascii="Times New Roman" w:hAnsi="Times New Roman" w:cs="Times New Roman"/>
          <w:b/>
          <w:bCs/>
          <w:sz w:val="24"/>
          <w:szCs w:val="24"/>
          <w:lang w:val="en-GB"/>
        </w:rPr>
        <w:t xml:space="preserve"> frequencies.</w:t>
      </w:r>
      <w:r w:rsidRPr="0040743B">
        <w:rPr>
          <w:rFonts w:ascii="Times New Roman" w:hAnsi="Times New Roman" w:cs="Times New Roman"/>
          <w:sz w:val="24"/>
          <w:szCs w:val="24"/>
          <w:lang w:val="en-GB"/>
        </w:rPr>
        <w:t xml:space="preserve"> Cryopreserved PBMC samples were thawed and 1.5x10</w:t>
      </w:r>
      <w:r w:rsidRPr="0040743B">
        <w:rPr>
          <w:rFonts w:ascii="Times New Roman" w:hAnsi="Times New Roman" w:cs="Times New Roman"/>
          <w:sz w:val="24"/>
          <w:szCs w:val="24"/>
          <w:vertAlign w:val="superscript"/>
          <w:lang w:val="en-GB"/>
        </w:rPr>
        <w:t>6</w:t>
      </w:r>
      <w:r w:rsidRPr="0040743B">
        <w:rPr>
          <w:rFonts w:ascii="Times New Roman" w:hAnsi="Times New Roman" w:cs="Times New Roman"/>
          <w:sz w:val="24"/>
          <w:szCs w:val="24"/>
          <w:lang w:val="en-GB"/>
        </w:rPr>
        <w:t xml:space="preserve"> PBMC were stained with the following antibodies: CD3-pacific blue (clone SK7,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xml:space="preserve">), CD4-APC.Cy7 (clone SK3,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xml:space="preserve">), CD25-APC (clone M-A251,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xml:space="preserve">), CD45RA-PerCP.Cy5.5 (clone HI100,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xml:space="preserve">), CD127-PE.Cy7 (clone HIL-7R-M21, BD), FoxP3-Alexa488 (clone 259D/C7, BD), Ki67-PE (clone Ki67,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and the live/dead marker Zombie Aqua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xml:space="preserve">). Cell surface antibody staining was performed in PBS/0.5% BSA/0.01% </w:t>
      </w:r>
      <w:proofErr w:type="spellStart"/>
      <w:r w:rsidRPr="0040743B">
        <w:rPr>
          <w:rFonts w:ascii="Times New Roman" w:hAnsi="Times New Roman" w:cs="Times New Roman"/>
          <w:sz w:val="24"/>
          <w:szCs w:val="24"/>
          <w:lang w:val="en-GB"/>
        </w:rPr>
        <w:t>azide</w:t>
      </w:r>
      <w:proofErr w:type="spellEnd"/>
      <w:r w:rsidRPr="0040743B">
        <w:rPr>
          <w:rFonts w:ascii="Times New Roman" w:hAnsi="Times New Roman" w:cs="Times New Roman"/>
          <w:sz w:val="24"/>
          <w:szCs w:val="24"/>
          <w:lang w:val="en-GB"/>
        </w:rPr>
        <w:t xml:space="preserve"> for 30 min at 4</w:t>
      </w:r>
      <w:r w:rsidR="00001751"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°C. Intranuclear staining was conducted with the True-Nuclear Transcription Factor Buffer set (</w:t>
      </w:r>
      <w:proofErr w:type="spellStart"/>
      <w:r w:rsidRPr="0040743B">
        <w:rPr>
          <w:rFonts w:ascii="Times New Roman" w:hAnsi="Times New Roman" w:cs="Times New Roman"/>
          <w:sz w:val="24"/>
          <w:szCs w:val="24"/>
          <w:lang w:val="en-GB"/>
        </w:rPr>
        <w:t>Biolegend</w:t>
      </w:r>
      <w:proofErr w:type="spellEnd"/>
      <w:r w:rsidRPr="0040743B">
        <w:rPr>
          <w:rFonts w:ascii="Times New Roman" w:hAnsi="Times New Roman" w:cs="Times New Roman"/>
          <w:sz w:val="24"/>
          <w:szCs w:val="24"/>
          <w:lang w:val="en-GB"/>
        </w:rPr>
        <w:t>) according to the manufacturer’s instructions; antibody staining was for 40 min at 4</w:t>
      </w:r>
      <w:r w:rsidR="00001751"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°C. Stained cells were acquired on a BD </w:t>
      </w:r>
      <w:proofErr w:type="spellStart"/>
      <w:r w:rsidRPr="0040743B">
        <w:rPr>
          <w:rFonts w:ascii="Times New Roman" w:hAnsi="Times New Roman" w:cs="Times New Roman"/>
          <w:sz w:val="24"/>
          <w:szCs w:val="24"/>
          <w:lang w:val="en-GB"/>
        </w:rPr>
        <w:t>FACSCanto</w:t>
      </w:r>
      <w:proofErr w:type="spellEnd"/>
      <w:r w:rsidRPr="0040743B">
        <w:rPr>
          <w:rFonts w:ascii="Times New Roman" w:hAnsi="Times New Roman" w:cs="Times New Roman"/>
          <w:sz w:val="24"/>
          <w:szCs w:val="24"/>
          <w:lang w:val="en-GB"/>
        </w:rPr>
        <w:t xml:space="preserve"> II and analysed using </w:t>
      </w:r>
      <w:proofErr w:type="spellStart"/>
      <w:r w:rsidRPr="0040743B">
        <w:rPr>
          <w:rFonts w:ascii="Times New Roman" w:hAnsi="Times New Roman" w:cs="Times New Roman"/>
          <w:sz w:val="24"/>
          <w:szCs w:val="24"/>
          <w:lang w:val="en-GB"/>
        </w:rPr>
        <w:t>FlowJo</w:t>
      </w:r>
      <w:proofErr w:type="spellEnd"/>
      <w:r w:rsidRPr="0040743B">
        <w:rPr>
          <w:rFonts w:ascii="Times New Roman" w:hAnsi="Times New Roman" w:cs="Times New Roman"/>
          <w:sz w:val="24"/>
          <w:szCs w:val="24"/>
          <w:lang w:val="en-GB"/>
        </w:rPr>
        <w:t xml:space="preserve"> software version 10.4. At least 500,000 events were acquired per sample. Gating and enumeration of T</w:t>
      </w:r>
      <w:r w:rsidRPr="0040743B">
        <w:rPr>
          <w:rFonts w:ascii="Times New Roman" w:hAnsi="Times New Roman" w:cs="Times New Roman"/>
          <w:sz w:val="24"/>
          <w:szCs w:val="24"/>
          <w:vertAlign w:val="subscript"/>
          <w:lang w:val="en-GB"/>
        </w:rPr>
        <w:t>reg</w:t>
      </w:r>
      <w:r w:rsidRPr="0040743B">
        <w:rPr>
          <w:rFonts w:ascii="Times New Roman" w:hAnsi="Times New Roman" w:cs="Times New Roman"/>
          <w:sz w:val="24"/>
          <w:szCs w:val="24"/>
          <w:lang w:val="en-GB"/>
        </w:rPr>
        <w:t xml:space="preserve"> was based on CD25, CD127 and Foxp3 expression (Extended Data Fig. 10d), as previously described</w:t>
      </w:r>
      <w:r w:rsidRPr="0040743B">
        <w:rPr>
          <w:rFonts w:ascii="Times New Roman" w:hAnsi="Times New Roman" w:cs="Times New Roman"/>
          <w:noProof/>
          <w:sz w:val="24"/>
          <w:szCs w:val="24"/>
          <w:vertAlign w:val="superscript"/>
          <w:lang w:val="en-GB"/>
        </w:rPr>
        <w:t>57</w:t>
      </w:r>
      <w:r w:rsidRPr="0040743B">
        <w:rPr>
          <w:rFonts w:ascii="Times New Roman" w:hAnsi="Times New Roman" w:cs="Times New Roman"/>
          <w:sz w:val="24"/>
          <w:szCs w:val="24"/>
          <w:lang w:val="en-GB"/>
        </w:rPr>
        <w:t>.</w:t>
      </w:r>
    </w:p>
    <w:p w14:paraId="44353B41" w14:textId="079DF881" w:rsidR="00CF41F8" w:rsidRPr="0040743B" w:rsidRDefault="00CF41F8" w:rsidP="00CF41F8">
      <w:pPr>
        <w:pStyle w:val="Text"/>
        <w:spacing w:after="12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 xml:space="preserve">Statistical analyses. </w:t>
      </w:r>
      <w:r w:rsidRPr="0040743B">
        <w:rPr>
          <w:rFonts w:ascii="Times New Roman" w:hAnsi="Times New Roman" w:cs="Times New Roman"/>
          <w:sz w:val="24"/>
          <w:szCs w:val="24"/>
          <w:lang w:val="en-GB"/>
        </w:rPr>
        <w:t>Clinical data collection and management was carried out using SAS (version 9.3; SAS Institute, NC). Where applicable, data were reported as the median (indicating the range f</w:t>
      </w:r>
      <w:r w:rsidR="00CA75A9" w:rsidRPr="0040743B">
        <w:rPr>
          <w:rFonts w:ascii="Times New Roman" w:hAnsi="Times New Roman" w:cs="Times New Roman"/>
          <w:sz w:val="24"/>
          <w:szCs w:val="24"/>
          <w:lang w:val="en-GB"/>
        </w:rPr>
        <w:t>ro</w:t>
      </w:r>
      <w:r w:rsidRPr="0040743B">
        <w:rPr>
          <w:rFonts w:ascii="Times New Roman" w:hAnsi="Times New Roman" w:cs="Times New Roman"/>
          <w:sz w:val="24"/>
          <w:szCs w:val="24"/>
          <w:lang w:val="en-GB"/>
        </w:rPr>
        <w:t xml:space="preserve">m minimum to maximum value occurred) and arithmetic mean ± standard deviation, as specified (R software package, 3.4.1). Dichotomous variables were evaluated by Fisher’s exact test while continuous variables were compared by two-sided t test or Mann-Whitney U test, as indicated. OS and PFS (both calculated from primary tumour diagnosis) were assessed by </w:t>
      </w:r>
      <w:r w:rsidRPr="0040743B">
        <w:rPr>
          <w:rFonts w:ascii="Times New Roman" w:hAnsi="Times New Roman" w:cs="Times New Roman"/>
          <w:sz w:val="24"/>
          <w:szCs w:val="24"/>
          <w:lang w:val="en-GB"/>
        </w:rPr>
        <w:lastRenderedPageBreak/>
        <w:t xml:space="preserve">Kaplan-Meier analysis using Prism 7 (GraphPad Software Inc., CA). An independent data safety monitoring board oversaw the study. </w:t>
      </w:r>
      <w:bookmarkStart w:id="10" w:name="_Hlk528525519"/>
      <w:r w:rsidRPr="0040743B">
        <w:rPr>
          <w:rFonts w:ascii="Times New Roman" w:hAnsi="Times New Roman" w:cs="Times New Roman"/>
          <w:sz w:val="24"/>
          <w:szCs w:val="24"/>
          <w:lang w:val="en-GB"/>
        </w:rPr>
        <w:t xml:space="preserve">Patient PBMC were limited in this study. </w:t>
      </w:r>
      <w:bookmarkStart w:id="11" w:name="_Hlk528525456"/>
      <w:r w:rsidRPr="0040743B">
        <w:rPr>
          <w:rFonts w:ascii="Times New Roman" w:hAnsi="Times New Roman" w:cs="Times New Roman"/>
          <w:sz w:val="24"/>
          <w:szCs w:val="24"/>
          <w:lang w:val="en-GB"/>
        </w:rPr>
        <w:t xml:space="preserve">If not stated otherwise and owing to limited sample availability, immune response assessments could only be performed once and were not repeated. As detailed in the sections for </w:t>
      </w:r>
      <w:r w:rsidRPr="0040743B">
        <w:rPr>
          <w:rFonts w:ascii="Times New Roman" w:hAnsi="Times New Roman" w:cs="Times New Roman"/>
          <w:i/>
          <w:sz w:val="24"/>
          <w:szCs w:val="24"/>
          <w:lang w:val="en-GB"/>
        </w:rPr>
        <w:t>ex vivo</w:t>
      </w:r>
      <w:r w:rsidRPr="0040743B">
        <w:rPr>
          <w:rFonts w:ascii="Times New Roman" w:hAnsi="Times New Roman" w:cs="Times New Roman"/>
          <w:sz w:val="24"/>
          <w:szCs w:val="24"/>
          <w:lang w:val="en-GB"/>
        </w:rPr>
        <w:t xml:space="preserve"> 2D multimer, </w:t>
      </w:r>
      <w:r w:rsidRPr="0040743B">
        <w:rPr>
          <w:rFonts w:ascii="Times New Roman" w:hAnsi="Times New Roman" w:cs="Times New Roman"/>
          <w:i/>
          <w:sz w:val="24"/>
          <w:szCs w:val="24"/>
          <w:lang w:val="en-GB"/>
        </w:rPr>
        <w:t>ex vivo</w:t>
      </w:r>
      <w:r w:rsidRPr="0040743B">
        <w:rPr>
          <w:rFonts w:ascii="Times New Roman" w:hAnsi="Times New Roman" w:cs="Times New Roman"/>
          <w:sz w:val="24"/>
          <w:szCs w:val="24"/>
          <w:lang w:val="en-GB"/>
        </w:rPr>
        <w:t xml:space="preserve"> ICS and pan-ICS, various internal and external controls were included and per assay type, all patient assays were done with the same batches of critical reagents (e.g. staining antibodies). Further, all patient assays were performed according to detailed standard operating procedures.</w:t>
      </w:r>
    </w:p>
    <w:bookmarkEnd w:id="10"/>
    <w:bookmarkEnd w:id="11"/>
    <w:p w14:paraId="184824B8" w14:textId="77777777" w:rsidR="008F00D6" w:rsidRPr="0040743B" w:rsidRDefault="008F00D6" w:rsidP="00D81718">
      <w:pPr>
        <w:pStyle w:val="TextA"/>
        <w:spacing w:after="120" w:line="480" w:lineRule="auto"/>
        <w:rPr>
          <w:rFonts w:ascii="Times New Roman" w:hAnsi="Times New Roman" w:cs="Times New Roman"/>
          <w:b/>
          <w:sz w:val="24"/>
          <w:szCs w:val="24"/>
          <w:lang w:val="en-GB"/>
        </w:rPr>
      </w:pPr>
    </w:p>
    <w:p w14:paraId="7BE13D26" w14:textId="5A3E04B9" w:rsidR="001F1D7D" w:rsidRPr="0040743B" w:rsidRDefault="001F1D7D" w:rsidP="00D81718">
      <w:pPr>
        <w:pStyle w:val="TextA"/>
        <w:spacing w:after="120" w:line="480" w:lineRule="auto"/>
        <w:rPr>
          <w:rFonts w:ascii="Times New Roman" w:hAnsi="Times New Roman" w:cs="Times New Roman"/>
          <w:b/>
          <w:sz w:val="24"/>
          <w:szCs w:val="24"/>
          <w:lang w:val="en-GB"/>
        </w:rPr>
      </w:pPr>
      <w:r w:rsidRPr="0040743B">
        <w:rPr>
          <w:rFonts w:ascii="Times New Roman" w:hAnsi="Times New Roman" w:cs="Times New Roman"/>
          <w:b/>
          <w:sz w:val="24"/>
          <w:szCs w:val="24"/>
          <w:lang w:val="en-GB"/>
        </w:rPr>
        <w:t>Method references</w:t>
      </w:r>
    </w:p>
    <w:p w14:paraId="076FB0C5"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28</w:t>
      </w:r>
      <w:r w:rsidRPr="0040743B">
        <w:rPr>
          <w:rFonts w:ascii="Times New Roman" w:hAnsi="Times New Roman" w:cs="Times New Roman"/>
          <w:sz w:val="24"/>
          <w:szCs w:val="24"/>
        </w:rPr>
        <w:tab/>
        <w:t>Singh-</w:t>
      </w:r>
      <w:proofErr w:type="spellStart"/>
      <w:r w:rsidRPr="0040743B">
        <w:rPr>
          <w:rFonts w:ascii="Times New Roman" w:hAnsi="Times New Roman" w:cs="Times New Roman"/>
          <w:sz w:val="24"/>
          <w:szCs w:val="24"/>
        </w:rPr>
        <w:t>Jasuja</w:t>
      </w:r>
      <w:proofErr w:type="spellEnd"/>
      <w:r w:rsidRPr="0040743B">
        <w:rPr>
          <w:rFonts w:ascii="Times New Roman" w:hAnsi="Times New Roman" w:cs="Times New Roman"/>
          <w:sz w:val="24"/>
          <w:szCs w:val="24"/>
        </w:rPr>
        <w:t xml:space="preserve">, H., Emmerich, N. P. &amp; Rammensee, H. G. The Tubingen approach: identification, selection, and validation of tumor-associated HLA peptides for cancer therapy. </w:t>
      </w:r>
      <w:r w:rsidRPr="0040743B">
        <w:rPr>
          <w:rFonts w:ascii="Times New Roman" w:hAnsi="Times New Roman" w:cs="Times New Roman"/>
          <w:i/>
          <w:sz w:val="24"/>
          <w:szCs w:val="24"/>
        </w:rPr>
        <w:t xml:space="preserve">Cancer Immunol </w:t>
      </w:r>
      <w:proofErr w:type="spellStart"/>
      <w:r w:rsidRPr="0040743B">
        <w:rPr>
          <w:rFonts w:ascii="Times New Roman" w:hAnsi="Times New Roman" w:cs="Times New Roman"/>
          <w:i/>
          <w:sz w:val="24"/>
          <w:szCs w:val="24"/>
        </w:rPr>
        <w:t>Immunother</w:t>
      </w:r>
      <w:proofErr w:type="spellEnd"/>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53</w:t>
      </w:r>
      <w:r w:rsidRPr="0040743B">
        <w:rPr>
          <w:rFonts w:ascii="Times New Roman" w:hAnsi="Times New Roman" w:cs="Times New Roman"/>
          <w:sz w:val="24"/>
          <w:szCs w:val="24"/>
        </w:rPr>
        <w:t>, 187-195, doi:10.1007/s00262-003-0480-x (2004).</w:t>
      </w:r>
    </w:p>
    <w:p w14:paraId="62DD2E23"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29</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Stupp</w:t>
      </w:r>
      <w:proofErr w:type="spellEnd"/>
      <w:r w:rsidRPr="0040743B">
        <w:rPr>
          <w:rFonts w:ascii="Times New Roman" w:hAnsi="Times New Roman" w:cs="Times New Roman"/>
          <w:sz w:val="24"/>
          <w:szCs w:val="24"/>
        </w:rPr>
        <w:t>, R.</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Radiotherapy plus concomitant and adjuvant temozolomide for glioblastoma. </w:t>
      </w:r>
      <w:r w:rsidRPr="0040743B">
        <w:rPr>
          <w:rFonts w:ascii="Times New Roman" w:hAnsi="Times New Roman" w:cs="Times New Roman"/>
          <w:i/>
          <w:sz w:val="24"/>
          <w:szCs w:val="24"/>
        </w:rPr>
        <w:t xml:space="preserve">N </w:t>
      </w:r>
      <w:proofErr w:type="spellStart"/>
      <w:r w:rsidRPr="0040743B">
        <w:rPr>
          <w:rFonts w:ascii="Times New Roman" w:hAnsi="Times New Roman" w:cs="Times New Roman"/>
          <w:i/>
          <w:sz w:val="24"/>
          <w:szCs w:val="24"/>
        </w:rPr>
        <w:t>Engl</w:t>
      </w:r>
      <w:proofErr w:type="spellEnd"/>
      <w:r w:rsidRPr="0040743B">
        <w:rPr>
          <w:rFonts w:ascii="Times New Roman" w:hAnsi="Times New Roman" w:cs="Times New Roman"/>
          <w:i/>
          <w:sz w:val="24"/>
          <w:szCs w:val="24"/>
        </w:rPr>
        <w:t xml:space="preserve"> J Med</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352</w:t>
      </w:r>
      <w:r w:rsidRPr="0040743B">
        <w:rPr>
          <w:rFonts w:ascii="Times New Roman" w:hAnsi="Times New Roman" w:cs="Times New Roman"/>
          <w:sz w:val="24"/>
          <w:szCs w:val="24"/>
        </w:rPr>
        <w:t>, 987-996, doi:10.1056/NEJMoa043330 (2005).</w:t>
      </w:r>
    </w:p>
    <w:p w14:paraId="5A3FD3DF"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30</w:t>
      </w:r>
      <w:r w:rsidRPr="0040743B">
        <w:rPr>
          <w:rFonts w:ascii="Times New Roman" w:hAnsi="Times New Roman" w:cs="Times New Roman"/>
          <w:sz w:val="24"/>
          <w:szCs w:val="24"/>
        </w:rPr>
        <w:tab/>
        <w:t>Walter, S.</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Cutting edge: predetermined avidity of human CD8 T cells expanded on calibrated MHC/anti-CD28-coated microspheres. </w:t>
      </w:r>
      <w:r w:rsidRPr="0040743B">
        <w:rPr>
          <w:rFonts w:ascii="Times New Roman" w:hAnsi="Times New Roman" w:cs="Times New Roman"/>
          <w:i/>
          <w:sz w:val="24"/>
          <w:szCs w:val="24"/>
        </w:rPr>
        <w:t>J Immunol</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171</w:t>
      </w:r>
      <w:r w:rsidRPr="0040743B">
        <w:rPr>
          <w:rFonts w:ascii="Times New Roman" w:hAnsi="Times New Roman" w:cs="Times New Roman"/>
          <w:sz w:val="24"/>
          <w:szCs w:val="24"/>
        </w:rPr>
        <w:t>, 4974-4978 (2003).</w:t>
      </w:r>
    </w:p>
    <w:p w14:paraId="5DB00613"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31</w:t>
      </w:r>
      <w:r w:rsidRPr="0040743B">
        <w:rPr>
          <w:rFonts w:ascii="Times New Roman" w:hAnsi="Times New Roman" w:cs="Times New Roman"/>
          <w:sz w:val="24"/>
          <w:szCs w:val="24"/>
        </w:rPr>
        <w:tab/>
        <w:t xml:space="preserve">Li, H. &amp; Durbin, R. Fast and accurate short read alignment with Burrows-Wheeler transform. </w:t>
      </w:r>
      <w:r w:rsidRPr="0040743B">
        <w:rPr>
          <w:rFonts w:ascii="Times New Roman" w:hAnsi="Times New Roman" w:cs="Times New Roman"/>
          <w:i/>
          <w:sz w:val="24"/>
          <w:szCs w:val="24"/>
        </w:rPr>
        <w:t>Bioinformatics</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25</w:t>
      </w:r>
      <w:r w:rsidRPr="0040743B">
        <w:rPr>
          <w:rFonts w:ascii="Times New Roman" w:hAnsi="Times New Roman" w:cs="Times New Roman"/>
          <w:sz w:val="24"/>
          <w:szCs w:val="24"/>
        </w:rPr>
        <w:t>, 1754-1760, doi:10.1093/bioinformatics/btp324 (2009).</w:t>
      </w:r>
    </w:p>
    <w:p w14:paraId="44E5EE9A"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32</w:t>
      </w:r>
      <w:r w:rsidRPr="0040743B">
        <w:rPr>
          <w:rFonts w:ascii="Times New Roman" w:hAnsi="Times New Roman" w:cs="Times New Roman"/>
          <w:sz w:val="24"/>
          <w:szCs w:val="24"/>
        </w:rPr>
        <w:tab/>
        <w:t xml:space="preserve">Langmead, B., </w:t>
      </w:r>
      <w:proofErr w:type="spellStart"/>
      <w:r w:rsidRPr="0040743B">
        <w:rPr>
          <w:rFonts w:ascii="Times New Roman" w:hAnsi="Times New Roman" w:cs="Times New Roman"/>
          <w:sz w:val="24"/>
          <w:szCs w:val="24"/>
        </w:rPr>
        <w:t>Trapnell</w:t>
      </w:r>
      <w:proofErr w:type="spellEnd"/>
      <w:r w:rsidRPr="0040743B">
        <w:rPr>
          <w:rFonts w:ascii="Times New Roman" w:hAnsi="Times New Roman" w:cs="Times New Roman"/>
          <w:sz w:val="24"/>
          <w:szCs w:val="24"/>
        </w:rPr>
        <w:t xml:space="preserve">, C., Pop, M. &amp; </w:t>
      </w:r>
      <w:proofErr w:type="spellStart"/>
      <w:r w:rsidRPr="0040743B">
        <w:rPr>
          <w:rFonts w:ascii="Times New Roman" w:hAnsi="Times New Roman" w:cs="Times New Roman"/>
          <w:sz w:val="24"/>
          <w:szCs w:val="24"/>
        </w:rPr>
        <w:t>Salzberg</w:t>
      </w:r>
      <w:proofErr w:type="spellEnd"/>
      <w:r w:rsidRPr="0040743B">
        <w:rPr>
          <w:rFonts w:ascii="Times New Roman" w:hAnsi="Times New Roman" w:cs="Times New Roman"/>
          <w:sz w:val="24"/>
          <w:szCs w:val="24"/>
        </w:rPr>
        <w:t xml:space="preserve">, S. L. Ultrafast and memory-efficient alignment of short DNA sequences to the human genome. </w:t>
      </w:r>
      <w:r w:rsidRPr="0040743B">
        <w:rPr>
          <w:rFonts w:ascii="Times New Roman" w:hAnsi="Times New Roman" w:cs="Times New Roman"/>
          <w:i/>
          <w:sz w:val="24"/>
          <w:szCs w:val="24"/>
        </w:rPr>
        <w:t>Genome Biol</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10</w:t>
      </w:r>
      <w:r w:rsidRPr="0040743B">
        <w:rPr>
          <w:rFonts w:ascii="Times New Roman" w:hAnsi="Times New Roman" w:cs="Times New Roman"/>
          <w:sz w:val="24"/>
          <w:szCs w:val="24"/>
        </w:rPr>
        <w:t>, R25, doi:10.1186/gb-2009-10-3-r25 (2009).</w:t>
      </w:r>
    </w:p>
    <w:p w14:paraId="43FF72C5"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lastRenderedPageBreak/>
        <w:t>33</w:t>
      </w:r>
      <w:r w:rsidRPr="0040743B">
        <w:rPr>
          <w:rFonts w:ascii="Times New Roman" w:hAnsi="Times New Roman" w:cs="Times New Roman"/>
          <w:sz w:val="24"/>
          <w:szCs w:val="24"/>
        </w:rPr>
        <w:tab/>
        <w:t xml:space="preserve">Mortazavi, A., Williams, B. A., McCue, K., Schaeffer, L. &amp; </w:t>
      </w:r>
      <w:proofErr w:type="spellStart"/>
      <w:r w:rsidRPr="0040743B">
        <w:rPr>
          <w:rFonts w:ascii="Times New Roman" w:hAnsi="Times New Roman" w:cs="Times New Roman"/>
          <w:sz w:val="24"/>
          <w:szCs w:val="24"/>
        </w:rPr>
        <w:t>Wold</w:t>
      </w:r>
      <w:proofErr w:type="spellEnd"/>
      <w:r w:rsidRPr="0040743B">
        <w:rPr>
          <w:rFonts w:ascii="Times New Roman" w:hAnsi="Times New Roman" w:cs="Times New Roman"/>
          <w:sz w:val="24"/>
          <w:szCs w:val="24"/>
        </w:rPr>
        <w:t xml:space="preserve">, B. Mapping and quantifying mammalian transcriptomes by RNA-Seq. </w:t>
      </w:r>
      <w:r w:rsidRPr="0040743B">
        <w:rPr>
          <w:rFonts w:ascii="Times New Roman" w:hAnsi="Times New Roman" w:cs="Times New Roman"/>
          <w:i/>
          <w:sz w:val="24"/>
          <w:szCs w:val="24"/>
        </w:rPr>
        <w:t>Nat Methods</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5</w:t>
      </w:r>
      <w:r w:rsidRPr="0040743B">
        <w:rPr>
          <w:rFonts w:ascii="Times New Roman" w:hAnsi="Times New Roman" w:cs="Times New Roman"/>
          <w:sz w:val="24"/>
          <w:szCs w:val="24"/>
        </w:rPr>
        <w:t>, 621-628, doi:10.1038/nmeth.1226 (2008).</w:t>
      </w:r>
    </w:p>
    <w:p w14:paraId="39E2CDD4"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34</w:t>
      </w:r>
      <w:r w:rsidRPr="0040743B">
        <w:rPr>
          <w:rFonts w:ascii="Times New Roman" w:hAnsi="Times New Roman" w:cs="Times New Roman"/>
          <w:sz w:val="24"/>
          <w:szCs w:val="24"/>
        </w:rPr>
        <w:tab/>
        <w:t>Kim, Y.</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Immune epitope database analysis resource. </w:t>
      </w:r>
      <w:r w:rsidRPr="0040743B">
        <w:rPr>
          <w:rFonts w:ascii="Times New Roman" w:hAnsi="Times New Roman" w:cs="Times New Roman"/>
          <w:i/>
          <w:sz w:val="24"/>
          <w:szCs w:val="24"/>
        </w:rPr>
        <w:t>Nucleic Acids Res</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40</w:t>
      </w:r>
      <w:r w:rsidRPr="0040743B">
        <w:rPr>
          <w:rFonts w:ascii="Times New Roman" w:hAnsi="Times New Roman" w:cs="Times New Roman"/>
          <w:sz w:val="24"/>
          <w:szCs w:val="24"/>
        </w:rPr>
        <w:t>, W525-530, doi:10.1093/</w:t>
      </w:r>
      <w:proofErr w:type="spellStart"/>
      <w:r w:rsidRPr="0040743B">
        <w:rPr>
          <w:rFonts w:ascii="Times New Roman" w:hAnsi="Times New Roman" w:cs="Times New Roman"/>
          <w:sz w:val="24"/>
          <w:szCs w:val="24"/>
        </w:rPr>
        <w:t>nar</w:t>
      </w:r>
      <w:proofErr w:type="spellEnd"/>
      <w:r w:rsidRPr="0040743B">
        <w:rPr>
          <w:rFonts w:ascii="Times New Roman" w:hAnsi="Times New Roman" w:cs="Times New Roman"/>
          <w:sz w:val="24"/>
          <w:szCs w:val="24"/>
        </w:rPr>
        <w:t>/gks438 (2012).</w:t>
      </w:r>
    </w:p>
    <w:p w14:paraId="4CFF04D3"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35</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Kreiter</w:t>
      </w:r>
      <w:proofErr w:type="spellEnd"/>
      <w:r w:rsidRPr="0040743B">
        <w:rPr>
          <w:rFonts w:ascii="Times New Roman" w:hAnsi="Times New Roman" w:cs="Times New Roman"/>
          <w:sz w:val="24"/>
          <w:szCs w:val="24"/>
        </w:rPr>
        <w:t>, S.</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Mutant MHC class II epitopes drive therapeutic immune responses to cancer. </w:t>
      </w:r>
      <w:r w:rsidRPr="0040743B">
        <w:rPr>
          <w:rFonts w:ascii="Times New Roman" w:hAnsi="Times New Roman" w:cs="Times New Roman"/>
          <w:i/>
          <w:sz w:val="24"/>
          <w:szCs w:val="24"/>
        </w:rPr>
        <w:t>Nature</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520</w:t>
      </w:r>
      <w:r w:rsidRPr="0040743B">
        <w:rPr>
          <w:rFonts w:ascii="Times New Roman" w:hAnsi="Times New Roman" w:cs="Times New Roman"/>
          <w:sz w:val="24"/>
          <w:szCs w:val="24"/>
        </w:rPr>
        <w:t xml:space="preserve">, 692-696, </w:t>
      </w:r>
      <w:proofErr w:type="gramStart"/>
      <w:r w:rsidRPr="0040743B">
        <w:rPr>
          <w:rFonts w:ascii="Times New Roman" w:hAnsi="Times New Roman" w:cs="Times New Roman"/>
          <w:sz w:val="24"/>
          <w:szCs w:val="24"/>
        </w:rPr>
        <w:t>doi:nature</w:t>
      </w:r>
      <w:proofErr w:type="gramEnd"/>
      <w:r w:rsidRPr="0040743B">
        <w:rPr>
          <w:rFonts w:ascii="Times New Roman" w:hAnsi="Times New Roman" w:cs="Times New Roman"/>
          <w:sz w:val="24"/>
          <w:szCs w:val="24"/>
        </w:rPr>
        <w:t>14426 [</w:t>
      </w:r>
      <w:proofErr w:type="spellStart"/>
      <w:r w:rsidRPr="0040743B">
        <w:rPr>
          <w:rFonts w:ascii="Times New Roman" w:hAnsi="Times New Roman" w:cs="Times New Roman"/>
          <w:sz w:val="24"/>
          <w:szCs w:val="24"/>
        </w:rPr>
        <w:t>pii</w:t>
      </w:r>
      <w:proofErr w:type="spellEnd"/>
      <w:r w:rsidRPr="0040743B">
        <w:rPr>
          <w:rFonts w:ascii="Times New Roman" w:hAnsi="Times New Roman" w:cs="Times New Roman"/>
          <w:sz w:val="24"/>
          <w:szCs w:val="24"/>
        </w:rPr>
        <w:t>];10.1038/nature14426 [</w:t>
      </w:r>
      <w:proofErr w:type="spellStart"/>
      <w:r w:rsidRPr="0040743B">
        <w:rPr>
          <w:rFonts w:ascii="Times New Roman" w:hAnsi="Times New Roman" w:cs="Times New Roman"/>
          <w:sz w:val="24"/>
          <w:szCs w:val="24"/>
        </w:rPr>
        <w:t>doi</w:t>
      </w:r>
      <w:proofErr w:type="spellEnd"/>
      <w:r w:rsidRPr="0040743B">
        <w:rPr>
          <w:rFonts w:ascii="Times New Roman" w:hAnsi="Times New Roman" w:cs="Times New Roman"/>
          <w:sz w:val="24"/>
          <w:szCs w:val="24"/>
        </w:rPr>
        <w:t>] (2015).</w:t>
      </w:r>
    </w:p>
    <w:p w14:paraId="6E68DF14"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36</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Koressaar</w:t>
      </w:r>
      <w:proofErr w:type="spellEnd"/>
      <w:r w:rsidRPr="0040743B">
        <w:rPr>
          <w:rFonts w:ascii="Times New Roman" w:hAnsi="Times New Roman" w:cs="Times New Roman"/>
          <w:sz w:val="24"/>
          <w:szCs w:val="24"/>
        </w:rPr>
        <w:t xml:space="preserve">, T. &amp; </w:t>
      </w:r>
      <w:proofErr w:type="spellStart"/>
      <w:r w:rsidRPr="0040743B">
        <w:rPr>
          <w:rFonts w:ascii="Times New Roman" w:hAnsi="Times New Roman" w:cs="Times New Roman"/>
          <w:sz w:val="24"/>
          <w:szCs w:val="24"/>
        </w:rPr>
        <w:t>Remm</w:t>
      </w:r>
      <w:proofErr w:type="spellEnd"/>
      <w:r w:rsidRPr="0040743B">
        <w:rPr>
          <w:rFonts w:ascii="Times New Roman" w:hAnsi="Times New Roman" w:cs="Times New Roman"/>
          <w:sz w:val="24"/>
          <w:szCs w:val="24"/>
        </w:rPr>
        <w:t xml:space="preserve">, M. Enhancements and modifications of primer design program Primer3. </w:t>
      </w:r>
      <w:r w:rsidRPr="0040743B">
        <w:rPr>
          <w:rFonts w:ascii="Times New Roman" w:hAnsi="Times New Roman" w:cs="Times New Roman"/>
          <w:i/>
          <w:sz w:val="24"/>
          <w:szCs w:val="24"/>
        </w:rPr>
        <w:t>Bioinformatics</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23</w:t>
      </w:r>
      <w:r w:rsidRPr="0040743B">
        <w:rPr>
          <w:rFonts w:ascii="Times New Roman" w:hAnsi="Times New Roman" w:cs="Times New Roman"/>
          <w:sz w:val="24"/>
          <w:szCs w:val="24"/>
        </w:rPr>
        <w:t>, 1289-1291, doi:10.1093/bioinformatics/btm091 (2007).</w:t>
      </w:r>
    </w:p>
    <w:p w14:paraId="4842E698"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37</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Untergasser</w:t>
      </w:r>
      <w:proofErr w:type="spellEnd"/>
      <w:r w:rsidRPr="0040743B">
        <w:rPr>
          <w:rFonts w:ascii="Times New Roman" w:hAnsi="Times New Roman" w:cs="Times New Roman"/>
          <w:sz w:val="24"/>
          <w:szCs w:val="24"/>
        </w:rPr>
        <w:t>, A.</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Primer3--new capabilities and interfaces. </w:t>
      </w:r>
      <w:r w:rsidRPr="0040743B">
        <w:rPr>
          <w:rFonts w:ascii="Times New Roman" w:hAnsi="Times New Roman" w:cs="Times New Roman"/>
          <w:i/>
          <w:sz w:val="24"/>
          <w:szCs w:val="24"/>
        </w:rPr>
        <w:t>Nucleic Acids Res</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40</w:t>
      </w:r>
      <w:r w:rsidRPr="0040743B">
        <w:rPr>
          <w:rFonts w:ascii="Times New Roman" w:hAnsi="Times New Roman" w:cs="Times New Roman"/>
          <w:sz w:val="24"/>
          <w:szCs w:val="24"/>
        </w:rPr>
        <w:t>, e115, doi:10.1093/</w:t>
      </w:r>
      <w:proofErr w:type="spellStart"/>
      <w:r w:rsidRPr="0040743B">
        <w:rPr>
          <w:rFonts w:ascii="Times New Roman" w:hAnsi="Times New Roman" w:cs="Times New Roman"/>
          <w:sz w:val="24"/>
          <w:szCs w:val="24"/>
        </w:rPr>
        <w:t>nar</w:t>
      </w:r>
      <w:proofErr w:type="spellEnd"/>
      <w:r w:rsidRPr="0040743B">
        <w:rPr>
          <w:rFonts w:ascii="Times New Roman" w:hAnsi="Times New Roman" w:cs="Times New Roman"/>
          <w:sz w:val="24"/>
          <w:szCs w:val="24"/>
        </w:rPr>
        <w:t>/gks596 (2012).</w:t>
      </w:r>
    </w:p>
    <w:p w14:paraId="49953773"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38</w:t>
      </w:r>
      <w:r w:rsidRPr="0040743B">
        <w:rPr>
          <w:rFonts w:ascii="Times New Roman" w:hAnsi="Times New Roman" w:cs="Times New Roman"/>
          <w:sz w:val="24"/>
          <w:szCs w:val="24"/>
        </w:rPr>
        <w:tab/>
        <w:t xml:space="preserve">Kent, W. J. BLAT--the BLAST-like alignment tool. </w:t>
      </w:r>
      <w:r w:rsidRPr="0040743B">
        <w:rPr>
          <w:rFonts w:ascii="Times New Roman" w:hAnsi="Times New Roman" w:cs="Times New Roman"/>
          <w:i/>
          <w:sz w:val="24"/>
          <w:szCs w:val="24"/>
        </w:rPr>
        <w:t>Genome Res</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12</w:t>
      </w:r>
      <w:r w:rsidRPr="0040743B">
        <w:rPr>
          <w:rFonts w:ascii="Times New Roman" w:hAnsi="Times New Roman" w:cs="Times New Roman"/>
          <w:sz w:val="24"/>
          <w:szCs w:val="24"/>
        </w:rPr>
        <w:t>, 656-664, doi:10.1101/gr.229202 (2002).</w:t>
      </w:r>
    </w:p>
    <w:p w14:paraId="7C7D15A2"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39</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Stupp</w:t>
      </w:r>
      <w:proofErr w:type="spellEnd"/>
      <w:r w:rsidRPr="0040743B">
        <w:rPr>
          <w:rFonts w:ascii="Times New Roman" w:hAnsi="Times New Roman" w:cs="Times New Roman"/>
          <w:sz w:val="24"/>
          <w:szCs w:val="24"/>
        </w:rPr>
        <w:t>, R.</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High-grade glioma: ESMO Clinical Practice Guidelines for diagnosis, treatment and follow-up. </w:t>
      </w:r>
      <w:r w:rsidRPr="0040743B">
        <w:rPr>
          <w:rFonts w:ascii="Times New Roman" w:hAnsi="Times New Roman" w:cs="Times New Roman"/>
          <w:i/>
          <w:sz w:val="24"/>
          <w:szCs w:val="24"/>
        </w:rPr>
        <w:t>Ann Oncol</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25 Suppl 3</w:t>
      </w:r>
      <w:r w:rsidRPr="0040743B">
        <w:rPr>
          <w:rFonts w:ascii="Times New Roman" w:hAnsi="Times New Roman" w:cs="Times New Roman"/>
          <w:sz w:val="24"/>
          <w:szCs w:val="24"/>
        </w:rPr>
        <w:t>, iii93-101, doi:10.1093/</w:t>
      </w:r>
      <w:proofErr w:type="spellStart"/>
      <w:r w:rsidRPr="0040743B">
        <w:rPr>
          <w:rFonts w:ascii="Times New Roman" w:hAnsi="Times New Roman" w:cs="Times New Roman"/>
          <w:sz w:val="24"/>
          <w:szCs w:val="24"/>
        </w:rPr>
        <w:t>annonc</w:t>
      </w:r>
      <w:proofErr w:type="spellEnd"/>
      <w:r w:rsidRPr="0040743B">
        <w:rPr>
          <w:rFonts w:ascii="Times New Roman" w:hAnsi="Times New Roman" w:cs="Times New Roman"/>
          <w:sz w:val="24"/>
          <w:szCs w:val="24"/>
        </w:rPr>
        <w:t>/mdu050 (2014).</w:t>
      </w:r>
    </w:p>
    <w:p w14:paraId="65B3E667"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40</w:t>
      </w:r>
      <w:r w:rsidRPr="0040743B">
        <w:rPr>
          <w:rFonts w:ascii="Times New Roman" w:hAnsi="Times New Roman" w:cs="Times New Roman"/>
          <w:sz w:val="24"/>
          <w:szCs w:val="24"/>
        </w:rPr>
        <w:tab/>
        <w:t>Wen, P. Y.</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Updated response assessment criteria for high-grade gliomas: response assessment in neuro-oncology working group. </w:t>
      </w:r>
      <w:r w:rsidRPr="0040743B">
        <w:rPr>
          <w:rFonts w:ascii="Times New Roman" w:hAnsi="Times New Roman" w:cs="Times New Roman"/>
          <w:i/>
          <w:sz w:val="24"/>
          <w:szCs w:val="24"/>
        </w:rPr>
        <w:t>J Clin Oncol</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28</w:t>
      </w:r>
      <w:r w:rsidRPr="0040743B">
        <w:rPr>
          <w:rFonts w:ascii="Times New Roman" w:hAnsi="Times New Roman" w:cs="Times New Roman"/>
          <w:sz w:val="24"/>
          <w:szCs w:val="24"/>
        </w:rPr>
        <w:t>, 1963-1972, doi:10.1200/JCO.2009.26.3541 (2010).</w:t>
      </w:r>
    </w:p>
    <w:p w14:paraId="419AF5AE"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41</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Rodenko</w:t>
      </w:r>
      <w:proofErr w:type="spellEnd"/>
      <w:r w:rsidRPr="0040743B">
        <w:rPr>
          <w:rFonts w:ascii="Times New Roman" w:hAnsi="Times New Roman" w:cs="Times New Roman"/>
          <w:sz w:val="24"/>
          <w:szCs w:val="24"/>
        </w:rPr>
        <w:t>, B.</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Generation of peptide-MHC class I complexes through UV-mediated ligand exchange. </w:t>
      </w:r>
      <w:r w:rsidRPr="0040743B">
        <w:rPr>
          <w:rFonts w:ascii="Times New Roman" w:hAnsi="Times New Roman" w:cs="Times New Roman"/>
          <w:i/>
          <w:sz w:val="24"/>
          <w:szCs w:val="24"/>
        </w:rPr>
        <w:t xml:space="preserve">Nat. </w:t>
      </w:r>
      <w:proofErr w:type="spellStart"/>
      <w:r w:rsidRPr="0040743B">
        <w:rPr>
          <w:rFonts w:ascii="Times New Roman" w:hAnsi="Times New Roman" w:cs="Times New Roman"/>
          <w:i/>
          <w:sz w:val="24"/>
          <w:szCs w:val="24"/>
        </w:rPr>
        <w:t>Protoc</w:t>
      </w:r>
      <w:proofErr w:type="spellEnd"/>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w:t>
      </w:r>
      <w:r w:rsidRPr="0040743B">
        <w:rPr>
          <w:rFonts w:ascii="Times New Roman" w:hAnsi="Times New Roman" w:cs="Times New Roman"/>
          <w:sz w:val="24"/>
          <w:szCs w:val="24"/>
        </w:rPr>
        <w:t>, 1120-1132 (2006).</w:t>
      </w:r>
    </w:p>
    <w:p w14:paraId="70CFDC24"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lastRenderedPageBreak/>
        <w:t>42</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Hadrup</w:t>
      </w:r>
      <w:proofErr w:type="spellEnd"/>
      <w:r w:rsidRPr="0040743B">
        <w:rPr>
          <w:rFonts w:ascii="Times New Roman" w:hAnsi="Times New Roman" w:cs="Times New Roman"/>
          <w:sz w:val="24"/>
          <w:szCs w:val="24"/>
        </w:rPr>
        <w:t>, S. R.</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Parallel detection of antigen-specific T-cell responses by multidimensional encoding of MHC multimers. </w:t>
      </w:r>
      <w:r w:rsidRPr="0040743B">
        <w:rPr>
          <w:rFonts w:ascii="Times New Roman" w:hAnsi="Times New Roman" w:cs="Times New Roman"/>
          <w:i/>
          <w:sz w:val="24"/>
          <w:szCs w:val="24"/>
        </w:rPr>
        <w:t>Nat Methods</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6</w:t>
      </w:r>
      <w:r w:rsidRPr="0040743B">
        <w:rPr>
          <w:rFonts w:ascii="Times New Roman" w:hAnsi="Times New Roman" w:cs="Times New Roman"/>
          <w:sz w:val="24"/>
          <w:szCs w:val="24"/>
        </w:rPr>
        <w:t>, 520-526, doi:10.1038/nmeth.1345 (2009).</w:t>
      </w:r>
    </w:p>
    <w:p w14:paraId="713D394D"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43</w:t>
      </w:r>
      <w:r w:rsidRPr="0040743B">
        <w:rPr>
          <w:rFonts w:ascii="Times New Roman" w:hAnsi="Times New Roman" w:cs="Times New Roman"/>
          <w:sz w:val="24"/>
          <w:szCs w:val="24"/>
        </w:rPr>
        <w:tab/>
        <w:t>Walter, S.</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w:t>
      </w:r>
      <w:proofErr w:type="spellStart"/>
      <w:r w:rsidRPr="0040743B">
        <w:rPr>
          <w:rFonts w:ascii="Times New Roman" w:hAnsi="Times New Roman" w:cs="Times New Roman"/>
          <w:sz w:val="24"/>
          <w:szCs w:val="24"/>
        </w:rPr>
        <w:t>Multipeptide</w:t>
      </w:r>
      <w:proofErr w:type="spellEnd"/>
      <w:r w:rsidRPr="0040743B">
        <w:rPr>
          <w:rFonts w:ascii="Times New Roman" w:hAnsi="Times New Roman" w:cs="Times New Roman"/>
          <w:sz w:val="24"/>
          <w:szCs w:val="24"/>
        </w:rPr>
        <w:t xml:space="preserve"> immune response to cancer vaccine IMA901 after single-dose cyclophosphamide associates with longer patient survival. </w:t>
      </w:r>
      <w:r w:rsidRPr="0040743B">
        <w:rPr>
          <w:rFonts w:ascii="Times New Roman" w:hAnsi="Times New Roman" w:cs="Times New Roman"/>
          <w:i/>
          <w:sz w:val="24"/>
          <w:szCs w:val="24"/>
        </w:rPr>
        <w:t>Nat Med</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18</w:t>
      </w:r>
      <w:r w:rsidRPr="0040743B">
        <w:rPr>
          <w:rFonts w:ascii="Times New Roman" w:hAnsi="Times New Roman" w:cs="Times New Roman"/>
          <w:sz w:val="24"/>
          <w:szCs w:val="24"/>
        </w:rPr>
        <w:t>, 1254-1261, doi:10.1038/nm.2883 (2012).</w:t>
      </w:r>
    </w:p>
    <w:p w14:paraId="54CC3249"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44</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Bertoletti</w:t>
      </w:r>
      <w:proofErr w:type="spellEnd"/>
      <w:r w:rsidRPr="0040743B">
        <w:rPr>
          <w:rFonts w:ascii="Times New Roman" w:hAnsi="Times New Roman" w:cs="Times New Roman"/>
          <w:sz w:val="24"/>
          <w:szCs w:val="24"/>
        </w:rPr>
        <w:t>, A.</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Definition of a minimal optimal cytotoxic T-cell epitope within the hepatitis B virus nucleocapsid protein. </w:t>
      </w:r>
      <w:r w:rsidRPr="0040743B">
        <w:rPr>
          <w:rFonts w:ascii="Times New Roman" w:hAnsi="Times New Roman" w:cs="Times New Roman"/>
          <w:i/>
          <w:sz w:val="24"/>
          <w:szCs w:val="24"/>
        </w:rPr>
        <w:t xml:space="preserve">J. </w:t>
      </w:r>
      <w:proofErr w:type="spellStart"/>
      <w:r w:rsidRPr="0040743B">
        <w:rPr>
          <w:rFonts w:ascii="Times New Roman" w:hAnsi="Times New Roman" w:cs="Times New Roman"/>
          <w:i/>
          <w:sz w:val="24"/>
          <w:szCs w:val="24"/>
        </w:rPr>
        <w:t>Virol</w:t>
      </w:r>
      <w:proofErr w:type="spellEnd"/>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67</w:t>
      </w:r>
      <w:r w:rsidRPr="0040743B">
        <w:rPr>
          <w:rFonts w:ascii="Times New Roman" w:hAnsi="Times New Roman" w:cs="Times New Roman"/>
          <w:sz w:val="24"/>
          <w:szCs w:val="24"/>
        </w:rPr>
        <w:t>, 2376-2380 (1993).</w:t>
      </w:r>
    </w:p>
    <w:p w14:paraId="38B20957"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45</w:t>
      </w:r>
      <w:r w:rsidRPr="0040743B">
        <w:rPr>
          <w:rFonts w:ascii="Times New Roman" w:hAnsi="Times New Roman" w:cs="Times New Roman"/>
          <w:sz w:val="24"/>
          <w:szCs w:val="24"/>
        </w:rPr>
        <w:tab/>
        <w:t>Livingston, B. D.</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The hepatitis B virus-specific CTL responses induced in humans by lipopeptide vaccination are comparable to those elicited by acute viral infection. </w:t>
      </w:r>
      <w:r w:rsidRPr="0040743B">
        <w:rPr>
          <w:rFonts w:ascii="Times New Roman" w:hAnsi="Times New Roman" w:cs="Times New Roman"/>
          <w:i/>
          <w:sz w:val="24"/>
          <w:szCs w:val="24"/>
        </w:rPr>
        <w:t>J. Immunol</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159</w:t>
      </w:r>
      <w:r w:rsidRPr="0040743B">
        <w:rPr>
          <w:rFonts w:ascii="Times New Roman" w:hAnsi="Times New Roman" w:cs="Times New Roman"/>
          <w:sz w:val="24"/>
          <w:szCs w:val="24"/>
        </w:rPr>
        <w:t>, 1383-1392 (1997).</w:t>
      </w:r>
    </w:p>
    <w:p w14:paraId="211D1AE2"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46</w:t>
      </w:r>
      <w:r w:rsidRPr="0040743B">
        <w:rPr>
          <w:rFonts w:ascii="Times New Roman" w:hAnsi="Times New Roman" w:cs="Times New Roman"/>
          <w:sz w:val="24"/>
          <w:szCs w:val="24"/>
        </w:rPr>
        <w:tab/>
        <w:t>Welters, M. J.</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Harmonization of the intracellular cytokine staining assay. </w:t>
      </w:r>
      <w:r w:rsidRPr="0040743B">
        <w:rPr>
          <w:rFonts w:ascii="Times New Roman" w:hAnsi="Times New Roman" w:cs="Times New Roman"/>
          <w:i/>
          <w:sz w:val="24"/>
          <w:szCs w:val="24"/>
        </w:rPr>
        <w:t xml:space="preserve">Cancer Immunol </w:t>
      </w:r>
      <w:proofErr w:type="spellStart"/>
      <w:r w:rsidRPr="0040743B">
        <w:rPr>
          <w:rFonts w:ascii="Times New Roman" w:hAnsi="Times New Roman" w:cs="Times New Roman"/>
          <w:i/>
          <w:sz w:val="24"/>
          <w:szCs w:val="24"/>
        </w:rPr>
        <w:t>Immunother</w:t>
      </w:r>
      <w:proofErr w:type="spellEnd"/>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61</w:t>
      </w:r>
      <w:r w:rsidRPr="0040743B">
        <w:rPr>
          <w:rFonts w:ascii="Times New Roman" w:hAnsi="Times New Roman" w:cs="Times New Roman"/>
          <w:sz w:val="24"/>
          <w:szCs w:val="24"/>
        </w:rPr>
        <w:t>, 967-978, doi:10.1007/s00262-012-1282-9 (2012).</w:t>
      </w:r>
    </w:p>
    <w:p w14:paraId="749D267E"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47</w:t>
      </w:r>
      <w:r w:rsidRPr="0040743B">
        <w:rPr>
          <w:rFonts w:ascii="Times New Roman" w:hAnsi="Times New Roman" w:cs="Times New Roman"/>
          <w:sz w:val="24"/>
          <w:szCs w:val="24"/>
        </w:rPr>
        <w:tab/>
        <w:t xml:space="preserve">Zhu, J., Yamane, H. &amp; Paul, W. E. Differentiation of effector CD4 T cell populations (*). </w:t>
      </w:r>
      <w:proofErr w:type="spellStart"/>
      <w:r w:rsidRPr="0040743B">
        <w:rPr>
          <w:rFonts w:ascii="Times New Roman" w:hAnsi="Times New Roman" w:cs="Times New Roman"/>
          <w:i/>
          <w:sz w:val="24"/>
          <w:szCs w:val="24"/>
        </w:rPr>
        <w:t>Annu</w:t>
      </w:r>
      <w:proofErr w:type="spellEnd"/>
      <w:r w:rsidRPr="0040743B">
        <w:rPr>
          <w:rFonts w:ascii="Times New Roman" w:hAnsi="Times New Roman" w:cs="Times New Roman"/>
          <w:i/>
          <w:sz w:val="24"/>
          <w:szCs w:val="24"/>
        </w:rPr>
        <w:t xml:space="preserve"> Rev Immunol</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28</w:t>
      </w:r>
      <w:r w:rsidRPr="0040743B">
        <w:rPr>
          <w:rFonts w:ascii="Times New Roman" w:hAnsi="Times New Roman" w:cs="Times New Roman"/>
          <w:sz w:val="24"/>
          <w:szCs w:val="24"/>
        </w:rPr>
        <w:t>, 445-489, doi:10.1146/annurev-immunol-030409-101212 (2010).</w:t>
      </w:r>
    </w:p>
    <w:p w14:paraId="4BDA9A2C"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lang w:val="de-DE"/>
        </w:rPr>
        <w:t>48</w:t>
      </w:r>
      <w:r w:rsidRPr="0040743B">
        <w:rPr>
          <w:rFonts w:ascii="Times New Roman" w:hAnsi="Times New Roman" w:cs="Times New Roman"/>
          <w:sz w:val="24"/>
          <w:szCs w:val="24"/>
          <w:lang w:val="de-DE"/>
        </w:rPr>
        <w:tab/>
        <w:t>Loffler, M. W.</w:t>
      </w:r>
      <w:r w:rsidRPr="0040743B">
        <w:rPr>
          <w:rFonts w:ascii="Times New Roman" w:hAnsi="Times New Roman" w:cs="Times New Roman"/>
          <w:i/>
          <w:sz w:val="24"/>
          <w:szCs w:val="24"/>
          <w:lang w:val="de-DE"/>
        </w:rPr>
        <w:t xml:space="preserve"> et al.</w:t>
      </w:r>
      <w:r w:rsidRPr="0040743B">
        <w:rPr>
          <w:rFonts w:ascii="Times New Roman" w:hAnsi="Times New Roman" w:cs="Times New Roman"/>
          <w:sz w:val="24"/>
          <w:szCs w:val="24"/>
          <w:lang w:val="de-DE"/>
        </w:rPr>
        <w:t xml:space="preserve"> </w:t>
      </w:r>
      <w:r w:rsidRPr="0040743B">
        <w:rPr>
          <w:rFonts w:ascii="Times New Roman" w:hAnsi="Times New Roman" w:cs="Times New Roman"/>
          <w:sz w:val="24"/>
          <w:szCs w:val="24"/>
        </w:rPr>
        <w:t xml:space="preserve">Personalized peptide vaccine induced immune response associated with long-term survival of a metastatic cholangiocarcinoma patient. </w:t>
      </w:r>
      <w:r w:rsidRPr="0040743B">
        <w:rPr>
          <w:rFonts w:ascii="Times New Roman" w:hAnsi="Times New Roman" w:cs="Times New Roman"/>
          <w:i/>
          <w:sz w:val="24"/>
          <w:szCs w:val="24"/>
        </w:rPr>
        <w:t xml:space="preserve">J </w:t>
      </w:r>
      <w:proofErr w:type="spellStart"/>
      <w:r w:rsidRPr="0040743B">
        <w:rPr>
          <w:rFonts w:ascii="Times New Roman" w:hAnsi="Times New Roman" w:cs="Times New Roman"/>
          <w:i/>
          <w:sz w:val="24"/>
          <w:szCs w:val="24"/>
        </w:rPr>
        <w:t>Hepatol</w:t>
      </w:r>
      <w:proofErr w:type="spellEnd"/>
      <w:r w:rsidRPr="0040743B">
        <w:rPr>
          <w:rFonts w:ascii="Times New Roman" w:hAnsi="Times New Roman" w:cs="Times New Roman"/>
          <w:sz w:val="24"/>
          <w:szCs w:val="24"/>
        </w:rPr>
        <w:t xml:space="preserve">, </w:t>
      </w:r>
      <w:proofErr w:type="gramStart"/>
      <w:r w:rsidRPr="0040743B">
        <w:rPr>
          <w:rFonts w:ascii="Times New Roman" w:hAnsi="Times New Roman" w:cs="Times New Roman"/>
          <w:sz w:val="24"/>
          <w:szCs w:val="24"/>
        </w:rPr>
        <w:t>doi:S</w:t>
      </w:r>
      <w:proofErr w:type="gramEnd"/>
      <w:r w:rsidRPr="0040743B">
        <w:rPr>
          <w:rFonts w:ascii="Times New Roman" w:hAnsi="Times New Roman" w:cs="Times New Roman"/>
          <w:sz w:val="24"/>
          <w:szCs w:val="24"/>
        </w:rPr>
        <w:t>0168-8278(16)30323-3 [</w:t>
      </w:r>
      <w:proofErr w:type="spellStart"/>
      <w:r w:rsidRPr="0040743B">
        <w:rPr>
          <w:rFonts w:ascii="Times New Roman" w:hAnsi="Times New Roman" w:cs="Times New Roman"/>
          <w:sz w:val="24"/>
          <w:szCs w:val="24"/>
        </w:rPr>
        <w:t>pii</w:t>
      </w:r>
      <w:proofErr w:type="spellEnd"/>
      <w:r w:rsidRPr="0040743B">
        <w:rPr>
          <w:rFonts w:ascii="Times New Roman" w:hAnsi="Times New Roman" w:cs="Times New Roman"/>
          <w:sz w:val="24"/>
          <w:szCs w:val="24"/>
        </w:rPr>
        <w:t>];10.1016/j.jhep.2016.06.027 [</w:t>
      </w:r>
      <w:proofErr w:type="spellStart"/>
      <w:r w:rsidRPr="0040743B">
        <w:rPr>
          <w:rFonts w:ascii="Times New Roman" w:hAnsi="Times New Roman" w:cs="Times New Roman"/>
          <w:sz w:val="24"/>
          <w:szCs w:val="24"/>
        </w:rPr>
        <w:t>doi</w:t>
      </w:r>
      <w:proofErr w:type="spellEnd"/>
      <w:r w:rsidRPr="0040743B">
        <w:rPr>
          <w:rFonts w:ascii="Times New Roman" w:hAnsi="Times New Roman" w:cs="Times New Roman"/>
          <w:sz w:val="24"/>
          <w:szCs w:val="24"/>
        </w:rPr>
        <w:t>] (2016).</w:t>
      </w:r>
    </w:p>
    <w:p w14:paraId="1C596121"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49</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Widenmeyer</w:t>
      </w:r>
      <w:proofErr w:type="spellEnd"/>
      <w:r w:rsidRPr="0040743B">
        <w:rPr>
          <w:rFonts w:ascii="Times New Roman" w:hAnsi="Times New Roman" w:cs="Times New Roman"/>
          <w:sz w:val="24"/>
          <w:szCs w:val="24"/>
        </w:rPr>
        <w:t>, M.</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Promiscuous </w:t>
      </w:r>
      <w:proofErr w:type="spellStart"/>
      <w:r w:rsidRPr="0040743B">
        <w:rPr>
          <w:rFonts w:ascii="Times New Roman" w:hAnsi="Times New Roman" w:cs="Times New Roman"/>
          <w:sz w:val="24"/>
          <w:szCs w:val="24"/>
        </w:rPr>
        <w:t>survivin</w:t>
      </w:r>
      <w:proofErr w:type="spellEnd"/>
      <w:r w:rsidRPr="0040743B">
        <w:rPr>
          <w:rFonts w:ascii="Times New Roman" w:hAnsi="Times New Roman" w:cs="Times New Roman"/>
          <w:sz w:val="24"/>
          <w:szCs w:val="24"/>
        </w:rPr>
        <w:t xml:space="preserve"> peptide induces robust CD4+ T-cell responses in </w:t>
      </w:r>
      <w:proofErr w:type="gramStart"/>
      <w:r w:rsidRPr="0040743B">
        <w:rPr>
          <w:rFonts w:ascii="Times New Roman" w:hAnsi="Times New Roman" w:cs="Times New Roman"/>
          <w:sz w:val="24"/>
          <w:szCs w:val="24"/>
        </w:rPr>
        <w:t>the majority of</w:t>
      </w:r>
      <w:proofErr w:type="gramEnd"/>
      <w:r w:rsidRPr="0040743B">
        <w:rPr>
          <w:rFonts w:ascii="Times New Roman" w:hAnsi="Times New Roman" w:cs="Times New Roman"/>
          <w:sz w:val="24"/>
          <w:szCs w:val="24"/>
        </w:rPr>
        <w:t xml:space="preserve"> vaccinated cancer patients. </w:t>
      </w:r>
      <w:r w:rsidRPr="0040743B">
        <w:rPr>
          <w:rFonts w:ascii="Times New Roman" w:hAnsi="Times New Roman" w:cs="Times New Roman"/>
          <w:i/>
          <w:sz w:val="24"/>
          <w:szCs w:val="24"/>
        </w:rPr>
        <w:t>Int J Cancer</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131</w:t>
      </w:r>
      <w:r w:rsidRPr="0040743B">
        <w:rPr>
          <w:rFonts w:ascii="Times New Roman" w:hAnsi="Times New Roman" w:cs="Times New Roman"/>
          <w:sz w:val="24"/>
          <w:szCs w:val="24"/>
        </w:rPr>
        <w:t>, 140-149, doi:10.1002/ijc.26365 (2012).</w:t>
      </w:r>
    </w:p>
    <w:p w14:paraId="2BEFEBFB"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50</w:t>
      </w:r>
      <w:r w:rsidRPr="0040743B">
        <w:rPr>
          <w:rFonts w:ascii="Times New Roman" w:hAnsi="Times New Roman" w:cs="Times New Roman"/>
          <w:sz w:val="24"/>
          <w:szCs w:val="24"/>
        </w:rPr>
        <w:tab/>
        <w:t>Grimm, E. A.</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Characterization of interleukin-2-initiated versus OKT3-initiated human tumor-infiltrating lymphocytes from glioblastoma multiforme: growth </w:t>
      </w:r>
      <w:r w:rsidRPr="0040743B">
        <w:rPr>
          <w:rFonts w:ascii="Times New Roman" w:hAnsi="Times New Roman" w:cs="Times New Roman"/>
          <w:sz w:val="24"/>
          <w:szCs w:val="24"/>
        </w:rPr>
        <w:lastRenderedPageBreak/>
        <w:t xml:space="preserve">characteristics, cytolytic activity, and cell phenotype. </w:t>
      </w:r>
      <w:r w:rsidRPr="0040743B">
        <w:rPr>
          <w:rFonts w:ascii="Times New Roman" w:hAnsi="Times New Roman" w:cs="Times New Roman"/>
          <w:i/>
          <w:sz w:val="24"/>
          <w:szCs w:val="24"/>
        </w:rPr>
        <w:t xml:space="preserve">Cancer Immunol </w:t>
      </w:r>
      <w:proofErr w:type="spellStart"/>
      <w:r w:rsidRPr="0040743B">
        <w:rPr>
          <w:rFonts w:ascii="Times New Roman" w:hAnsi="Times New Roman" w:cs="Times New Roman"/>
          <w:i/>
          <w:sz w:val="24"/>
          <w:szCs w:val="24"/>
        </w:rPr>
        <w:t>Immunother</w:t>
      </w:r>
      <w:proofErr w:type="spellEnd"/>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32</w:t>
      </w:r>
      <w:r w:rsidRPr="0040743B">
        <w:rPr>
          <w:rFonts w:ascii="Times New Roman" w:hAnsi="Times New Roman" w:cs="Times New Roman"/>
          <w:sz w:val="24"/>
          <w:szCs w:val="24"/>
        </w:rPr>
        <w:t>, 391-399 (1991).</w:t>
      </w:r>
    </w:p>
    <w:p w14:paraId="2E3CD07B"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51</w:t>
      </w:r>
      <w:r w:rsidRPr="0040743B">
        <w:rPr>
          <w:rFonts w:ascii="Times New Roman" w:hAnsi="Times New Roman" w:cs="Times New Roman"/>
          <w:sz w:val="24"/>
          <w:szCs w:val="24"/>
        </w:rPr>
        <w:tab/>
        <w:t>Britten, C. M.</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The CIMT-monitoring panel: a two-step approach to harmonize the enumeration of antigen-specific CD8+ T lymphocytes by structural and functional assays. </w:t>
      </w:r>
      <w:r w:rsidRPr="0040743B">
        <w:rPr>
          <w:rFonts w:ascii="Times New Roman" w:hAnsi="Times New Roman" w:cs="Times New Roman"/>
          <w:i/>
          <w:sz w:val="24"/>
          <w:szCs w:val="24"/>
        </w:rPr>
        <w:t xml:space="preserve">Cancer Immunol </w:t>
      </w:r>
      <w:proofErr w:type="spellStart"/>
      <w:r w:rsidRPr="0040743B">
        <w:rPr>
          <w:rFonts w:ascii="Times New Roman" w:hAnsi="Times New Roman" w:cs="Times New Roman"/>
          <w:i/>
          <w:sz w:val="24"/>
          <w:szCs w:val="24"/>
        </w:rPr>
        <w:t>Immunother</w:t>
      </w:r>
      <w:proofErr w:type="spellEnd"/>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57</w:t>
      </w:r>
      <w:r w:rsidRPr="0040743B">
        <w:rPr>
          <w:rFonts w:ascii="Times New Roman" w:hAnsi="Times New Roman" w:cs="Times New Roman"/>
          <w:sz w:val="24"/>
          <w:szCs w:val="24"/>
        </w:rPr>
        <w:t>, 289-302, doi:10.1007/s00262-007-0378-0 (2008).</w:t>
      </w:r>
    </w:p>
    <w:p w14:paraId="6E16BF6B"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52</w:t>
      </w:r>
      <w:r w:rsidRPr="0040743B">
        <w:rPr>
          <w:rFonts w:ascii="Times New Roman" w:hAnsi="Times New Roman" w:cs="Times New Roman"/>
          <w:sz w:val="24"/>
          <w:szCs w:val="24"/>
        </w:rPr>
        <w:tab/>
        <w:t>van der Burg, S. H.</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Harmonization of immune biomarker assays for clinical studies. </w:t>
      </w:r>
      <w:r w:rsidRPr="0040743B">
        <w:rPr>
          <w:rFonts w:ascii="Times New Roman" w:hAnsi="Times New Roman" w:cs="Times New Roman"/>
          <w:i/>
          <w:sz w:val="24"/>
          <w:szCs w:val="24"/>
        </w:rPr>
        <w:t xml:space="preserve">Sci </w:t>
      </w:r>
      <w:proofErr w:type="spellStart"/>
      <w:r w:rsidRPr="0040743B">
        <w:rPr>
          <w:rFonts w:ascii="Times New Roman" w:hAnsi="Times New Roman" w:cs="Times New Roman"/>
          <w:i/>
          <w:sz w:val="24"/>
          <w:szCs w:val="24"/>
        </w:rPr>
        <w:t>Transl</w:t>
      </w:r>
      <w:proofErr w:type="spellEnd"/>
      <w:r w:rsidRPr="0040743B">
        <w:rPr>
          <w:rFonts w:ascii="Times New Roman" w:hAnsi="Times New Roman" w:cs="Times New Roman"/>
          <w:i/>
          <w:sz w:val="24"/>
          <w:szCs w:val="24"/>
        </w:rPr>
        <w:t xml:space="preserve"> Med</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3</w:t>
      </w:r>
      <w:r w:rsidRPr="0040743B">
        <w:rPr>
          <w:rFonts w:ascii="Times New Roman" w:hAnsi="Times New Roman" w:cs="Times New Roman"/>
          <w:sz w:val="24"/>
          <w:szCs w:val="24"/>
        </w:rPr>
        <w:t>, 108ps144, doi:10.1126/scitranslmed.3002785 (2011).</w:t>
      </w:r>
    </w:p>
    <w:p w14:paraId="79BA69AC"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53</w:t>
      </w:r>
      <w:r w:rsidRPr="0040743B">
        <w:rPr>
          <w:rFonts w:ascii="Times New Roman" w:hAnsi="Times New Roman" w:cs="Times New Roman"/>
          <w:sz w:val="24"/>
          <w:szCs w:val="24"/>
        </w:rPr>
        <w:tab/>
        <w:t>thor Straten, P.</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In situ T cell responses against melanoma comprise high numbers of locally expanded T cell clonotypes. </w:t>
      </w:r>
      <w:r w:rsidRPr="0040743B">
        <w:rPr>
          <w:rFonts w:ascii="Times New Roman" w:hAnsi="Times New Roman" w:cs="Times New Roman"/>
          <w:i/>
          <w:sz w:val="24"/>
          <w:szCs w:val="24"/>
        </w:rPr>
        <w:t>J Immunol</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163</w:t>
      </w:r>
      <w:r w:rsidRPr="0040743B">
        <w:rPr>
          <w:rFonts w:ascii="Times New Roman" w:hAnsi="Times New Roman" w:cs="Times New Roman"/>
          <w:sz w:val="24"/>
          <w:szCs w:val="24"/>
        </w:rPr>
        <w:t>, 443-447 (1999).</w:t>
      </w:r>
    </w:p>
    <w:p w14:paraId="7F74EAC9"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54</w:t>
      </w:r>
      <w:r w:rsidRPr="0040743B">
        <w:rPr>
          <w:rFonts w:ascii="Times New Roman" w:hAnsi="Times New Roman" w:cs="Times New Roman"/>
          <w:sz w:val="24"/>
          <w:szCs w:val="24"/>
        </w:rPr>
        <w:tab/>
        <w:t>Kobayashi, E.</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A new cloning and expression system </w:t>
      </w:r>
      <w:proofErr w:type="gramStart"/>
      <w:r w:rsidRPr="0040743B">
        <w:rPr>
          <w:rFonts w:ascii="Times New Roman" w:hAnsi="Times New Roman" w:cs="Times New Roman"/>
          <w:sz w:val="24"/>
          <w:szCs w:val="24"/>
        </w:rPr>
        <w:t>yields</w:t>
      </w:r>
      <w:proofErr w:type="gramEnd"/>
      <w:r w:rsidRPr="0040743B">
        <w:rPr>
          <w:rFonts w:ascii="Times New Roman" w:hAnsi="Times New Roman" w:cs="Times New Roman"/>
          <w:sz w:val="24"/>
          <w:szCs w:val="24"/>
        </w:rPr>
        <w:t xml:space="preserve"> and validates TCRs from blood lymphocytes of patients with cancer within 10 days. </w:t>
      </w:r>
      <w:r w:rsidRPr="0040743B">
        <w:rPr>
          <w:rFonts w:ascii="Times New Roman" w:hAnsi="Times New Roman" w:cs="Times New Roman"/>
          <w:i/>
          <w:sz w:val="24"/>
          <w:szCs w:val="24"/>
        </w:rPr>
        <w:t>Nat Med</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19</w:t>
      </w:r>
      <w:r w:rsidRPr="0040743B">
        <w:rPr>
          <w:rFonts w:ascii="Times New Roman" w:hAnsi="Times New Roman" w:cs="Times New Roman"/>
          <w:sz w:val="24"/>
          <w:szCs w:val="24"/>
        </w:rPr>
        <w:t xml:space="preserve">, 1542-1546, </w:t>
      </w:r>
      <w:proofErr w:type="gramStart"/>
      <w:r w:rsidRPr="0040743B">
        <w:rPr>
          <w:rFonts w:ascii="Times New Roman" w:hAnsi="Times New Roman" w:cs="Times New Roman"/>
          <w:sz w:val="24"/>
          <w:szCs w:val="24"/>
        </w:rPr>
        <w:t>doi:nm</w:t>
      </w:r>
      <w:proofErr w:type="gramEnd"/>
      <w:r w:rsidRPr="0040743B">
        <w:rPr>
          <w:rFonts w:ascii="Times New Roman" w:hAnsi="Times New Roman" w:cs="Times New Roman"/>
          <w:sz w:val="24"/>
          <w:szCs w:val="24"/>
        </w:rPr>
        <w:t>.3358 [</w:t>
      </w:r>
      <w:proofErr w:type="spellStart"/>
      <w:r w:rsidRPr="0040743B">
        <w:rPr>
          <w:rFonts w:ascii="Times New Roman" w:hAnsi="Times New Roman" w:cs="Times New Roman"/>
          <w:sz w:val="24"/>
          <w:szCs w:val="24"/>
        </w:rPr>
        <w:t>pii</w:t>
      </w:r>
      <w:proofErr w:type="spellEnd"/>
      <w:r w:rsidRPr="0040743B">
        <w:rPr>
          <w:rFonts w:ascii="Times New Roman" w:hAnsi="Times New Roman" w:cs="Times New Roman"/>
          <w:sz w:val="24"/>
          <w:szCs w:val="24"/>
        </w:rPr>
        <w:t>];10.1038/nm.3358 [</w:t>
      </w:r>
      <w:proofErr w:type="spellStart"/>
      <w:r w:rsidRPr="0040743B">
        <w:rPr>
          <w:rFonts w:ascii="Times New Roman" w:hAnsi="Times New Roman" w:cs="Times New Roman"/>
          <w:sz w:val="24"/>
          <w:szCs w:val="24"/>
        </w:rPr>
        <w:t>doi</w:t>
      </w:r>
      <w:proofErr w:type="spellEnd"/>
      <w:r w:rsidRPr="0040743B">
        <w:rPr>
          <w:rFonts w:ascii="Times New Roman" w:hAnsi="Times New Roman" w:cs="Times New Roman"/>
          <w:sz w:val="24"/>
          <w:szCs w:val="24"/>
        </w:rPr>
        <w:t>] (2013).</w:t>
      </w:r>
    </w:p>
    <w:p w14:paraId="4360123C"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55</w:t>
      </w:r>
      <w:r w:rsidRPr="0040743B">
        <w:rPr>
          <w:rFonts w:ascii="Times New Roman" w:hAnsi="Times New Roman" w:cs="Times New Roman"/>
          <w:sz w:val="24"/>
          <w:szCs w:val="24"/>
        </w:rPr>
        <w:tab/>
        <w:t>Cohen, C. J.</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Enhanced antitumor activity of T cells engineered to express T-cell receptors with a second disulfide bond. </w:t>
      </w:r>
      <w:r w:rsidRPr="0040743B">
        <w:rPr>
          <w:rFonts w:ascii="Times New Roman" w:hAnsi="Times New Roman" w:cs="Times New Roman"/>
          <w:i/>
          <w:sz w:val="24"/>
          <w:szCs w:val="24"/>
        </w:rPr>
        <w:t>Cancer Res</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67</w:t>
      </w:r>
      <w:r w:rsidRPr="0040743B">
        <w:rPr>
          <w:rFonts w:ascii="Times New Roman" w:hAnsi="Times New Roman" w:cs="Times New Roman"/>
          <w:sz w:val="24"/>
          <w:szCs w:val="24"/>
        </w:rPr>
        <w:t xml:space="preserve">, 3898-3903, </w:t>
      </w:r>
      <w:proofErr w:type="gramStart"/>
      <w:r w:rsidRPr="0040743B">
        <w:rPr>
          <w:rFonts w:ascii="Times New Roman" w:hAnsi="Times New Roman" w:cs="Times New Roman"/>
          <w:sz w:val="24"/>
          <w:szCs w:val="24"/>
        </w:rPr>
        <w:t>doi:10.1158/0008-5472.CAN</w:t>
      </w:r>
      <w:proofErr w:type="gramEnd"/>
      <w:r w:rsidRPr="0040743B">
        <w:rPr>
          <w:rFonts w:ascii="Times New Roman" w:hAnsi="Times New Roman" w:cs="Times New Roman"/>
          <w:sz w:val="24"/>
          <w:szCs w:val="24"/>
        </w:rPr>
        <w:t>-06-3986 (2007).</w:t>
      </w:r>
    </w:p>
    <w:p w14:paraId="57A87351" w14:textId="77777777" w:rsidR="008F00D6" w:rsidRPr="0040743B" w:rsidRDefault="008F00D6" w:rsidP="008F00D6">
      <w:pPr>
        <w:pStyle w:val="EndNoteBibliography"/>
        <w:spacing w:after="0"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56</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Stanke</w:t>
      </w:r>
      <w:proofErr w:type="spellEnd"/>
      <w:r w:rsidRPr="0040743B">
        <w:rPr>
          <w:rFonts w:ascii="Times New Roman" w:hAnsi="Times New Roman" w:cs="Times New Roman"/>
          <w:sz w:val="24"/>
          <w:szCs w:val="24"/>
        </w:rPr>
        <w:t>, J.</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A flow cytometry-based assay to assess minute frequencies of CD8+ T cells by their cytolytic function. </w:t>
      </w:r>
      <w:r w:rsidRPr="0040743B">
        <w:rPr>
          <w:rFonts w:ascii="Times New Roman" w:hAnsi="Times New Roman" w:cs="Times New Roman"/>
          <w:i/>
          <w:sz w:val="24"/>
          <w:szCs w:val="24"/>
        </w:rPr>
        <w:t>J Immunol. Methods</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360</w:t>
      </w:r>
      <w:r w:rsidRPr="0040743B">
        <w:rPr>
          <w:rFonts w:ascii="Times New Roman" w:hAnsi="Times New Roman" w:cs="Times New Roman"/>
          <w:sz w:val="24"/>
          <w:szCs w:val="24"/>
        </w:rPr>
        <w:t xml:space="preserve">, 56-65, </w:t>
      </w:r>
      <w:proofErr w:type="gramStart"/>
      <w:r w:rsidRPr="0040743B">
        <w:rPr>
          <w:rFonts w:ascii="Times New Roman" w:hAnsi="Times New Roman" w:cs="Times New Roman"/>
          <w:sz w:val="24"/>
          <w:szCs w:val="24"/>
        </w:rPr>
        <w:t>doi:S</w:t>
      </w:r>
      <w:proofErr w:type="gramEnd"/>
      <w:r w:rsidRPr="0040743B">
        <w:rPr>
          <w:rFonts w:ascii="Times New Roman" w:hAnsi="Times New Roman" w:cs="Times New Roman"/>
          <w:sz w:val="24"/>
          <w:szCs w:val="24"/>
        </w:rPr>
        <w:t>0022-1759(10)00170-5 [</w:t>
      </w:r>
      <w:proofErr w:type="spellStart"/>
      <w:r w:rsidRPr="0040743B">
        <w:rPr>
          <w:rFonts w:ascii="Times New Roman" w:hAnsi="Times New Roman" w:cs="Times New Roman"/>
          <w:sz w:val="24"/>
          <w:szCs w:val="24"/>
        </w:rPr>
        <w:t>pii</w:t>
      </w:r>
      <w:proofErr w:type="spellEnd"/>
      <w:r w:rsidRPr="0040743B">
        <w:rPr>
          <w:rFonts w:ascii="Times New Roman" w:hAnsi="Times New Roman" w:cs="Times New Roman"/>
          <w:sz w:val="24"/>
          <w:szCs w:val="24"/>
        </w:rPr>
        <w:t>];10.1016/j.jim.2010.06.005 [</w:t>
      </w:r>
      <w:proofErr w:type="spellStart"/>
      <w:r w:rsidRPr="0040743B">
        <w:rPr>
          <w:rFonts w:ascii="Times New Roman" w:hAnsi="Times New Roman" w:cs="Times New Roman"/>
          <w:sz w:val="24"/>
          <w:szCs w:val="24"/>
        </w:rPr>
        <w:t>doi</w:t>
      </w:r>
      <w:proofErr w:type="spellEnd"/>
      <w:r w:rsidRPr="0040743B">
        <w:rPr>
          <w:rFonts w:ascii="Times New Roman" w:hAnsi="Times New Roman" w:cs="Times New Roman"/>
          <w:sz w:val="24"/>
          <w:szCs w:val="24"/>
        </w:rPr>
        <w:t>] (2010).</w:t>
      </w:r>
    </w:p>
    <w:p w14:paraId="745CDD5D" w14:textId="77777777" w:rsidR="008F00D6" w:rsidRPr="0040743B" w:rsidRDefault="008F00D6" w:rsidP="008F00D6">
      <w:pPr>
        <w:pStyle w:val="EndNoteBibliography"/>
        <w:spacing w:line="480" w:lineRule="auto"/>
        <w:ind w:left="720" w:hanging="720"/>
        <w:rPr>
          <w:rFonts w:ascii="Times New Roman" w:hAnsi="Times New Roman" w:cs="Times New Roman"/>
          <w:sz w:val="24"/>
          <w:szCs w:val="24"/>
        </w:rPr>
      </w:pPr>
      <w:r w:rsidRPr="0040743B">
        <w:rPr>
          <w:rFonts w:ascii="Times New Roman" w:hAnsi="Times New Roman" w:cs="Times New Roman"/>
          <w:sz w:val="24"/>
          <w:szCs w:val="24"/>
        </w:rPr>
        <w:t>57</w:t>
      </w:r>
      <w:r w:rsidRPr="0040743B">
        <w:rPr>
          <w:rFonts w:ascii="Times New Roman" w:hAnsi="Times New Roman" w:cs="Times New Roman"/>
          <w:sz w:val="24"/>
          <w:szCs w:val="24"/>
        </w:rPr>
        <w:tab/>
      </w:r>
      <w:proofErr w:type="spellStart"/>
      <w:r w:rsidRPr="0040743B">
        <w:rPr>
          <w:rFonts w:ascii="Times New Roman" w:hAnsi="Times New Roman" w:cs="Times New Roman"/>
          <w:sz w:val="24"/>
          <w:szCs w:val="24"/>
        </w:rPr>
        <w:t>Santegoets</w:t>
      </w:r>
      <w:proofErr w:type="spellEnd"/>
      <w:r w:rsidRPr="0040743B">
        <w:rPr>
          <w:rFonts w:ascii="Times New Roman" w:hAnsi="Times New Roman" w:cs="Times New Roman"/>
          <w:sz w:val="24"/>
          <w:szCs w:val="24"/>
        </w:rPr>
        <w:t>, S. J.</w:t>
      </w:r>
      <w:r w:rsidRPr="0040743B">
        <w:rPr>
          <w:rFonts w:ascii="Times New Roman" w:hAnsi="Times New Roman" w:cs="Times New Roman"/>
          <w:i/>
          <w:sz w:val="24"/>
          <w:szCs w:val="24"/>
        </w:rPr>
        <w:t xml:space="preserve"> et al.</w:t>
      </w:r>
      <w:r w:rsidRPr="0040743B">
        <w:rPr>
          <w:rFonts w:ascii="Times New Roman" w:hAnsi="Times New Roman" w:cs="Times New Roman"/>
          <w:sz w:val="24"/>
          <w:szCs w:val="24"/>
        </w:rPr>
        <w:t xml:space="preserve"> Monitoring regulatory T cells in clinical samples: consensus on an essential marker set and gating strategy for regulatory T cell analysis by flow cytometry. </w:t>
      </w:r>
      <w:r w:rsidRPr="0040743B">
        <w:rPr>
          <w:rFonts w:ascii="Times New Roman" w:hAnsi="Times New Roman" w:cs="Times New Roman"/>
          <w:i/>
          <w:sz w:val="24"/>
          <w:szCs w:val="24"/>
        </w:rPr>
        <w:t xml:space="preserve">Cancer Immunol </w:t>
      </w:r>
      <w:proofErr w:type="spellStart"/>
      <w:r w:rsidRPr="0040743B">
        <w:rPr>
          <w:rFonts w:ascii="Times New Roman" w:hAnsi="Times New Roman" w:cs="Times New Roman"/>
          <w:i/>
          <w:sz w:val="24"/>
          <w:szCs w:val="24"/>
        </w:rPr>
        <w:t>Immunother</w:t>
      </w:r>
      <w:proofErr w:type="spellEnd"/>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64</w:t>
      </w:r>
      <w:r w:rsidRPr="0040743B">
        <w:rPr>
          <w:rFonts w:ascii="Times New Roman" w:hAnsi="Times New Roman" w:cs="Times New Roman"/>
          <w:sz w:val="24"/>
          <w:szCs w:val="24"/>
        </w:rPr>
        <w:t>, 1271-1286, doi:10.1007/s00262-015-1729-x (2015).</w:t>
      </w:r>
    </w:p>
    <w:p w14:paraId="0C2B3F4B" w14:textId="77777777" w:rsidR="00CF41F8" w:rsidRPr="0040743B" w:rsidRDefault="00CF41F8">
      <w:pPr>
        <w:rPr>
          <w:rFonts w:eastAsia="Calibri"/>
          <w:b/>
          <w:color w:val="000000"/>
          <w:u w:color="000000"/>
          <w:lang w:val="en-GB"/>
        </w:rPr>
      </w:pPr>
      <w:r w:rsidRPr="0040743B">
        <w:rPr>
          <w:b/>
          <w:lang w:val="en-GB"/>
        </w:rPr>
        <w:br w:type="page"/>
      </w:r>
    </w:p>
    <w:p w14:paraId="27563BD7" w14:textId="4D73AF5A" w:rsidR="00F71D64" w:rsidRPr="0040743B" w:rsidRDefault="00734095" w:rsidP="00F71D64">
      <w:pPr>
        <w:pStyle w:val="TextA"/>
        <w:spacing w:after="120" w:line="480" w:lineRule="auto"/>
        <w:rPr>
          <w:rFonts w:ascii="Times New Roman" w:hAnsi="Times New Roman" w:cs="Times New Roman"/>
          <w:b/>
          <w:sz w:val="24"/>
          <w:szCs w:val="24"/>
          <w:lang w:val="en-GB"/>
        </w:rPr>
      </w:pPr>
      <w:r w:rsidRPr="0040743B">
        <w:rPr>
          <w:rFonts w:ascii="Times New Roman" w:hAnsi="Times New Roman" w:cs="Times New Roman"/>
          <w:b/>
          <w:sz w:val="24"/>
          <w:szCs w:val="24"/>
          <w:lang w:val="en-GB"/>
        </w:rPr>
        <w:lastRenderedPageBreak/>
        <w:t>Data Availability Statement</w:t>
      </w:r>
    </w:p>
    <w:p w14:paraId="01C504E2" w14:textId="20296DA3" w:rsidR="00AE26B3" w:rsidRPr="0040743B" w:rsidRDefault="002F508B" w:rsidP="00D81718">
      <w:pPr>
        <w:pStyle w:val="TextA"/>
        <w:spacing w:after="120" w:line="480" w:lineRule="auto"/>
        <w:rPr>
          <w:rFonts w:ascii="Times New Roman" w:hAnsi="Times New Roman" w:cs="Times New Roman"/>
          <w:sz w:val="24"/>
          <w:szCs w:val="24"/>
          <w:lang w:val="en-GB"/>
        </w:rPr>
      </w:pPr>
      <w:r w:rsidRPr="0040743B">
        <w:rPr>
          <w:rFonts w:ascii="Times New Roman" w:hAnsi="Times New Roman" w:cs="Times New Roman"/>
          <w:sz w:val="24"/>
          <w:szCs w:val="24"/>
          <w:lang w:val="en-GB"/>
        </w:rPr>
        <w:t>Raw data that support the findings of this study in Fig</w:t>
      </w:r>
      <w:r w:rsidR="00053A66"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2, 3 and 4, E</w:t>
      </w:r>
      <w:r w:rsidR="00053A66" w:rsidRPr="0040743B">
        <w:rPr>
          <w:rFonts w:ascii="Times New Roman" w:hAnsi="Times New Roman" w:cs="Times New Roman"/>
          <w:sz w:val="24"/>
          <w:szCs w:val="24"/>
          <w:lang w:val="en-GB"/>
        </w:rPr>
        <w:t>xtended Data</w:t>
      </w:r>
      <w:r w:rsidRPr="0040743B">
        <w:rPr>
          <w:rFonts w:ascii="Times New Roman" w:hAnsi="Times New Roman" w:cs="Times New Roman"/>
          <w:sz w:val="24"/>
          <w:szCs w:val="24"/>
          <w:lang w:val="en-GB"/>
        </w:rPr>
        <w:t xml:space="preserve"> Fig</w:t>
      </w:r>
      <w:r w:rsidR="00053A66" w:rsidRPr="0040743B">
        <w:rPr>
          <w:rFonts w:ascii="Times New Roman" w:hAnsi="Times New Roman" w:cs="Times New Roman"/>
          <w:sz w:val="24"/>
          <w:szCs w:val="24"/>
          <w:lang w:val="en-GB"/>
        </w:rPr>
        <w:t>s</w:t>
      </w:r>
      <w:r w:rsidRPr="0040743B">
        <w:rPr>
          <w:rFonts w:ascii="Times New Roman" w:hAnsi="Times New Roman" w:cs="Times New Roman"/>
          <w:sz w:val="24"/>
          <w:szCs w:val="24"/>
          <w:lang w:val="en-GB"/>
        </w:rPr>
        <w:t>. 1, 3, 4, 5, 6, 7, 8, and 10 are available from the corresponding author upon reasonable request.</w:t>
      </w:r>
      <w:r w:rsidR="00571DD1"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Fig. 5, </w:t>
      </w:r>
      <w:r w:rsidR="00053A66" w:rsidRPr="0040743B">
        <w:rPr>
          <w:rFonts w:ascii="Times New Roman" w:hAnsi="Times New Roman" w:cs="Times New Roman"/>
          <w:sz w:val="24"/>
          <w:szCs w:val="24"/>
          <w:lang w:val="en-GB"/>
        </w:rPr>
        <w:t>Extended Data</w:t>
      </w:r>
      <w:r w:rsidRPr="0040743B">
        <w:rPr>
          <w:rFonts w:ascii="Times New Roman" w:hAnsi="Times New Roman" w:cs="Times New Roman"/>
          <w:sz w:val="24"/>
          <w:szCs w:val="24"/>
          <w:lang w:val="en-GB"/>
        </w:rPr>
        <w:t xml:space="preserve"> Fig. 9, Table 1 and Suppl. Table 5 are patient outcomes data from the clinical study. These will be available upon reasonable request to the corresponding author from the GAPVAC-101 study CRFs.</w:t>
      </w:r>
      <w:r w:rsidR="00571DD1" w:rsidRPr="0040743B">
        <w:rPr>
          <w:rFonts w:ascii="Times New Roman" w:hAnsi="Times New Roman" w:cs="Times New Roman"/>
          <w:sz w:val="24"/>
          <w:szCs w:val="24"/>
          <w:lang w:val="en-GB"/>
        </w:rPr>
        <w:t xml:space="preserve"> </w:t>
      </w:r>
      <w:r w:rsidR="00053A66" w:rsidRPr="0040743B">
        <w:rPr>
          <w:rFonts w:ascii="Times New Roman" w:hAnsi="Times New Roman" w:cs="Times New Roman"/>
          <w:sz w:val="24"/>
          <w:szCs w:val="24"/>
          <w:lang w:val="en-GB"/>
        </w:rPr>
        <w:t>Supplementary</w:t>
      </w:r>
      <w:r w:rsidRPr="0040743B">
        <w:rPr>
          <w:rFonts w:ascii="Times New Roman" w:hAnsi="Times New Roman" w:cs="Times New Roman"/>
          <w:sz w:val="24"/>
          <w:szCs w:val="24"/>
          <w:lang w:val="en-GB"/>
        </w:rPr>
        <w:t xml:space="preserve"> Tables 1-4 represent raw data and should be used to recapitulate the findings demonstrated in this study.</w:t>
      </w:r>
      <w:r w:rsidR="00571DD1" w:rsidRPr="0040743B">
        <w:rPr>
          <w:rFonts w:ascii="Times New Roman" w:hAnsi="Times New Roman" w:cs="Times New Roman"/>
          <w:sz w:val="24"/>
          <w:szCs w:val="24"/>
          <w:lang w:val="en-GB"/>
        </w:rPr>
        <w:t xml:space="preserve"> </w:t>
      </w:r>
      <w:r w:rsidR="008F2E7A" w:rsidRPr="0040743B">
        <w:rPr>
          <w:rFonts w:ascii="Times New Roman" w:hAnsi="Times New Roman" w:cs="Times New Roman"/>
          <w:sz w:val="24"/>
          <w:szCs w:val="24"/>
          <w:lang w:val="en-GB"/>
        </w:rPr>
        <w:t xml:space="preserve">MS data for </w:t>
      </w:r>
      <w:r w:rsidR="00BF4A15" w:rsidRPr="0040743B">
        <w:rPr>
          <w:rFonts w:ascii="Times New Roman" w:hAnsi="Times New Roman" w:cs="Times New Roman"/>
          <w:sz w:val="24"/>
          <w:szCs w:val="24"/>
          <w:lang w:val="en-GB"/>
        </w:rPr>
        <w:t xml:space="preserve">sequence identifications </w:t>
      </w:r>
      <w:r w:rsidR="008F2E7A" w:rsidRPr="0040743B">
        <w:rPr>
          <w:rFonts w:ascii="Times New Roman" w:hAnsi="Times New Roman" w:cs="Times New Roman"/>
          <w:sz w:val="24"/>
          <w:szCs w:val="24"/>
          <w:lang w:val="en-GB"/>
        </w:rPr>
        <w:t xml:space="preserve">for APVAC warehouse peptides </w:t>
      </w:r>
      <w:r w:rsidR="00BF4A15" w:rsidRPr="0040743B">
        <w:rPr>
          <w:rFonts w:ascii="Times New Roman" w:hAnsi="Times New Roman" w:cs="Times New Roman"/>
          <w:sz w:val="24"/>
          <w:szCs w:val="24"/>
          <w:lang w:val="en-GB"/>
        </w:rPr>
        <w:t xml:space="preserve">has been deposited at </w:t>
      </w:r>
      <w:proofErr w:type="spellStart"/>
      <w:r w:rsidR="00BF4A15" w:rsidRPr="0040743B">
        <w:rPr>
          <w:rFonts w:ascii="Times New Roman" w:hAnsi="Times New Roman" w:cs="Times New Roman"/>
          <w:sz w:val="24"/>
          <w:szCs w:val="24"/>
          <w:lang w:val="en-GB"/>
        </w:rPr>
        <w:t>PeptideAtlas</w:t>
      </w:r>
      <w:proofErr w:type="spellEnd"/>
      <w:r w:rsidR="00BF4A15" w:rsidRPr="0040743B">
        <w:rPr>
          <w:rFonts w:ascii="Times New Roman" w:hAnsi="Times New Roman" w:cs="Times New Roman"/>
          <w:sz w:val="24"/>
          <w:szCs w:val="24"/>
          <w:lang w:val="en-GB"/>
        </w:rPr>
        <w:t xml:space="preserve"> with the dataset identifier </w:t>
      </w:r>
      <w:r w:rsidR="00BB7A91" w:rsidRPr="0040743B">
        <w:rPr>
          <w:rFonts w:ascii="Times New Roman" w:hAnsi="Times New Roman" w:cs="Times New Roman"/>
          <w:sz w:val="24"/>
          <w:szCs w:val="24"/>
          <w:lang w:val="en-GB"/>
        </w:rPr>
        <w:t>PASS01284</w:t>
      </w:r>
      <w:r w:rsidR="00BF4A15" w:rsidRPr="0040743B">
        <w:rPr>
          <w:rFonts w:ascii="Times New Roman" w:hAnsi="Times New Roman" w:cs="Times New Roman"/>
          <w:sz w:val="24"/>
          <w:szCs w:val="24"/>
          <w:lang w:val="en-GB"/>
        </w:rPr>
        <w:t>.</w:t>
      </w:r>
    </w:p>
    <w:p w14:paraId="29F468E7" w14:textId="77777777" w:rsidR="002F508B" w:rsidRPr="0040743B" w:rsidRDefault="002F508B">
      <w:pPr>
        <w:rPr>
          <w:rFonts w:eastAsia="Calibri"/>
          <w:b/>
          <w:color w:val="000000"/>
          <w:u w:color="000000"/>
          <w:lang w:val="en-GB"/>
        </w:rPr>
      </w:pPr>
      <w:r w:rsidRPr="0040743B">
        <w:rPr>
          <w:b/>
          <w:lang w:val="en-GB"/>
        </w:rPr>
        <w:br w:type="page"/>
      </w:r>
    </w:p>
    <w:p w14:paraId="6BE6F90E" w14:textId="1E39C983" w:rsidR="001F1D7D" w:rsidRPr="0040743B" w:rsidRDefault="001F1D7D" w:rsidP="00D81718">
      <w:pPr>
        <w:pStyle w:val="TextA"/>
        <w:spacing w:after="120" w:line="480" w:lineRule="auto"/>
        <w:rPr>
          <w:rFonts w:ascii="Times New Roman" w:hAnsi="Times New Roman" w:cs="Times New Roman"/>
          <w:b/>
          <w:sz w:val="24"/>
          <w:szCs w:val="24"/>
          <w:lang w:val="en-GB"/>
        </w:rPr>
      </w:pPr>
      <w:r w:rsidRPr="0040743B">
        <w:rPr>
          <w:rFonts w:ascii="Times New Roman" w:hAnsi="Times New Roman" w:cs="Times New Roman"/>
          <w:b/>
          <w:sz w:val="24"/>
          <w:szCs w:val="24"/>
          <w:lang w:val="en-GB"/>
        </w:rPr>
        <w:lastRenderedPageBreak/>
        <w:t xml:space="preserve">Extended Data </w:t>
      </w:r>
      <w:r w:rsidR="00E40A9A" w:rsidRPr="0040743B">
        <w:rPr>
          <w:rFonts w:ascii="Times New Roman" w:hAnsi="Times New Roman" w:cs="Times New Roman"/>
          <w:b/>
          <w:sz w:val="24"/>
          <w:szCs w:val="24"/>
          <w:lang w:val="en-GB"/>
        </w:rPr>
        <w:t>Figure Titles and Legends</w:t>
      </w:r>
    </w:p>
    <w:p w14:paraId="1A728DF6" w14:textId="1838F158" w:rsidR="00BE0286" w:rsidRPr="0040743B" w:rsidRDefault="00BE0286" w:rsidP="00BE0286">
      <w:pPr>
        <w:pStyle w:val="Text"/>
        <w:spacing w:after="240"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Extended Data Figure 1</w:t>
      </w:r>
      <w:r w:rsidRPr="0040743B">
        <w:rPr>
          <w:rFonts w:ascii="Times New Roman" w:hAnsi="Times New Roman" w:cs="Times New Roman"/>
          <w:sz w:val="24"/>
          <w:szCs w:val="24"/>
          <w:lang w:val="en-GB"/>
        </w:rPr>
        <w:t xml:space="preserve"> </w:t>
      </w:r>
      <w:r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APVAC1 and APVAC2 processes lead to truly personalized vaccine formulations.</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a</w:t>
      </w:r>
      <w:r w:rsidRPr="0040743B">
        <w:rPr>
          <w:rFonts w:ascii="Times New Roman" w:hAnsi="Times New Roman" w:cs="Times New Roman"/>
          <w:sz w:val="24"/>
          <w:szCs w:val="24"/>
          <w:lang w:val="en-GB"/>
        </w:rPr>
        <w:t xml:space="preserve">, Summary of biomarker data used to define APVAC1 for patient 05. Immunogenicity: Percentage of positive wells (n=12) with patient-derived PBMC. Peptide presentation: Shown are </w:t>
      </w:r>
      <w:r w:rsidRPr="0040743B">
        <w:rPr>
          <w:rFonts w:ascii="Times New Roman" w:hAnsi="Times New Roman" w:cs="Times New Roman"/>
          <w:i/>
          <w:iCs/>
          <w:sz w:val="24"/>
          <w:szCs w:val="24"/>
          <w:lang w:val="en-GB"/>
        </w:rPr>
        <w:t>Detection</w:t>
      </w:r>
      <w:r w:rsidRPr="0040743B">
        <w:rPr>
          <w:rFonts w:ascii="Times New Roman" w:hAnsi="Times New Roman" w:cs="Times New Roman"/>
          <w:i/>
          <w:sz w:val="24"/>
          <w:szCs w:val="24"/>
          <w:lang w:val="en-GB"/>
        </w:rPr>
        <w:t xml:space="preserve"> by MS</w:t>
      </w:r>
      <w:r w:rsidRPr="0040743B">
        <w:rPr>
          <w:rFonts w:ascii="Times New Roman" w:hAnsi="Times New Roman" w:cs="Times New Roman"/>
          <w:sz w:val="24"/>
          <w:szCs w:val="24"/>
          <w:lang w:val="en-GB"/>
        </w:rPr>
        <w:t xml:space="preserve"> (+/-) on the tumour of patient 05; </w:t>
      </w:r>
      <w:r w:rsidRPr="0040743B">
        <w:rPr>
          <w:rFonts w:ascii="Times New Roman" w:hAnsi="Times New Roman" w:cs="Times New Roman"/>
          <w:i/>
          <w:iCs/>
          <w:sz w:val="24"/>
          <w:szCs w:val="24"/>
          <w:lang w:val="en-GB"/>
        </w:rPr>
        <w:t>Exclusivity:</w:t>
      </w:r>
      <w:r w:rsidRPr="0040743B">
        <w:rPr>
          <w:rFonts w:ascii="Times New Roman" w:hAnsi="Times New Roman" w:cs="Times New Roman"/>
          <w:sz w:val="24"/>
          <w:szCs w:val="24"/>
          <w:lang w:val="en-GB"/>
        </w:rPr>
        <w:t xml:space="preserve"> absence (+/-) from normal tissue samples (n=394); individual </w:t>
      </w:r>
      <w:r w:rsidRPr="0040743B">
        <w:rPr>
          <w:rFonts w:ascii="Times New Roman" w:hAnsi="Times New Roman" w:cs="Times New Roman"/>
          <w:i/>
          <w:iCs/>
          <w:sz w:val="24"/>
          <w:szCs w:val="24"/>
          <w:lang w:val="en-GB"/>
        </w:rPr>
        <w:t>over-presentation ratio</w:t>
      </w:r>
      <w:r w:rsidRPr="0040743B">
        <w:rPr>
          <w:rFonts w:ascii="Times New Roman" w:hAnsi="Times New Roman" w:cs="Times New Roman"/>
          <w:sz w:val="24"/>
          <w:szCs w:val="24"/>
          <w:lang w:val="en-GB"/>
        </w:rPr>
        <w:t xml:space="preserve"> on HLA peptidome level on patient 05’s tumour vs. average of normal tissues or vs. the limit of detection for the respective peptide if never found on normal tissues; </w:t>
      </w:r>
      <w:r w:rsidRPr="0040743B">
        <w:rPr>
          <w:rFonts w:ascii="Times New Roman" w:hAnsi="Times New Roman" w:cs="Times New Roman"/>
          <w:i/>
          <w:iCs/>
          <w:sz w:val="24"/>
          <w:szCs w:val="24"/>
          <w:lang w:val="en-GB"/>
        </w:rPr>
        <w:t>mRNA over-expression ratio</w:t>
      </w:r>
      <w:r w:rsidRPr="0040743B">
        <w:rPr>
          <w:rFonts w:ascii="Times New Roman" w:hAnsi="Times New Roman" w:cs="Times New Roman"/>
          <w:sz w:val="24"/>
          <w:szCs w:val="24"/>
          <w:lang w:val="en-GB"/>
        </w:rPr>
        <w:t xml:space="preserve"> of the source genes in patient 05’s tumour vs. average of normal tissues (n.d. = no data, genes not covered by used microarray). Data were integrated into a rank score as basis for selection into APVAC1 (see Online Methods for details). </w:t>
      </w:r>
      <w:r w:rsidRPr="0040743B">
        <w:rPr>
          <w:rFonts w:ascii="Times New Roman" w:hAnsi="Times New Roman" w:cs="Times New Roman"/>
          <w:b/>
          <w:bCs/>
          <w:sz w:val="24"/>
          <w:szCs w:val="24"/>
          <w:lang w:val="en-GB"/>
        </w:rPr>
        <w:t>b</w:t>
      </w:r>
      <w:r w:rsidRPr="0040743B">
        <w:rPr>
          <w:rFonts w:ascii="Times New Roman" w:hAnsi="Times New Roman" w:cs="Times New Roman"/>
          <w:sz w:val="24"/>
          <w:szCs w:val="24"/>
          <w:lang w:val="en-GB"/>
        </w:rPr>
        <w:t xml:space="preserve">, Peptide presentation of PTP-013 on normal tissues (n=394, not detected), GB specimens (identified on 7 of n=33 independent samples, median indicated), and the tumour of patient 05 as analysed by MS. </w:t>
      </w:r>
      <w:r w:rsidR="00C0314D" w:rsidRPr="0040743B">
        <w:rPr>
          <w:rFonts w:ascii="Times New Roman" w:hAnsi="Times New Roman" w:cs="Times New Roman"/>
          <w:sz w:val="24"/>
          <w:szCs w:val="24"/>
          <w:lang w:val="en-GB"/>
        </w:rPr>
        <w:t>F</w:t>
      </w:r>
      <w:r w:rsidRPr="0040743B">
        <w:rPr>
          <w:rFonts w:ascii="Times New Roman" w:hAnsi="Times New Roman" w:cs="Times New Roman"/>
          <w:sz w:val="24"/>
          <w:szCs w:val="24"/>
          <w:lang w:val="en-GB"/>
        </w:rPr>
        <w:t>or patient 05</w:t>
      </w:r>
      <w:r w:rsidR="00C0314D"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w:t>
      </w:r>
      <w:r w:rsidR="00C0314D" w:rsidRPr="0040743B">
        <w:rPr>
          <w:rFonts w:ascii="Times New Roman" w:hAnsi="Times New Roman" w:cs="Times New Roman"/>
          <w:sz w:val="24"/>
          <w:szCs w:val="24"/>
          <w:lang w:val="en-GB"/>
        </w:rPr>
        <w:t>mean</w:t>
      </w:r>
      <w:r w:rsidRPr="0040743B">
        <w:rPr>
          <w:rFonts w:ascii="Times New Roman" w:hAnsi="Times New Roman" w:cs="Times New Roman"/>
          <w:sz w:val="24"/>
          <w:szCs w:val="24"/>
          <w:lang w:val="en-GB"/>
        </w:rPr>
        <w:t xml:space="preserve"> signal </w:t>
      </w:r>
      <w:r w:rsidR="00C0314D" w:rsidRPr="0040743B">
        <w:rPr>
          <w:rFonts w:ascii="Times New Roman" w:hAnsi="Times New Roman" w:cs="Times New Roman"/>
          <w:sz w:val="24"/>
          <w:szCs w:val="24"/>
          <w:lang w:val="en-GB"/>
        </w:rPr>
        <w:t xml:space="preserve">and </w:t>
      </w:r>
      <w:r w:rsidRPr="0040743B">
        <w:rPr>
          <w:rFonts w:ascii="Times New Roman" w:hAnsi="Times New Roman" w:cs="Times New Roman"/>
          <w:sz w:val="24"/>
          <w:szCs w:val="24"/>
          <w:lang w:val="en-GB"/>
        </w:rPr>
        <w:t>signal range of n=5 replicate MS runs</w:t>
      </w:r>
      <w:r w:rsidR="00C0314D" w:rsidRPr="0040743B">
        <w:rPr>
          <w:rFonts w:ascii="Times New Roman" w:hAnsi="Times New Roman" w:cs="Times New Roman"/>
          <w:sz w:val="24"/>
          <w:szCs w:val="24"/>
          <w:lang w:val="en-GB"/>
        </w:rPr>
        <w:t xml:space="preserve"> are shown</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c</w:t>
      </w:r>
      <w:r w:rsidRPr="0040743B">
        <w:rPr>
          <w:rFonts w:ascii="Times New Roman" w:hAnsi="Times New Roman" w:cs="Times New Roman"/>
          <w:sz w:val="24"/>
          <w:szCs w:val="24"/>
          <w:lang w:val="en-GB"/>
        </w:rPr>
        <w:t xml:space="preserve">, mRNA expression of </w:t>
      </w:r>
      <w:r w:rsidRPr="0040743B">
        <w:rPr>
          <w:rFonts w:ascii="Times New Roman" w:hAnsi="Times New Roman" w:cs="Times New Roman"/>
          <w:iCs/>
          <w:sz w:val="24"/>
          <w:szCs w:val="24"/>
          <w:lang w:val="en-GB"/>
        </w:rPr>
        <w:t>PTPRZ1 (source gene of PTP-013) analysed by</w:t>
      </w:r>
      <w:r w:rsidRPr="0040743B">
        <w:rPr>
          <w:rFonts w:ascii="Times New Roman" w:hAnsi="Times New Roman" w:cs="Times New Roman"/>
          <w:sz w:val="24"/>
          <w:szCs w:val="24"/>
          <w:lang w:val="en-GB"/>
        </w:rPr>
        <w:t xml:space="preserve"> mRNA microarray analysis in samples of pooled normal tissue mRNA, GB tumours (n=26, median indicated) and tumour of patient 05. n.d. = no data. </w:t>
      </w:r>
      <w:proofErr w:type="spellStart"/>
      <w:proofErr w:type="gramStart"/>
      <w:r w:rsidRPr="0040743B">
        <w:rPr>
          <w:rFonts w:ascii="Times New Roman" w:hAnsi="Times New Roman" w:cs="Times New Roman"/>
          <w:b/>
          <w:sz w:val="24"/>
          <w:szCs w:val="24"/>
          <w:lang w:val="en-GB"/>
        </w:rPr>
        <w:t>b,c</w:t>
      </w:r>
      <w:proofErr w:type="spellEnd"/>
      <w:proofErr w:type="gramEnd"/>
      <w:r w:rsidRPr="0040743B">
        <w:rPr>
          <w:rFonts w:ascii="Times New Roman" w:hAnsi="Times New Roman" w:cs="Times New Roman"/>
          <w:sz w:val="24"/>
          <w:szCs w:val="24"/>
          <w:lang w:val="en-GB"/>
        </w:rPr>
        <w:t xml:space="preserve">, BLV blood vessels, BRA brain, DIG digestive glands, FRP female reproductive organs, HRT heart, HEM hematopoietic cells, HOG hormonal glands, INT intestine, KID kidney, LIV liver, LYM lymphatic tissue, MRP male reproductive organs, NER nervous system, RES respiratory, SKM skeletal muscle, SKI skin, STO stomach/oesophagus, URI urinary system, OTH other. </w:t>
      </w:r>
      <w:r w:rsidRPr="0040743B">
        <w:rPr>
          <w:rFonts w:ascii="Times New Roman" w:hAnsi="Times New Roman" w:cs="Times New Roman"/>
          <w:b/>
          <w:sz w:val="24"/>
          <w:szCs w:val="24"/>
          <w:lang w:val="en-GB"/>
        </w:rPr>
        <w:t>d</w:t>
      </w:r>
      <w:r w:rsidRPr="0040743B">
        <w:rPr>
          <w:rFonts w:ascii="Times New Roman" w:hAnsi="Times New Roman" w:cs="Times New Roman"/>
          <w:sz w:val="24"/>
          <w:szCs w:val="24"/>
          <w:lang w:val="en-GB"/>
        </w:rPr>
        <w:t xml:space="preserve">, </w:t>
      </w:r>
      <w:r w:rsidRPr="0040743B">
        <w:rPr>
          <w:rFonts w:ascii="Times New Roman" w:hAnsi="Times New Roman" w:cs="Times New Roman"/>
          <w:bCs/>
          <w:sz w:val="24"/>
          <w:szCs w:val="24"/>
          <w:lang w:val="en-GB"/>
        </w:rPr>
        <w:t>Immunogenicity pre-testing data for PTP-013 in pre-treatment PBMC of patient 05</w:t>
      </w:r>
      <w:r w:rsidRPr="0040743B">
        <w:rPr>
          <w:rFonts w:ascii="Times New Roman" w:hAnsi="Times New Roman" w:cs="Times New Roman"/>
          <w:sz w:val="24"/>
          <w:szCs w:val="24"/>
          <w:lang w:val="en-GB"/>
        </w:rPr>
        <w:t>. Cells (1x10</w:t>
      </w:r>
      <w:r w:rsidRPr="0040743B">
        <w:rPr>
          <w:rFonts w:ascii="Times New Roman" w:hAnsi="Times New Roman" w:cs="Times New Roman"/>
          <w:sz w:val="24"/>
          <w:szCs w:val="24"/>
          <w:vertAlign w:val="superscript"/>
          <w:lang w:val="en-GB"/>
        </w:rPr>
        <w:t>6</w:t>
      </w:r>
      <w:r w:rsidRPr="0040743B">
        <w:rPr>
          <w:rFonts w:ascii="Times New Roman" w:hAnsi="Times New Roman" w:cs="Times New Roman"/>
          <w:sz w:val="24"/>
          <w:szCs w:val="24"/>
          <w:lang w:val="en-GB"/>
        </w:rPr>
        <w:t xml:space="preserve"> per well, n=12 wells tested) were stimulated with each A*02 warehouse peptide separately. After </w:t>
      </w:r>
      <w:r w:rsidRPr="0040743B">
        <w:rPr>
          <w:rFonts w:ascii="Times New Roman" w:hAnsi="Times New Roman" w:cs="Times New Roman"/>
          <w:i/>
          <w:iCs/>
          <w:sz w:val="24"/>
          <w:szCs w:val="24"/>
          <w:lang w:val="en-GB"/>
        </w:rPr>
        <w:t>in vitro</w:t>
      </w:r>
      <w:r w:rsidRPr="0040743B">
        <w:rPr>
          <w:rFonts w:ascii="Times New Roman" w:hAnsi="Times New Roman" w:cs="Times New Roman"/>
          <w:sz w:val="24"/>
          <w:szCs w:val="24"/>
          <w:lang w:val="en-GB"/>
        </w:rPr>
        <w:t xml:space="preserve"> stimulation, wells were analysed for peptide-specific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using 2D multimer staining. Representative </w:t>
      </w:r>
      <w:r w:rsidRPr="0040743B">
        <w:rPr>
          <w:rFonts w:ascii="Times New Roman" w:hAnsi="Times New Roman" w:cs="Times New Roman"/>
          <w:sz w:val="24"/>
          <w:szCs w:val="24"/>
          <w:lang w:val="en-GB"/>
        </w:rPr>
        <w:lastRenderedPageBreak/>
        <w:t>positive (7 out of 12) and negative (5</w:t>
      </w:r>
      <w:r w:rsidR="00946D07" w:rsidRPr="0040743B">
        <w:rPr>
          <w:rFonts w:ascii="Times New Roman" w:hAnsi="Times New Roman" w:cs="Times New Roman"/>
          <w:sz w:val="24"/>
          <w:szCs w:val="24"/>
          <w:lang w:val="en-GB"/>
        </w:rPr>
        <w:t xml:space="preserve"> out of </w:t>
      </w:r>
      <w:r w:rsidRPr="0040743B">
        <w:rPr>
          <w:rFonts w:ascii="Times New Roman" w:hAnsi="Times New Roman" w:cs="Times New Roman"/>
          <w:sz w:val="24"/>
          <w:szCs w:val="24"/>
          <w:lang w:val="en-GB"/>
        </w:rPr>
        <w:t xml:space="preserve">12) wells are shown. </w:t>
      </w:r>
      <w:r w:rsidRPr="0040743B">
        <w:rPr>
          <w:rFonts w:ascii="Times New Roman" w:hAnsi="Times New Roman" w:cs="Times New Roman"/>
          <w:b/>
          <w:bCs/>
          <w:sz w:val="24"/>
          <w:szCs w:val="24"/>
          <w:lang w:val="en-GB"/>
        </w:rPr>
        <w:t>e</w:t>
      </w:r>
      <w:r w:rsidRPr="0040743B">
        <w:rPr>
          <w:rFonts w:ascii="Times New Roman" w:hAnsi="Times New Roman" w:cs="Times New Roman"/>
          <w:sz w:val="24"/>
          <w:szCs w:val="24"/>
          <w:lang w:val="en-GB"/>
        </w:rPr>
        <w:t xml:space="preserve">, Number of selections into APVAC1 compositions for the 33 A*02 warehouse peptides (n=16 patients). </w:t>
      </w:r>
      <w:r w:rsidRPr="0040743B">
        <w:rPr>
          <w:rFonts w:ascii="Times New Roman" w:hAnsi="Times New Roman" w:cs="Times New Roman"/>
          <w:b/>
          <w:bCs/>
          <w:sz w:val="24"/>
          <w:szCs w:val="24"/>
          <w:lang w:val="en-GB"/>
        </w:rPr>
        <w:t>f</w:t>
      </w:r>
      <w:r w:rsidRPr="0040743B">
        <w:rPr>
          <w:rFonts w:ascii="Times New Roman" w:hAnsi="Times New Roman" w:cs="Times New Roman"/>
          <w:sz w:val="24"/>
          <w:szCs w:val="24"/>
          <w:lang w:val="en-GB"/>
        </w:rPr>
        <w:t xml:space="preserve">, APVAC2 selection process for mutated neo-epitopes. </w:t>
      </w:r>
      <w:r w:rsidRPr="0040743B">
        <w:rPr>
          <w:rFonts w:ascii="Times New Roman" w:hAnsi="Times New Roman" w:cs="Times New Roman"/>
          <w:b/>
          <w:bCs/>
          <w:sz w:val="24"/>
          <w:szCs w:val="24"/>
          <w:lang w:val="en-GB"/>
        </w:rPr>
        <w:t>g</w:t>
      </w:r>
      <w:r w:rsidRPr="0040743B">
        <w:rPr>
          <w:rFonts w:ascii="Times New Roman" w:hAnsi="Times New Roman" w:cs="Times New Roman"/>
          <w:sz w:val="24"/>
          <w:szCs w:val="24"/>
          <w:lang w:val="en-GB"/>
        </w:rPr>
        <w:t xml:space="preserve">, </w:t>
      </w:r>
      <w:proofErr w:type="gramStart"/>
      <w:r w:rsidRPr="0040743B">
        <w:rPr>
          <w:rFonts w:ascii="Times New Roman" w:hAnsi="Times New Roman" w:cs="Times New Roman"/>
          <w:sz w:val="24"/>
          <w:szCs w:val="24"/>
          <w:lang w:val="en-GB"/>
        </w:rPr>
        <w:t>The</w:t>
      </w:r>
      <w:proofErr w:type="gramEnd"/>
      <w:r w:rsidRPr="0040743B">
        <w:rPr>
          <w:rFonts w:ascii="Times New Roman" w:hAnsi="Times New Roman" w:cs="Times New Roman"/>
          <w:sz w:val="24"/>
          <w:szCs w:val="24"/>
          <w:lang w:val="en-GB"/>
        </w:rPr>
        <w:t xml:space="preserve"> four APVAC2 candidates entering test synthesis for patient 11 </w:t>
      </w:r>
      <w:r w:rsidR="0093313A" w:rsidRPr="0040743B">
        <w:rPr>
          <w:rFonts w:ascii="Times New Roman" w:hAnsi="Times New Roman" w:cs="Times New Roman"/>
          <w:sz w:val="24"/>
          <w:szCs w:val="24"/>
          <w:lang w:val="en-GB"/>
        </w:rPr>
        <w:t xml:space="preserve">are exemplarily shown </w:t>
      </w:r>
      <w:r w:rsidRPr="0040743B">
        <w:rPr>
          <w:rFonts w:ascii="Times New Roman" w:hAnsi="Times New Roman" w:cs="Times New Roman"/>
          <w:sz w:val="24"/>
          <w:szCs w:val="24"/>
          <w:lang w:val="en-GB"/>
        </w:rPr>
        <w:t>(</w:t>
      </w:r>
      <w:bookmarkStart w:id="12" w:name="_Hlk528264834"/>
      <w:r w:rsidRPr="0040743B">
        <w:rPr>
          <w:rFonts w:ascii="Times New Roman" w:hAnsi="Times New Roman" w:cs="Times New Roman"/>
          <w:sz w:val="24"/>
          <w:szCs w:val="24"/>
          <w:lang w:val="en-GB"/>
        </w:rPr>
        <w:t>patient dropped out before being vaccinated with APVAC2</w:t>
      </w:r>
      <w:bookmarkEnd w:id="12"/>
      <w:r w:rsidRPr="0040743B">
        <w:rPr>
          <w:rFonts w:ascii="Times New Roman" w:hAnsi="Times New Roman" w:cs="Times New Roman"/>
          <w:sz w:val="24"/>
          <w:szCs w:val="24"/>
          <w:lang w:val="en-GB"/>
        </w:rPr>
        <w:t xml:space="preserve">). Best predicted HLA class I epitopes are underlined. Red = mutated position. </w:t>
      </w:r>
      <w:r w:rsidRPr="0040743B">
        <w:rPr>
          <w:rFonts w:ascii="Times New Roman" w:hAnsi="Times New Roman" w:cs="Times New Roman"/>
          <w:b/>
          <w:bCs/>
          <w:sz w:val="24"/>
          <w:szCs w:val="24"/>
          <w:lang w:val="en-GB"/>
        </w:rPr>
        <w:t>h</w:t>
      </w:r>
      <w:r w:rsidRPr="0040743B">
        <w:rPr>
          <w:rFonts w:ascii="Times New Roman" w:hAnsi="Times New Roman" w:cs="Times New Roman"/>
          <w:sz w:val="24"/>
          <w:szCs w:val="24"/>
          <w:lang w:val="en-GB"/>
        </w:rPr>
        <w:t>, APVAC2 composition overview for GAPVAC-101 patients vaccinated with APVAC2 (n=11).</w:t>
      </w:r>
    </w:p>
    <w:p w14:paraId="27B76C54" w14:textId="1FF4BF8B" w:rsidR="001556B3" w:rsidRPr="0040743B" w:rsidRDefault="001556B3" w:rsidP="001556B3">
      <w:pPr>
        <w:pStyle w:val="Text"/>
        <w:spacing w:line="480" w:lineRule="auto"/>
        <w:rPr>
          <w:rFonts w:ascii="Times New Roman" w:hAnsi="Times New Roman" w:cs="Times New Roman"/>
          <w:sz w:val="24"/>
          <w:szCs w:val="24"/>
        </w:rPr>
      </w:pPr>
      <w:r w:rsidRPr="0040743B">
        <w:rPr>
          <w:rFonts w:ascii="Times New Roman" w:hAnsi="Times New Roman" w:cs="Times New Roman"/>
          <w:b/>
          <w:bCs/>
          <w:sz w:val="24"/>
          <w:szCs w:val="24"/>
          <w:lang w:val="en-GB"/>
        </w:rPr>
        <w:t xml:space="preserve">Extended Data Figure 2 </w:t>
      </w:r>
      <w:r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 xml:space="preserve">APVAC composition, vaccination schedule, </w:t>
      </w:r>
      <w:r w:rsidR="00B36FC9" w:rsidRPr="0040743B">
        <w:rPr>
          <w:rFonts w:ascii="Times New Roman" w:hAnsi="Times New Roman" w:cs="Times New Roman"/>
          <w:b/>
          <w:bCs/>
          <w:sz w:val="24"/>
          <w:szCs w:val="24"/>
          <w:lang w:val="en-GB"/>
        </w:rPr>
        <w:t>exposure to drug and standard therapy</w:t>
      </w:r>
      <w:r w:rsidRPr="0040743B">
        <w:rPr>
          <w:rFonts w:ascii="Times New Roman" w:hAnsi="Times New Roman" w:cs="Times New Roman"/>
          <w:b/>
          <w:bCs/>
          <w:sz w:val="24"/>
          <w:szCs w:val="24"/>
          <w:lang w:val="en-GB"/>
        </w:rPr>
        <w:t>, and course of patients. a</w:t>
      </w:r>
      <w:r w:rsidRPr="0040743B">
        <w:rPr>
          <w:rFonts w:ascii="Times New Roman" w:hAnsi="Times New Roman" w:cs="Times New Roman"/>
          <w:sz w:val="24"/>
          <w:szCs w:val="24"/>
          <w:lang w:val="en-GB"/>
        </w:rPr>
        <w:t>,</w:t>
      </w:r>
      <w:r w:rsidRPr="0040743B">
        <w:rPr>
          <w:rFonts w:ascii="Times New Roman" w:hAnsi="Times New Roman" w:cs="Times New Roman"/>
          <w:b/>
          <w:bCs/>
          <w:sz w:val="24"/>
          <w:szCs w:val="24"/>
          <w:lang w:val="en-GB"/>
        </w:rPr>
        <w:t xml:space="preserve"> </w:t>
      </w:r>
      <w:r w:rsidRPr="0040743B">
        <w:rPr>
          <w:rFonts w:ascii="Times New Roman" w:hAnsi="Times New Roman" w:cs="Times New Roman"/>
          <w:sz w:val="24"/>
          <w:szCs w:val="24"/>
          <w:lang w:val="en-GB"/>
        </w:rPr>
        <w:t xml:space="preserve">Composition of personalized APVAC1 and APVAC2 drug products. </w:t>
      </w:r>
      <w:r w:rsidRPr="0040743B">
        <w:rPr>
          <w:rFonts w:ascii="Times New Roman" w:hAnsi="Times New Roman" w:cs="Times New Roman"/>
          <w:b/>
          <w:bCs/>
          <w:sz w:val="24"/>
          <w:szCs w:val="24"/>
          <w:lang w:val="en-GB"/>
        </w:rPr>
        <w:t>b</w:t>
      </w:r>
      <w:r w:rsidRPr="0040743B">
        <w:rPr>
          <w:rFonts w:ascii="Times New Roman" w:hAnsi="Times New Roman" w:cs="Times New Roman"/>
          <w:sz w:val="24"/>
          <w:szCs w:val="24"/>
          <w:lang w:val="en-GB"/>
        </w:rPr>
        <w:t xml:space="preserve">, Vaccination schedule for APVAC1 and APVAC2 and the immunomodulators. Note that APVAC1 and APVAC2 vaccinations started independently </w:t>
      </w:r>
      <w:r w:rsidR="00F56989" w:rsidRPr="0040743B">
        <w:rPr>
          <w:rFonts w:ascii="Times New Roman" w:hAnsi="Times New Roman" w:cs="Times New Roman"/>
          <w:sz w:val="24"/>
          <w:szCs w:val="24"/>
          <w:lang w:val="en-GB"/>
        </w:rPr>
        <w:t>on day 15 of</w:t>
      </w:r>
      <w:r w:rsidRPr="0040743B">
        <w:rPr>
          <w:rFonts w:ascii="Times New Roman" w:hAnsi="Times New Roman" w:cs="Times New Roman"/>
          <w:sz w:val="24"/>
          <w:szCs w:val="24"/>
          <w:lang w:val="en-GB"/>
        </w:rPr>
        <w:t xml:space="preserve"> the 1</w:t>
      </w:r>
      <w:r w:rsidRPr="0040743B">
        <w:rPr>
          <w:rFonts w:ascii="Times New Roman" w:hAnsi="Times New Roman" w:cs="Times New Roman"/>
          <w:sz w:val="24"/>
          <w:szCs w:val="24"/>
          <w:vertAlign w:val="superscript"/>
          <w:lang w:val="en-GB"/>
        </w:rPr>
        <w:t>st</w:t>
      </w:r>
      <w:r w:rsidRPr="0040743B">
        <w:rPr>
          <w:rFonts w:ascii="Times New Roman" w:hAnsi="Times New Roman" w:cs="Times New Roman"/>
          <w:sz w:val="24"/>
          <w:szCs w:val="24"/>
          <w:lang w:val="en-GB"/>
        </w:rPr>
        <w:t xml:space="preserve"> and 4</w:t>
      </w:r>
      <w:r w:rsidRPr="0040743B">
        <w:rPr>
          <w:rFonts w:ascii="Times New Roman" w:hAnsi="Times New Roman" w:cs="Times New Roman"/>
          <w:sz w:val="24"/>
          <w:szCs w:val="24"/>
          <w:vertAlign w:val="superscript"/>
          <w:lang w:val="en-GB"/>
        </w:rPr>
        <w:t>th</w:t>
      </w:r>
      <w:r w:rsidRPr="0040743B">
        <w:rPr>
          <w:rFonts w:ascii="Times New Roman" w:hAnsi="Times New Roman" w:cs="Times New Roman"/>
          <w:sz w:val="24"/>
          <w:szCs w:val="24"/>
          <w:lang w:val="en-GB"/>
        </w:rPr>
        <w:t xml:space="preserve"> adjuvant TMZ cycle, respectively. In the default schedule, both APVACs were co-applied at the 9</w:t>
      </w:r>
      <w:r w:rsidRPr="0040743B">
        <w:rPr>
          <w:rFonts w:ascii="Times New Roman" w:hAnsi="Times New Roman" w:cs="Times New Roman"/>
          <w:sz w:val="24"/>
          <w:szCs w:val="24"/>
          <w:vertAlign w:val="superscript"/>
          <w:lang w:val="en-GB"/>
        </w:rPr>
        <w:t>th</w:t>
      </w:r>
      <w:r w:rsidRPr="0040743B">
        <w:rPr>
          <w:rFonts w:ascii="Times New Roman" w:hAnsi="Times New Roman" w:cs="Times New Roman"/>
          <w:sz w:val="24"/>
          <w:szCs w:val="24"/>
          <w:lang w:val="en-GB"/>
        </w:rPr>
        <w:t xml:space="preserve"> APVAC1 / 4</w:t>
      </w:r>
      <w:r w:rsidRPr="0040743B">
        <w:rPr>
          <w:rFonts w:ascii="Times New Roman" w:hAnsi="Times New Roman" w:cs="Times New Roman"/>
          <w:sz w:val="24"/>
          <w:szCs w:val="24"/>
          <w:vertAlign w:val="superscript"/>
          <w:lang w:val="en-GB"/>
        </w:rPr>
        <w:t>th</w:t>
      </w:r>
      <w:r w:rsidRPr="0040743B">
        <w:rPr>
          <w:rFonts w:ascii="Times New Roman" w:hAnsi="Times New Roman" w:cs="Times New Roman"/>
          <w:sz w:val="24"/>
          <w:szCs w:val="24"/>
          <w:lang w:val="en-GB"/>
        </w:rPr>
        <w:t xml:space="preserve"> APVAC2 vaccination, and at all 4-weekly applications following the 10</w:t>
      </w:r>
      <w:r w:rsidRPr="0040743B">
        <w:rPr>
          <w:rFonts w:ascii="Times New Roman" w:hAnsi="Times New Roman" w:cs="Times New Roman"/>
          <w:sz w:val="24"/>
          <w:szCs w:val="24"/>
          <w:vertAlign w:val="superscript"/>
          <w:lang w:val="en-GB"/>
        </w:rPr>
        <w:t>th</w:t>
      </w:r>
      <w:r w:rsidRPr="0040743B">
        <w:rPr>
          <w:rFonts w:ascii="Times New Roman" w:hAnsi="Times New Roman" w:cs="Times New Roman"/>
          <w:sz w:val="24"/>
          <w:szCs w:val="24"/>
          <w:lang w:val="en-GB"/>
        </w:rPr>
        <w:t xml:space="preserve"> APVAC1 / 7</w:t>
      </w:r>
      <w:r w:rsidRPr="0040743B">
        <w:rPr>
          <w:rFonts w:ascii="Times New Roman" w:hAnsi="Times New Roman" w:cs="Times New Roman"/>
          <w:sz w:val="24"/>
          <w:szCs w:val="24"/>
          <w:vertAlign w:val="superscript"/>
          <w:lang w:val="en-GB"/>
        </w:rPr>
        <w:t>th</w:t>
      </w:r>
      <w:r w:rsidRPr="0040743B">
        <w:rPr>
          <w:rFonts w:ascii="Times New Roman" w:hAnsi="Times New Roman" w:cs="Times New Roman"/>
          <w:sz w:val="24"/>
          <w:szCs w:val="24"/>
          <w:lang w:val="en-GB"/>
        </w:rPr>
        <w:t xml:space="preserve"> APVAC2 vaccination. In case of delayed or failed APVAC productions alternative schedules were in place to optimally align vaccinations with standard therapy (not shown). Any assessments at a vaccination visit, including blood draws for PBMC isolation, were performed prior to vaccinations. </w:t>
      </w:r>
      <w:r w:rsidRPr="0040743B">
        <w:rPr>
          <w:rFonts w:ascii="Times New Roman" w:hAnsi="Times New Roman" w:cs="Times New Roman"/>
          <w:b/>
          <w:bCs/>
          <w:sz w:val="24"/>
          <w:szCs w:val="24"/>
          <w:lang w:val="en-GB"/>
        </w:rPr>
        <w:t>c</w:t>
      </w:r>
      <w:r w:rsidRPr="0040743B">
        <w:rPr>
          <w:rFonts w:ascii="Times New Roman" w:hAnsi="Times New Roman" w:cs="Times New Roman"/>
          <w:sz w:val="24"/>
          <w:szCs w:val="24"/>
          <w:lang w:val="en-GB"/>
        </w:rPr>
        <w:t xml:space="preserve">, Patient exposure to study drugs. </w:t>
      </w:r>
      <w:r w:rsidRPr="0040743B">
        <w:rPr>
          <w:rFonts w:ascii="Times New Roman" w:hAnsi="Times New Roman" w:cs="Times New Roman"/>
          <w:b/>
          <w:sz w:val="24"/>
          <w:szCs w:val="24"/>
          <w:lang w:val="en-GB"/>
        </w:rPr>
        <w:t>d</w:t>
      </w:r>
      <w:r w:rsidRPr="0040743B">
        <w:rPr>
          <w:rFonts w:ascii="Times New Roman" w:hAnsi="Times New Roman" w:cs="Times New Roman"/>
          <w:sz w:val="24"/>
          <w:szCs w:val="24"/>
          <w:lang w:val="en-GB"/>
        </w:rPr>
        <w:t xml:space="preserve">, </w:t>
      </w:r>
      <w:r w:rsidRPr="0040743B">
        <w:rPr>
          <w:rFonts w:ascii="Times New Roman" w:hAnsi="Times New Roman" w:cs="Times New Roman"/>
          <w:bCs/>
          <w:sz w:val="24"/>
          <w:szCs w:val="24"/>
          <w:lang w:val="en-GB"/>
        </w:rPr>
        <w:t>Exposure to standard therapy.</w:t>
      </w:r>
      <w:r w:rsidRPr="0040743B">
        <w:rPr>
          <w:rFonts w:ascii="Times New Roman" w:hAnsi="Times New Roman" w:cs="Times New Roman"/>
          <w:sz w:val="24"/>
          <w:szCs w:val="24"/>
          <w:lang w:val="en-GB"/>
        </w:rPr>
        <w:t xml:space="preserve"> Statistics on number of applications, dose and time lines between therapy phases are provided for all enrolled GAPVAC-101 patients (n=16). SD = standard deviation. Reference values for the standard therapy are provided</w:t>
      </w:r>
      <w:r w:rsidR="00CF41F8" w:rsidRPr="0040743B">
        <w:rPr>
          <w:rFonts w:ascii="Times New Roman" w:hAnsi="Times New Roman" w:cs="Times New Roman"/>
          <w:noProof/>
          <w:sz w:val="24"/>
          <w:szCs w:val="24"/>
          <w:vertAlign w:val="superscript"/>
          <w:lang w:val="en-GB"/>
        </w:rPr>
        <w:t>29</w:t>
      </w:r>
      <w:r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rPr>
        <w:t>*Completed treatment assumed with 75 mg/m² for 6-7 weeks calculated with 1.75 m² body surface area. **According to treatment schedule, patient data not published</w:t>
      </w:r>
      <w:r w:rsidR="00CF41F8" w:rsidRPr="0040743B">
        <w:rPr>
          <w:rFonts w:ascii="Times New Roman" w:hAnsi="Times New Roman" w:cs="Times New Roman"/>
          <w:noProof/>
          <w:sz w:val="24"/>
          <w:szCs w:val="24"/>
          <w:vertAlign w:val="superscript"/>
          <w:lang w:val="en-GB"/>
        </w:rPr>
        <w:t>29</w:t>
      </w:r>
      <w:r w:rsidRPr="0040743B">
        <w:rPr>
          <w:rFonts w:ascii="Times New Roman" w:hAnsi="Times New Roman" w:cs="Times New Roman"/>
          <w:sz w:val="24"/>
          <w:szCs w:val="24"/>
          <w:lang w:val="en-GB"/>
        </w:rPr>
        <w:t xml:space="preserve">. </w:t>
      </w:r>
      <w:r w:rsidRPr="0040743B">
        <w:rPr>
          <w:rFonts w:ascii="Times New Roman" w:hAnsi="Times New Roman" w:cs="Times New Roman"/>
          <w:b/>
          <w:sz w:val="24"/>
          <w:szCs w:val="24"/>
          <w:lang w:val="en-GB"/>
        </w:rPr>
        <w:t>e</w:t>
      </w:r>
      <w:r w:rsidRPr="0040743B">
        <w:rPr>
          <w:rFonts w:ascii="Times New Roman" w:hAnsi="Times New Roman" w:cs="Times New Roman"/>
          <w:sz w:val="24"/>
          <w:szCs w:val="24"/>
          <w:lang w:val="en-GB"/>
        </w:rPr>
        <w:t xml:space="preserve">, </w:t>
      </w:r>
      <w:r w:rsidRPr="0040743B">
        <w:rPr>
          <w:rFonts w:ascii="Times New Roman" w:hAnsi="Times New Roman" w:cs="Times New Roman"/>
          <w:bCs/>
          <w:sz w:val="24"/>
          <w:szCs w:val="24"/>
          <w:lang w:val="en-GB"/>
        </w:rPr>
        <w:t>CONSORT-like diagram for patients in the GAPVAC-101 trial.</w:t>
      </w:r>
      <w:r w:rsidRPr="0040743B">
        <w:rPr>
          <w:rFonts w:ascii="Times New Roman" w:hAnsi="Times New Roman" w:cs="Times New Roman"/>
          <w:sz w:val="24"/>
          <w:szCs w:val="24"/>
          <w:lang w:val="en-GB"/>
        </w:rPr>
        <w:t xml:space="preserve"> Completion for APVAC1 and APVAC2 vaccinations according to the trial protocol equals to at least 11 and 8 vaccinations, respectively. </w:t>
      </w:r>
      <w:r w:rsidR="00D15260" w:rsidRPr="0040743B">
        <w:rPr>
          <w:rFonts w:ascii="Times New Roman" w:hAnsi="Times New Roman" w:cs="Times New Roman"/>
          <w:sz w:val="24"/>
          <w:szCs w:val="24"/>
          <w:lang w:val="en-GB"/>
        </w:rPr>
        <w:t xml:space="preserve">Three patients left the study before </w:t>
      </w:r>
      <w:r w:rsidR="00D15260" w:rsidRPr="0040743B">
        <w:rPr>
          <w:rFonts w:ascii="Times New Roman" w:hAnsi="Times New Roman" w:cs="Times New Roman"/>
          <w:sz w:val="24"/>
          <w:szCs w:val="24"/>
          <w:lang w:val="en-GB"/>
        </w:rPr>
        <w:lastRenderedPageBreak/>
        <w:t xml:space="preserve">receiving APVAC2: Two patients withdrew their consents; one patient experienced a </w:t>
      </w:r>
      <w:r w:rsidR="00E37738" w:rsidRPr="0040743B">
        <w:rPr>
          <w:rFonts w:ascii="Times New Roman" w:hAnsi="Times New Roman" w:cs="Times New Roman"/>
          <w:sz w:val="24"/>
          <w:szCs w:val="24"/>
          <w:lang w:val="en-GB"/>
        </w:rPr>
        <w:t xml:space="preserve">grade </w:t>
      </w:r>
      <w:r w:rsidR="00D15260" w:rsidRPr="0040743B">
        <w:rPr>
          <w:rFonts w:ascii="Times New Roman" w:hAnsi="Times New Roman" w:cs="Times New Roman"/>
          <w:sz w:val="24"/>
          <w:szCs w:val="24"/>
          <w:lang w:val="en-GB"/>
        </w:rPr>
        <w:t>3 seizure (unrelated to vaccinations) and withdrew from the study. Additionally, no biomarker data for definition of APVAC2 was available for patient 04 because the tumour specimen was necrotic.</w:t>
      </w:r>
    </w:p>
    <w:p w14:paraId="19FD048F" w14:textId="0B26547E" w:rsidR="00C464B0" w:rsidRPr="0040743B" w:rsidRDefault="00C464B0" w:rsidP="00C464B0">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Extended Data Figure 3</w:t>
      </w:r>
      <w:r w:rsidRPr="0040743B">
        <w:rPr>
          <w:rFonts w:ascii="Times New Roman" w:hAnsi="Times New Roman" w:cs="Times New Roman"/>
          <w:sz w:val="24"/>
          <w:szCs w:val="24"/>
          <w:lang w:val="en-GB"/>
        </w:rPr>
        <w:t xml:space="preserve"> </w:t>
      </w:r>
      <w:r w:rsidRPr="0040743B">
        <w:rPr>
          <w:rFonts w:ascii="Symbol" w:hAnsi="Symbol"/>
          <w:b/>
          <w:sz w:val="24"/>
          <w:szCs w:val="24"/>
          <w:lang w:val="en-GB"/>
        </w:rPr>
        <w:t></w:t>
      </w:r>
      <w:r w:rsidRPr="0040743B">
        <w:rPr>
          <w:rFonts w:ascii="Times New Roman" w:hAnsi="Times New Roman" w:cs="Times New Roman"/>
          <w:b/>
          <w:bCs/>
          <w:sz w:val="24"/>
          <w:szCs w:val="24"/>
          <w:lang w:val="en-GB"/>
        </w:rPr>
        <w:t xml:space="preserve"> </w:t>
      </w:r>
      <w:r w:rsidRPr="0040743B">
        <w:rPr>
          <w:rFonts w:ascii="Times New Roman" w:hAnsi="Times New Roman" w:cs="Times New Roman"/>
          <w:b/>
          <w:sz w:val="24"/>
          <w:szCs w:val="24"/>
          <w:lang w:val="en-GB"/>
        </w:rPr>
        <w:t>Functional c</w:t>
      </w:r>
      <w:r w:rsidRPr="0040743B">
        <w:rPr>
          <w:rFonts w:ascii="Times New Roman" w:hAnsi="Times New Roman" w:cs="Times New Roman"/>
          <w:b/>
          <w:bCs/>
          <w:sz w:val="24"/>
          <w:szCs w:val="24"/>
          <w:lang w:val="en-GB"/>
        </w:rPr>
        <w:t>haracterization of APVAC responses. a</w:t>
      </w:r>
      <w:r w:rsidRPr="0040743B">
        <w:rPr>
          <w:rFonts w:ascii="Times New Roman" w:hAnsi="Times New Roman" w:cs="Times New Roman"/>
          <w:sz w:val="24"/>
          <w:szCs w:val="24"/>
          <w:lang w:val="en-GB"/>
        </w:rPr>
        <w:t>, Expression of activation/exhaustion marker PD-1 for three different immune responses pre-vaccination and at different post-vaccination timepoints. Top: Exemplary response to viral marker peptide HBV-001. Middle and bottom: Exemplary APVAC1-specific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Numbers in plots show ratio of PD-1 mean fluorescence intensity (MFI) for target-specific cells (blue curve) divided by MFI of total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(grey curve). </w:t>
      </w:r>
      <w:r w:rsidRPr="0040743B">
        <w:rPr>
          <w:rFonts w:ascii="Times New Roman" w:hAnsi="Times New Roman" w:cs="Times New Roman"/>
          <w:b/>
          <w:bCs/>
          <w:sz w:val="24"/>
          <w:szCs w:val="24"/>
          <w:lang w:val="en-GB"/>
        </w:rPr>
        <w:t>b</w:t>
      </w:r>
      <w:r w:rsidRPr="0040743B">
        <w:rPr>
          <w:rFonts w:ascii="Times New Roman" w:hAnsi="Times New Roman" w:cs="Times New Roman"/>
          <w:sz w:val="24"/>
          <w:szCs w:val="24"/>
          <w:lang w:val="en-GB"/>
        </w:rPr>
        <w:t>, Summary of PD-1 evaluations as shown in a. Maximal MFI ratio for each CD8</w:t>
      </w:r>
      <w:r w:rsidRPr="0040743B">
        <w:rPr>
          <w:rFonts w:ascii="Times New Roman" w:hAnsi="Times New Roman" w:cs="Times New Roman"/>
          <w:sz w:val="24"/>
          <w:szCs w:val="24"/>
          <w:vertAlign w:val="superscript"/>
          <w:lang w:val="en-GB"/>
        </w:rPr>
        <w:t xml:space="preserve">+ </w:t>
      </w:r>
      <w:r w:rsidRPr="0040743B">
        <w:rPr>
          <w:rFonts w:ascii="Times New Roman" w:hAnsi="Times New Roman" w:cs="Times New Roman"/>
          <w:sz w:val="24"/>
          <w:szCs w:val="24"/>
          <w:lang w:val="en-GB"/>
        </w:rPr>
        <w:t xml:space="preserve">T-cell response to APVAC1 peptides (n=16) and to the viral marker peptide HBV-001 (n=2) from four patients (02, 05, 08, 14). Bars indicate mean. </w:t>
      </w:r>
      <w:r w:rsidRPr="0040743B">
        <w:rPr>
          <w:rFonts w:ascii="Times New Roman" w:hAnsi="Times New Roman" w:cs="Times New Roman"/>
          <w:b/>
          <w:sz w:val="24"/>
          <w:szCs w:val="24"/>
          <w:lang w:val="en-GB"/>
        </w:rPr>
        <w:t>c</w:t>
      </w:r>
      <w:r w:rsidRPr="0040743B">
        <w:rPr>
          <w:rFonts w:ascii="Times New Roman" w:hAnsi="Times New Roman" w:cs="Times New Roman"/>
          <w:sz w:val="24"/>
          <w:szCs w:val="24"/>
          <w:lang w:val="en-GB"/>
        </w:rPr>
        <w:t>, Flow cytometry data for Vital-FR assay shown in Fig. 2c. PTP-013-specific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were sorted from post-vaccination T cells from patient 16, </w:t>
      </w:r>
      <w:r w:rsidRPr="0040743B">
        <w:rPr>
          <w:rFonts w:ascii="Times New Roman" w:hAnsi="Times New Roman" w:cs="Times New Roman"/>
          <w:i/>
          <w:sz w:val="24"/>
          <w:szCs w:val="24"/>
          <w:lang w:val="en-GB"/>
        </w:rPr>
        <w:t>in vitro</w:t>
      </w:r>
      <w:r w:rsidRPr="0040743B">
        <w:rPr>
          <w:rFonts w:ascii="Times New Roman" w:hAnsi="Times New Roman" w:cs="Times New Roman"/>
          <w:sz w:val="24"/>
          <w:szCs w:val="24"/>
          <w:lang w:val="en-GB"/>
        </w:rPr>
        <w:t xml:space="preserve"> expanded in the presence of PTP-013 peptide for three weeks and tested for killing of K562-A2 cells loaded with titrated amounts of PTP-013 peptide (CFSE-labelled) in comparison to K562-A2 cells loaded with an irrelevant peptide (</w:t>
      </w:r>
      <w:proofErr w:type="spellStart"/>
      <w:r w:rsidRPr="0040743B">
        <w:rPr>
          <w:rFonts w:ascii="Times New Roman" w:hAnsi="Times New Roman" w:cs="Times New Roman"/>
          <w:sz w:val="24"/>
          <w:szCs w:val="24"/>
          <w:lang w:val="en-GB"/>
        </w:rPr>
        <w:t>FarRed</w:t>
      </w:r>
      <w:proofErr w:type="spellEnd"/>
      <w:r w:rsidRPr="0040743B">
        <w:rPr>
          <w:rFonts w:ascii="Times New Roman" w:hAnsi="Times New Roman" w:cs="Times New Roman"/>
          <w:sz w:val="24"/>
          <w:szCs w:val="24"/>
          <w:lang w:val="en-GB"/>
        </w:rPr>
        <w:t xml:space="preserve">-labelled). Data at the four lowest peptide concentrations are shown. </w:t>
      </w:r>
      <w:bookmarkStart w:id="13" w:name="_Hlk528191267"/>
      <w:r w:rsidRPr="0040743B">
        <w:rPr>
          <w:rFonts w:ascii="Times New Roman" w:hAnsi="Times New Roman" w:cs="Times New Roman"/>
          <w:sz w:val="24"/>
          <w:szCs w:val="24"/>
          <w:lang w:val="en-GB"/>
        </w:rPr>
        <w:t>Due to limited availability of patient PBMC, this experiment was performed only once</w:t>
      </w:r>
      <w:bookmarkEnd w:id="13"/>
      <w:r w:rsidRPr="0040743B">
        <w:rPr>
          <w:rFonts w:ascii="Times New Roman" w:hAnsi="Times New Roman" w:cs="Times New Roman"/>
          <w:sz w:val="24"/>
          <w:szCs w:val="24"/>
          <w:lang w:val="en-GB"/>
        </w:rPr>
        <w:t xml:space="preserve"> with n=3 replicates. </w:t>
      </w:r>
      <w:r w:rsidRPr="0040743B">
        <w:rPr>
          <w:rFonts w:ascii="Times New Roman" w:hAnsi="Times New Roman" w:cs="Times New Roman"/>
          <w:b/>
          <w:sz w:val="24"/>
          <w:szCs w:val="24"/>
          <w:lang w:val="en-GB"/>
        </w:rPr>
        <w:t>d</w:t>
      </w:r>
      <w:r w:rsidRPr="0040743B">
        <w:rPr>
          <w:rFonts w:ascii="Times New Roman" w:hAnsi="Times New Roman" w:cs="Times New Roman"/>
          <w:sz w:val="24"/>
          <w:szCs w:val="24"/>
          <w:lang w:val="en-GB"/>
        </w:rPr>
        <w:t>, BCA-002-reactive T cells from pre-vaccination PBMC from patient 11 were cloned and expanded with PHA/IL-2. Obtained clones were tested in a flow cytometer-based cytotoxicity assay using T2 cells loaded with titrated amounts of peptide. Results for n=10 different clones are shown with calculated EC</w:t>
      </w:r>
      <w:r w:rsidRPr="0040743B">
        <w:rPr>
          <w:rFonts w:ascii="Times New Roman" w:hAnsi="Times New Roman" w:cs="Times New Roman"/>
          <w:sz w:val="24"/>
          <w:szCs w:val="24"/>
          <w:vertAlign w:val="subscript"/>
          <w:lang w:val="en-GB"/>
        </w:rPr>
        <w:t>50</w:t>
      </w:r>
      <w:r w:rsidRPr="0040743B">
        <w:rPr>
          <w:rFonts w:ascii="Times New Roman" w:hAnsi="Times New Roman" w:cs="Times New Roman"/>
          <w:sz w:val="24"/>
          <w:szCs w:val="24"/>
          <w:lang w:val="en-GB"/>
        </w:rPr>
        <w:t xml:space="preserve"> values between 49 </w:t>
      </w:r>
      <w:proofErr w:type="spellStart"/>
      <w:r w:rsidRPr="0040743B">
        <w:rPr>
          <w:rFonts w:ascii="Times New Roman" w:hAnsi="Times New Roman" w:cs="Times New Roman"/>
          <w:sz w:val="24"/>
          <w:szCs w:val="24"/>
          <w:lang w:val="en-GB"/>
        </w:rPr>
        <w:t>pM</w:t>
      </w:r>
      <w:proofErr w:type="spellEnd"/>
      <w:r w:rsidRPr="0040743B">
        <w:rPr>
          <w:rFonts w:ascii="Times New Roman" w:hAnsi="Times New Roman" w:cs="Times New Roman"/>
          <w:sz w:val="24"/>
          <w:szCs w:val="24"/>
          <w:lang w:val="en-GB"/>
        </w:rPr>
        <w:t xml:space="preserve"> and 2.8 </w:t>
      </w:r>
      <w:proofErr w:type="spellStart"/>
      <w:r w:rsidRPr="0040743B">
        <w:rPr>
          <w:rFonts w:ascii="Times New Roman" w:hAnsi="Times New Roman" w:cs="Times New Roman"/>
          <w:sz w:val="24"/>
          <w:szCs w:val="24"/>
          <w:lang w:val="en-GB"/>
        </w:rPr>
        <w:t>nM</w:t>
      </w:r>
      <w:proofErr w:type="spellEnd"/>
      <w:r w:rsidRPr="0040743B">
        <w:rPr>
          <w:rFonts w:ascii="Times New Roman" w:hAnsi="Times New Roman" w:cs="Times New Roman"/>
          <w:sz w:val="24"/>
          <w:szCs w:val="24"/>
          <w:lang w:val="en-GB"/>
        </w:rPr>
        <w:t xml:space="preserve"> (means of 2-3 replicates per clone). </w:t>
      </w:r>
      <w:r w:rsidRPr="0040743B">
        <w:rPr>
          <w:rFonts w:ascii="Times New Roman" w:hAnsi="Times New Roman" w:cs="Times New Roman"/>
          <w:b/>
          <w:sz w:val="24"/>
          <w:szCs w:val="24"/>
          <w:lang w:val="en-GB"/>
        </w:rPr>
        <w:t>e</w:t>
      </w:r>
      <w:r w:rsidRPr="0040743B">
        <w:rPr>
          <w:rFonts w:ascii="Times New Roman" w:hAnsi="Times New Roman" w:cs="Times New Roman"/>
          <w:sz w:val="24"/>
          <w:szCs w:val="24"/>
          <w:lang w:val="en-GB"/>
        </w:rPr>
        <w:t xml:space="preserve">, ‘NLGN4X T cells’ as described for Fig. 2e were able to lyse </w:t>
      </w:r>
      <w:r w:rsidRPr="0040743B">
        <w:rPr>
          <w:rFonts w:ascii="Times New Roman" w:hAnsi="Times New Roman" w:cs="Times New Roman"/>
          <w:sz w:val="24"/>
          <w:szCs w:val="24"/>
          <w:lang w:val="en-GB"/>
        </w:rPr>
        <w:lastRenderedPageBreak/>
        <w:t>specifically the A*02</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GB cell line P3XX that endogenously expresses NLGN4X (LDH release assay). HD T cells = healthy donor derived T cells, </w:t>
      </w:r>
      <w:r w:rsidRPr="0040743B">
        <w:rPr>
          <w:rFonts w:ascii="Times New Roman" w:hAnsi="Times New Roman" w:cs="Times New Roman"/>
          <w:sz w:val="24"/>
          <w:szCs w:val="24"/>
          <w:u w:val="single"/>
          <w:lang w:val="en-GB"/>
        </w:rPr>
        <w:t>not</w:t>
      </w:r>
      <w:r w:rsidRPr="0040743B">
        <w:rPr>
          <w:rFonts w:ascii="Times New Roman" w:hAnsi="Times New Roman" w:cs="Times New Roman"/>
          <w:sz w:val="24"/>
          <w:szCs w:val="24"/>
          <w:lang w:val="en-GB"/>
        </w:rPr>
        <w:t xml:space="preserve"> target-specific. Results from n=3 replicates are shown (median and range).</w:t>
      </w:r>
      <w:r w:rsidRPr="0040743B">
        <w:rPr>
          <w:rFonts w:ascii="Times New Roman" w:hAnsi="Times New Roman" w:cs="Times New Roman"/>
          <w:sz w:val="24"/>
          <w:szCs w:val="24"/>
        </w:rPr>
        <w:t xml:space="preserve"> </w:t>
      </w:r>
      <w:r w:rsidRPr="0040743B">
        <w:rPr>
          <w:rFonts w:ascii="Times New Roman" w:hAnsi="Times New Roman" w:cs="Times New Roman"/>
          <w:b/>
          <w:sz w:val="24"/>
          <w:szCs w:val="24"/>
        </w:rPr>
        <w:t>f</w:t>
      </w:r>
      <w:r w:rsidRPr="0040743B">
        <w:rPr>
          <w:rFonts w:ascii="Times New Roman" w:hAnsi="Times New Roman" w:cs="Times New Roman"/>
          <w:sz w:val="24"/>
          <w:szCs w:val="24"/>
        </w:rPr>
        <w:t xml:space="preserve">, </w:t>
      </w:r>
      <w:r w:rsidRPr="0040743B">
        <w:rPr>
          <w:rFonts w:ascii="Times New Roman" w:hAnsi="Times New Roman" w:cs="Times New Roman"/>
          <w:sz w:val="24"/>
          <w:szCs w:val="24"/>
          <w:lang w:val="en-GB"/>
        </w:rPr>
        <w:t>NLGN4X T cells were either co-cultured with GB cell line U87MG transduced with NLGN4X-nLuc (red), irrelevant control NRCAM-</w:t>
      </w:r>
      <w:proofErr w:type="spellStart"/>
      <w:r w:rsidRPr="0040743B">
        <w:rPr>
          <w:rFonts w:ascii="Times New Roman" w:hAnsi="Times New Roman" w:cs="Times New Roman"/>
          <w:sz w:val="24"/>
          <w:szCs w:val="24"/>
          <w:lang w:val="en-GB"/>
        </w:rPr>
        <w:t>nLuc</w:t>
      </w:r>
      <w:proofErr w:type="spellEnd"/>
      <w:r w:rsidRPr="0040743B">
        <w:rPr>
          <w:rFonts w:ascii="Times New Roman" w:hAnsi="Times New Roman" w:cs="Times New Roman"/>
          <w:sz w:val="24"/>
          <w:szCs w:val="24"/>
          <w:lang w:val="en-GB"/>
        </w:rPr>
        <w:t xml:space="preserve"> (black) or in the absence of target cells (blue). With increasing E:T ratio, complete eradication of NLGN4X-nLuc expressing target cells is shown (</w:t>
      </w:r>
      <w:proofErr w:type="spellStart"/>
      <w:r w:rsidRPr="0040743B">
        <w:rPr>
          <w:rFonts w:ascii="Times New Roman" w:eastAsia="Times New Roman" w:hAnsi="Times New Roman" w:cs="Times New Roman"/>
          <w:sz w:val="24"/>
          <w:szCs w:val="24"/>
          <w:lang w:val="en-GB"/>
        </w:rPr>
        <w:t>NanoLuc</w:t>
      </w:r>
      <w:proofErr w:type="spellEnd"/>
      <w:r w:rsidRPr="0040743B">
        <w:rPr>
          <w:rFonts w:ascii="Times New Roman" w:eastAsia="Times New Roman" w:hAnsi="Times New Roman" w:cs="Times New Roman"/>
          <w:sz w:val="24"/>
          <w:szCs w:val="24"/>
          <w:vertAlign w:val="superscript"/>
          <w:lang w:val="en-GB"/>
        </w:rPr>
        <w:t>®</w:t>
      </w:r>
      <w:r w:rsidRPr="0040743B">
        <w:rPr>
          <w:rFonts w:ascii="Times New Roman" w:eastAsia="Times New Roman" w:hAnsi="Times New Roman" w:cs="Times New Roman"/>
          <w:sz w:val="24"/>
          <w:szCs w:val="24"/>
          <w:lang w:val="en-GB"/>
        </w:rPr>
        <w:t xml:space="preserve"> luciferase-based killing assays, median and range from n=4 replicates shown</w:t>
      </w:r>
      <w:r w:rsidRPr="0040743B">
        <w:rPr>
          <w:rFonts w:ascii="Times New Roman" w:hAnsi="Times New Roman" w:cs="Times New Roman"/>
          <w:sz w:val="24"/>
          <w:szCs w:val="24"/>
          <w:lang w:val="en-GB"/>
        </w:rPr>
        <w:t>).</w:t>
      </w:r>
      <w:r w:rsidRPr="0040743B">
        <w:rPr>
          <w:rFonts w:ascii="Times New Roman" w:eastAsia="Times New Roman" w:hAnsi="Times New Roman" w:cs="Times New Roman"/>
          <w:color w:val="auto"/>
          <w:sz w:val="24"/>
          <w:szCs w:val="24"/>
        </w:rPr>
        <w:t xml:space="preserve"> RLU = relative luminometer units. For additional functional data of warehouse peptides see also</w:t>
      </w:r>
      <w:r w:rsidRPr="0040743B">
        <w:rPr>
          <w:rFonts w:ascii="Times New Roman" w:eastAsia="Times New Roman" w:hAnsi="Times New Roman" w:cs="Times New Roman"/>
          <w:noProof/>
          <w:color w:val="auto"/>
          <w:sz w:val="24"/>
          <w:szCs w:val="24"/>
          <w:vertAlign w:val="superscript"/>
        </w:rPr>
        <w:t>18</w:t>
      </w:r>
      <w:r w:rsidRPr="0040743B">
        <w:rPr>
          <w:rFonts w:ascii="Times New Roman" w:eastAsia="Times New Roman" w:hAnsi="Times New Roman" w:cs="Times New Roman"/>
          <w:color w:val="auto"/>
          <w:sz w:val="24"/>
          <w:szCs w:val="24"/>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sz w:val="24"/>
          <w:szCs w:val="24"/>
          <w:lang w:val="en-GB"/>
        </w:rPr>
        <w:t>g</w:t>
      </w:r>
      <w:r w:rsidRPr="0040743B">
        <w:rPr>
          <w:rFonts w:ascii="Times New Roman" w:hAnsi="Times New Roman" w:cs="Times New Roman"/>
          <w:sz w:val="24"/>
          <w:szCs w:val="24"/>
          <w:lang w:val="en-GB"/>
        </w:rPr>
        <w:t xml:space="preserve">, Expression of the source genes PTPRZ1 and NLGN4X in the used GB cell lines as compared to the housekeeping gene </w:t>
      </w:r>
      <w:r w:rsidRPr="0040743B">
        <w:rPr>
          <w:rFonts w:ascii="Times New Roman" w:hAnsi="Times New Roman" w:cs="Times New Roman"/>
          <w:sz w:val="24"/>
          <w:szCs w:val="24"/>
          <w:lang w:val="en-GB"/>
        </w:rPr>
        <w:sym w:font="Symbol" w:char="F062"/>
      </w:r>
      <w:r w:rsidRPr="0040743B">
        <w:rPr>
          <w:rFonts w:ascii="Times New Roman" w:hAnsi="Times New Roman" w:cs="Times New Roman"/>
          <w:sz w:val="24"/>
          <w:szCs w:val="24"/>
          <w:lang w:val="en-GB"/>
        </w:rPr>
        <w:t>-actin measured by q</w:t>
      </w:r>
      <w:r w:rsidR="00F35387" w:rsidRPr="0040743B">
        <w:rPr>
          <w:rFonts w:ascii="Times New Roman" w:hAnsi="Times New Roman" w:cs="Times New Roman"/>
          <w:sz w:val="24"/>
          <w:szCs w:val="24"/>
          <w:lang w:val="en-GB"/>
        </w:rPr>
        <w:t xml:space="preserve">uantitative </w:t>
      </w:r>
      <w:r w:rsidRPr="0040743B">
        <w:rPr>
          <w:rFonts w:ascii="Times New Roman" w:hAnsi="Times New Roman" w:cs="Times New Roman"/>
          <w:sz w:val="24"/>
          <w:szCs w:val="24"/>
          <w:lang w:val="en-GB"/>
        </w:rPr>
        <w:t>PCR. Boxes describe range and median from n=4-6 replicates.</w:t>
      </w:r>
    </w:p>
    <w:p w14:paraId="2B638730" w14:textId="530AF1F4" w:rsidR="0096380F" w:rsidRPr="0040743B" w:rsidRDefault="0096380F" w:rsidP="0096380F">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 xml:space="preserve">Extended Data Figure 4 </w:t>
      </w:r>
      <w:r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sz w:val="24"/>
          <w:szCs w:val="24"/>
          <w:lang w:val="en-GB"/>
        </w:rPr>
        <w:t>Additional immune response data.</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a</w:t>
      </w:r>
      <w:r w:rsidRPr="0040743B">
        <w:rPr>
          <w:rFonts w:ascii="Times New Roman" w:hAnsi="Times New Roman" w:cs="Times New Roman"/>
          <w:sz w:val="24"/>
          <w:szCs w:val="24"/>
          <w:lang w:val="en-GB"/>
        </w:rPr>
        <w:t>, APVAC1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parameters including MCIF</w:t>
      </w:r>
      <w:r w:rsidR="0040743B">
        <w:rPr>
          <w:rFonts w:ascii="Times New Roman" w:hAnsi="Times New Roman" w:cs="Times New Roman"/>
          <w:sz w:val="24"/>
          <w:szCs w:val="24"/>
          <w:lang w:val="en-GB"/>
        </w:rPr>
        <w:t xml:space="preserve"> </w:t>
      </w:r>
      <w:r w:rsidR="005468A8"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se</w:t>
      </w:r>
      <w:bookmarkStart w:id="14" w:name="_GoBack"/>
      <w:bookmarkEnd w:id="14"/>
      <w:r w:rsidRPr="0040743B">
        <w:rPr>
          <w:rFonts w:ascii="Times New Roman" w:hAnsi="Times New Roman" w:cs="Times New Roman"/>
          <w:sz w:val="24"/>
          <w:szCs w:val="24"/>
          <w:lang w:val="en-GB"/>
        </w:rPr>
        <w:t>e Online Methods), T</w:t>
      </w:r>
      <w:r w:rsidRPr="0040743B">
        <w:rPr>
          <w:rFonts w:ascii="Times New Roman" w:hAnsi="Times New Roman" w:cs="Times New Roman"/>
          <w:sz w:val="24"/>
          <w:szCs w:val="24"/>
          <w:vertAlign w:val="subscript"/>
          <w:lang w:val="en-GB"/>
        </w:rPr>
        <w:t>reg</w:t>
      </w:r>
      <w:r w:rsidRPr="0040743B">
        <w:rPr>
          <w:rFonts w:ascii="Times New Roman" w:hAnsi="Times New Roman" w:cs="Times New Roman"/>
          <w:sz w:val="24"/>
          <w:szCs w:val="24"/>
          <w:lang w:val="en-GB"/>
        </w:rPr>
        <w:t xml:space="preserve"> frequencies at baseline and predominant phenotypes of APVAC-induced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for APVAC1 immune-evaluable patients (n=13). </w:t>
      </w:r>
      <w:proofErr w:type="spellStart"/>
      <w:r w:rsidRPr="0040743B">
        <w:rPr>
          <w:rFonts w:ascii="Times New Roman" w:hAnsi="Times New Roman" w:cs="Times New Roman"/>
          <w:sz w:val="24"/>
          <w:szCs w:val="24"/>
          <w:lang w:val="en-GB"/>
        </w:rPr>
        <w:t>n.e.</w:t>
      </w:r>
      <w:proofErr w:type="spellEnd"/>
      <w:r w:rsidRPr="0040743B">
        <w:rPr>
          <w:rFonts w:ascii="Times New Roman" w:hAnsi="Times New Roman" w:cs="Times New Roman"/>
          <w:sz w:val="24"/>
          <w:szCs w:val="24"/>
          <w:lang w:val="en-GB"/>
        </w:rPr>
        <w:t xml:space="preserve"> = not evaluable. </w:t>
      </w:r>
      <w:r w:rsidRPr="0040743B">
        <w:rPr>
          <w:rFonts w:ascii="Times New Roman" w:hAnsi="Times New Roman" w:cs="Times New Roman"/>
          <w:b/>
          <w:sz w:val="24"/>
          <w:szCs w:val="24"/>
          <w:lang w:val="en-GB"/>
        </w:rPr>
        <w:t>b</w:t>
      </w:r>
      <w:r w:rsidRPr="0040743B">
        <w:rPr>
          <w:rFonts w:ascii="Times New Roman" w:hAnsi="Times New Roman" w:cs="Times New Roman"/>
          <w:sz w:val="24"/>
          <w:szCs w:val="24"/>
          <w:lang w:val="en-GB"/>
        </w:rPr>
        <w:t xml:space="preserve">, Frequency of NLGN4X-001-specific T cells of patient 02 by differentiation phenotype summarized from the flow cytometry data shown in Fig. 2b. </w:t>
      </w:r>
      <w:r w:rsidRPr="0040743B">
        <w:rPr>
          <w:rFonts w:ascii="Times New Roman" w:hAnsi="Times New Roman" w:cs="Times New Roman"/>
          <w:b/>
          <w:sz w:val="24"/>
          <w:szCs w:val="24"/>
          <w:lang w:val="en-GB"/>
        </w:rPr>
        <w:t>c</w:t>
      </w:r>
      <w:r w:rsidRPr="0040743B">
        <w:rPr>
          <w:rFonts w:ascii="Times New Roman" w:hAnsi="Times New Roman" w:cs="Times New Roman"/>
          <w:sz w:val="24"/>
          <w:szCs w:val="24"/>
          <w:lang w:val="en-GB"/>
        </w:rPr>
        <w:t>, T</w:t>
      </w:r>
      <w:r w:rsidRPr="0040743B">
        <w:rPr>
          <w:rFonts w:ascii="Times New Roman" w:hAnsi="Times New Roman" w:cs="Times New Roman"/>
          <w:sz w:val="24"/>
          <w:szCs w:val="24"/>
          <w:vertAlign w:val="subscript"/>
          <w:lang w:val="en-GB"/>
        </w:rPr>
        <w:t>H</w:t>
      </w:r>
      <w:r w:rsidRPr="0040743B">
        <w:rPr>
          <w:rFonts w:ascii="Times New Roman" w:hAnsi="Times New Roman" w:cs="Times New Roman"/>
          <w:sz w:val="24"/>
          <w:szCs w:val="24"/>
          <w:lang w:val="en-GB"/>
        </w:rPr>
        <w:t>1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against the APVAC1 HLA class II peptide PTP-010 in PBMC from patient 08 confirming ELISpot results (Fig. 5d) and reactivity in TIL (Fig. 5c). </w:t>
      </w:r>
      <w:r w:rsidRPr="0040743B">
        <w:rPr>
          <w:rFonts w:ascii="Times New Roman" w:hAnsi="Times New Roman" w:cs="Times New Roman"/>
          <w:b/>
          <w:bCs/>
          <w:sz w:val="24"/>
          <w:szCs w:val="24"/>
          <w:lang w:val="en-GB"/>
        </w:rPr>
        <w:t>d</w:t>
      </w:r>
      <w:r w:rsidRPr="0040743B">
        <w:rPr>
          <w:rFonts w:ascii="Times New Roman" w:hAnsi="Times New Roman" w:cs="Times New Roman"/>
          <w:sz w:val="24"/>
          <w:szCs w:val="24"/>
          <w:lang w:val="en-GB"/>
        </w:rPr>
        <w:t>, MCIF for GAPVAC-101 patients (n=13 evaluable) by APVAC1-specific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type. For response type colour codes see (a). </w:t>
      </w:r>
      <w:r w:rsidRPr="0040743B">
        <w:rPr>
          <w:rFonts w:ascii="Times New Roman" w:hAnsi="Times New Roman" w:cs="Times New Roman"/>
          <w:b/>
          <w:sz w:val="24"/>
          <w:szCs w:val="24"/>
          <w:lang w:val="en-GB"/>
        </w:rPr>
        <w:t>e</w:t>
      </w:r>
      <w:r w:rsidRPr="0040743B">
        <w:rPr>
          <w:rFonts w:ascii="Times New Roman" w:hAnsi="Times New Roman" w:cs="Times New Roman"/>
          <w:sz w:val="24"/>
          <w:szCs w:val="24"/>
          <w:lang w:val="en-GB"/>
        </w:rPr>
        <w:t>, Pre-treatment T</w:t>
      </w:r>
      <w:r w:rsidRPr="0040743B">
        <w:rPr>
          <w:rFonts w:ascii="Times New Roman" w:hAnsi="Times New Roman" w:cs="Times New Roman"/>
          <w:sz w:val="24"/>
          <w:szCs w:val="24"/>
          <w:vertAlign w:val="subscript"/>
          <w:lang w:val="en-GB"/>
        </w:rPr>
        <w:t>reg</w:t>
      </w:r>
      <w:r w:rsidRPr="0040743B">
        <w:rPr>
          <w:rFonts w:ascii="Times New Roman" w:hAnsi="Times New Roman" w:cs="Times New Roman"/>
          <w:sz w:val="24"/>
          <w:szCs w:val="24"/>
          <w:lang w:val="en-GB"/>
        </w:rPr>
        <w:t xml:space="preserve"> for patients with high vs. low MCIF (evaluable for n=12 patients). </w:t>
      </w:r>
      <w:r w:rsidRPr="0040743B">
        <w:rPr>
          <w:rFonts w:ascii="Times New Roman" w:hAnsi="Times New Roman" w:cs="Times New Roman"/>
          <w:b/>
          <w:bCs/>
          <w:sz w:val="24"/>
          <w:szCs w:val="24"/>
          <w:lang w:val="en-GB"/>
        </w:rPr>
        <w:t>f</w:t>
      </w:r>
      <w:r w:rsidRPr="0040743B">
        <w:rPr>
          <w:rFonts w:ascii="Times New Roman" w:hAnsi="Times New Roman" w:cs="Times New Roman"/>
          <w:sz w:val="24"/>
          <w:szCs w:val="24"/>
          <w:lang w:val="en-GB"/>
        </w:rPr>
        <w:t>, Peak frequencies of IFN-</w:t>
      </w:r>
      <w:r w:rsidRPr="0040743B">
        <w:rPr>
          <w:rFonts w:ascii="Times New Roman" w:hAnsi="Times New Roman" w:cs="Times New Roman"/>
          <w:sz w:val="24"/>
          <w:szCs w:val="24"/>
          <w:lang w:val="en-GB"/>
        </w:rPr>
        <w:sym w:font="Symbol" w:char="F067"/>
      </w:r>
      <w:r w:rsidRPr="0040743B">
        <w:rPr>
          <w:rFonts w:ascii="Times New Roman" w:hAnsi="Times New Roman" w:cs="Times New Roman"/>
          <w:sz w:val="24"/>
          <w:szCs w:val="24"/>
          <w:lang w:val="en-GB"/>
        </w:rPr>
        <w:t xml:space="preserve"> producing APVAC1 pan-DR peptide-specific CD4</w:t>
      </w:r>
      <w:r w:rsidRPr="0040743B">
        <w:rPr>
          <w:rFonts w:ascii="Times New Roman" w:hAnsi="Times New Roman" w:cs="Times New Roman"/>
          <w:sz w:val="24"/>
          <w:szCs w:val="24"/>
          <w:vertAlign w:val="superscript"/>
          <w:lang w:val="en-GB"/>
        </w:rPr>
        <w:t xml:space="preserve">+ </w:t>
      </w:r>
      <w:r w:rsidRPr="0040743B">
        <w:rPr>
          <w:rFonts w:ascii="Times New Roman" w:hAnsi="Times New Roman" w:cs="Times New Roman"/>
          <w:sz w:val="24"/>
          <w:szCs w:val="24"/>
          <w:lang w:val="en-GB"/>
        </w:rPr>
        <w:t>T-cells in patients with high T</w:t>
      </w:r>
      <w:r w:rsidRPr="0040743B">
        <w:rPr>
          <w:rFonts w:ascii="Times New Roman" w:hAnsi="Times New Roman" w:cs="Times New Roman"/>
          <w:sz w:val="24"/>
          <w:szCs w:val="24"/>
          <w:vertAlign w:val="subscript"/>
          <w:lang w:val="en-GB"/>
        </w:rPr>
        <w:t>reg</w:t>
      </w:r>
      <w:r w:rsidRPr="0040743B">
        <w:rPr>
          <w:rFonts w:ascii="Times New Roman" w:hAnsi="Times New Roman" w:cs="Times New Roman"/>
          <w:sz w:val="24"/>
          <w:szCs w:val="24"/>
          <w:lang w:val="en-GB"/>
        </w:rPr>
        <w:t xml:space="preserve"> frequencies (&gt;median: 3.6%) vs. low T</w:t>
      </w:r>
      <w:r w:rsidRPr="0040743B">
        <w:rPr>
          <w:rFonts w:ascii="Times New Roman" w:hAnsi="Times New Roman" w:cs="Times New Roman"/>
          <w:sz w:val="24"/>
          <w:szCs w:val="24"/>
          <w:vertAlign w:val="subscript"/>
          <w:lang w:val="en-GB"/>
        </w:rPr>
        <w:t>reg</w:t>
      </w:r>
      <w:r w:rsidRPr="0040743B">
        <w:rPr>
          <w:rFonts w:ascii="Times New Roman" w:hAnsi="Times New Roman" w:cs="Times New Roman"/>
          <w:sz w:val="24"/>
          <w:szCs w:val="24"/>
          <w:lang w:val="en-GB"/>
        </w:rPr>
        <w:t xml:space="preserve"> frequencies. Each dot represents one response (n=24, two for each of the 12 evaluable patients). </w:t>
      </w:r>
      <w:r w:rsidRPr="0040743B">
        <w:rPr>
          <w:rFonts w:ascii="Times New Roman" w:hAnsi="Times New Roman" w:cs="Times New Roman"/>
          <w:b/>
          <w:sz w:val="24"/>
          <w:szCs w:val="24"/>
          <w:lang w:val="en-GB"/>
        </w:rPr>
        <w:t>d-f</w:t>
      </w:r>
      <w:r w:rsidRPr="0040743B">
        <w:rPr>
          <w:rFonts w:ascii="Times New Roman" w:hAnsi="Times New Roman" w:cs="Times New Roman"/>
          <w:sz w:val="24"/>
          <w:szCs w:val="24"/>
          <w:lang w:val="en-GB"/>
        </w:rPr>
        <w:t xml:space="preserve">, Median and 95% CI of median are depicted, p values determined by two-sided Mann </w:t>
      </w:r>
      <w:r w:rsidRPr="0040743B">
        <w:rPr>
          <w:rFonts w:ascii="Times New Roman" w:hAnsi="Times New Roman" w:cs="Times New Roman"/>
          <w:sz w:val="24"/>
          <w:szCs w:val="24"/>
          <w:lang w:val="en-GB"/>
        </w:rPr>
        <w:lastRenderedPageBreak/>
        <w:t xml:space="preserve">Whitney U test. </w:t>
      </w:r>
      <w:r w:rsidRPr="0040743B">
        <w:rPr>
          <w:rFonts w:ascii="Times New Roman" w:hAnsi="Times New Roman" w:cs="Times New Roman"/>
          <w:b/>
          <w:bCs/>
          <w:sz w:val="24"/>
          <w:szCs w:val="24"/>
          <w:lang w:val="en-GB"/>
        </w:rPr>
        <w:t>g</w:t>
      </w:r>
      <w:r w:rsidRPr="0040743B">
        <w:rPr>
          <w:rFonts w:ascii="Times New Roman" w:hAnsi="Times New Roman" w:cs="Times New Roman"/>
          <w:sz w:val="24"/>
          <w:szCs w:val="24"/>
          <w:lang w:val="en-GB"/>
        </w:rPr>
        <w:t>, Immune responder rates (with and without memory shift) in GAPVAC-101 and a previous vaccine trial (IMA950-101) with the invariant multi-peptide vaccine IMA950</w:t>
      </w:r>
      <w:r w:rsidRPr="0040743B">
        <w:rPr>
          <w:rFonts w:ascii="Times New Roman" w:hAnsi="Times New Roman" w:cs="Times New Roman"/>
          <w:noProof/>
          <w:sz w:val="24"/>
          <w:szCs w:val="24"/>
          <w:vertAlign w:val="superscript"/>
          <w:lang w:val="en-GB"/>
        </w:rPr>
        <w:t>16</w:t>
      </w:r>
      <w:r w:rsidRPr="0040743B">
        <w:rPr>
          <w:rFonts w:ascii="Times New Roman" w:hAnsi="Times New Roman" w:cs="Times New Roman"/>
          <w:sz w:val="24"/>
          <w:szCs w:val="24"/>
          <w:lang w:val="en-GB"/>
        </w:rPr>
        <w:t xml:space="preserve"> for the warehouse antigens BCA-002, NLGN4X-001, PTP-005 and the viral marker HBV-001 shared by both vaccines. Antigen responses were evaluated in both cases by the same </w:t>
      </w:r>
      <w:r w:rsidRPr="0040743B">
        <w:rPr>
          <w:rFonts w:ascii="Times New Roman" w:hAnsi="Times New Roman" w:cs="Times New Roman"/>
          <w:i/>
          <w:iCs/>
          <w:sz w:val="24"/>
          <w:szCs w:val="24"/>
          <w:lang w:val="en-GB"/>
        </w:rPr>
        <w:t>ex vivo</w:t>
      </w:r>
      <w:r w:rsidRPr="0040743B">
        <w:rPr>
          <w:rFonts w:ascii="Times New Roman" w:hAnsi="Times New Roman" w:cs="Times New Roman"/>
          <w:sz w:val="24"/>
          <w:szCs w:val="24"/>
          <w:lang w:val="en-GB"/>
        </w:rPr>
        <w:t xml:space="preserve"> multimer 2D assay. Numbers below bars indicate number of patients analysed for the respective antigen. In IMA950-101 with comparable GB patient population, specific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were rarely detected </w:t>
      </w:r>
      <w:r w:rsidRPr="0040743B">
        <w:rPr>
          <w:rFonts w:ascii="Times New Roman" w:hAnsi="Times New Roman" w:cs="Times New Roman"/>
          <w:i/>
          <w:iCs/>
          <w:sz w:val="24"/>
          <w:szCs w:val="24"/>
          <w:lang w:val="en-GB"/>
        </w:rPr>
        <w:t>ex vivo</w:t>
      </w:r>
      <w:r w:rsidRPr="0040743B">
        <w:rPr>
          <w:rFonts w:ascii="Times New Roman" w:hAnsi="Times New Roman" w:cs="Times New Roman"/>
          <w:iCs/>
          <w:sz w:val="24"/>
          <w:szCs w:val="24"/>
          <w:lang w:val="en-GB"/>
        </w:rPr>
        <w:t>. In the GAPVAC-101 trial</w:t>
      </w:r>
      <w:r w:rsidRPr="0040743B">
        <w:rPr>
          <w:rFonts w:ascii="Times New Roman" w:hAnsi="Times New Roman" w:cs="Times New Roman"/>
          <w:i/>
          <w:iCs/>
          <w:sz w:val="24"/>
          <w:szCs w:val="24"/>
          <w:lang w:val="en-GB"/>
        </w:rPr>
        <w:t xml:space="preserve">, </w:t>
      </w:r>
      <w:r w:rsidRPr="0040743B">
        <w:rPr>
          <w:rFonts w:ascii="Times New Roman" w:hAnsi="Times New Roman" w:cs="Times New Roman"/>
          <w:sz w:val="24"/>
          <w:szCs w:val="24"/>
          <w:lang w:val="en-GB"/>
        </w:rPr>
        <w:t>measurable and sustained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memory T-cell responses (with at least duplication of memory cell frequencies) against the same tumour antigens were frequent. The pre-immunogenicity testing in GAPVAC-101 is likely not the main cause of the observed higher response rate, as progenitor T cells for the three compared antigens are abundant in A*02</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individuals (see </w:t>
      </w:r>
      <w:r w:rsidRPr="0040743B">
        <w:rPr>
          <w:rFonts w:ascii="Times New Roman" w:hAnsi="Times New Roman" w:cs="Times New Roman"/>
          <w:bCs/>
          <w:sz w:val="24"/>
          <w:szCs w:val="24"/>
          <w:lang w:val="en-GB"/>
        </w:rPr>
        <w:t>Supplementary Table 1</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h</w:t>
      </w:r>
      <w:r w:rsidRPr="0040743B">
        <w:rPr>
          <w:rFonts w:ascii="Times New Roman" w:hAnsi="Times New Roman" w:cs="Times New Roman"/>
          <w:bCs/>
          <w:sz w:val="24"/>
          <w:szCs w:val="24"/>
          <w:lang w:val="en-GB"/>
        </w:rPr>
        <w:t>,</w:t>
      </w:r>
      <w:r w:rsidRPr="0040743B">
        <w:rPr>
          <w:rFonts w:ascii="Times New Roman" w:hAnsi="Times New Roman" w:cs="Times New Roman"/>
          <w:sz w:val="24"/>
          <w:szCs w:val="24"/>
          <w:lang w:val="en-GB"/>
        </w:rPr>
        <w:t xml:space="preserve"> APVAC2-specific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for all evaluable patients (n=10). Cell frequencies are only shown for key cytokine-positive T cells. P = prior to APVAC2 vaccination; 1, 2, 3, … = post-treatment measurements. Phenotypes assignment as indicated. Additional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to APVAC2 peptides are indicated with the detected lead cytokine; *pre-defined response criteria not met. </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Response to 13-M06 was negative for any key cytokine; TNF-</w:t>
      </w:r>
      <w:r w:rsidRPr="0040743B">
        <w:rPr>
          <w:rFonts w:ascii="Times New Roman" w:hAnsi="Times New Roman" w:cs="Times New Roman"/>
          <w:sz w:val="24"/>
          <w:szCs w:val="24"/>
          <w:lang w:val="en-GB"/>
        </w:rPr>
        <w:sym w:font="Symbol" w:char="F061"/>
      </w:r>
      <w:r w:rsidRPr="0040743B">
        <w:rPr>
          <w:rFonts w:ascii="Times New Roman" w:hAnsi="Times New Roman" w:cs="Times New Roman"/>
          <w:sz w:val="24"/>
          <w:szCs w:val="24"/>
          <w:lang w:val="en-GB"/>
        </w:rPr>
        <w:t xml:space="preserve">-positive cells are shown. </w:t>
      </w:r>
      <w:r w:rsidRPr="0040743B">
        <w:rPr>
          <w:rFonts w:ascii="Times New Roman" w:hAnsi="Times New Roman" w:cs="Times New Roman"/>
          <w:b/>
          <w:sz w:val="24"/>
          <w:szCs w:val="24"/>
          <w:lang w:val="en-GB"/>
        </w:rPr>
        <w:t>a-h</w:t>
      </w:r>
      <w:r w:rsidRPr="0040743B">
        <w:rPr>
          <w:rFonts w:ascii="Times New Roman" w:hAnsi="Times New Roman" w:cs="Times New Roman"/>
          <w:sz w:val="24"/>
          <w:szCs w:val="24"/>
          <w:lang w:val="en-GB"/>
        </w:rPr>
        <w:t>, Due to limited availability of patient PBMC, immune response analyses w</w:t>
      </w:r>
      <w:r w:rsidR="004C679A" w:rsidRPr="0040743B">
        <w:rPr>
          <w:rFonts w:ascii="Times New Roman" w:hAnsi="Times New Roman" w:cs="Times New Roman"/>
          <w:sz w:val="24"/>
          <w:szCs w:val="24"/>
          <w:lang w:val="en-GB"/>
        </w:rPr>
        <w:t>ere</w:t>
      </w:r>
      <w:r w:rsidRPr="0040743B">
        <w:rPr>
          <w:rFonts w:ascii="Times New Roman" w:hAnsi="Times New Roman" w:cs="Times New Roman"/>
          <w:sz w:val="24"/>
          <w:szCs w:val="24"/>
          <w:lang w:val="en-GB"/>
        </w:rPr>
        <w:t xml:space="preserve"> only be performed once per patient. For assays with limited patient material</w:t>
      </w:r>
      <w:r w:rsidR="00320548"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see statistics section.</w:t>
      </w:r>
    </w:p>
    <w:p w14:paraId="0B562DEF" w14:textId="246EB76F" w:rsidR="0061067C" w:rsidRPr="0040743B" w:rsidRDefault="0061067C" w:rsidP="0061067C">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Extended Data Figure 5</w:t>
      </w:r>
      <w:r w:rsidRPr="0040743B">
        <w:rPr>
          <w:rFonts w:ascii="Times New Roman" w:hAnsi="Times New Roman" w:cs="Times New Roman"/>
          <w:sz w:val="24"/>
          <w:szCs w:val="24"/>
          <w:lang w:val="en-GB"/>
        </w:rPr>
        <w:t xml:space="preserve"> </w:t>
      </w:r>
      <w:r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i/>
          <w:sz w:val="24"/>
          <w:szCs w:val="24"/>
          <w:lang w:val="en-GB"/>
        </w:rPr>
        <w:t>Ex vivo</w:t>
      </w:r>
      <w:r w:rsidRPr="0040743B">
        <w:rPr>
          <w:rFonts w:ascii="Times New Roman" w:hAnsi="Times New Roman" w:cs="Times New Roman"/>
          <w:b/>
          <w:sz w:val="24"/>
          <w:szCs w:val="24"/>
          <w:lang w:val="en-GB"/>
        </w:rPr>
        <w:t xml:space="preserve"> ICS</w:t>
      </w:r>
      <w:r w:rsidRPr="0040743B">
        <w:rPr>
          <w:rFonts w:ascii="Times New Roman" w:hAnsi="Times New Roman" w:cs="Times New Roman"/>
          <w:sz w:val="24"/>
          <w:szCs w:val="24"/>
          <w:lang w:val="en-GB"/>
        </w:rPr>
        <w:t xml:space="preserve"> </w:t>
      </w:r>
      <w:r w:rsidRPr="0040743B">
        <w:rPr>
          <w:rFonts w:ascii="Times New Roman" w:hAnsi="Times New Roman" w:cs="Times New Roman"/>
          <w:b/>
          <w:bCs/>
          <w:iCs/>
          <w:sz w:val="24"/>
          <w:szCs w:val="24"/>
          <w:lang w:val="en-GB"/>
        </w:rPr>
        <w:t>f</w:t>
      </w:r>
      <w:r w:rsidRPr="0040743B">
        <w:rPr>
          <w:rFonts w:ascii="Times New Roman" w:hAnsi="Times New Roman" w:cs="Times New Roman"/>
          <w:b/>
          <w:bCs/>
          <w:sz w:val="24"/>
          <w:szCs w:val="24"/>
          <w:lang w:val="en-GB"/>
        </w:rPr>
        <w:t>low cytometry data for APVAC1-induced CD4</w:t>
      </w:r>
      <w:r w:rsidRPr="0040743B">
        <w:rPr>
          <w:rFonts w:ascii="Times New Roman" w:hAnsi="Times New Roman" w:cs="Times New Roman"/>
          <w:b/>
          <w:bCs/>
          <w:sz w:val="24"/>
          <w:szCs w:val="24"/>
          <w:vertAlign w:val="superscript"/>
          <w:lang w:val="en-GB"/>
        </w:rPr>
        <w:t>+</w:t>
      </w:r>
      <w:r w:rsidRPr="0040743B">
        <w:rPr>
          <w:rFonts w:ascii="Times New Roman" w:hAnsi="Times New Roman" w:cs="Times New Roman"/>
          <w:b/>
          <w:bCs/>
          <w:sz w:val="24"/>
          <w:szCs w:val="24"/>
          <w:lang w:val="en-GB"/>
        </w:rPr>
        <w:t xml:space="preserve"> T-cell response. a</w:t>
      </w:r>
      <w:r w:rsidRPr="0040743B">
        <w:rPr>
          <w:rFonts w:ascii="Times New Roman" w:hAnsi="Times New Roman" w:cs="Times New Roman"/>
          <w:bCs/>
          <w:sz w:val="24"/>
          <w:szCs w:val="24"/>
          <w:lang w:val="en-GB"/>
        </w:rPr>
        <w:t>, Exemplary flow cytometry data for response shown in Fig. 2f (</w:t>
      </w:r>
      <w:r w:rsidRPr="0040743B">
        <w:rPr>
          <w:rFonts w:ascii="Times New Roman" w:hAnsi="Times New Roman" w:cs="Times New Roman"/>
          <w:sz w:val="24"/>
          <w:szCs w:val="24"/>
          <w:lang w:val="en-GB"/>
        </w:rPr>
        <w:t>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of patient 07 to pan-DR antigen BIR-002</w:t>
      </w:r>
      <w:r w:rsidRPr="0040743B">
        <w:rPr>
          <w:rFonts w:ascii="Times New Roman" w:hAnsi="Times New Roman" w:cs="Times New Roman"/>
          <w:bCs/>
          <w:sz w:val="24"/>
          <w:szCs w:val="24"/>
          <w:lang w:val="en-GB"/>
        </w:rPr>
        <w:t>).</w:t>
      </w:r>
      <w:r w:rsidRPr="0040743B">
        <w:rPr>
          <w:rFonts w:ascii="Times New Roman" w:hAnsi="Times New Roman" w:cs="Times New Roman"/>
          <w:b/>
          <w:bCs/>
          <w:sz w:val="24"/>
          <w:szCs w:val="24"/>
          <w:lang w:val="en-GB"/>
        </w:rPr>
        <w:t xml:space="preserve"> </w:t>
      </w:r>
      <w:r w:rsidRPr="0040743B">
        <w:rPr>
          <w:rFonts w:ascii="Times New Roman" w:hAnsi="Times New Roman" w:cs="Times New Roman"/>
          <w:sz w:val="24"/>
          <w:szCs w:val="24"/>
          <w:lang w:val="en-GB"/>
        </w:rPr>
        <w:t xml:space="preserve">IL-5 was negative at all timepoints (not shown). </w:t>
      </w:r>
      <w:r w:rsidRPr="0040743B">
        <w:rPr>
          <w:rFonts w:ascii="Times New Roman" w:hAnsi="Times New Roman" w:cs="Times New Roman"/>
          <w:b/>
          <w:sz w:val="24"/>
          <w:szCs w:val="24"/>
          <w:lang w:val="en-GB"/>
        </w:rPr>
        <w:t>b,</w:t>
      </w:r>
      <w:r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rPr>
        <w:t>MOCK control stimulation</w:t>
      </w:r>
      <w:r w:rsidRPr="0040743B">
        <w:rPr>
          <w:rFonts w:ascii="Times New Roman" w:hAnsi="Times New Roman" w:cs="Times New Roman"/>
          <w:sz w:val="24"/>
          <w:szCs w:val="24"/>
          <w:lang w:val="en-GB"/>
        </w:rPr>
        <w:t xml:space="preserve"> for (a). </w:t>
      </w:r>
      <w:proofErr w:type="spellStart"/>
      <w:proofErr w:type="gramStart"/>
      <w:r w:rsidRPr="0040743B">
        <w:rPr>
          <w:rFonts w:ascii="Times New Roman" w:hAnsi="Times New Roman" w:cs="Times New Roman"/>
          <w:b/>
          <w:sz w:val="24"/>
          <w:szCs w:val="24"/>
          <w:lang w:val="en-GB"/>
        </w:rPr>
        <w:t>a,b</w:t>
      </w:r>
      <w:proofErr w:type="spellEnd"/>
      <w:proofErr w:type="gramEnd"/>
      <w:r w:rsidRPr="0040743B">
        <w:rPr>
          <w:rFonts w:ascii="Times New Roman" w:hAnsi="Times New Roman" w:cs="Times New Roman"/>
          <w:b/>
          <w:sz w:val="24"/>
          <w:szCs w:val="24"/>
          <w:lang w:val="en-GB"/>
        </w:rPr>
        <w:t>,</w:t>
      </w:r>
      <w:r w:rsidRPr="0040743B">
        <w:rPr>
          <w:rFonts w:ascii="Times New Roman" w:hAnsi="Times New Roman" w:cs="Times New Roman"/>
          <w:sz w:val="24"/>
          <w:szCs w:val="24"/>
          <w:lang w:val="en-GB"/>
        </w:rPr>
        <w:t xml:space="preserve"> Due to limited availability of PBMC, immune </w:t>
      </w:r>
      <w:r w:rsidRPr="0040743B">
        <w:rPr>
          <w:rFonts w:ascii="Times New Roman" w:hAnsi="Times New Roman" w:cs="Times New Roman"/>
          <w:sz w:val="24"/>
          <w:szCs w:val="24"/>
          <w:lang w:val="en-GB"/>
        </w:rPr>
        <w:lastRenderedPageBreak/>
        <w:t>response analyses were only performed once per patient. For assays with limited patient material</w:t>
      </w:r>
      <w:r w:rsidR="000B79AA"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see statistics section.</w:t>
      </w:r>
    </w:p>
    <w:p w14:paraId="429F8580" w14:textId="6C11CEAD" w:rsidR="00B033D3" w:rsidRPr="0040743B" w:rsidRDefault="00B033D3" w:rsidP="00B033D3">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Extended Data Figure 6</w:t>
      </w:r>
      <w:r w:rsidRPr="0040743B">
        <w:rPr>
          <w:rFonts w:ascii="Times New Roman" w:hAnsi="Times New Roman" w:cs="Times New Roman"/>
          <w:sz w:val="24"/>
          <w:szCs w:val="24"/>
          <w:lang w:val="en-GB"/>
        </w:rPr>
        <w:t xml:space="preserve"> </w:t>
      </w:r>
      <w:r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sz w:val="24"/>
          <w:szCs w:val="24"/>
          <w:lang w:val="en-GB"/>
        </w:rPr>
        <w:t>Pan-ICS</w:t>
      </w:r>
      <w:r w:rsidRPr="0040743B">
        <w:rPr>
          <w:rFonts w:ascii="Times New Roman" w:hAnsi="Times New Roman" w:cs="Times New Roman"/>
          <w:sz w:val="24"/>
          <w:szCs w:val="24"/>
          <w:lang w:val="en-GB"/>
        </w:rPr>
        <w:t xml:space="preserve"> </w:t>
      </w:r>
      <w:r w:rsidRPr="0040743B">
        <w:rPr>
          <w:rFonts w:ascii="Times New Roman" w:hAnsi="Times New Roman" w:cs="Times New Roman"/>
          <w:b/>
          <w:bCs/>
          <w:iCs/>
          <w:sz w:val="24"/>
          <w:szCs w:val="24"/>
          <w:lang w:val="en-GB"/>
        </w:rPr>
        <w:t>f</w:t>
      </w:r>
      <w:r w:rsidRPr="0040743B">
        <w:rPr>
          <w:rFonts w:ascii="Times New Roman" w:hAnsi="Times New Roman" w:cs="Times New Roman"/>
          <w:b/>
          <w:bCs/>
          <w:sz w:val="24"/>
          <w:szCs w:val="24"/>
          <w:lang w:val="en-GB"/>
        </w:rPr>
        <w:t>low cytometry data.</w:t>
      </w:r>
      <w:r w:rsidRPr="0040743B">
        <w:rPr>
          <w:rFonts w:ascii="Times New Roman" w:hAnsi="Times New Roman" w:cs="Times New Roman"/>
          <w:bCs/>
          <w:sz w:val="24"/>
          <w:szCs w:val="24"/>
          <w:lang w:val="en-GB"/>
        </w:rPr>
        <w:t xml:space="preserve"> </w:t>
      </w:r>
      <w:r w:rsidRPr="0040743B">
        <w:rPr>
          <w:rFonts w:ascii="Times New Roman" w:hAnsi="Times New Roman" w:cs="Times New Roman"/>
          <w:b/>
          <w:bCs/>
          <w:sz w:val="24"/>
          <w:szCs w:val="24"/>
          <w:lang w:val="en-GB"/>
        </w:rPr>
        <w:t>a</w:t>
      </w:r>
      <w:r w:rsidRPr="0040743B">
        <w:rPr>
          <w:rFonts w:ascii="Times New Roman" w:hAnsi="Times New Roman" w:cs="Times New Roman"/>
          <w:bCs/>
          <w:sz w:val="24"/>
          <w:szCs w:val="24"/>
          <w:lang w:val="en-GB"/>
        </w:rPr>
        <w:t>,</w:t>
      </w:r>
      <w:r w:rsidRPr="0040743B">
        <w:rPr>
          <w:rFonts w:ascii="Times New Roman" w:hAnsi="Times New Roman" w:cs="Times New Roman"/>
          <w:sz w:val="24"/>
          <w:szCs w:val="24"/>
          <w:lang w:val="en-GB"/>
        </w:rPr>
        <w:t xml:space="preserve"> Pan-ICS flow cytometry data for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of patient 16 to mutated APVAC2 peptide 16-M06 as summarized in Fig. 3a. Production of indicated cytokines pre-treatment (Pre) and at 3 different post-treatment timepoint pools (Post1 to Post3) is shown. Post2 and Post 3 timepoint pools originate from the ‘Continued Vaccination’ phase (see Fig. 1). Dot plots are gated on CD8</w:t>
      </w:r>
      <w:r w:rsidRPr="0040743B">
        <w:rPr>
          <w:rFonts w:ascii="Times New Roman" w:hAnsi="Times New Roman" w:cs="Times New Roman"/>
          <w:sz w:val="24"/>
          <w:szCs w:val="24"/>
          <w:vertAlign w:val="superscript"/>
          <w:lang w:val="en-GB"/>
        </w:rPr>
        <w:t>neg</w:t>
      </w:r>
      <w:r w:rsidRPr="0040743B">
        <w:rPr>
          <w:rFonts w:ascii="Times New Roman" w:hAnsi="Times New Roman" w:cs="Times New Roman"/>
          <w:sz w:val="24"/>
          <w:szCs w:val="24"/>
          <w:lang w:val="en-GB"/>
        </w:rPr>
        <w:t xml:space="preserve"> lymphocytes. Note that the pan-ICS cytokine panel differs from the one used for the </w:t>
      </w:r>
      <w:r w:rsidRPr="0040743B">
        <w:rPr>
          <w:rFonts w:ascii="Times New Roman" w:hAnsi="Times New Roman" w:cs="Times New Roman"/>
          <w:i/>
          <w:iCs/>
          <w:sz w:val="24"/>
          <w:szCs w:val="24"/>
          <w:lang w:val="en-GB"/>
        </w:rPr>
        <w:t>ex vivo</w:t>
      </w:r>
      <w:r w:rsidRPr="0040743B">
        <w:rPr>
          <w:rFonts w:ascii="Times New Roman" w:hAnsi="Times New Roman" w:cs="Times New Roman"/>
          <w:sz w:val="24"/>
          <w:szCs w:val="24"/>
          <w:lang w:val="en-GB"/>
        </w:rPr>
        <w:t xml:space="preserve"> ICS assay (</w:t>
      </w:r>
      <w:bookmarkStart w:id="15" w:name="_Hlk511388905"/>
      <w:r w:rsidRPr="0040743B">
        <w:rPr>
          <w:rFonts w:ascii="Times New Roman" w:hAnsi="Times New Roman" w:cs="Times New Roman"/>
          <w:sz w:val="24"/>
          <w:szCs w:val="24"/>
          <w:lang w:val="en-GB"/>
        </w:rPr>
        <w:t xml:space="preserve">see Online Methods). </w:t>
      </w:r>
      <w:r w:rsidRPr="0040743B">
        <w:rPr>
          <w:rFonts w:ascii="Times New Roman" w:hAnsi="Times New Roman" w:cs="Times New Roman"/>
          <w:b/>
          <w:bCs/>
          <w:sz w:val="24"/>
          <w:szCs w:val="24"/>
          <w:lang w:val="en-GB"/>
        </w:rPr>
        <w:t>b</w:t>
      </w:r>
      <w:r w:rsidRPr="0040743B">
        <w:rPr>
          <w:rFonts w:ascii="Times New Roman" w:hAnsi="Times New Roman" w:cs="Times New Roman"/>
          <w:sz w:val="24"/>
          <w:szCs w:val="24"/>
          <w:lang w:val="en-GB"/>
        </w:rPr>
        <w:t xml:space="preserve">, MOCK control </w:t>
      </w:r>
      <w:bookmarkEnd w:id="15"/>
      <w:r w:rsidRPr="0040743B">
        <w:rPr>
          <w:rFonts w:ascii="Times New Roman" w:hAnsi="Times New Roman" w:cs="Times New Roman"/>
          <w:sz w:val="24"/>
          <w:szCs w:val="24"/>
          <w:lang w:val="en-GB"/>
        </w:rPr>
        <w:t>stimulation for (a).</w:t>
      </w:r>
      <w:r w:rsidR="003B114D"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c</w:t>
      </w:r>
      <w:r w:rsidRPr="0040743B">
        <w:rPr>
          <w:rFonts w:ascii="Times New Roman" w:hAnsi="Times New Roman" w:cs="Times New Roman"/>
          <w:bCs/>
          <w:sz w:val="24"/>
          <w:szCs w:val="24"/>
          <w:lang w:val="en-GB"/>
        </w:rPr>
        <w:t>,</w:t>
      </w:r>
      <w:r w:rsidRPr="0040743B">
        <w:rPr>
          <w:rFonts w:ascii="Times New Roman" w:hAnsi="Times New Roman" w:cs="Times New Roman"/>
          <w:sz w:val="24"/>
          <w:szCs w:val="24"/>
          <w:lang w:val="en-GB"/>
        </w:rPr>
        <w:t xml:space="preserve"> Pan-ICS flow cytometry data for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of patient 15 against the mutated APVAC2 peptide 15-M05 as summarized in Fig. 3b. A pool of all possible </w:t>
      </w:r>
      <w:proofErr w:type="spellStart"/>
      <w:r w:rsidRPr="0040743B">
        <w:rPr>
          <w:rFonts w:ascii="Times New Roman" w:hAnsi="Times New Roman" w:cs="Times New Roman"/>
          <w:sz w:val="24"/>
          <w:szCs w:val="24"/>
          <w:lang w:val="en-GB"/>
        </w:rPr>
        <w:t>nonamers</w:t>
      </w:r>
      <w:proofErr w:type="spellEnd"/>
      <w:r w:rsidRPr="0040743B">
        <w:rPr>
          <w:rFonts w:ascii="Times New Roman" w:hAnsi="Times New Roman" w:cs="Times New Roman"/>
          <w:sz w:val="24"/>
          <w:szCs w:val="24"/>
          <w:lang w:val="en-GB"/>
        </w:rPr>
        <w:t xml:space="preserve"> from 15-M05 was used for read-out. Production of indicated cytokines is shown pre-treatment (Pre) and at 2 different post-treatment timepoint pools (Post1 to Post2). Dot plots are gated on CD4</w:t>
      </w:r>
      <w:r w:rsidRPr="0040743B">
        <w:rPr>
          <w:rFonts w:ascii="Times New Roman" w:hAnsi="Times New Roman" w:cs="Times New Roman"/>
          <w:sz w:val="24"/>
          <w:szCs w:val="24"/>
          <w:vertAlign w:val="superscript"/>
          <w:lang w:val="en-GB"/>
        </w:rPr>
        <w:t>neg</w:t>
      </w:r>
      <w:r w:rsidRPr="0040743B">
        <w:rPr>
          <w:rFonts w:ascii="Times New Roman" w:hAnsi="Times New Roman" w:cs="Times New Roman"/>
          <w:sz w:val="24"/>
          <w:szCs w:val="24"/>
          <w:lang w:val="en-GB"/>
        </w:rPr>
        <w:t xml:space="preserve"> lymphocytes. Note that the APVAC2 analysis timepoints are not identical to APVAC1 analysis timepoints due to the independent vaccination start (Fig. 1). </w:t>
      </w:r>
      <w:r w:rsidRPr="0040743B">
        <w:rPr>
          <w:rFonts w:ascii="Times New Roman" w:hAnsi="Times New Roman" w:cs="Times New Roman"/>
          <w:b/>
          <w:bCs/>
          <w:sz w:val="24"/>
          <w:szCs w:val="24"/>
          <w:lang w:val="en-GB"/>
        </w:rPr>
        <w:t>d</w:t>
      </w:r>
      <w:r w:rsidRPr="0040743B">
        <w:rPr>
          <w:rFonts w:ascii="Times New Roman" w:hAnsi="Times New Roman" w:cs="Times New Roman"/>
          <w:sz w:val="24"/>
          <w:szCs w:val="24"/>
          <w:lang w:val="en-GB"/>
        </w:rPr>
        <w:t xml:space="preserve">, MOCK control stimulation for (c). </w:t>
      </w:r>
      <w:r w:rsidRPr="0040743B">
        <w:rPr>
          <w:rFonts w:ascii="Times New Roman" w:hAnsi="Times New Roman" w:cs="Times New Roman"/>
          <w:b/>
          <w:sz w:val="24"/>
          <w:szCs w:val="24"/>
          <w:lang w:val="en-GB"/>
        </w:rPr>
        <w:t>a-d,</w:t>
      </w:r>
      <w:r w:rsidRPr="0040743B">
        <w:rPr>
          <w:rFonts w:ascii="Times New Roman" w:hAnsi="Times New Roman" w:cs="Times New Roman"/>
          <w:sz w:val="24"/>
          <w:szCs w:val="24"/>
          <w:lang w:val="en-GB"/>
        </w:rPr>
        <w:t xml:space="preserve"> Due to limited availability of PBMC, immune response analyses were only performed once per patient. For assays with limited patient material</w:t>
      </w:r>
      <w:r w:rsidR="000B79AA" w:rsidRPr="0040743B">
        <w:rPr>
          <w:rFonts w:ascii="Times New Roman" w:hAnsi="Times New Roman" w:cs="Times New Roman"/>
          <w:sz w:val="24"/>
          <w:szCs w:val="24"/>
          <w:lang w:val="en-GB"/>
        </w:rPr>
        <w:t>,</w:t>
      </w:r>
      <w:r w:rsidRPr="0040743B">
        <w:rPr>
          <w:rFonts w:ascii="Times New Roman" w:hAnsi="Times New Roman" w:cs="Times New Roman"/>
          <w:sz w:val="24"/>
          <w:szCs w:val="24"/>
          <w:lang w:val="en-GB"/>
        </w:rPr>
        <w:t xml:space="preserve"> see statistics section.</w:t>
      </w:r>
    </w:p>
    <w:p w14:paraId="3FCDC734" w14:textId="77777777" w:rsidR="00CC2FF0" w:rsidRPr="0040743B" w:rsidRDefault="00CC2FF0" w:rsidP="00CC2FF0">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Extended Data Figure 7</w:t>
      </w:r>
      <w:r w:rsidRPr="0040743B">
        <w:rPr>
          <w:rFonts w:ascii="Times New Roman" w:hAnsi="Times New Roman" w:cs="Times New Roman"/>
          <w:sz w:val="24"/>
          <w:szCs w:val="24"/>
          <w:lang w:val="en-GB"/>
        </w:rPr>
        <w:t xml:space="preserve"> </w:t>
      </w:r>
      <w:r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Additional data on APVAC2-induced, neo-epitope specific immune responses.</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a</w:t>
      </w:r>
      <w:r w:rsidRPr="0040743B">
        <w:rPr>
          <w:rFonts w:ascii="Times New Roman" w:hAnsi="Times New Roman" w:cs="Times New Roman"/>
          <w:sz w:val="24"/>
          <w:szCs w:val="24"/>
          <w:lang w:val="en-GB"/>
        </w:rPr>
        <w:t>, Cross-reactivity of two neo-epitope-directed, APVAC2-induced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responses with the corresponding wildtype peptides was assessed by ICS. The response shown in the upper panel (08-M01) was specific for the mutated peptide, while the response in the lower panel (16-M06) showed considerable cross-reactivity with the wildtype peptide. Due to limited availability of patient PBMC, this experiment was performed only once. </w:t>
      </w:r>
      <w:r w:rsidRPr="0040743B">
        <w:rPr>
          <w:rFonts w:ascii="Times New Roman" w:hAnsi="Times New Roman" w:cs="Times New Roman"/>
          <w:b/>
          <w:sz w:val="24"/>
          <w:szCs w:val="24"/>
          <w:lang w:val="en-GB"/>
        </w:rPr>
        <w:t>b</w:t>
      </w:r>
      <w:r w:rsidRPr="0040743B">
        <w:rPr>
          <w:rFonts w:ascii="Times New Roman" w:hAnsi="Times New Roman" w:cs="Times New Roman"/>
          <w:sz w:val="24"/>
          <w:szCs w:val="24"/>
          <w:lang w:val="en-GB"/>
        </w:rPr>
        <w:t xml:space="preserve">, </w:t>
      </w:r>
      <w:r w:rsidRPr="0040743B">
        <w:rPr>
          <w:rFonts w:ascii="Times New Roman" w:hAnsi="Times New Roman" w:cs="Times New Roman"/>
          <w:i/>
          <w:iCs/>
          <w:sz w:val="24"/>
          <w:szCs w:val="24"/>
          <w:lang w:val="en-GB"/>
        </w:rPr>
        <w:t>Ex vivo</w:t>
      </w:r>
      <w:r w:rsidRPr="0040743B">
        <w:rPr>
          <w:rFonts w:ascii="Times New Roman" w:hAnsi="Times New Roman" w:cs="Times New Roman"/>
          <w:sz w:val="24"/>
          <w:szCs w:val="24"/>
          <w:lang w:val="en-GB"/>
        </w:rPr>
        <w:t xml:space="preserve"> 2D </w:t>
      </w:r>
      <w:r w:rsidRPr="0040743B">
        <w:rPr>
          <w:rFonts w:ascii="Times New Roman" w:hAnsi="Times New Roman" w:cs="Times New Roman"/>
          <w:sz w:val="24"/>
          <w:szCs w:val="24"/>
          <w:lang w:val="en-GB"/>
        </w:rPr>
        <w:lastRenderedPageBreak/>
        <w:t>multimer data for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response of patient 14 against the predicted neo-epitope HMKVSVYLL contained in the vaccinated peptide 14-M09 as summarized in Fig. 3c. Note that this epitope did not show the highest ranking during APVAC2 selection (underlined in Suppl. Table 4). Pre-treatment and one post-treatment timepoint pool were evaluated. Top row shows 2D multimer staining. Numbers in plots indicate frequency of specific cells among total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Middle row shows differentiation phenotyping of specific T cells (blue dots) and total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(grey dots). Numbers in plots indicate percentage of specific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with indicated phenotype (colour code as in Fig. 2a, b). Lower row shows PD-1 expression (blue curve = specific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grey dots = all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w:t>
      </w:r>
    </w:p>
    <w:p w14:paraId="383CFC91" w14:textId="19C50647" w:rsidR="003A44BF" w:rsidRPr="0040743B" w:rsidRDefault="003A44BF" w:rsidP="003A44BF">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 xml:space="preserve">Extended Data Figure 8 </w:t>
      </w:r>
      <w:r w:rsidRPr="0040743B">
        <w:rPr>
          <w:rFonts w:ascii="Symbol" w:hAnsi="Symbol"/>
          <w:b/>
          <w:sz w:val="24"/>
          <w:szCs w:val="24"/>
          <w:lang w:val="en-GB"/>
        </w:rPr>
        <w:t></w:t>
      </w:r>
      <w:r w:rsidRPr="0040743B">
        <w:rPr>
          <w:rFonts w:ascii="Times New Roman" w:hAnsi="Times New Roman" w:cs="Times New Roman"/>
          <w:b/>
          <w:bCs/>
          <w:sz w:val="24"/>
          <w:szCs w:val="24"/>
          <w:lang w:val="en-GB"/>
        </w:rPr>
        <w:t xml:space="preserve"> TIL isolation and expansion in GB. </w:t>
      </w:r>
      <w:r w:rsidRPr="0040743B">
        <w:rPr>
          <w:rFonts w:ascii="Times New Roman" w:hAnsi="Times New Roman" w:cs="Times New Roman"/>
          <w:sz w:val="24"/>
          <w:szCs w:val="24"/>
          <w:lang w:val="en-GB"/>
        </w:rPr>
        <w:t xml:space="preserve">A novel harmonized TIL isolation and expansion protocol for GB specimens was developed in the preclinical phase of the GAPVAC project (see Online Methods). </w:t>
      </w:r>
      <w:r w:rsidRPr="0040743B">
        <w:rPr>
          <w:rFonts w:ascii="Times New Roman" w:hAnsi="Times New Roman" w:cs="Times New Roman"/>
          <w:b/>
          <w:bCs/>
          <w:sz w:val="24"/>
          <w:szCs w:val="24"/>
          <w:lang w:val="en-GB"/>
        </w:rPr>
        <w:t>a</w:t>
      </w:r>
      <w:r w:rsidRPr="0040743B">
        <w:rPr>
          <w:rFonts w:ascii="Times New Roman" w:hAnsi="Times New Roman" w:cs="Times New Roman"/>
          <w:sz w:val="24"/>
          <w:szCs w:val="24"/>
          <w:lang w:val="en-GB"/>
        </w:rPr>
        <w:t>,</w:t>
      </w:r>
      <w:r w:rsidRPr="0040743B">
        <w:rPr>
          <w:rFonts w:ascii="Times New Roman" w:hAnsi="Times New Roman" w:cs="Times New Roman"/>
          <w:b/>
          <w:bCs/>
          <w:sz w:val="24"/>
          <w:szCs w:val="24"/>
          <w:lang w:val="en-GB"/>
        </w:rPr>
        <w:t xml:space="preserve"> </w:t>
      </w:r>
      <w:r w:rsidRPr="0040743B">
        <w:rPr>
          <w:rFonts w:ascii="Times New Roman" w:hAnsi="Times New Roman" w:cs="Times New Roman"/>
          <w:sz w:val="24"/>
          <w:szCs w:val="24"/>
          <w:lang w:val="en-GB"/>
        </w:rPr>
        <w:t xml:space="preserve">Cells were expanded in the presence of recombinant human (rh) IL-2 at three concentrations. One centre also performed expansion of melanoma and oropharyngeal TIL for comparison. The number of independent tumours compared across laboratories (preclinical samples) are shown in brackets. Mean and SEM are indicated for each cell subset and individual values are overlaid. </w:t>
      </w:r>
      <w:r w:rsidRPr="0040743B">
        <w:rPr>
          <w:rFonts w:ascii="Times New Roman" w:hAnsi="Times New Roman" w:cs="Times New Roman"/>
          <w:b/>
          <w:bCs/>
          <w:sz w:val="24"/>
          <w:szCs w:val="24"/>
          <w:lang w:val="en-GB"/>
        </w:rPr>
        <w:t>b</w:t>
      </w:r>
      <w:r w:rsidRPr="0040743B">
        <w:rPr>
          <w:rFonts w:ascii="Times New Roman" w:hAnsi="Times New Roman" w:cs="Times New Roman"/>
          <w:sz w:val="24"/>
          <w:szCs w:val="24"/>
          <w:lang w:val="en-GB"/>
        </w:rPr>
        <w:t>, Expansion of glioma TIL in the presence or absence of anti-CD3 antibody OKT3.</w:t>
      </w:r>
      <w:r w:rsidRPr="0040743B">
        <w:rPr>
          <w:rFonts w:ascii="Times New Roman" w:hAnsi="Times New Roman" w:cs="Times New Roman"/>
          <w:b/>
          <w:bCs/>
          <w:sz w:val="24"/>
          <w:szCs w:val="24"/>
          <w:lang w:val="en-GB"/>
        </w:rPr>
        <w:t xml:space="preserve"> </w:t>
      </w:r>
      <w:r w:rsidRPr="0040743B">
        <w:rPr>
          <w:rFonts w:ascii="Times New Roman" w:hAnsi="Times New Roman" w:cs="Times New Roman"/>
          <w:sz w:val="24"/>
          <w:szCs w:val="24"/>
          <w:lang w:val="en-GB"/>
        </w:rPr>
        <w:t>Indicated number of pieces of tumour obtained from 3 GB patients (outside the GAPVAC-101 trial) were cut in fragments and transferred in 24-well plates with 1 fragment per well. Fragments were cultured in the absence or presence of 30 ng/mL anti-CD3 antibody OKT3. Expanded cells were harvested at the days indicated and subjected to phenotyping by flow cytometry. Percentages of total CD3</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and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and total cell yield are indicated. </w:t>
      </w:r>
      <w:r w:rsidRPr="0040743B">
        <w:rPr>
          <w:rFonts w:ascii="Times New Roman" w:hAnsi="Times New Roman" w:cs="Times New Roman"/>
          <w:b/>
          <w:sz w:val="24"/>
          <w:szCs w:val="24"/>
          <w:lang w:val="en-GB"/>
        </w:rPr>
        <w:t>c</w:t>
      </w:r>
      <w:r w:rsidRPr="0040743B">
        <w:rPr>
          <w:rFonts w:ascii="Times New Roman" w:hAnsi="Times New Roman" w:cs="Times New Roman"/>
          <w:sz w:val="24"/>
          <w:szCs w:val="24"/>
          <w:lang w:val="en-GB"/>
        </w:rPr>
        <w:t xml:space="preserve">, Compositions of TIL cultures derived at one centre from 4 different patients (06, 07, 08, 09) included in the GAPVAC-101 trial. Each dot represents one stain </w:t>
      </w:r>
      <w:r w:rsidRPr="0040743B">
        <w:rPr>
          <w:rFonts w:ascii="Times New Roman" w:hAnsi="Times New Roman" w:cs="Times New Roman"/>
          <w:sz w:val="24"/>
          <w:szCs w:val="24"/>
          <w:lang w:val="en-GB"/>
        </w:rPr>
        <w:lastRenderedPageBreak/>
        <w:t>performed either on independent culture wells or after pooling several wells (numbers of independent staining per patient are indicated). The GB-derived TIL generally comprised a mixture of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and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 cells that varied between individual cultures. Bars indicate the median over all cultures. </w:t>
      </w:r>
      <w:r w:rsidRPr="0040743B">
        <w:rPr>
          <w:rFonts w:ascii="Times New Roman" w:hAnsi="Times New Roman" w:cs="Times New Roman"/>
          <w:b/>
          <w:bCs/>
          <w:sz w:val="24"/>
          <w:szCs w:val="24"/>
          <w:lang w:val="en-GB"/>
        </w:rPr>
        <w:t>d</w:t>
      </w:r>
      <w:r w:rsidRPr="0040743B">
        <w:rPr>
          <w:rFonts w:ascii="Times New Roman" w:hAnsi="Times New Roman" w:cs="Times New Roman"/>
          <w:sz w:val="24"/>
          <w:szCs w:val="24"/>
          <w:lang w:val="en-GB"/>
        </w:rPr>
        <w:t xml:space="preserve">, Example of TCR clonotype mapping used for a comparative analysis of clonotypes detected </w:t>
      </w:r>
      <w:r w:rsidRPr="0040743B">
        <w:rPr>
          <w:rFonts w:ascii="Times New Roman" w:hAnsi="Times New Roman" w:cs="Times New Roman"/>
          <w:i/>
          <w:iCs/>
          <w:sz w:val="24"/>
          <w:szCs w:val="24"/>
          <w:lang w:val="en-GB"/>
        </w:rPr>
        <w:t>ex vivo</w:t>
      </w:r>
      <w:r w:rsidRPr="0040743B">
        <w:rPr>
          <w:rFonts w:ascii="Times New Roman" w:hAnsi="Times New Roman" w:cs="Times New Roman"/>
          <w:sz w:val="24"/>
          <w:szCs w:val="24"/>
          <w:lang w:val="en-GB"/>
        </w:rPr>
        <w:t xml:space="preserve"> in the fresh tumour relapse tissue (FT) and in n=3 independent TIL cultures of patient 08. Identical DNA sequences resolve at identical positions in the gel. One prominent BV14 clonotype present in the fresh tissue (arrow) is not amplified in the TIL cultures (left), while two of several BV21 clonotypes in the fresh tumour (*) are also detected in the TIL (right).</w:t>
      </w:r>
      <w:r w:rsidR="00121727" w:rsidRPr="0040743B">
        <w:rPr>
          <w:rFonts w:ascii="Times New Roman" w:hAnsi="Times New Roman" w:cs="Times New Roman"/>
          <w:sz w:val="24"/>
          <w:szCs w:val="24"/>
          <w:lang w:val="en-GB"/>
        </w:rPr>
        <w:t xml:space="preserve"> At least n=8 clonotype</w:t>
      </w:r>
      <w:r w:rsidR="00FB6C2F" w:rsidRPr="0040743B">
        <w:rPr>
          <w:rFonts w:ascii="Times New Roman" w:hAnsi="Times New Roman" w:cs="Times New Roman"/>
          <w:sz w:val="24"/>
          <w:szCs w:val="24"/>
          <w:lang w:val="en-GB"/>
        </w:rPr>
        <w:t>s</w:t>
      </w:r>
      <w:r w:rsidR="00121727" w:rsidRPr="0040743B">
        <w:rPr>
          <w:rFonts w:ascii="Times New Roman" w:hAnsi="Times New Roman" w:cs="Times New Roman"/>
          <w:sz w:val="24"/>
          <w:szCs w:val="24"/>
          <w:lang w:val="en-GB"/>
        </w:rPr>
        <w:t xml:space="preserve"> per matched set of samples were compared.</w:t>
      </w:r>
    </w:p>
    <w:p w14:paraId="05DDAC42" w14:textId="467FDD76" w:rsidR="00A20951" w:rsidRPr="0040743B" w:rsidRDefault="00A20951" w:rsidP="00A20951">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t>Extended Data Figure 9</w:t>
      </w:r>
      <w:r w:rsidRPr="0040743B">
        <w:rPr>
          <w:rFonts w:ascii="Times New Roman" w:hAnsi="Times New Roman" w:cs="Times New Roman"/>
          <w:sz w:val="24"/>
          <w:szCs w:val="24"/>
          <w:lang w:val="en-GB"/>
        </w:rPr>
        <w:t xml:space="preserve"> </w:t>
      </w:r>
      <w:r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Survival data for GAPVAC-101 patients.</w:t>
      </w:r>
      <w:r w:rsidRPr="0040743B">
        <w:rPr>
          <w:rFonts w:ascii="Times New Roman" w:hAnsi="Times New Roman" w:cs="Times New Roman"/>
          <w:sz w:val="24"/>
          <w:szCs w:val="24"/>
          <w:lang w:val="en-GB"/>
        </w:rPr>
        <w:t xml:space="preserve"> </w:t>
      </w:r>
      <w:proofErr w:type="spellStart"/>
      <w:proofErr w:type="gramStart"/>
      <w:r w:rsidRPr="0040743B">
        <w:rPr>
          <w:rFonts w:ascii="Times New Roman" w:hAnsi="Times New Roman" w:cs="Times New Roman"/>
          <w:b/>
          <w:bCs/>
          <w:sz w:val="24"/>
          <w:szCs w:val="24"/>
          <w:lang w:val="en-GB"/>
        </w:rPr>
        <w:t>a</w:t>
      </w:r>
      <w:r w:rsidRPr="0040743B">
        <w:rPr>
          <w:rFonts w:ascii="Times New Roman" w:hAnsi="Times New Roman" w:cs="Times New Roman"/>
          <w:sz w:val="24"/>
          <w:szCs w:val="24"/>
          <w:lang w:val="en-GB"/>
        </w:rPr>
        <w:t>,</w:t>
      </w:r>
      <w:r w:rsidRPr="0040743B">
        <w:rPr>
          <w:rFonts w:ascii="Times New Roman" w:hAnsi="Times New Roman" w:cs="Times New Roman"/>
          <w:b/>
          <w:bCs/>
          <w:sz w:val="24"/>
          <w:szCs w:val="24"/>
          <w:lang w:val="en-GB"/>
        </w:rPr>
        <w:t>b</w:t>
      </w:r>
      <w:proofErr w:type="spellEnd"/>
      <w:proofErr w:type="gramEnd"/>
      <w:r w:rsidRPr="0040743B">
        <w:rPr>
          <w:rFonts w:ascii="Times New Roman" w:hAnsi="Times New Roman" w:cs="Times New Roman"/>
          <w:sz w:val="24"/>
          <w:szCs w:val="24"/>
          <w:lang w:val="en-GB"/>
        </w:rPr>
        <w:t>, Overall survival (OS, a) and progression-free survival (PFS, b) from</w:t>
      </w:r>
      <w:r w:rsidR="00594C28" w:rsidRPr="0040743B">
        <w:rPr>
          <w:rFonts w:ascii="Times New Roman" w:hAnsi="Times New Roman" w:cs="Times New Roman"/>
          <w:sz w:val="24"/>
          <w:szCs w:val="24"/>
          <w:lang w:val="en-GB"/>
        </w:rPr>
        <w:t xml:space="preserve"> </w:t>
      </w:r>
      <w:r w:rsidRPr="0040743B">
        <w:rPr>
          <w:rFonts w:ascii="Times New Roman" w:hAnsi="Times New Roman" w:cs="Times New Roman"/>
          <w:sz w:val="24"/>
          <w:szCs w:val="24"/>
          <w:lang w:val="en-GB"/>
        </w:rPr>
        <w:t xml:space="preserve">diagnosis for all patients that received at least one APVAC vaccination (n=15). Kaplan-Meier estimates of median survival are provided. </w:t>
      </w:r>
      <w:r w:rsidRPr="0040743B">
        <w:rPr>
          <w:rFonts w:ascii="Times New Roman" w:hAnsi="Times New Roman" w:cs="Times New Roman"/>
          <w:b/>
          <w:sz w:val="24"/>
          <w:szCs w:val="24"/>
          <w:lang w:val="en-GB"/>
        </w:rPr>
        <w:t>c</w:t>
      </w:r>
      <w:r w:rsidRPr="0040743B">
        <w:rPr>
          <w:rFonts w:ascii="Times New Roman" w:hAnsi="Times New Roman" w:cs="Times New Roman"/>
          <w:sz w:val="24"/>
          <w:szCs w:val="24"/>
          <w:lang w:val="en-GB"/>
        </w:rPr>
        <w:t xml:space="preserve">, </w:t>
      </w:r>
      <w:r w:rsidRPr="0040743B">
        <w:rPr>
          <w:rFonts w:ascii="Times New Roman" w:hAnsi="Times New Roman" w:cs="Times New Roman"/>
          <w:bCs/>
          <w:sz w:val="24"/>
          <w:szCs w:val="24"/>
          <w:lang w:val="en-GB"/>
        </w:rPr>
        <w:t>Regulatory pathway for active personalized vaccines</w:t>
      </w:r>
      <w:r w:rsidRPr="0040743B">
        <w:rPr>
          <w:rFonts w:ascii="Times New Roman" w:hAnsi="Times New Roman" w:cs="Times New Roman"/>
          <w:sz w:val="24"/>
          <w:szCs w:val="24"/>
          <w:lang w:val="en-GB"/>
        </w:rPr>
        <w:t xml:space="preserve"> for GAPVAC-101 as compared to conventional immunotherapies. The pathway for clinical trial application (CTA) for GAPVAC-101 was pre-discussed in scientific advice and pre-IND meetings with the German Paul-Ehrlich-Institute (PEI) and the US Food and Drug Administration (FDA), respectively. Key characteristics in the </w:t>
      </w:r>
      <w:r w:rsidR="00166602" w:rsidRPr="0040743B">
        <w:rPr>
          <w:rFonts w:ascii="Times New Roman" w:hAnsi="Times New Roman" w:cs="Times New Roman"/>
          <w:sz w:val="24"/>
          <w:szCs w:val="24"/>
          <w:lang w:val="en-GB"/>
        </w:rPr>
        <w:t>trial</w:t>
      </w:r>
      <w:r w:rsidRPr="0040743B">
        <w:rPr>
          <w:rFonts w:ascii="Times New Roman" w:hAnsi="Times New Roman" w:cs="Times New Roman"/>
          <w:sz w:val="24"/>
          <w:szCs w:val="24"/>
          <w:lang w:val="en-GB"/>
        </w:rPr>
        <w:t xml:space="preserve"> approval process were: 1. Standardization of a drug composition process based on highly variable, patient-individual biomarker data instead of a fixed drug composition; 2. Development of a GMP-compliant core process for manufacturing of variable, personalized multi-peptide compositions instead of an invariable manufacturing process; 3. Clinical trial application based on exemplary data from representative preclinical drug substance batches; 4. Provision of certificates of analysis for all APVACs to the authorities on an ongoing basis during the trial (twice yearly).</w:t>
      </w:r>
    </w:p>
    <w:p w14:paraId="2AC22536" w14:textId="77777777" w:rsidR="00667ADC" w:rsidRPr="008352AE" w:rsidRDefault="00667ADC" w:rsidP="00667ADC">
      <w:pPr>
        <w:pStyle w:val="Text"/>
        <w:spacing w:line="480" w:lineRule="auto"/>
        <w:rPr>
          <w:rFonts w:ascii="Times New Roman" w:hAnsi="Times New Roman" w:cs="Times New Roman"/>
          <w:sz w:val="24"/>
          <w:szCs w:val="24"/>
          <w:lang w:val="en-GB"/>
        </w:rPr>
      </w:pPr>
      <w:r w:rsidRPr="0040743B">
        <w:rPr>
          <w:rFonts w:ascii="Times New Roman" w:hAnsi="Times New Roman" w:cs="Times New Roman"/>
          <w:b/>
          <w:bCs/>
          <w:sz w:val="24"/>
          <w:szCs w:val="24"/>
          <w:lang w:val="en-GB"/>
        </w:rPr>
        <w:lastRenderedPageBreak/>
        <w:t xml:space="preserve">Extended Data Figure 10 </w:t>
      </w:r>
      <w:r w:rsidRPr="0040743B">
        <w:rPr>
          <w:rFonts w:ascii="Symbol" w:hAnsi="Symbol"/>
          <w:b/>
          <w:sz w:val="24"/>
          <w:szCs w:val="24"/>
          <w:lang w:val="en-GB"/>
        </w:rPr>
        <w:t></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Gating strategies for flow cytometry assays.</w:t>
      </w:r>
      <w:r w:rsidRPr="0040743B">
        <w:rPr>
          <w:rFonts w:ascii="Times New Roman" w:hAnsi="Times New Roman" w:cs="Times New Roman"/>
          <w:sz w:val="24"/>
          <w:szCs w:val="24"/>
          <w:lang w:val="en-GB"/>
        </w:rPr>
        <w:t xml:space="preserve"> </w:t>
      </w:r>
      <w:r w:rsidRPr="0040743B">
        <w:rPr>
          <w:rFonts w:ascii="Times New Roman" w:hAnsi="Times New Roman" w:cs="Times New Roman"/>
          <w:b/>
          <w:bCs/>
          <w:sz w:val="24"/>
          <w:szCs w:val="24"/>
          <w:lang w:val="en-GB"/>
        </w:rPr>
        <w:t>a</w:t>
      </w:r>
      <w:r w:rsidRPr="0040743B">
        <w:rPr>
          <w:rFonts w:ascii="Times New Roman" w:hAnsi="Times New Roman" w:cs="Times New Roman"/>
          <w:sz w:val="24"/>
          <w:szCs w:val="24"/>
          <w:lang w:val="en-GB"/>
        </w:rPr>
        <w:t xml:space="preserve">, Gating strategy and Boolean gating for </w:t>
      </w:r>
      <w:r w:rsidRPr="0040743B">
        <w:rPr>
          <w:rFonts w:ascii="Times New Roman" w:hAnsi="Times New Roman" w:cs="Times New Roman"/>
          <w:i/>
          <w:iCs/>
          <w:sz w:val="24"/>
          <w:szCs w:val="24"/>
          <w:lang w:val="en-GB"/>
        </w:rPr>
        <w:t xml:space="preserve">ex vivo </w:t>
      </w:r>
      <w:r w:rsidRPr="0040743B">
        <w:rPr>
          <w:rFonts w:ascii="Times New Roman" w:hAnsi="Times New Roman" w:cs="Times New Roman"/>
          <w:sz w:val="24"/>
          <w:szCs w:val="24"/>
          <w:lang w:val="en-GB"/>
        </w:rPr>
        <w:t>2D multimer assay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immune response analysis, APVAC1). </w:t>
      </w:r>
      <w:r w:rsidRPr="0040743B">
        <w:rPr>
          <w:rFonts w:ascii="Times New Roman" w:hAnsi="Times New Roman" w:cs="Times New Roman"/>
          <w:b/>
          <w:bCs/>
          <w:sz w:val="24"/>
          <w:szCs w:val="24"/>
          <w:lang w:val="en-GB"/>
        </w:rPr>
        <w:t>b</w:t>
      </w:r>
      <w:r w:rsidRPr="0040743B">
        <w:rPr>
          <w:rFonts w:ascii="Times New Roman" w:hAnsi="Times New Roman" w:cs="Times New Roman"/>
          <w:sz w:val="24"/>
          <w:szCs w:val="24"/>
          <w:lang w:val="en-GB"/>
        </w:rPr>
        <w:t xml:space="preserve">, Gating strategy for </w:t>
      </w:r>
      <w:r w:rsidRPr="0040743B">
        <w:rPr>
          <w:rFonts w:ascii="Times New Roman" w:hAnsi="Times New Roman" w:cs="Times New Roman"/>
          <w:i/>
          <w:iCs/>
          <w:sz w:val="24"/>
          <w:szCs w:val="24"/>
          <w:lang w:val="en-GB"/>
        </w:rPr>
        <w:t>ex vivo</w:t>
      </w:r>
      <w:r w:rsidRPr="0040743B">
        <w:rPr>
          <w:rFonts w:ascii="Times New Roman" w:hAnsi="Times New Roman" w:cs="Times New Roman"/>
          <w:sz w:val="24"/>
          <w:szCs w:val="24"/>
          <w:lang w:val="en-GB"/>
        </w:rPr>
        <w:t xml:space="preserve"> APVAC2 class II ICS assay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immune response analysis, APVAC1). </w:t>
      </w:r>
      <w:r w:rsidRPr="0040743B">
        <w:rPr>
          <w:rFonts w:ascii="Times New Roman" w:hAnsi="Times New Roman" w:cs="Times New Roman"/>
          <w:b/>
          <w:bCs/>
          <w:sz w:val="24"/>
          <w:szCs w:val="24"/>
          <w:lang w:val="en-GB"/>
        </w:rPr>
        <w:t>c</w:t>
      </w:r>
      <w:r w:rsidRPr="0040743B">
        <w:rPr>
          <w:rFonts w:ascii="Times New Roman" w:hAnsi="Times New Roman" w:cs="Times New Roman"/>
          <w:sz w:val="24"/>
          <w:szCs w:val="24"/>
          <w:lang w:val="en-GB"/>
        </w:rPr>
        <w:t>, Gating strategy for HLA class I and class II pan-ICS assay (CD4</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and CD8</w:t>
      </w:r>
      <w:r w:rsidRPr="0040743B">
        <w:rPr>
          <w:rFonts w:ascii="Times New Roman" w:hAnsi="Times New Roman" w:cs="Times New Roman"/>
          <w:sz w:val="24"/>
          <w:szCs w:val="24"/>
          <w:vertAlign w:val="superscript"/>
          <w:lang w:val="en-GB"/>
        </w:rPr>
        <w:t>+</w:t>
      </w:r>
      <w:r w:rsidRPr="0040743B">
        <w:rPr>
          <w:rFonts w:ascii="Times New Roman" w:hAnsi="Times New Roman" w:cs="Times New Roman"/>
          <w:sz w:val="24"/>
          <w:szCs w:val="24"/>
          <w:lang w:val="en-GB"/>
        </w:rPr>
        <w:t xml:space="preserve"> T-cell immune response analysis, APVAC2). </w:t>
      </w:r>
      <w:r w:rsidRPr="0040743B">
        <w:rPr>
          <w:rFonts w:ascii="Times New Roman" w:hAnsi="Times New Roman" w:cs="Times New Roman"/>
          <w:b/>
          <w:bCs/>
          <w:sz w:val="24"/>
          <w:szCs w:val="24"/>
          <w:lang w:val="en-GB"/>
        </w:rPr>
        <w:t>d</w:t>
      </w:r>
      <w:r w:rsidRPr="0040743B">
        <w:rPr>
          <w:rFonts w:ascii="Times New Roman" w:hAnsi="Times New Roman" w:cs="Times New Roman"/>
          <w:sz w:val="24"/>
          <w:szCs w:val="24"/>
          <w:lang w:val="en-GB"/>
        </w:rPr>
        <w:t>, Gating strategy for T</w:t>
      </w:r>
      <w:r w:rsidRPr="0040743B">
        <w:rPr>
          <w:rFonts w:ascii="Times New Roman" w:hAnsi="Times New Roman" w:cs="Times New Roman"/>
          <w:sz w:val="24"/>
          <w:szCs w:val="24"/>
          <w:vertAlign w:val="subscript"/>
          <w:lang w:val="en-GB"/>
        </w:rPr>
        <w:t>reg</w:t>
      </w:r>
      <w:r w:rsidRPr="0040743B">
        <w:rPr>
          <w:rFonts w:ascii="Times New Roman" w:hAnsi="Times New Roman" w:cs="Times New Roman"/>
          <w:sz w:val="24"/>
          <w:szCs w:val="24"/>
          <w:lang w:val="en-GB"/>
        </w:rPr>
        <w:t xml:space="preserve"> assay.</w:t>
      </w:r>
    </w:p>
    <w:p w14:paraId="0A2115AE" w14:textId="13B216D2" w:rsidR="002F2C1A" w:rsidRPr="00C464B0" w:rsidRDefault="002F2C1A" w:rsidP="00D81718">
      <w:pPr>
        <w:pStyle w:val="TextA"/>
        <w:spacing w:after="120" w:line="480" w:lineRule="auto"/>
        <w:rPr>
          <w:rFonts w:ascii="Times New Roman" w:hAnsi="Times New Roman" w:cs="Times New Roman"/>
          <w:sz w:val="24"/>
          <w:szCs w:val="24"/>
          <w:lang w:val="en-GB"/>
        </w:rPr>
      </w:pPr>
    </w:p>
    <w:sectPr w:rsidR="002F2C1A" w:rsidRPr="00C464B0">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59B9D" w14:textId="77777777" w:rsidR="00B31C32" w:rsidRDefault="00B31C32">
      <w:r>
        <w:separator/>
      </w:r>
    </w:p>
  </w:endnote>
  <w:endnote w:type="continuationSeparator" w:id="0">
    <w:p w14:paraId="2822B1B5" w14:textId="77777777" w:rsidR="00B31C32" w:rsidRDefault="00B31C32">
      <w:r>
        <w:continuationSeparator/>
      </w:r>
    </w:p>
  </w:endnote>
  <w:endnote w:type="continuationNotice" w:id="1">
    <w:p w14:paraId="1566B3F5" w14:textId="77777777" w:rsidR="00B31C32" w:rsidRDefault="00B31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DD72" w14:textId="77777777" w:rsidR="00F35387" w:rsidRDefault="00F35387">
    <w:pPr>
      <w:pStyle w:val="Footer"/>
    </w:pPr>
    <w:r>
      <w:rPr>
        <w:color w:val="808080"/>
        <w:sz w:val="16"/>
        <w:szCs w:val="16"/>
        <w:u w:color="808080"/>
      </w:rPr>
      <w:t>GAPVAC – Hilf, Kuttruff-Coqui et al.</w:t>
    </w:r>
    <w:r>
      <w:rPr>
        <w:color w:val="808080"/>
        <w:sz w:val="16"/>
        <w:szCs w:val="16"/>
        <w:u w:color="808080"/>
      </w:rPr>
      <w:tab/>
    </w:r>
    <w:r>
      <w:rPr>
        <w:color w:val="808080"/>
        <w:sz w:val="16"/>
        <w:szCs w:val="16"/>
        <w:u w:color="808080"/>
      </w:rPr>
      <w:tab/>
    </w:r>
    <w:r>
      <w:rPr>
        <w:color w:val="808080"/>
        <w:sz w:val="16"/>
        <w:szCs w:val="16"/>
        <w:u w:color="808080"/>
      </w:rPr>
      <w:fldChar w:fldCharType="begin"/>
    </w:r>
    <w:r>
      <w:rPr>
        <w:color w:val="808080"/>
        <w:sz w:val="16"/>
        <w:szCs w:val="16"/>
        <w:u w:color="808080"/>
      </w:rPr>
      <w:instrText xml:space="preserve"> PAGE </w:instrText>
    </w:r>
    <w:r>
      <w:rPr>
        <w:color w:val="808080"/>
        <w:sz w:val="16"/>
        <w:szCs w:val="16"/>
        <w:u w:color="808080"/>
      </w:rPr>
      <w:fldChar w:fldCharType="separate"/>
    </w:r>
    <w:r>
      <w:rPr>
        <w:color w:val="808080"/>
        <w:sz w:val="16"/>
        <w:szCs w:val="16"/>
        <w:u w:color="808080"/>
      </w:rPr>
      <w:t>17</w:t>
    </w:r>
    <w:r>
      <w:rPr>
        <w:color w:val="808080"/>
        <w:sz w:val="16"/>
        <w:szCs w:val="16"/>
        <w:u w:color="808080"/>
      </w:rPr>
      <w:fldChar w:fldCharType="end"/>
    </w:r>
    <w:r>
      <w:rPr>
        <w:color w:val="808080"/>
        <w:sz w:val="16"/>
        <w:szCs w:val="16"/>
        <w:u w:color="808080"/>
      </w:rPr>
      <w:t xml:space="preserve"> of </w:t>
    </w:r>
    <w:r>
      <w:rPr>
        <w:color w:val="808080"/>
        <w:sz w:val="16"/>
        <w:szCs w:val="16"/>
        <w:u w:color="808080"/>
      </w:rPr>
      <w:fldChar w:fldCharType="begin"/>
    </w:r>
    <w:r>
      <w:rPr>
        <w:color w:val="808080"/>
        <w:sz w:val="16"/>
        <w:szCs w:val="16"/>
        <w:u w:color="808080"/>
      </w:rPr>
      <w:instrText xml:space="preserve"> NUMPAGES </w:instrText>
    </w:r>
    <w:r>
      <w:rPr>
        <w:color w:val="808080"/>
        <w:sz w:val="16"/>
        <w:szCs w:val="16"/>
        <w:u w:color="808080"/>
      </w:rPr>
      <w:fldChar w:fldCharType="separate"/>
    </w:r>
    <w:r>
      <w:rPr>
        <w:color w:val="808080"/>
        <w:sz w:val="16"/>
        <w:szCs w:val="16"/>
        <w:u w:color="808080"/>
      </w:rPr>
      <w:t>17</w:t>
    </w:r>
    <w:r>
      <w:rPr>
        <w:color w:val="808080"/>
        <w:sz w:val="16"/>
        <w:szCs w:val="16"/>
        <w:u w:color="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CDCFD" w14:textId="77777777" w:rsidR="00B31C32" w:rsidRDefault="00B31C32">
      <w:r>
        <w:separator/>
      </w:r>
    </w:p>
  </w:footnote>
  <w:footnote w:type="continuationSeparator" w:id="0">
    <w:p w14:paraId="5D81A6CD" w14:textId="77777777" w:rsidR="00B31C32" w:rsidRDefault="00B31C32">
      <w:r>
        <w:continuationSeparator/>
      </w:r>
    </w:p>
  </w:footnote>
  <w:footnote w:type="continuationNotice" w:id="1">
    <w:p w14:paraId="6DDB2FC4" w14:textId="77777777" w:rsidR="00B31C32" w:rsidRDefault="00B31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DD71" w14:textId="77777777" w:rsidR="00F35387" w:rsidRDefault="00F35387">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tsfewert0rp7e29v3v99p9xpvvssxt5wfp&quot;&gt;endnote@immatics.com&lt;record-ids&gt;&lt;item&gt;320&lt;/item&gt;&lt;item&gt;2144&lt;/item&gt;&lt;item&gt;2356&lt;/item&gt;&lt;item&gt;2439&lt;/item&gt;&lt;item&gt;2531&lt;/item&gt;&lt;item&gt;2756&lt;/item&gt;&lt;item&gt;3997&lt;/item&gt;&lt;item&gt;4004&lt;/item&gt;&lt;item&gt;4537&lt;/item&gt;&lt;item&gt;5573&lt;/item&gt;&lt;item&gt;5610&lt;/item&gt;&lt;item&gt;7233&lt;/item&gt;&lt;item&gt;8070&lt;/item&gt;&lt;item&gt;8886&lt;/item&gt;&lt;item&gt;10232&lt;/item&gt;&lt;item&gt;10680&lt;/item&gt;&lt;item&gt;11520&lt;/item&gt;&lt;item&gt;11522&lt;/item&gt;&lt;item&gt;11799&lt;/item&gt;&lt;item&gt;11850&lt;/item&gt;&lt;item&gt;11861&lt;/item&gt;&lt;item&gt;11906&lt;/item&gt;&lt;item&gt;12296&lt;/item&gt;&lt;item&gt;15139&lt;/item&gt;&lt;item&gt;16242&lt;/item&gt;&lt;item&gt;16260&lt;/item&gt;&lt;item&gt;16895&lt;/item&gt;&lt;item&gt;17099&lt;/item&gt;&lt;item&gt;17354&lt;/item&gt;&lt;item&gt;17736&lt;/item&gt;&lt;item&gt;17854&lt;/item&gt;&lt;item&gt;18091&lt;/item&gt;&lt;item&gt;18156&lt;/item&gt;&lt;item&gt;19517&lt;/item&gt;&lt;item&gt;19554&lt;/item&gt;&lt;item&gt;20003&lt;/item&gt;&lt;item&gt;20262&lt;/item&gt;&lt;item&gt;20576&lt;/item&gt;&lt;item&gt;20818&lt;/item&gt;&lt;item&gt;20819&lt;/item&gt;&lt;item&gt;20821&lt;/item&gt;&lt;item&gt;20949&lt;/item&gt;&lt;item&gt;20978&lt;/item&gt;&lt;item&gt;20989&lt;/item&gt;&lt;item&gt;21075&lt;/item&gt;&lt;item&gt;21106&lt;/item&gt;&lt;item&gt;21107&lt;/item&gt;&lt;item&gt;21108&lt;/item&gt;&lt;item&gt;21109&lt;/item&gt;&lt;item&gt;21191&lt;/item&gt;&lt;item&gt;21192&lt;/item&gt;&lt;item&gt;21193&lt;/item&gt;&lt;item&gt;21335&lt;/item&gt;&lt;item&gt;21337&lt;/item&gt;&lt;item&gt;21541&lt;/item&gt;&lt;item&gt;21684&lt;/item&gt;&lt;item&gt;21719&lt;/item&gt;&lt;/record-ids&gt;&lt;/item&gt;&lt;/Libraries&gt;"/>
  </w:docVars>
  <w:rsids>
    <w:rsidRoot w:val="00D727CA"/>
    <w:rsid w:val="00000369"/>
    <w:rsid w:val="00000EA4"/>
    <w:rsid w:val="00001751"/>
    <w:rsid w:val="0000248C"/>
    <w:rsid w:val="0000277E"/>
    <w:rsid w:val="00003508"/>
    <w:rsid w:val="00003CBA"/>
    <w:rsid w:val="00004A9A"/>
    <w:rsid w:val="00005648"/>
    <w:rsid w:val="00005B50"/>
    <w:rsid w:val="000060A4"/>
    <w:rsid w:val="00007A84"/>
    <w:rsid w:val="00010B0A"/>
    <w:rsid w:val="000123A6"/>
    <w:rsid w:val="0001270C"/>
    <w:rsid w:val="00012D34"/>
    <w:rsid w:val="0001359C"/>
    <w:rsid w:val="00013FCC"/>
    <w:rsid w:val="00014B0D"/>
    <w:rsid w:val="000161A9"/>
    <w:rsid w:val="00016622"/>
    <w:rsid w:val="00016742"/>
    <w:rsid w:val="00016835"/>
    <w:rsid w:val="00016F7D"/>
    <w:rsid w:val="00017418"/>
    <w:rsid w:val="00021750"/>
    <w:rsid w:val="00021CF4"/>
    <w:rsid w:val="00021D52"/>
    <w:rsid w:val="00022311"/>
    <w:rsid w:val="00023580"/>
    <w:rsid w:val="00023C34"/>
    <w:rsid w:val="00023DF6"/>
    <w:rsid w:val="000244CE"/>
    <w:rsid w:val="000249EE"/>
    <w:rsid w:val="00025A06"/>
    <w:rsid w:val="00027EC9"/>
    <w:rsid w:val="00030324"/>
    <w:rsid w:val="00030C56"/>
    <w:rsid w:val="00031547"/>
    <w:rsid w:val="00031BB1"/>
    <w:rsid w:val="000333DE"/>
    <w:rsid w:val="000343EE"/>
    <w:rsid w:val="00034B63"/>
    <w:rsid w:val="000363FF"/>
    <w:rsid w:val="00036B86"/>
    <w:rsid w:val="000375C8"/>
    <w:rsid w:val="00041747"/>
    <w:rsid w:val="000425AB"/>
    <w:rsid w:val="00044095"/>
    <w:rsid w:val="00044185"/>
    <w:rsid w:val="000455C7"/>
    <w:rsid w:val="00047423"/>
    <w:rsid w:val="00047D4B"/>
    <w:rsid w:val="00047FB3"/>
    <w:rsid w:val="00050B64"/>
    <w:rsid w:val="00050EE3"/>
    <w:rsid w:val="0005184F"/>
    <w:rsid w:val="00053A66"/>
    <w:rsid w:val="00055493"/>
    <w:rsid w:val="00055581"/>
    <w:rsid w:val="00055E38"/>
    <w:rsid w:val="000560D1"/>
    <w:rsid w:val="00056133"/>
    <w:rsid w:val="000561F2"/>
    <w:rsid w:val="0005638C"/>
    <w:rsid w:val="00057443"/>
    <w:rsid w:val="0006067D"/>
    <w:rsid w:val="000606BB"/>
    <w:rsid w:val="0006178E"/>
    <w:rsid w:val="00062244"/>
    <w:rsid w:val="00062491"/>
    <w:rsid w:val="00062760"/>
    <w:rsid w:val="000637D9"/>
    <w:rsid w:val="00064F9B"/>
    <w:rsid w:val="0006518F"/>
    <w:rsid w:val="00065839"/>
    <w:rsid w:val="00065CE8"/>
    <w:rsid w:val="00066040"/>
    <w:rsid w:val="00066B83"/>
    <w:rsid w:val="00066BE2"/>
    <w:rsid w:val="00066E72"/>
    <w:rsid w:val="00066F8B"/>
    <w:rsid w:val="0007076A"/>
    <w:rsid w:val="00071B3E"/>
    <w:rsid w:val="00071EB0"/>
    <w:rsid w:val="00074F53"/>
    <w:rsid w:val="00075666"/>
    <w:rsid w:val="0007746F"/>
    <w:rsid w:val="00080C78"/>
    <w:rsid w:val="00081077"/>
    <w:rsid w:val="0008201C"/>
    <w:rsid w:val="00083AB4"/>
    <w:rsid w:val="0008536E"/>
    <w:rsid w:val="0008572C"/>
    <w:rsid w:val="0008585C"/>
    <w:rsid w:val="000867DB"/>
    <w:rsid w:val="000872B0"/>
    <w:rsid w:val="00090AF2"/>
    <w:rsid w:val="00090CE5"/>
    <w:rsid w:val="0009337B"/>
    <w:rsid w:val="0009382D"/>
    <w:rsid w:val="00094B11"/>
    <w:rsid w:val="000961CD"/>
    <w:rsid w:val="0009629C"/>
    <w:rsid w:val="00097F00"/>
    <w:rsid w:val="000A0437"/>
    <w:rsid w:val="000A0C25"/>
    <w:rsid w:val="000A1F01"/>
    <w:rsid w:val="000A2507"/>
    <w:rsid w:val="000A36AF"/>
    <w:rsid w:val="000A3DC0"/>
    <w:rsid w:val="000A47AF"/>
    <w:rsid w:val="000A56DA"/>
    <w:rsid w:val="000A5F82"/>
    <w:rsid w:val="000A6696"/>
    <w:rsid w:val="000A75F1"/>
    <w:rsid w:val="000A7998"/>
    <w:rsid w:val="000A7DEA"/>
    <w:rsid w:val="000B19DE"/>
    <w:rsid w:val="000B1D98"/>
    <w:rsid w:val="000B1F22"/>
    <w:rsid w:val="000B261A"/>
    <w:rsid w:val="000B2C02"/>
    <w:rsid w:val="000B44CA"/>
    <w:rsid w:val="000B5283"/>
    <w:rsid w:val="000B56E9"/>
    <w:rsid w:val="000B583D"/>
    <w:rsid w:val="000B7016"/>
    <w:rsid w:val="000B79AA"/>
    <w:rsid w:val="000B7AE5"/>
    <w:rsid w:val="000C0567"/>
    <w:rsid w:val="000C302C"/>
    <w:rsid w:val="000C3D8C"/>
    <w:rsid w:val="000C5625"/>
    <w:rsid w:val="000C5C44"/>
    <w:rsid w:val="000C60B7"/>
    <w:rsid w:val="000C6CE3"/>
    <w:rsid w:val="000C6F63"/>
    <w:rsid w:val="000D036F"/>
    <w:rsid w:val="000D0EEC"/>
    <w:rsid w:val="000D0FD0"/>
    <w:rsid w:val="000D2674"/>
    <w:rsid w:val="000D380B"/>
    <w:rsid w:val="000D3BEA"/>
    <w:rsid w:val="000D4C4E"/>
    <w:rsid w:val="000D668E"/>
    <w:rsid w:val="000D6A66"/>
    <w:rsid w:val="000D73B6"/>
    <w:rsid w:val="000D751D"/>
    <w:rsid w:val="000E210D"/>
    <w:rsid w:val="000E28D0"/>
    <w:rsid w:val="000E3596"/>
    <w:rsid w:val="000E3CA1"/>
    <w:rsid w:val="000E56C6"/>
    <w:rsid w:val="000E59DF"/>
    <w:rsid w:val="000E6AC2"/>
    <w:rsid w:val="000E787B"/>
    <w:rsid w:val="000F09B8"/>
    <w:rsid w:val="000F134B"/>
    <w:rsid w:val="000F1533"/>
    <w:rsid w:val="000F1DE9"/>
    <w:rsid w:val="000F1F4D"/>
    <w:rsid w:val="000F24C3"/>
    <w:rsid w:val="000F28BD"/>
    <w:rsid w:val="000F4204"/>
    <w:rsid w:val="000F5562"/>
    <w:rsid w:val="000F58A7"/>
    <w:rsid w:val="000F670F"/>
    <w:rsid w:val="000F6CB4"/>
    <w:rsid w:val="000F713B"/>
    <w:rsid w:val="000F7C50"/>
    <w:rsid w:val="00101951"/>
    <w:rsid w:val="0010364F"/>
    <w:rsid w:val="001043F4"/>
    <w:rsid w:val="00105440"/>
    <w:rsid w:val="001057B0"/>
    <w:rsid w:val="00106D5A"/>
    <w:rsid w:val="001079D8"/>
    <w:rsid w:val="00107AF8"/>
    <w:rsid w:val="001109D5"/>
    <w:rsid w:val="00111553"/>
    <w:rsid w:val="00112653"/>
    <w:rsid w:val="00112A5A"/>
    <w:rsid w:val="00113483"/>
    <w:rsid w:val="00113C40"/>
    <w:rsid w:val="001145CD"/>
    <w:rsid w:val="001148F1"/>
    <w:rsid w:val="0011533C"/>
    <w:rsid w:val="00115C51"/>
    <w:rsid w:val="00115E4F"/>
    <w:rsid w:val="00115E88"/>
    <w:rsid w:val="001166CE"/>
    <w:rsid w:val="001175AE"/>
    <w:rsid w:val="00117EE7"/>
    <w:rsid w:val="001204AD"/>
    <w:rsid w:val="00120BDB"/>
    <w:rsid w:val="00121568"/>
    <w:rsid w:val="00121727"/>
    <w:rsid w:val="00121839"/>
    <w:rsid w:val="00121B84"/>
    <w:rsid w:val="00121C44"/>
    <w:rsid w:val="0012304C"/>
    <w:rsid w:val="001235A4"/>
    <w:rsid w:val="00124547"/>
    <w:rsid w:val="0012494A"/>
    <w:rsid w:val="00124B91"/>
    <w:rsid w:val="001275E3"/>
    <w:rsid w:val="00130CC1"/>
    <w:rsid w:val="001313F5"/>
    <w:rsid w:val="00131EAE"/>
    <w:rsid w:val="00135839"/>
    <w:rsid w:val="0013593E"/>
    <w:rsid w:val="00136ED1"/>
    <w:rsid w:val="00137327"/>
    <w:rsid w:val="00137882"/>
    <w:rsid w:val="00137D7D"/>
    <w:rsid w:val="0014064F"/>
    <w:rsid w:val="001407EB"/>
    <w:rsid w:val="00140D0F"/>
    <w:rsid w:val="00140E1A"/>
    <w:rsid w:val="00140F7F"/>
    <w:rsid w:val="00141948"/>
    <w:rsid w:val="00144F48"/>
    <w:rsid w:val="0014542A"/>
    <w:rsid w:val="00146026"/>
    <w:rsid w:val="001471E9"/>
    <w:rsid w:val="00150798"/>
    <w:rsid w:val="00152DB1"/>
    <w:rsid w:val="00152E7F"/>
    <w:rsid w:val="00153F9F"/>
    <w:rsid w:val="0015477B"/>
    <w:rsid w:val="00154DB7"/>
    <w:rsid w:val="001556B3"/>
    <w:rsid w:val="00155AA2"/>
    <w:rsid w:val="00156019"/>
    <w:rsid w:val="001575FA"/>
    <w:rsid w:val="00161BCC"/>
    <w:rsid w:val="00161F1D"/>
    <w:rsid w:val="00162D2E"/>
    <w:rsid w:val="001632E9"/>
    <w:rsid w:val="001636F4"/>
    <w:rsid w:val="0016454B"/>
    <w:rsid w:val="00164C72"/>
    <w:rsid w:val="00164FBF"/>
    <w:rsid w:val="00165F7A"/>
    <w:rsid w:val="0016639C"/>
    <w:rsid w:val="00166602"/>
    <w:rsid w:val="00166D3C"/>
    <w:rsid w:val="00171BE2"/>
    <w:rsid w:val="00171D96"/>
    <w:rsid w:val="001738CC"/>
    <w:rsid w:val="00175A9A"/>
    <w:rsid w:val="00176C48"/>
    <w:rsid w:val="00177A70"/>
    <w:rsid w:val="0018166A"/>
    <w:rsid w:val="001817ED"/>
    <w:rsid w:val="00183097"/>
    <w:rsid w:val="001830E5"/>
    <w:rsid w:val="00185BFA"/>
    <w:rsid w:val="001860E4"/>
    <w:rsid w:val="001866EF"/>
    <w:rsid w:val="0019164B"/>
    <w:rsid w:val="00192016"/>
    <w:rsid w:val="0019354D"/>
    <w:rsid w:val="001943C7"/>
    <w:rsid w:val="001945C1"/>
    <w:rsid w:val="00194976"/>
    <w:rsid w:val="001965DD"/>
    <w:rsid w:val="001966A0"/>
    <w:rsid w:val="00196D07"/>
    <w:rsid w:val="00196D80"/>
    <w:rsid w:val="00196E1E"/>
    <w:rsid w:val="001A1B64"/>
    <w:rsid w:val="001A2556"/>
    <w:rsid w:val="001A29CD"/>
    <w:rsid w:val="001A2EEA"/>
    <w:rsid w:val="001A4544"/>
    <w:rsid w:val="001A5630"/>
    <w:rsid w:val="001A6613"/>
    <w:rsid w:val="001A7959"/>
    <w:rsid w:val="001B3752"/>
    <w:rsid w:val="001B3CD3"/>
    <w:rsid w:val="001B3DAD"/>
    <w:rsid w:val="001B45C3"/>
    <w:rsid w:val="001B5232"/>
    <w:rsid w:val="001B5DC5"/>
    <w:rsid w:val="001B67AB"/>
    <w:rsid w:val="001B6DBF"/>
    <w:rsid w:val="001C0563"/>
    <w:rsid w:val="001C08FF"/>
    <w:rsid w:val="001C0D73"/>
    <w:rsid w:val="001C17E3"/>
    <w:rsid w:val="001C2488"/>
    <w:rsid w:val="001C2692"/>
    <w:rsid w:val="001C56C9"/>
    <w:rsid w:val="001C58C7"/>
    <w:rsid w:val="001C75B1"/>
    <w:rsid w:val="001C7663"/>
    <w:rsid w:val="001C7A14"/>
    <w:rsid w:val="001D02ED"/>
    <w:rsid w:val="001D231F"/>
    <w:rsid w:val="001D255A"/>
    <w:rsid w:val="001D2C69"/>
    <w:rsid w:val="001D37C6"/>
    <w:rsid w:val="001D3DA7"/>
    <w:rsid w:val="001D41D8"/>
    <w:rsid w:val="001D773F"/>
    <w:rsid w:val="001E0A4E"/>
    <w:rsid w:val="001E0BDC"/>
    <w:rsid w:val="001E0CBD"/>
    <w:rsid w:val="001E0CF8"/>
    <w:rsid w:val="001E0D27"/>
    <w:rsid w:val="001E1AC8"/>
    <w:rsid w:val="001E25F1"/>
    <w:rsid w:val="001E28F4"/>
    <w:rsid w:val="001E494D"/>
    <w:rsid w:val="001E5201"/>
    <w:rsid w:val="001E55EB"/>
    <w:rsid w:val="001E62B4"/>
    <w:rsid w:val="001E636A"/>
    <w:rsid w:val="001F033F"/>
    <w:rsid w:val="001F0CED"/>
    <w:rsid w:val="001F19D2"/>
    <w:rsid w:val="001F1D7D"/>
    <w:rsid w:val="001F2E2F"/>
    <w:rsid w:val="001F36F6"/>
    <w:rsid w:val="001F456F"/>
    <w:rsid w:val="001F666F"/>
    <w:rsid w:val="001F7263"/>
    <w:rsid w:val="00200764"/>
    <w:rsid w:val="002007FD"/>
    <w:rsid w:val="00201A06"/>
    <w:rsid w:val="002022B1"/>
    <w:rsid w:val="00202578"/>
    <w:rsid w:val="002028FF"/>
    <w:rsid w:val="002034EC"/>
    <w:rsid w:val="00203C56"/>
    <w:rsid w:val="00204682"/>
    <w:rsid w:val="00205596"/>
    <w:rsid w:val="00205C93"/>
    <w:rsid w:val="00205EE6"/>
    <w:rsid w:val="00206510"/>
    <w:rsid w:val="00206B73"/>
    <w:rsid w:val="0020755A"/>
    <w:rsid w:val="00210EC9"/>
    <w:rsid w:val="00212020"/>
    <w:rsid w:val="00212D99"/>
    <w:rsid w:val="002138E7"/>
    <w:rsid w:val="00213DDB"/>
    <w:rsid w:val="002145C0"/>
    <w:rsid w:val="00215EA0"/>
    <w:rsid w:val="0021609B"/>
    <w:rsid w:val="002163DA"/>
    <w:rsid w:val="00216D7C"/>
    <w:rsid w:val="00216F67"/>
    <w:rsid w:val="0021791E"/>
    <w:rsid w:val="0022080D"/>
    <w:rsid w:val="00220C2E"/>
    <w:rsid w:val="002218E9"/>
    <w:rsid w:val="00222B4C"/>
    <w:rsid w:val="00223E54"/>
    <w:rsid w:val="002244F1"/>
    <w:rsid w:val="00224C41"/>
    <w:rsid w:val="002258F5"/>
    <w:rsid w:val="00226257"/>
    <w:rsid w:val="002265CF"/>
    <w:rsid w:val="00227219"/>
    <w:rsid w:val="00227370"/>
    <w:rsid w:val="002277BC"/>
    <w:rsid w:val="0022783E"/>
    <w:rsid w:val="00227B2B"/>
    <w:rsid w:val="00230E3F"/>
    <w:rsid w:val="00230ED3"/>
    <w:rsid w:val="00232370"/>
    <w:rsid w:val="002326C7"/>
    <w:rsid w:val="00232E80"/>
    <w:rsid w:val="00235082"/>
    <w:rsid w:val="002352F2"/>
    <w:rsid w:val="00235330"/>
    <w:rsid w:val="00235F8D"/>
    <w:rsid w:val="002415F6"/>
    <w:rsid w:val="00241C4E"/>
    <w:rsid w:val="00241FAB"/>
    <w:rsid w:val="002421E9"/>
    <w:rsid w:val="00242263"/>
    <w:rsid w:val="00242E3E"/>
    <w:rsid w:val="00243050"/>
    <w:rsid w:val="0024472B"/>
    <w:rsid w:val="00245995"/>
    <w:rsid w:val="00250111"/>
    <w:rsid w:val="00250523"/>
    <w:rsid w:val="0025212A"/>
    <w:rsid w:val="00252D24"/>
    <w:rsid w:val="0025324C"/>
    <w:rsid w:val="00254E66"/>
    <w:rsid w:val="0025550D"/>
    <w:rsid w:val="00255F4D"/>
    <w:rsid w:val="002563E5"/>
    <w:rsid w:val="0025705A"/>
    <w:rsid w:val="00257283"/>
    <w:rsid w:val="0025784B"/>
    <w:rsid w:val="002578EF"/>
    <w:rsid w:val="00257B55"/>
    <w:rsid w:val="0026018A"/>
    <w:rsid w:val="00260D0B"/>
    <w:rsid w:val="00262DDE"/>
    <w:rsid w:val="00262F0B"/>
    <w:rsid w:val="00262F37"/>
    <w:rsid w:val="0026319F"/>
    <w:rsid w:val="002633F7"/>
    <w:rsid w:val="00263BD8"/>
    <w:rsid w:val="002641F6"/>
    <w:rsid w:val="00265288"/>
    <w:rsid w:val="00265EBE"/>
    <w:rsid w:val="0026600C"/>
    <w:rsid w:val="002667E4"/>
    <w:rsid w:val="00267650"/>
    <w:rsid w:val="00267A93"/>
    <w:rsid w:val="00270C95"/>
    <w:rsid w:val="0027103E"/>
    <w:rsid w:val="00271CD5"/>
    <w:rsid w:val="00271EBA"/>
    <w:rsid w:val="002726A1"/>
    <w:rsid w:val="002801D0"/>
    <w:rsid w:val="002806F5"/>
    <w:rsid w:val="00281624"/>
    <w:rsid w:val="0028247F"/>
    <w:rsid w:val="00283EE5"/>
    <w:rsid w:val="00284301"/>
    <w:rsid w:val="00284769"/>
    <w:rsid w:val="00284A3E"/>
    <w:rsid w:val="00285570"/>
    <w:rsid w:val="00285A5F"/>
    <w:rsid w:val="002874AE"/>
    <w:rsid w:val="00287D2C"/>
    <w:rsid w:val="00291271"/>
    <w:rsid w:val="002937D8"/>
    <w:rsid w:val="00294110"/>
    <w:rsid w:val="002944D4"/>
    <w:rsid w:val="00294FCD"/>
    <w:rsid w:val="00296102"/>
    <w:rsid w:val="00297E27"/>
    <w:rsid w:val="002A0D11"/>
    <w:rsid w:val="002A185E"/>
    <w:rsid w:val="002A3CFD"/>
    <w:rsid w:val="002A3EA4"/>
    <w:rsid w:val="002A553B"/>
    <w:rsid w:val="002A578A"/>
    <w:rsid w:val="002A582D"/>
    <w:rsid w:val="002A7367"/>
    <w:rsid w:val="002A74DA"/>
    <w:rsid w:val="002A7677"/>
    <w:rsid w:val="002A77B0"/>
    <w:rsid w:val="002A7989"/>
    <w:rsid w:val="002B067C"/>
    <w:rsid w:val="002B2893"/>
    <w:rsid w:val="002B3066"/>
    <w:rsid w:val="002B31D7"/>
    <w:rsid w:val="002B41C0"/>
    <w:rsid w:val="002B445D"/>
    <w:rsid w:val="002B5C7E"/>
    <w:rsid w:val="002B6838"/>
    <w:rsid w:val="002B7D13"/>
    <w:rsid w:val="002B7FC7"/>
    <w:rsid w:val="002C020B"/>
    <w:rsid w:val="002C1FF7"/>
    <w:rsid w:val="002C22F4"/>
    <w:rsid w:val="002C346E"/>
    <w:rsid w:val="002C42FD"/>
    <w:rsid w:val="002C4A64"/>
    <w:rsid w:val="002C4A80"/>
    <w:rsid w:val="002C4B89"/>
    <w:rsid w:val="002C4D05"/>
    <w:rsid w:val="002C5B5E"/>
    <w:rsid w:val="002C648D"/>
    <w:rsid w:val="002C7576"/>
    <w:rsid w:val="002D0495"/>
    <w:rsid w:val="002D0875"/>
    <w:rsid w:val="002D203A"/>
    <w:rsid w:val="002D259C"/>
    <w:rsid w:val="002D45C6"/>
    <w:rsid w:val="002D5048"/>
    <w:rsid w:val="002D55EB"/>
    <w:rsid w:val="002D5D7A"/>
    <w:rsid w:val="002E09C8"/>
    <w:rsid w:val="002E289B"/>
    <w:rsid w:val="002E2AFE"/>
    <w:rsid w:val="002E3175"/>
    <w:rsid w:val="002E4529"/>
    <w:rsid w:val="002E50D9"/>
    <w:rsid w:val="002E5A35"/>
    <w:rsid w:val="002F0993"/>
    <w:rsid w:val="002F0A87"/>
    <w:rsid w:val="002F202D"/>
    <w:rsid w:val="002F21CF"/>
    <w:rsid w:val="002F2C1A"/>
    <w:rsid w:val="002F3D23"/>
    <w:rsid w:val="002F3D94"/>
    <w:rsid w:val="002F419D"/>
    <w:rsid w:val="002F46DC"/>
    <w:rsid w:val="002F47B1"/>
    <w:rsid w:val="002F4BC4"/>
    <w:rsid w:val="002F4F45"/>
    <w:rsid w:val="002F508B"/>
    <w:rsid w:val="002F6617"/>
    <w:rsid w:val="002F6679"/>
    <w:rsid w:val="002F673D"/>
    <w:rsid w:val="002F71F9"/>
    <w:rsid w:val="002F7459"/>
    <w:rsid w:val="00300442"/>
    <w:rsid w:val="00300794"/>
    <w:rsid w:val="00302304"/>
    <w:rsid w:val="00302FC6"/>
    <w:rsid w:val="00304E64"/>
    <w:rsid w:val="0030558C"/>
    <w:rsid w:val="003055F1"/>
    <w:rsid w:val="003064CD"/>
    <w:rsid w:val="00310B1F"/>
    <w:rsid w:val="003124A6"/>
    <w:rsid w:val="00312CC9"/>
    <w:rsid w:val="00313FDF"/>
    <w:rsid w:val="003151D8"/>
    <w:rsid w:val="00315D39"/>
    <w:rsid w:val="00316331"/>
    <w:rsid w:val="00317925"/>
    <w:rsid w:val="00320548"/>
    <w:rsid w:val="00320603"/>
    <w:rsid w:val="00321A9B"/>
    <w:rsid w:val="00321CEB"/>
    <w:rsid w:val="003232A3"/>
    <w:rsid w:val="003250AC"/>
    <w:rsid w:val="0032727F"/>
    <w:rsid w:val="00330778"/>
    <w:rsid w:val="00332F72"/>
    <w:rsid w:val="00333DA4"/>
    <w:rsid w:val="00333FC7"/>
    <w:rsid w:val="00334144"/>
    <w:rsid w:val="0033493E"/>
    <w:rsid w:val="00335CD4"/>
    <w:rsid w:val="0034001D"/>
    <w:rsid w:val="00340647"/>
    <w:rsid w:val="00341958"/>
    <w:rsid w:val="00342A42"/>
    <w:rsid w:val="0034396E"/>
    <w:rsid w:val="00344CF5"/>
    <w:rsid w:val="0034553C"/>
    <w:rsid w:val="003458DC"/>
    <w:rsid w:val="00345FB8"/>
    <w:rsid w:val="00346B5C"/>
    <w:rsid w:val="00346C78"/>
    <w:rsid w:val="00347FC2"/>
    <w:rsid w:val="00350AC6"/>
    <w:rsid w:val="00350DF6"/>
    <w:rsid w:val="00352C42"/>
    <w:rsid w:val="00353FB5"/>
    <w:rsid w:val="00354A9E"/>
    <w:rsid w:val="00354AB8"/>
    <w:rsid w:val="00354EF8"/>
    <w:rsid w:val="003562BF"/>
    <w:rsid w:val="003612C2"/>
    <w:rsid w:val="003644CE"/>
    <w:rsid w:val="0036498A"/>
    <w:rsid w:val="00366770"/>
    <w:rsid w:val="00366831"/>
    <w:rsid w:val="00366ED1"/>
    <w:rsid w:val="003671CC"/>
    <w:rsid w:val="0037035E"/>
    <w:rsid w:val="00370654"/>
    <w:rsid w:val="00370C28"/>
    <w:rsid w:val="00370D68"/>
    <w:rsid w:val="00371726"/>
    <w:rsid w:val="0037290B"/>
    <w:rsid w:val="00373690"/>
    <w:rsid w:val="00375A46"/>
    <w:rsid w:val="0037704E"/>
    <w:rsid w:val="003774E7"/>
    <w:rsid w:val="00377527"/>
    <w:rsid w:val="00377628"/>
    <w:rsid w:val="00377985"/>
    <w:rsid w:val="00380349"/>
    <w:rsid w:val="003812CE"/>
    <w:rsid w:val="0038131E"/>
    <w:rsid w:val="00381813"/>
    <w:rsid w:val="0038228D"/>
    <w:rsid w:val="003823B9"/>
    <w:rsid w:val="003829C8"/>
    <w:rsid w:val="00382C39"/>
    <w:rsid w:val="00382CDD"/>
    <w:rsid w:val="00383108"/>
    <w:rsid w:val="00383A0D"/>
    <w:rsid w:val="00384B98"/>
    <w:rsid w:val="003852FC"/>
    <w:rsid w:val="00391EE5"/>
    <w:rsid w:val="00392F1B"/>
    <w:rsid w:val="00393107"/>
    <w:rsid w:val="00393778"/>
    <w:rsid w:val="00394062"/>
    <w:rsid w:val="003975D8"/>
    <w:rsid w:val="003A0291"/>
    <w:rsid w:val="003A11E0"/>
    <w:rsid w:val="003A251B"/>
    <w:rsid w:val="003A2C7D"/>
    <w:rsid w:val="003A396B"/>
    <w:rsid w:val="003A44BF"/>
    <w:rsid w:val="003A4825"/>
    <w:rsid w:val="003A4F5F"/>
    <w:rsid w:val="003A7A69"/>
    <w:rsid w:val="003B114D"/>
    <w:rsid w:val="003B1A61"/>
    <w:rsid w:val="003B223C"/>
    <w:rsid w:val="003B2C8F"/>
    <w:rsid w:val="003B6444"/>
    <w:rsid w:val="003B765D"/>
    <w:rsid w:val="003C1616"/>
    <w:rsid w:val="003C2C7A"/>
    <w:rsid w:val="003C4D1F"/>
    <w:rsid w:val="003C5C05"/>
    <w:rsid w:val="003C6B5E"/>
    <w:rsid w:val="003C7A74"/>
    <w:rsid w:val="003D2514"/>
    <w:rsid w:val="003D2F10"/>
    <w:rsid w:val="003D417D"/>
    <w:rsid w:val="003D4338"/>
    <w:rsid w:val="003D601B"/>
    <w:rsid w:val="003D64BD"/>
    <w:rsid w:val="003D6803"/>
    <w:rsid w:val="003D74C9"/>
    <w:rsid w:val="003E0437"/>
    <w:rsid w:val="003E12F2"/>
    <w:rsid w:val="003E2CF5"/>
    <w:rsid w:val="003E3485"/>
    <w:rsid w:val="003E3E79"/>
    <w:rsid w:val="003E3F1B"/>
    <w:rsid w:val="003E445B"/>
    <w:rsid w:val="003E620F"/>
    <w:rsid w:val="003E6523"/>
    <w:rsid w:val="003E7D60"/>
    <w:rsid w:val="003F0298"/>
    <w:rsid w:val="003F2730"/>
    <w:rsid w:val="003F345E"/>
    <w:rsid w:val="003F4EC9"/>
    <w:rsid w:val="003F556F"/>
    <w:rsid w:val="003F563F"/>
    <w:rsid w:val="003F6627"/>
    <w:rsid w:val="003F6901"/>
    <w:rsid w:val="004001E4"/>
    <w:rsid w:val="00400579"/>
    <w:rsid w:val="00400F04"/>
    <w:rsid w:val="00401317"/>
    <w:rsid w:val="00402C1E"/>
    <w:rsid w:val="00404DF5"/>
    <w:rsid w:val="00405E85"/>
    <w:rsid w:val="00406D9E"/>
    <w:rsid w:val="00406F4B"/>
    <w:rsid w:val="0040743B"/>
    <w:rsid w:val="00407A51"/>
    <w:rsid w:val="00410AE0"/>
    <w:rsid w:val="00410E63"/>
    <w:rsid w:val="0041247E"/>
    <w:rsid w:val="00412CF1"/>
    <w:rsid w:val="004138F4"/>
    <w:rsid w:val="004143B8"/>
    <w:rsid w:val="00414C6A"/>
    <w:rsid w:val="00416423"/>
    <w:rsid w:val="00416640"/>
    <w:rsid w:val="00416F59"/>
    <w:rsid w:val="00417804"/>
    <w:rsid w:val="0042167A"/>
    <w:rsid w:val="00421C95"/>
    <w:rsid w:val="00422B99"/>
    <w:rsid w:val="00424455"/>
    <w:rsid w:val="00424AFB"/>
    <w:rsid w:val="0042523D"/>
    <w:rsid w:val="004264A7"/>
    <w:rsid w:val="0042715C"/>
    <w:rsid w:val="00427AA6"/>
    <w:rsid w:val="00427D29"/>
    <w:rsid w:val="00427E24"/>
    <w:rsid w:val="004302ED"/>
    <w:rsid w:val="00431DF3"/>
    <w:rsid w:val="00434A76"/>
    <w:rsid w:val="0043566F"/>
    <w:rsid w:val="004363CF"/>
    <w:rsid w:val="004374C5"/>
    <w:rsid w:val="0043756B"/>
    <w:rsid w:val="0044092B"/>
    <w:rsid w:val="00442403"/>
    <w:rsid w:val="00443ACC"/>
    <w:rsid w:val="00444696"/>
    <w:rsid w:val="0044538B"/>
    <w:rsid w:val="00445735"/>
    <w:rsid w:val="00450379"/>
    <w:rsid w:val="004530DE"/>
    <w:rsid w:val="00453E39"/>
    <w:rsid w:val="00454386"/>
    <w:rsid w:val="00454900"/>
    <w:rsid w:val="0045514B"/>
    <w:rsid w:val="00457A22"/>
    <w:rsid w:val="00460F2F"/>
    <w:rsid w:val="00460F92"/>
    <w:rsid w:val="00461BFB"/>
    <w:rsid w:val="004620F6"/>
    <w:rsid w:val="00462227"/>
    <w:rsid w:val="00463A25"/>
    <w:rsid w:val="0046477E"/>
    <w:rsid w:val="00465205"/>
    <w:rsid w:val="004661E2"/>
    <w:rsid w:val="0046639A"/>
    <w:rsid w:val="00470CAE"/>
    <w:rsid w:val="00470CDD"/>
    <w:rsid w:val="00471355"/>
    <w:rsid w:val="00471F76"/>
    <w:rsid w:val="00474872"/>
    <w:rsid w:val="0047492C"/>
    <w:rsid w:val="00475504"/>
    <w:rsid w:val="00477A58"/>
    <w:rsid w:val="0048012C"/>
    <w:rsid w:val="0048109D"/>
    <w:rsid w:val="00481558"/>
    <w:rsid w:val="00481C14"/>
    <w:rsid w:val="00482727"/>
    <w:rsid w:val="00482A9B"/>
    <w:rsid w:val="00486247"/>
    <w:rsid w:val="00490FCC"/>
    <w:rsid w:val="00491117"/>
    <w:rsid w:val="00491E02"/>
    <w:rsid w:val="00494A12"/>
    <w:rsid w:val="00494E39"/>
    <w:rsid w:val="00495E1D"/>
    <w:rsid w:val="0049783C"/>
    <w:rsid w:val="004A0499"/>
    <w:rsid w:val="004A3B18"/>
    <w:rsid w:val="004A413F"/>
    <w:rsid w:val="004A43B3"/>
    <w:rsid w:val="004A633D"/>
    <w:rsid w:val="004A72E6"/>
    <w:rsid w:val="004A7778"/>
    <w:rsid w:val="004B0B48"/>
    <w:rsid w:val="004B31AF"/>
    <w:rsid w:val="004B39DB"/>
    <w:rsid w:val="004B3E7F"/>
    <w:rsid w:val="004B44D4"/>
    <w:rsid w:val="004B5235"/>
    <w:rsid w:val="004B5BDB"/>
    <w:rsid w:val="004B6CA4"/>
    <w:rsid w:val="004B74A9"/>
    <w:rsid w:val="004B753B"/>
    <w:rsid w:val="004C1098"/>
    <w:rsid w:val="004C33DD"/>
    <w:rsid w:val="004C3C27"/>
    <w:rsid w:val="004C4AE6"/>
    <w:rsid w:val="004C645C"/>
    <w:rsid w:val="004C679A"/>
    <w:rsid w:val="004C68D7"/>
    <w:rsid w:val="004C6F0B"/>
    <w:rsid w:val="004C6FB4"/>
    <w:rsid w:val="004C71DE"/>
    <w:rsid w:val="004C7E3E"/>
    <w:rsid w:val="004D0CDB"/>
    <w:rsid w:val="004D14B8"/>
    <w:rsid w:val="004D179D"/>
    <w:rsid w:val="004D2091"/>
    <w:rsid w:val="004D37C0"/>
    <w:rsid w:val="004D4A62"/>
    <w:rsid w:val="004D52CD"/>
    <w:rsid w:val="004D53DA"/>
    <w:rsid w:val="004D610B"/>
    <w:rsid w:val="004D62EC"/>
    <w:rsid w:val="004D6B19"/>
    <w:rsid w:val="004D7388"/>
    <w:rsid w:val="004E0227"/>
    <w:rsid w:val="004E06CB"/>
    <w:rsid w:val="004E16FE"/>
    <w:rsid w:val="004E2218"/>
    <w:rsid w:val="004E2867"/>
    <w:rsid w:val="004E3484"/>
    <w:rsid w:val="004E35CC"/>
    <w:rsid w:val="004E3618"/>
    <w:rsid w:val="004E3FF1"/>
    <w:rsid w:val="004E64F0"/>
    <w:rsid w:val="004E76A2"/>
    <w:rsid w:val="004F07C1"/>
    <w:rsid w:val="004F0B55"/>
    <w:rsid w:val="004F31F0"/>
    <w:rsid w:val="004F41E0"/>
    <w:rsid w:val="004F552A"/>
    <w:rsid w:val="004F6541"/>
    <w:rsid w:val="004F65B5"/>
    <w:rsid w:val="004F6F28"/>
    <w:rsid w:val="004F7DC3"/>
    <w:rsid w:val="0050163C"/>
    <w:rsid w:val="00501A6F"/>
    <w:rsid w:val="00501FED"/>
    <w:rsid w:val="005035D3"/>
    <w:rsid w:val="00505074"/>
    <w:rsid w:val="005058C8"/>
    <w:rsid w:val="00505EA0"/>
    <w:rsid w:val="00507122"/>
    <w:rsid w:val="005074B9"/>
    <w:rsid w:val="00510326"/>
    <w:rsid w:val="005107ED"/>
    <w:rsid w:val="00511243"/>
    <w:rsid w:val="005122A8"/>
    <w:rsid w:val="005145AF"/>
    <w:rsid w:val="00515B37"/>
    <w:rsid w:val="005161CA"/>
    <w:rsid w:val="00517D2C"/>
    <w:rsid w:val="00517F85"/>
    <w:rsid w:val="005200E5"/>
    <w:rsid w:val="00520493"/>
    <w:rsid w:val="00520606"/>
    <w:rsid w:val="005226E6"/>
    <w:rsid w:val="00522C30"/>
    <w:rsid w:val="00522F26"/>
    <w:rsid w:val="0052334E"/>
    <w:rsid w:val="00523363"/>
    <w:rsid w:val="00523AE9"/>
    <w:rsid w:val="005253C7"/>
    <w:rsid w:val="005257FA"/>
    <w:rsid w:val="00525B4A"/>
    <w:rsid w:val="00526A56"/>
    <w:rsid w:val="005271A1"/>
    <w:rsid w:val="00527E56"/>
    <w:rsid w:val="00530084"/>
    <w:rsid w:val="0053029E"/>
    <w:rsid w:val="00530442"/>
    <w:rsid w:val="005311E9"/>
    <w:rsid w:val="00536656"/>
    <w:rsid w:val="00536BAF"/>
    <w:rsid w:val="0053759B"/>
    <w:rsid w:val="0054097E"/>
    <w:rsid w:val="00540DB3"/>
    <w:rsid w:val="0054147E"/>
    <w:rsid w:val="00542501"/>
    <w:rsid w:val="00543921"/>
    <w:rsid w:val="00544B54"/>
    <w:rsid w:val="00545006"/>
    <w:rsid w:val="005468A8"/>
    <w:rsid w:val="00546943"/>
    <w:rsid w:val="005501B7"/>
    <w:rsid w:val="005505ED"/>
    <w:rsid w:val="00550C58"/>
    <w:rsid w:val="00550F22"/>
    <w:rsid w:val="00551126"/>
    <w:rsid w:val="005523B6"/>
    <w:rsid w:val="005528B4"/>
    <w:rsid w:val="005529B3"/>
    <w:rsid w:val="005532B7"/>
    <w:rsid w:val="00554529"/>
    <w:rsid w:val="00554A03"/>
    <w:rsid w:val="00554FD1"/>
    <w:rsid w:val="00555515"/>
    <w:rsid w:val="00556AEC"/>
    <w:rsid w:val="00557299"/>
    <w:rsid w:val="005579CB"/>
    <w:rsid w:val="005623ED"/>
    <w:rsid w:val="00562B56"/>
    <w:rsid w:val="00565066"/>
    <w:rsid w:val="00566B1B"/>
    <w:rsid w:val="00566BA4"/>
    <w:rsid w:val="005675F1"/>
    <w:rsid w:val="00567F9A"/>
    <w:rsid w:val="0057183E"/>
    <w:rsid w:val="0057191B"/>
    <w:rsid w:val="00571DD1"/>
    <w:rsid w:val="0057270D"/>
    <w:rsid w:val="00575A1F"/>
    <w:rsid w:val="00576029"/>
    <w:rsid w:val="00577CE9"/>
    <w:rsid w:val="00580160"/>
    <w:rsid w:val="005801B0"/>
    <w:rsid w:val="00582EF7"/>
    <w:rsid w:val="00583481"/>
    <w:rsid w:val="00583D7C"/>
    <w:rsid w:val="005842E8"/>
    <w:rsid w:val="00584494"/>
    <w:rsid w:val="00584AAB"/>
    <w:rsid w:val="00585386"/>
    <w:rsid w:val="00585CF4"/>
    <w:rsid w:val="0058767F"/>
    <w:rsid w:val="00590B21"/>
    <w:rsid w:val="0059438D"/>
    <w:rsid w:val="00594C28"/>
    <w:rsid w:val="00595540"/>
    <w:rsid w:val="005955CC"/>
    <w:rsid w:val="00595604"/>
    <w:rsid w:val="005959AE"/>
    <w:rsid w:val="00595FBF"/>
    <w:rsid w:val="00596110"/>
    <w:rsid w:val="005964AE"/>
    <w:rsid w:val="005A0045"/>
    <w:rsid w:val="005A139A"/>
    <w:rsid w:val="005A15B2"/>
    <w:rsid w:val="005A1CAD"/>
    <w:rsid w:val="005A1D4F"/>
    <w:rsid w:val="005A2B80"/>
    <w:rsid w:val="005A2BAD"/>
    <w:rsid w:val="005A36EF"/>
    <w:rsid w:val="005A3976"/>
    <w:rsid w:val="005A5BF6"/>
    <w:rsid w:val="005A5D80"/>
    <w:rsid w:val="005A75BA"/>
    <w:rsid w:val="005A7BF7"/>
    <w:rsid w:val="005B003A"/>
    <w:rsid w:val="005B0739"/>
    <w:rsid w:val="005B1D27"/>
    <w:rsid w:val="005B3BFF"/>
    <w:rsid w:val="005B5C9E"/>
    <w:rsid w:val="005B651F"/>
    <w:rsid w:val="005B667F"/>
    <w:rsid w:val="005B67E4"/>
    <w:rsid w:val="005B6F11"/>
    <w:rsid w:val="005B77D2"/>
    <w:rsid w:val="005B79AF"/>
    <w:rsid w:val="005C0242"/>
    <w:rsid w:val="005C0748"/>
    <w:rsid w:val="005C0F0C"/>
    <w:rsid w:val="005C1DCF"/>
    <w:rsid w:val="005C23AC"/>
    <w:rsid w:val="005C303F"/>
    <w:rsid w:val="005C3217"/>
    <w:rsid w:val="005C35A1"/>
    <w:rsid w:val="005C3E8A"/>
    <w:rsid w:val="005C68BE"/>
    <w:rsid w:val="005C6A2B"/>
    <w:rsid w:val="005C6EF2"/>
    <w:rsid w:val="005D0417"/>
    <w:rsid w:val="005D046F"/>
    <w:rsid w:val="005D18C1"/>
    <w:rsid w:val="005D30EC"/>
    <w:rsid w:val="005D3679"/>
    <w:rsid w:val="005D3CF8"/>
    <w:rsid w:val="005D45E1"/>
    <w:rsid w:val="005D4742"/>
    <w:rsid w:val="005D7461"/>
    <w:rsid w:val="005D7924"/>
    <w:rsid w:val="005E043C"/>
    <w:rsid w:val="005E0684"/>
    <w:rsid w:val="005E1C87"/>
    <w:rsid w:val="005E1EB7"/>
    <w:rsid w:val="005E1F91"/>
    <w:rsid w:val="005E2646"/>
    <w:rsid w:val="005E3387"/>
    <w:rsid w:val="005E41E7"/>
    <w:rsid w:val="005E466E"/>
    <w:rsid w:val="005E46A2"/>
    <w:rsid w:val="005E5102"/>
    <w:rsid w:val="005E53E0"/>
    <w:rsid w:val="005E5D8A"/>
    <w:rsid w:val="005E7CA3"/>
    <w:rsid w:val="005E7FB4"/>
    <w:rsid w:val="005F0524"/>
    <w:rsid w:val="005F0D3E"/>
    <w:rsid w:val="005F1D1D"/>
    <w:rsid w:val="005F2084"/>
    <w:rsid w:val="005F40C4"/>
    <w:rsid w:val="005F595B"/>
    <w:rsid w:val="005F59A4"/>
    <w:rsid w:val="005F6696"/>
    <w:rsid w:val="0060145B"/>
    <w:rsid w:val="00601680"/>
    <w:rsid w:val="00601C97"/>
    <w:rsid w:val="00601F9C"/>
    <w:rsid w:val="00603B4D"/>
    <w:rsid w:val="00604022"/>
    <w:rsid w:val="00605484"/>
    <w:rsid w:val="006058E2"/>
    <w:rsid w:val="00607786"/>
    <w:rsid w:val="00607DEA"/>
    <w:rsid w:val="0061067C"/>
    <w:rsid w:val="00612ECD"/>
    <w:rsid w:val="00614AAA"/>
    <w:rsid w:val="00614FDC"/>
    <w:rsid w:val="006160EA"/>
    <w:rsid w:val="006163F6"/>
    <w:rsid w:val="00616B2C"/>
    <w:rsid w:val="00617FD8"/>
    <w:rsid w:val="00620543"/>
    <w:rsid w:val="00621DF4"/>
    <w:rsid w:val="00622044"/>
    <w:rsid w:val="00622E1F"/>
    <w:rsid w:val="00623085"/>
    <w:rsid w:val="00623882"/>
    <w:rsid w:val="00623EAB"/>
    <w:rsid w:val="00625CF9"/>
    <w:rsid w:val="00627C08"/>
    <w:rsid w:val="00630D32"/>
    <w:rsid w:val="00631957"/>
    <w:rsid w:val="00631B35"/>
    <w:rsid w:val="00632117"/>
    <w:rsid w:val="006329F0"/>
    <w:rsid w:val="00634A73"/>
    <w:rsid w:val="00634DE9"/>
    <w:rsid w:val="006351FE"/>
    <w:rsid w:val="00636740"/>
    <w:rsid w:val="00637B3C"/>
    <w:rsid w:val="00641742"/>
    <w:rsid w:val="00641D2F"/>
    <w:rsid w:val="0064231E"/>
    <w:rsid w:val="00646A85"/>
    <w:rsid w:val="00647B40"/>
    <w:rsid w:val="00647D62"/>
    <w:rsid w:val="00647F46"/>
    <w:rsid w:val="00650F0F"/>
    <w:rsid w:val="0065235C"/>
    <w:rsid w:val="00652718"/>
    <w:rsid w:val="00652B6E"/>
    <w:rsid w:val="00653B93"/>
    <w:rsid w:val="00654B6E"/>
    <w:rsid w:val="00655A64"/>
    <w:rsid w:val="00656B1C"/>
    <w:rsid w:val="00657489"/>
    <w:rsid w:val="006579F0"/>
    <w:rsid w:val="00661DD9"/>
    <w:rsid w:val="00663CCA"/>
    <w:rsid w:val="00663CFB"/>
    <w:rsid w:val="0066431D"/>
    <w:rsid w:val="00664551"/>
    <w:rsid w:val="00665E55"/>
    <w:rsid w:val="00665F94"/>
    <w:rsid w:val="00666889"/>
    <w:rsid w:val="00667354"/>
    <w:rsid w:val="0066743F"/>
    <w:rsid w:val="006674D8"/>
    <w:rsid w:val="00667ADC"/>
    <w:rsid w:val="00667FDD"/>
    <w:rsid w:val="006704CB"/>
    <w:rsid w:val="00673898"/>
    <w:rsid w:val="00674A63"/>
    <w:rsid w:val="00674ABA"/>
    <w:rsid w:val="00676DA7"/>
    <w:rsid w:val="006775F6"/>
    <w:rsid w:val="00677D80"/>
    <w:rsid w:val="00680279"/>
    <w:rsid w:val="0068082D"/>
    <w:rsid w:val="00680B1D"/>
    <w:rsid w:val="0068336C"/>
    <w:rsid w:val="006836EC"/>
    <w:rsid w:val="00684591"/>
    <w:rsid w:val="00684892"/>
    <w:rsid w:val="00684E09"/>
    <w:rsid w:val="00685DB1"/>
    <w:rsid w:val="006861F4"/>
    <w:rsid w:val="00686B63"/>
    <w:rsid w:val="00686C8E"/>
    <w:rsid w:val="006875B9"/>
    <w:rsid w:val="006878D5"/>
    <w:rsid w:val="00687ABE"/>
    <w:rsid w:val="006915E9"/>
    <w:rsid w:val="006916F0"/>
    <w:rsid w:val="006917D6"/>
    <w:rsid w:val="00692296"/>
    <w:rsid w:val="0069245E"/>
    <w:rsid w:val="00692C67"/>
    <w:rsid w:val="0069310A"/>
    <w:rsid w:val="006938B5"/>
    <w:rsid w:val="00694BB9"/>
    <w:rsid w:val="00694FBC"/>
    <w:rsid w:val="00696230"/>
    <w:rsid w:val="006968E3"/>
    <w:rsid w:val="00696E77"/>
    <w:rsid w:val="00697787"/>
    <w:rsid w:val="006A2274"/>
    <w:rsid w:val="006A380E"/>
    <w:rsid w:val="006A41DD"/>
    <w:rsid w:val="006A49F7"/>
    <w:rsid w:val="006A51CA"/>
    <w:rsid w:val="006A71C4"/>
    <w:rsid w:val="006B102D"/>
    <w:rsid w:val="006B1CF7"/>
    <w:rsid w:val="006B261D"/>
    <w:rsid w:val="006B263C"/>
    <w:rsid w:val="006B2844"/>
    <w:rsid w:val="006B4677"/>
    <w:rsid w:val="006B478F"/>
    <w:rsid w:val="006B4FF6"/>
    <w:rsid w:val="006B59FB"/>
    <w:rsid w:val="006B6645"/>
    <w:rsid w:val="006B6815"/>
    <w:rsid w:val="006B689B"/>
    <w:rsid w:val="006B6C04"/>
    <w:rsid w:val="006B754B"/>
    <w:rsid w:val="006B756C"/>
    <w:rsid w:val="006B7A6A"/>
    <w:rsid w:val="006B7E92"/>
    <w:rsid w:val="006C08C6"/>
    <w:rsid w:val="006C101C"/>
    <w:rsid w:val="006C117E"/>
    <w:rsid w:val="006C2C1E"/>
    <w:rsid w:val="006C2C51"/>
    <w:rsid w:val="006C3262"/>
    <w:rsid w:val="006C3282"/>
    <w:rsid w:val="006C378A"/>
    <w:rsid w:val="006C3882"/>
    <w:rsid w:val="006C5010"/>
    <w:rsid w:val="006C58AC"/>
    <w:rsid w:val="006C6D00"/>
    <w:rsid w:val="006C780E"/>
    <w:rsid w:val="006D04FF"/>
    <w:rsid w:val="006D0641"/>
    <w:rsid w:val="006D0ACA"/>
    <w:rsid w:val="006D1280"/>
    <w:rsid w:val="006D12BC"/>
    <w:rsid w:val="006D1325"/>
    <w:rsid w:val="006D134F"/>
    <w:rsid w:val="006D2B1C"/>
    <w:rsid w:val="006D36A8"/>
    <w:rsid w:val="006D3905"/>
    <w:rsid w:val="006D47B2"/>
    <w:rsid w:val="006E03C2"/>
    <w:rsid w:val="006E0F56"/>
    <w:rsid w:val="006E26E0"/>
    <w:rsid w:val="006E310F"/>
    <w:rsid w:val="006E316B"/>
    <w:rsid w:val="006E3A58"/>
    <w:rsid w:val="006E3BCA"/>
    <w:rsid w:val="006E502F"/>
    <w:rsid w:val="006E5156"/>
    <w:rsid w:val="006E58ED"/>
    <w:rsid w:val="006E7E27"/>
    <w:rsid w:val="006F03A5"/>
    <w:rsid w:val="006F165E"/>
    <w:rsid w:val="006F1D63"/>
    <w:rsid w:val="006F6EA6"/>
    <w:rsid w:val="006F7342"/>
    <w:rsid w:val="006F7EC5"/>
    <w:rsid w:val="007016CE"/>
    <w:rsid w:val="00701AB4"/>
    <w:rsid w:val="00701C62"/>
    <w:rsid w:val="007025FE"/>
    <w:rsid w:val="0070282F"/>
    <w:rsid w:val="007030B8"/>
    <w:rsid w:val="007042BA"/>
    <w:rsid w:val="00704904"/>
    <w:rsid w:val="00704AC6"/>
    <w:rsid w:val="007055E2"/>
    <w:rsid w:val="00705FD8"/>
    <w:rsid w:val="00706159"/>
    <w:rsid w:val="007074D8"/>
    <w:rsid w:val="00707D17"/>
    <w:rsid w:val="007117CF"/>
    <w:rsid w:val="00713470"/>
    <w:rsid w:val="007134D3"/>
    <w:rsid w:val="0071390F"/>
    <w:rsid w:val="00713EFD"/>
    <w:rsid w:val="00713FFE"/>
    <w:rsid w:val="00714209"/>
    <w:rsid w:val="00714A35"/>
    <w:rsid w:val="00714E7B"/>
    <w:rsid w:val="00715DA6"/>
    <w:rsid w:val="00716588"/>
    <w:rsid w:val="00717A50"/>
    <w:rsid w:val="00717D44"/>
    <w:rsid w:val="0072157A"/>
    <w:rsid w:val="007218CA"/>
    <w:rsid w:val="007227AD"/>
    <w:rsid w:val="00723253"/>
    <w:rsid w:val="007233AC"/>
    <w:rsid w:val="0072373F"/>
    <w:rsid w:val="00725419"/>
    <w:rsid w:val="00727A9D"/>
    <w:rsid w:val="00727BC1"/>
    <w:rsid w:val="00730E76"/>
    <w:rsid w:val="007318A6"/>
    <w:rsid w:val="0073259F"/>
    <w:rsid w:val="00734095"/>
    <w:rsid w:val="007354F4"/>
    <w:rsid w:val="0073554A"/>
    <w:rsid w:val="0073644D"/>
    <w:rsid w:val="00737653"/>
    <w:rsid w:val="00740603"/>
    <w:rsid w:val="00740F92"/>
    <w:rsid w:val="007420AE"/>
    <w:rsid w:val="00742175"/>
    <w:rsid w:val="00742B2D"/>
    <w:rsid w:val="00744AC8"/>
    <w:rsid w:val="00744EFA"/>
    <w:rsid w:val="007457F3"/>
    <w:rsid w:val="00750ECA"/>
    <w:rsid w:val="00751771"/>
    <w:rsid w:val="007524F4"/>
    <w:rsid w:val="00752D24"/>
    <w:rsid w:val="00752E54"/>
    <w:rsid w:val="007536C1"/>
    <w:rsid w:val="007537A6"/>
    <w:rsid w:val="00753A2F"/>
    <w:rsid w:val="00754121"/>
    <w:rsid w:val="0075527E"/>
    <w:rsid w:val="0075543A"/>
    <w:rsid w:val="007554D6"/>
    <w:rsid w:val="007558FC"/>
    <w:rsid w:val="00757DE3"/>
    <w:rsid w:val="00760D4B"/>
    <w:rsid w:val="00760DA5"/>
    <w:rsid w:val="007619A6"/>
    <w:rsid w:val="00763A61"/>
    <w:rsid w:val="00764F1D"/>
    <w:rsid w:val="00765850"/>
    <w:rsid w:val="00765BF1"/>
    <w:rsid w:val="00765C13"/>
    <w:rsid w:val="007669BA"/>
    <w:rsid w:val="0076723B"/>
    <w:rsid w:val="007674E7"/>
    <w:rsid w:val="0076774E"/>
    <w:rsid w:val="00770115"/>
    <w:rsid w:val="0077048E"/>
    <w:rsid w:val="00770707"/>
    <w:rsid w:val="007710F0"/>
    <w:rsid w:val="00774A0C"/>
    <w:rsid w:val="00774F6B"/>
    <w:rsid w:val="007751B7"/>
    <w:rsid w:val="00776516"/>
    <w:rsid w:val="007772C6"/>
    <w:rsid w:val="0077793A"/>
    <w:rsid w:val="00781369"/>
    <w:rsid w:val="007823DC"/>
    <w:rsid w:val="00782E74"/>
    <w:rsid w:val="007839C3"/>
    <w:rsid w:val="0078443D"/>
    <w:rsid w:val="00784C60"/>
    <w:rsid w:val="00785325"/>
    <w:rsid w:val="00785680"/>
    <w:rsid w:val="00787473"/>
    <w:rsid w:val="00790922"/>
    <w:rsid w:val="00790C64"/>
    <w:rsid w:val="007910D3"/>
    <w:rsid w:val="00792921"/>
    <w:rsid w:val="00793FC4"/>
    <w:rsid w:val="00794DFF"/>
    <w:rsid w:val="00797432"/>
    <w:rsid w:val="00797512"/>
    <w:rsid w:val="007975DB"/>
    <w:rsid w:val="00797D7F"/>
    <w:rsid w:val="007A03F1"/>
    <w:rsid w:val="007A171F"/>
    <w:rsid w:val="007A1F8E"/>
    <w:rsid w:val="007A2417"/>
    <w:rsid w:val="007A3696"/>
    <w:rsid w:val="007A3AB8"/>
    <w:rsid w:val="007A3B5F"/>
    <w:rsid w:val="007A44BA"/>
    <w:rsid w:val="007A4CEC"/>
    <w:rsid w:val="007A4CFB"/>
    <w:rsid w:val="007A6BC2"/>
    <w:rsid w:val="007A7598"/>
    <w:rsid w:val="007B1865"/>
    <w:rsid w:val="007B1955"/>
    <w:rsid w:val="007B1A92"/>
    <w:rsid w:val="007B42F6"/>
    <w:rsid w:val="007B4EC6"/>
    <w:rsid w:val="007B5344"/>
    <w:rsid w:val="007B76EC"/>
    <w:rsid w:val="007B77F2"/>
    <w:rsid w:val="007B7BE3"/>
    <w:rsid w:val="007C0DC3"/>
    <w:rsid w:val="007C33BA"/>
    <w:rsid w:val="007C346C"/>
    <w:rsid w:val="007C496D"/>
    <w:rsid w:val="007C4AF7"/>
    <w:rsid w:val="007C529E"/>
    <w:rsid w:val="007C6FAD"/>
    <w:rsid w:val="007D0982"/>
    <w:rsid w:val="007D0EA0"/>
    <w:rsid w:val="007D1115"/>
    <w:rsid w:val="007D3ED3"/>
    <w:rsid w:val="007D4054"/>
    <w:rsid w:val="007D54F7"/>
    <w:rsid w:val="007D7632"/>
    <w:rsid w:val="007E0279"/>
    <w:rsid w:val="007E06B6"/>
    <w:rsid w:val="007E10B2"/>
    <w:rsid w:val="007E1647"/>
    <w:rsid w:val="007E1B07"/>
    <w:rsid w:val="007E225E"/>
    <w:rsid w:val="007E231B"/>
    <w:rsid w:val="007E2A73"/>
    <w:rsid w:val="007E4864"/>
    <w:rsid w:val="007E486B"/>
    <w:rsid w:val="007E4D7B"/>
    <w:rsid w:val="007E6398"/>
    <w:rsid w:val="007E688D"/>
    <w:rsid w:val="007F03F1"/>
    <w:rsid w:val="007F0C4F"/>
    <w:rsid w:val="007F1CD3"/>
    <w:rsid w:val="007F1DD2"/>
    <w:rsid w:val="007F296D"/>
    <w:rsid w:val="007F3B34"/>
    <w:rsid w:val="007F4624"/>
    <w:rsid w:val="007F5EBE"/>
    <w:rsid w:val="007F61D6"/>
    <w:rsid w:val="007F7030"/>
    <w:rsid w:val="007F78DB"/>
    <w:rsid w:val="007F7B6C"/>
    <w:rsid w:val="00800266"/>
    <w:rsid w:val="00800E1A"/>
    <w:rsid w:val="00801F6E"/>
    <w:rsid w:val="008025F4"/>
    <w:rsid w:val="00802AA5"/>
    <w:rsid w:val="00803554"/>
    <w:rsid w:val="008043FC"/>
    <w:rsid w:val="0080440A"/>
    <w:rsid w:val="00804963"/>
    <w:rsid w:val="00804B4B"/>
    <w:rsid w:val="008058D3"/>
    <w:rsid w:val="00805F95"/>
    <w:rsid w:val="008066F7"/>
    <w:rsid w:val="00806C76"/>
    <w:rsid w:val="00806E97"/>
    <w:rsid w:val="008072BB"/>
    <w:rsid w:val="00807859"/>
    <w:rsid w:val="00807F49"/>
    <w:rsid w:val="00810DDF"/>
    <w:rsid w:val="0081242A"/>
    <w:rsid w:val="00812965"/>
    <w:rsid w:val="00814B6A"/>
    <w:rsid w:val="0081569C"/>
    <w:rsid w:val="00815D5F"/>
    <w:rsid w:val="00816784"/>
    <w:rsid w:val="008204DC"/>
    <w:rsid w:val="00821061"/>
    <w:rsid w:val="0082347F"/>
    <w:rsid w:val="00824134"/>
    <w:rsid w:val="00824892"/>
    <w:rsid w:val="008262DB"/>
    <w:rsid w:val="00830B19"/>
    <w:rsid w:val="008313D9"/>
    <w:rsid w:val="00832CC2"/>
    <w:rsid w:val="00834156"/>
    <w:rsid w:val="0083434A"/>
    <w:rsid w:val="00834B76"/>
    <w:rsid w:val="00836337"/>
    <w:rsid w:val="00837980"/>
    <w:rsid w:val="00840284"/>
    <w:rsid w:val="00840C2E"/>
    <w:rsid w:val="00841C67"/>
    <w:rsid w:val="00841EA2"/>
    <w:rsid w:val="00842051"/>
    <w:rsid w:val="00842428"/>
    <w:rsid w:val="00843211"/>
    <w:rsid w:val="00843A7E"/>
    <w:rsid w:val="00843FA0"/>
    <w:rsid w:val="00845071"/>
    <w:rsid w:val="008470D1"/>
    <w:rsid w:val="00850582"/>
    <w:rsid w:val="00850A9A"/>
    <w:rsid w:val="00850DD8"/>
    <w:rsid w:val="00851DAC"/>
    <w:rsid w:val="008524E3"/>
    <w:rsid w:val="008529F5"/>
    <w:rsid w:val="00854DF9"/>
    <w:rsid w:val="00855956"/>
    <w:rsid w:val="00855EF7"/>
    <w:rsid w:val="00857323"/>
    <w:rsid w:val="00857D20"/>
    <w:rsid w:val="00857EC6"/>
    <w:rsid w:val="00860B95"/>
    <w:rsid w:val="00864945"/>
    <w:rsid w:val="008649CA"/>
    <w:rsid w:val="008656F7"/>
    <w:rsid w:val="00866AE4"/>
    <w:rsid w:val="00867A73"/>
    <w:rsid w:val="0087044F"/>
    <w:rsid w:val="00870AD6"/>
    <w:rsid w:val="00871920"/>
    <w:rsid w:val="00873148"/>
    <w:rsid w:val="0087339D"/>
    <w:rsid w:val="00873604"/>
    <w:rsid w:val="00873A5C"/>
    <w:rsid w:val="00873C4B"/>
    <w:rsid w:val="008742CE"/>
    <w:rsid w:val="00874A9E"/>
    <w:rsid w:val="00877269"/>
    <w:rsid w:val="008808E4"/>
    <w:rsid w:val="00880E08"/>
    <w:rsid w:val="0088371C"/>
    <w:rsid w:val="00884BAF"/>
    <w:rsid w:val="00887A7B"/>
    <w:rsid w:val="00887CA0"/>
    <w:rsid w:val="00887E22"/>
    <w:rsid w:val="00890BE9"/>
    <w:rsid w:val="00896B2C"/>
    <w:rsid w:val="008A0784"/>
    <w:rsid w:val="008A134F"/>
    <w:rsid w:val="008A19D8"/>
    <w:rsid w:val="008A23C1"/>
    <w:rsid w:val="008A28F9"/>
    <w:rsid w:val="008A32B5"/>
    <w:rsid w:val="008A5073"/>
    <w:rsid w:val="008A53BB"/>
    <w:rsid w:val="008A5455"/>
    <w:rsid w:val="008A6663"/>
    <w:rsid w:val="008A6F34"/>
    <w:rsid w:val="008A761F"/>
    <w:rsid w:val="008B0DE5"/>
    <w:rsid w:val="008B29E3"/>
    <w:rsid w:val="008B38E4"/>
    <w:rsid w:val="008B4C64"/>
    <w:rsid w:val="008B4D69"/>
    <w:rsid w:val="008B6636"/>
    <w:rsid w:val="008C0684"/>
    <w:rsid w:val="008C11A9"/>
    <w:rsid w:val="008C12FF"/>
    <w:rsid w:val="008C1499"/>
    <w:rsid w:val="008C1A56"/>
    <w:rsid w:val="008C2274"/>
    <w:rsid w:val="008C2A37"/>
    <w:rsid w:val="008C3C04"/>
    <w:rsid w:val="008C3FF9"/>
    <w:rsid w:val="008C6155"/>
    <w:rsid w:val="008C6735"/>
    <w:rsid w:val="008D0C62"/>
    <w:rsid w:val="008D1927"/>
    <w:rsid w:val="008D1A02"/>
    <w:rsid w:val="008D22F4"/>
    <w:rsid w:val="008D5F46"/>
    <w:rsid w:val="008D5FEB"/>
    <w:rsid w:val="008D7523"/>
    <w:rsid w:val="008E14FA"/>
    <w:rsid w:val="008E197F"/>
    <w:rsid w:val="008E1EE1"/>
    <w:rsid w:val="008E259A"/>
    <w:rsid w:val="008E2C65"/>
    <w:rsid w:val="008E3719"/>
    <w:rsid w:val="008E570C"/>
    <w:rsid w:val="008E66EE"/>
    <w:rsid w:val="008E6F44"/>
    <w:rsid w:val="008F00D6"/>
    <w:rsid w:val="008F19ED"/>
    <w:rsid w:val="008F2E7A"/>
    <w:rsid w:val="008F32DA"/>
    <w:rsid w:val="008F41CE"/>
    <w:rsid w:val="008F533D"/>
    <w:rsid w:val="0090031D"/>
    <w:rsid w:val="00900A1E"/>
    <w:rsid w:val="00901E5E"/>
    <w:rsid w:val="009055F1"/>
    <w:rsid w:val="00905960"/>
    <w:rsid w:val="009064ED"/>
    <w:rsid w:val="00906885"/>
    <w:rsid w:val="00907439"/>
    <w:rsid w:val="00907D24"/>
    <w:rsid w:val="0091003E"/>
    <w:rsid w:val="00910959"/>
    <w:rsid w:val="009110F6"/>
    <w:rsid w:val="00912D84"/>
    <w:rsid w:val="0091423B"/>
    <w:rsid w:val="0091445D"/>
    <w:rsid w:val="00914E05"/>
    <w:rsid w:val="00914E47"/>
    <w:rsid w:val="00915275"/>
    <w:rsid w:val="00916306"/>
    <w:rsid w:val="00916D78"/>
    <w:rsid w:val="00921552"/>
    <w:rsid w:val="00923250"/>
    <w:rsid w:val="00923A28"/>
    <w:rsid w:val="00923ED4"/>
    <w:rsid w:val="00924933"/>
    <w:rsid w:val="00924C72"/>
    <w:rsid w:val="0092592E"/>
    <w:rsid w:val="009264BF"/>
    <w:rsid w:val="00930BD3"/>
    <w:rsid w:val="00930D1B"/>
    <w:rsid w:val="00931996"/>
    <w:rsid w:val="0093313A"/>
    <w:rsid w:val="00933D4C"/>
    <w:rsid w:val="0093628E"/>
    <w:rsid w:val="00936EFA"/>
    <w:rsid w:val="0093731B"/>
    <w:rsid w:val="00937E9A"/>
    <w:rsid w:val="0094050D"/>
    <w:rsid w:val="009414C1"/>
    <w:rsid w:val="009416EC"/>
    <w:rsid w:val="00941EB5"/>
    <w:rsid w:val="00941FA7"/>
    <w:rsid w:val="00942828"/>
    <w:rsid w:val="00942DE0"/>
    <w:rsid w:val="0094334A"/>
    <w:rsid w:val="00943A9C"/>
    <w:rsid w:val="009449D1"/>
    <w:rsid w:val="00944C2B"/>
    <w:rsid w:val="00944DBD"/>
    <w:rsid w:val="00945220"/>
    <w:rsid w:val="009457B4"/>
    <w:rsid w:val="00945838"/>
    <w:rsid w:val="00945854"/>
    <w:rsid w:val="009459AD"/>
    <w:rsid w:val="00946267"/>
    <w:rsid w:val="009465E0"/>
    <w:rsid w:val="00946D07"/>
    <w:rsid w:val="0094755C"/>
    <w:rsid w:val="0094781E"/>
    <w:rsid w:val="00950C6A"/>
    <w:rsid w:val="0095115C"/>
    <w:rsid w:val="009527AB"/>
    <w:rsid w:val="0095398A"/>
    <w:rsid w:val="0095476A"/>
    <w:rsid w:val="00954D0C"/>
    <w:rsid w:val="009563B7"/>
    <w:rsid w:val="0095728C"/>
    <w:rsid w:val="00957F23"/>
    <w:rsid w:val="009600AA"/>
    <w:rsid w:val="009605DE"/>
    <w:rsid w:val="00962037"/>
    <w:rsid w:val="00962800"/>
    <w:rsid w:val="00962DA2"/>
    <w:rsid w:val="00963581"/>
    <w:rsid w:val="0096380F"/>
    <w:rsid w:val="00963816"/>
    <w:rsid w:val="00963A2C"/>
    <w:rsid w:val="00965293"/>
    <w:rsid w:val="00965BED"/>
    <w:rsid w:val="0096601B"/>
    <w:rsid w:val="009660FA"/>
    <w:rsid w:val="00966544"/>
    <w:rsid w:val="00967DA4"/>
    <w:rsid w:val="00967DE4"/>
    <w:rsid w:val="00970C42"/>
    <w:rsid w:val="00971D8E"/>
    <w:rsid w:val="009723A0"/>
    <w:rsid w:val="00974E2D"/>
    <w:rsid w:val="00974F0A"/>
    <w:rsid w:val="009772F1"/>
    <w:rsid w:val="009805BF"/>
    <w:rsid w:val="00980F65"/>
    <w:rsid w:val="009818EC"/>
    <w:rsid w:val="00981DED"/>
    <w:rsid w:val="00982013"/>
    <w:rsid w:val="00982A4E"/>
    <w:rsid w:val="00985991"/>
    <w:rsid w:val="00985DE3"/>
    <w:rsid w:val="00986187"/>
    <w:rsid w:val="0098672B"/>
    <w:rsid w:val="009872A5"/>
    <w:rsid w:val="00987BAC"/>
    <w:rsid w:val="00987CAD"/>
    <w:rsid w:val="00990C91"/>
    <w:rsid w:val="009912D5"/>
    <w:rsid w:val="00993E97"/>
    <w:rsid w:val="009945B5"/>
    <w:rsid w:val="00994793"/>
    <w:rsid w:val="00994A68"/>
    <w:rsid w:val="0099514B"/>
    <w:rsid w:val="00995448"/>
    <w:rsid w:val="009A0BEE"/>
    <w:rsid w:val="009A1D10"/>
    <w:rsid w:val="009A2459"/>
    <w:rsid w:val="009A30CA"/>
    <w:rsid w:val="009A33EF"/>
    <w:rsid w:val="009A4258"/>
    <w:rsid w:val="009A437A"/>
    <w:rsid w:val="009A48BD"/>
    <w:rsid w:val="009A5D7F"/>
    <w:rsid w:val="009A7A13"/>
    <w:rsid w:val="009A7A1A"/>
    <w:rsid w:val="009B034A"/>
    <w:rsid w:val="009B089E"/>
    <w:rsid w:val="009B0C3A"/>
    <w:rsid w:val="009B2663"/>
    <w:rsid w:val="009B2EEE"/>
    <w:rsid w:val="009B5BEB"/>
    <w:rsid w:val="009B5DDF"/>
    <w:rsid w:val="009B67AA"/>
    <w:rsid w:val="009B772D"/>
    <w:rsid w:val="009C0AA6"/>
    <w:rsid w:val="009C180C"/>
    <w:rsid w:val="009C2A52"/>
    <w:rsid w:val="009C3130"/>
    <w:rsid w:val="009C4329"/>
    <w:rsid w:val="009C439E"/>
    <w:rsid w:val="009C5A75"/>
    <w:rsid w:val="009C6C09"/>
    <w:rsid w:val="009D0E60"/>
    <w:rsid w:val="009D2433"/>
    <w:rsid w:val="009D2737"/>
    <w:rsid w:val="009D2D78"/>
    <w:rsid w:val="009D3C79"/>
    <w:rsid w:val="009D53B0"/>
    <w:rsid w:val="009D58A6"/>
    <w:rsid w:val="009D5D6E"/>
    <w:rsid w:val="009E0A2B"/>
    <w:rsid w:val="009E0FDF"/>
    <w:rsid w:val="009E264C"/>
    <w:rsid w:val="009E326E"/>
    <w:rsid w:val="009E560C"/>
    <w:rsid w:val="009E7438"/>
    <w:rsid w:val="009E7851"/>
    <w:rsid w:val="009E7E3C"/>
    <w:rsid w:val="009F17B0"/>
    <w:rsid w:val="009F2490"/>
    <w:rsid w:val="009F28DA"/>
    <w:rsid w:val="009F2D73"/>
    <w:rsid w:val="009F32FE"/>
    <w:rsid w:val="009F5280"/>
    <w:rsid w:val="009F7240"/>
    <w:rsid w:val="009F753A"/>
    <w:rsid w:val="009F7ABC"/>
    <w:rsid w:val="009F7B7F"/>
    <w:rsid w:val="009F7D7A"/>
    <w:rsid w:val="009F7F72"/>
    <w:rsid w:val="009F7FD1"/>
    <w:rsid w:val="00A0043C"/>
    <w:rsid w:val="00A0348E"/>
    <w:rsid w:val="00A03918"/>
    <w:rsid w:val="00A039CB"/>
    <w:rsid w:val="00A041D9"/>
    <w:rsid w:val="00A04277"/>
    <w:rsid w:val="00A049E3"/>
    <w:rsid w:val="00A0658C"/>
    <w:rsid w:val="00A07B9E"/>
    <w:rsid w:val="00A07BA0"/>
    <w:rsid w:val="00A07C8A"/>
    <w:rsid w:val="00A1375D"/>
    <w:rsid w:val="00A13DE6"/>
    <w:rsid w:val="00A149D8"/>
    <w:rsid w:val="00A14C08"/>
    <w:rsid w:val="00A1526F"/>
    <w:rsid w:val="00A15EC9"/>
    <w:rsid w:val="00A16E87"/>
    <w:rsid w:val="00A17787"/>
    <w:rsid w:val="00A206D3"/>
    <w:rsid w:val="00A20951"/>
    <w:rsid w:val="00A210E5"/>
    <w:rsid w:val="00A212B4"/>
    <w:rsid w:val="00A230A7"/>
    <w:rsid w:val="00A23475"/>
    <w:rsid w:val="00A234D0"/>
    <w:rsid w:val="00A24353"/>
    <w:rsid w:val="00A24B01"/>
    <w:rsid w:val="00A25AAA"/>
    <w:rsid w:val="00A25BFE"/>
    <w:rsid w:val="00A27BC7"/>
    <w:rsid w:val="00A3077C"/>
    <w:rsid w:val="00A31394"/>
    <w:rsid w:val="00A321A0"/>
    <w:rsid w:val="00A32410"/>
    <w:rsid w:val="00A33A44"/>
    <w:rsid w:val="00A33D8C"/>
    <w:rsid w:val="00A344B1"/>
    <w:rsid w:val="00A36306"/>
    <w:rsid w:val="00A379A0"/>
    <w:rsid w:val="00A4117F"/>
    <w:rsid w:val="00A418F2"/>
    <w:rsid w:val="00A43066"/>
    <w:rsid w:val="00A436D8"/>
    <w:rsid w:val="00A45197"/>
    <w:rsid w:val="00A456C9"/>
    <w:rsid w:val="00A45CC3"/>
    <w:rsid w:val="00A45D2E"/>
    <w:rsid w:val="00A470A7"/>
    <w:rsid w:val="00A4749F"/>
    <w:rsid w:val="00A50920"/>
    <w:rsid w:val="00A50CFB"/>
    <w:rsid w:val="00A523A7"/>
    <w:rsid w:val="00A52BAD"/>
    <w:rsid w:val="00A53D14"/>
    <w:rsid w:val="00A54312"/>
    <w:rsid w:val="00A5478B"/>
    <w:rsid w:val="00A548EC"/>
    <w:rsid w:val="00A55CE4"/>
    <w:rsid w:val="00A56C4D"/>
    <w:rsid w:val="00A5755C"/>
    <w:rsid w:val="00A57691"/>
    <w:rsid w:val="00A601A5"/>
    <w:rsid w:val="00A60242"/>
    <w:rsid w:val="00A61998"/>
    <w:rsid w:val="00A61D25"/>
    <w:rsid w:val="00A62860"/>
    <w:rsid w:val="00A64202"/>
    <w:rsid w:val="00A6442F"/>
    <w:rsid w:val="00A645AF"/>
    <w:rsid w:val="00A648D6"/>
    <w:rsid w:val="00A64F0A"/>
    <w:rsid w:val="00A654C2"/>
    <w:rsid w:val="00A65AC0"/>
    <w:rsid w:val="00A66E6C"/>
    <w:rsid w:val="00A6704C"/>
    <w:rsid w:val="00A6722B"/>
    <w:rsid w:val="00A67284"/>
    <w:rsid w:val="00A67B00"/>
    <w:rsid w:val="00A70075"/>
    <w:rsid w:val="00A700F6"/>
    <w:rsid w:val="00A70E9C"/>
    <w:rsid w:val="00A7376F"/>
    <w:rsid w:val="00A73D49"/>
    <w:rsid w:val="00A741C1"/>
    <w:rsid w:val="00A752DA"/>
    <w:rsid w:val="00A76FAD"/>
    <w:rsid w:val="00A804FB"/>
    <w:rsid w:val="00A8056F"/>
    <w:rsid w:val="00A8132B"/>
    <w:rsid w:val="00A822FC"/>
    <w:rsid w:val="00A82924"/>
    <w:rsid w:val="00A82D55"/>
    <w:rsid w:val="00A83264"/>
    <w:rsid w:val="00A83604"/>
    <w:rsid w:val="00A83C3E"/>
    <w:rsid w:val="00A84210"/>
    <w:rsid w:val="00A84412"/>
    <w:rsid w:val="00A845B0"/>
    <w:rsid w:val="00A845E3"/>
    <w:rsid w:val="00A84CC3"/>
    <w:rsid w:val="00A84E91"/>
    <w:rsid w:val="00A8508D"/>
    <w:rsid w:val="00A87192"/>
    <w:rsid w:val="00A87AA8"/>
    <w:rsid w:val="00A87AC6"/>
    <w:rsid w:val="00A87C1B"/>
    <w:rsid w:val="00A9029F"/>
    <w:rsid w:val="00A90998"/>
    <w:rsid w:val="00A92651"/>
    <w:rsid w:val="00A935D7"/>
    <w:rsid w:val="00A93B13"/>
    <w:rsid w:val="00A95008"/>
    <w:rsid w:val="00A962CB"/>
    <w:rsid w:val="00AA008D"/>
    <w:rsid w:val="00AA0AB9"/>
    <w:rsid w:val="00AA1C4E"/>
    <w:rsid w:val="00AA1D3D"/>
    <w:rsid w:val="00AA3452"/>
    <w:rsid w:val="00AA39BC"/>
    <w:rsid w:val="00AA5926"/>
    <w:rsid w:val="00AA6189"/>
    <w:rsid w:val="00AB005C"/>
    <w:rsid w:val="00AB0D94"/>
    <w:rsid w:val="00AB229E"/>
    <w:rsid w:val="00AB5EC0"/>
    <w:rsid w:val="00AB6867"/>
    <w:rsid w:val="00AB6E1A"/>
    <w:rsid w:val="00AC116A"/>
    <w:rsid w:val="00AC11D8"/>
    <w:rsid w:val="00AC1C8F"/>
    <w:rsid w:val="00AC1E70"/>
    <w:rsid w:val="00AC2CE0"/>
    <w:rsid w:val="00AC2FF8"/>
    <w:rsid w:val="00AC3377"/>
    <w:rsid w:val="00AC3777"/>
    <w:rsid w:val="00AC3CEF"/>
    <w:rsid w:val="00AC3E95"/>
    <w:rsid w:val="00AC47F8"/>
    <w:rsid w:val="00AC55F1"/>
    <w:rsid w:val="00AC5B5F"/>
    <w:rsid w:val="00AC6778"/>
    <w:rsid w:val="00AC7560"/>
    <w:rsid w:val="00AC7568"/>
    <w:rsid w:val="00AC79E9"/>
    <w:rsid w:val="00AD13E4"/>
    <w:rsid w:val="00AD1F69"/>
    <w:rsid w:val="00AD3C1F"/>
    <w:rsid w:val="00AD3F93"/>
    <w:rsid w:val="00AD4A26"/>
    <w:rsid w:val="00AD4A63"/>
    <w:rsid w:val="00AD4AB8"/>
    <w:rsid w:val="00AD6991"/>
    <w:rsid w:val="00AD7A38"/>
    <w:rsid w:val="00AE0C28"/>
    <w:rsid w:val="00AE1159"/>
    <w:rsid w:val="00AE13F3"/>
    <w:rsid w:val="00AE26B3"/>
    <w:rsid w:val="00AE3E60"/>
    <w:rsid w:val="00AE4FE1"/>
    <w:rsid w:val="00AE66E4"/>
    <w:rsid w:val="00AE69EC"/>
    <w:rsid w:val="00AE7333"/>
    <w:rsid w:val="00AE77AA"/>
    <w:rsid w:val="00AE7F78"/>
    <w:rsid w:val="00AF0855"/>
    <w:rsid w:val="00AF1504"/>
    <w:rsid w:val="00AF1B68"/>
    <w:rsid w:val="00AF2878"/>
    <w:rsid w:val="00AF4EC0"/>
    <w:rsid w:val="00AF56EA"/>
    <w:rsid w:val="00AF76D6"/>
    <w:rsid w:val="00AF77C7"/>
    <w:rsid w:val="00B00B40"/>
    <w:rsid w:val="00B02091"/>
    <w:rsid w:val="00B02A54"/>
    <w:rsid w:val="00B033D3"/>
    <w:rsid w:val="00B04030"/>
    <w:rsid w:val="00B04539"/>
    <w:rsid w:val="00B068E5"/>
    <w:rsid w:val="00B07350"/>
    <w:rsid w:val="00B1030B"/>
    <w:rsid w:val="00B1044E"/>
    <w:rsid w:val="00B10A1D"/>
    <w:rsid w:val="00B123CF"/>
    <w:rsid w:val="00B13058"/>
    <w:rsid w:val="00B1429C"/>
    <w:rsid w:val="00B143AE"/>
    <w:rsid w:val="00B143E1"/>
    <w:rsid w:val="00B14DDB"/>
    <w:rsid w:val="00B163DE"/>
    <w:rsid w:val="00B16F4A"/>
    <w:rsid w:val="00B17E1B"/>
    <w:rsid w:val="00B200E0"/>
    <w:rsid w:val="00B20662"/>
    <w:rsid w:val="00B2146C"/>
    <w:rsid w:val="00B22360"/>
    <w:rsid w:val="00B22870"/>
    <w:rsid w:val="00B23D6E"/>
    <w:rsid w:val="00B2459C"/>
    <w:rsid w:val="00B25851"/>
    <w:rsid w:val="00B2599E"/>
    <w:rsid w:val="00B25ABC"/>
    <w:rsid w:val="00B26647"/>
    <w:rsid w:val="00B269CA"/>
    <w:rsid w:val="00B30147"/>
    <w:rsid w:val="00B3162D"/>
    <w:rsid w:val="00B31C32"/>
    <w:rsid w:val="00B347E6"/>
    <w:rsid w:val="00B350D8"/>
    <w:rsid w:val="00B35C3A"/>
    <w:rsid w:val="00B36FC9"/>
    <w:rsid w:val="00B37CA0"/>
    <w:rsid w:val="00B40302"/>
    <w:rsid w:val="00B419D4"/>
    <w:rsid w:val="00B41DCD"/>
    <w:rsid w:val="00B41FD6"/>
    <w:rsid w:val="00B42481"/>
    <w:rsid w:val="00B4335E"/>
    <w:rsid w:val="00B435A6"/>
    <w:rsid w:val="00B43DF6"/>
    <w:rsid w:val="00B4422B"/>
    <w:rsid w:val="00B458D1"/>
    <w:rsid w:val="00B5011C"/>
    <w:rsid w:val="00B512CF"/>
    <w:rsid w:val="00B52384"/>
    <w:rsid w:val="00B52C0E"/>
    <w:rsid w:val="00B52FA3"/>
    <w:rsid w:val="00B535AE"/>
    <w:rsid w:val="00B53C0A"/>
    <w:rsid w:val="00B544CC"/>
    <w:rsid w:val="00B547D6"/>
    <w:rsid w:val="00B54E8D"/>
    <w:rsid w:val="00B5518C"/>
    <w:rsid w:val="00B5679B"/>
    <w:rsid w:val="00B5703F"/>
    <w:rsid w:val="00B62A50"/>
    <w:rsid w:val="00B62DFA"/>
    <w:rsid w:val="00B6476D"/>
    <w:rsid w:val="00B64CAF"/>
    <w:rsid w:val="00B6544F"/>
    <w:rsid w:val="00B65B18"/>
    <w:rsid w:val="00B67416"/>
    <w:rsid w:val="00B67DA3"/>
    <w:rsid w:val="00B7056D"/>
    <w:rsid w:val="00B70A77"/>
    <w:rsid w:val="00B70C60"/>
    <w:rsid w:val="00B70CDF"/>
    <w:rsid w:val="00B74364"/>
    <w:rsid w:val="00B75325"/>
    <w:rsid w:val="00B76E2C"/>
    <w:rsid w:val="00B76EE7"/>
    <w:rsid w:val="00B77459"/>
    <w:rsid w:val="00B77D0E"/>
    <w:rsid w:val="00B813A1"/>
    <w:rsid w:val="00B84615"/>
    <w:rsid w:val="00B84DD9"/>
    <w:rsid w:val="00B84E3A"/>
    <w:rsid w:val="00B851DA"/>
    <w:rsid w:val="00B85982"/>
    <w:rsid w:val="00B873A9"/>
    <w:rsid w:val="00B87467"/>
    <w:rsid w:val="00B91CEF"/>
    <w:rsid w:val="00B91CF5"/>
    <w:rsid w:val="00B92431"/>
    <w:rsid w:val="00B92650"/>
    <w:rsid w:val="00B9278B"/>
    <w:rsid w:val="00B928F2"/>
    <w:rsid w:val="00B975AC"/>
    <w:rsid w:val="00B97DA6"/>
    <w:rsid w:val="00B97DF5"/>
    <w:rsid w:val="00BA0B47"/>
    <w:rsid w:val="00BA11FB"/>
    <w:rsid w:val="00BA1292"/>
    <w:rsid w:val="00BA1A93"/>
    <w:rsid w:val="00BA41BB"/>
    <w:rsid w:val="00BA4F4D"/>
    <w:rsid w:val="00BB0ADE"/>
    <w:rsid w:val="00BB1048"/>
    <w:rsid w:val="00BB1C00"/>
    <w:rsid w:val="00BB42CA"/>
    <w:rsid w:val="00BB601C"/>
    <w:rsid w:val="00BB6CC9"/>
    <w:rsid w:val="00BB7707"/>
    <w:rsid w:val="00BB7A91"/>
    <w:rsid w:val="00BC0352"/>
    <w:rsid w:val="00BC0E71"/>
    <w:rsid w:val="00BC1B8C"/>
    <w:rsid w:val="00BC494B"/>
    <w:rsid w:val="00BC5E51"/>
    <w:rsid w:val="00BC65EA"/>
    <w:rsid w:val="00BC6D0E"/>
    <w:rsid w:val="00BD049F"/>
    <w:rsid w:val="00BD089C"/>
    <w:rsid w:val="00BD118C"/>
    <w:rsid w:val="00BD23E7"/>
    <w:rsid w:val="00BD6082"/>
    <w:rsid w:val="00BD63DD"/>
    <w:rsid w:val="00BE0286"/>
    <w:rsid w:val="00BE0AE2"/>
    <w:rsid w:val="00BE0DAE"/>
    <w:rsid w:val="00BE1877"/>
    <w:rsid w:val="00BE1D7F"/>
    <w:rsid w:val="00BE2714"/>
    <w:rsid w:val="00BE31AF"/>
    <w:rsid w:val="00BE4704"/>
    <w:rsid w:val="00BE48E4"/>
    <w:rsid w:val="00BE4E51"/>
    <w:rsid w:val="00BE4E5F"/>
    <w:rsid w:val="00BE6AE5"/>
    <w:rsid w:val="00BE748E"/>
    <w:rsid w:val="00BE787B"/>
    <w:rsid w:val="00BF0069"/>
    <w:rsid w:val="00BF0524"/>
    <w:rsid w:val="00BF1294"/>
    <w:rsid w:val="00BF251E"/>
    <w:rsid w:val="00BF2D94"/>
    <w:rsid w:val="00BF3705"/>
    <w:rsid w:val="00BF371E"/>
    <w:rsid w:val="00BF392C"/>
    <w:rsid w:val="00BF44B8"/>
    <w:rsid w:val="00BF4A15"/>
    <w:rsid w:val="00BF7310"/>
    <w:rsid w:val="00BF7B1D"/>
    <w:rsid w:val="00C0121F"/>
    <w:rsid w:val="00C02A2F"/>
    <w:rsid w:val="00C0314D"/>
    <w:rsid w:val="00C03915"/>
    <w:rsid w:val="00C0466D"/>
    <w:rsid w:val="00C04C42"/>
    <w:rsid w:val="00C04FB1"/>
    <w:rsid w:val="00C06FE5"/>
    <w:rsid w:val="00C072CE"/>
    <w:rsid w:val="00C073E2"/>
    <w:rsid w:val="00C11879"/>
    <w:rsid w:val="00C12181"/>
    <w:rsid w:val="00C121F8"/>
    <w:rsid w:val="00C1234B"/>
    <w:rsid w:val="00C140DC"/>
    <w:rsid w:val="00C149B7"/>
    <w:rsid w:val="00C14C3C"/>
    <w:rsid w:val="00C14F79"/>
    <w:rsid w:val="00C16778"/>
    <w:rsid w:val="00C179E1"/>
    <w:rsid w:val="00C20E14"/>
    <w:rsid w:val="00C21B76"/>
    <w:rsid w:val="00C24118"/>
    <w:rsid w:val="00C24FD7"/>
    <w:rsid w:val="00C25B2A"/>
    <w:rsid w:val="00C26643"/>
    <w:rsid w:val="00C2731E"/>
    <w:rsid w:val="00C27ABB"/>
    <w:rsid w:val="00C303F6"/>
    <w:rsid w:val="00C3056B"/>
    <w:rsid w:val="00C30696"/>
    <w:rsid w:val="00C30CD0"/>
    <w:rsid w:val="00C30E98"/>
    <w:rsid w:val="00C31332"/>
    <w:rsid w:val="00C314EF"/>
    <w:rsid w:val="00C31C53"/>
    <w:rsid w:val="00C3272A"/>
    <w:rsid w:val="00C33C03"/>
    <w:rsid w:val="00C34908"/>
    <w:rsid w:val="00C34E02"/>
    <w:rsid w:val="00C35437"/>
    <w:rsid w:val="00C36753"/>
    <w:rsid w:val="00C37460"/>
    <w:rsid w:val="00C41171"/>
    <w:rsid w:val="00C417FD"/>
    <w:rsid w:val="00C42EA3"/>
    <w:rsid w:val="00C43657"/>
    <w:rsid w:val="00C43671"/>
    <w:rsid w:val="00C43D4B"/>
    <w:rsid w:val="00C4448B"/>
    <w:rsid w:val="00C464B0"/>
    <w:rsid w:val="00C4661B"/>
    <w:rsid w:val="00C518A5"/>
    <w:rsid w:val="00C51BA5"/>
    <w:rsid w:val="00C52077"/>
    <w:rsid w:val="00C522C7"/>
    <w:rsid w:val="00C5275A"/>
    <w:rsid w:val="00C5285F"/>
    <w:rsid w:val="00C52F56"/>
    <w:rsid w:val="00C53203"/>
    <w:rsid w:val="00C552C4"/>
    <w:rsid w:val="00C5543D"/>
    <w:rsid w:val="00C557E0"/>
    <w:rsid w:val="00C5614B"/>
    <w:rsid w:val="00C57ABA"/>
    <w:rsid w:val="00C60192"/>
    <w:rsid w:val="00C61821"/>
    <w:rsid w:val="00C6183A"/>
    <w:rsid w:val="00C61B13"/>
    <w:rsid w:val="00C6229C"/>
    <w:rsid w:val="00C63067"/>
    <w:rsid w:val="00C63681"/>
    <w:rsid w:val="00C63C9D"/>
    <w:rsid w:val="00C64327"/>
    <w:rsid w:val="00C64753"/>
    <w:rsid w:val="00C64C73"/>
    <w:rsid w:val="00C652CE"/>
    <w:rsid w:val="00C657EC"/>
    <w:rsid w:val="00C66A2D"/>
    <w:rsid w:val="00C66C7F"/>
    <w:rsid w:val="00C70899"/>
    <w:rsid w:val="00C71C1C"/>
    <w:rsid w:val="00C71F7C"/>
    <w:rsid w:val="00C72F34"/>
    <w:rsid w:val="00C73A9C"/>
    <w:rsid w:val="00C7538C"/>
    <w:rsid w:val="00C76BEA"/>
    <w:rsid w:val="00C76C91"/>
    <w:rsid w:val="00C80274"/>
    <w:rsid w:val="00C80E0A"/>
    <w:rsid w:val="00C81962"/>
    <w:rsid w:val="00C835D8"/>
    <w:rsid w:val="00C83ED2"/>
    <w:rsid w:val="00C84767"/>
    <w:rsid w:val="00C84B50"/>
    <w:rsid w:val="00C84EA9"/>
    <w:rsid w:val="00C86143"/>
    <w:rsid w:val="00C86BB6"/>
    <w:rsid w:val="00C8782C"/>
    <w:rsid w:val="00C902DF"/>
    <w:rsid w:val="00C909E0"/>
    <w:rsid w:val="00C929D1"/>
    <w:rsid w:val="00C94AE7"/>
    <w:rsid w:val="00C95135"/>
    <w:rsid w:val="00C952D7"/>
    <w:rsid w:val="00C9537B"/>
    <w:rsid w:val="00C956DE"/>
    <w:rsid w:val="00C95C05"/>
    <w:rsid w:val="00C95E25"/>
    <w:rsid w:val="00C96D77"/>
    <w:rsid w:val="00C97202"/>
    <w:rsid w:val="00C976D7"/>
    <w:rsid w:val="00C97DAD"/>
    <w:rsid w:val="00CA1F6E"/>
    <w:rsid w:val="00CA2012"/>
    <w:rsid w:val="00CA20D6"/>
    <w:rsid w:val="00CA2E3A"/>
    <w:rsid w:val="00CA483E"/>
    <w:rsid w:val="00CA4955"/>
    <w:rsid w:val="00CA6220"/>
    <w:rsid w:val="00CA6225"/>
    <w:rsid w:val="00CA75A9"/>
    <w:rsid w:val="00CB043B"/>
    <w:rsid w:val="00CB0EB8"/>
    <w:rsid w:val="00CB1549"/>
    <w:rsid w:val="00CB206E"/>
    <w:rsid w:val="00CB31AC"/>
    <w:rsid w:val="00CB32E2"/>
    <w:rsid w:val="00CB3B4A"/>
    <w:rsid w:val="00CB3C56"/>
    <w:rsid w:val="00CB4B2E"/>
    <w:rsid w:val="00CB57D8"/>
    <w:rsid w:val="00CB6118"/>
    <w:rsid w:val="00CC0A1F"/>
    <w:rsid w:val="00CC25BA"/>
    <w:rsid w:val="00CC2FF0"/>
    <w:rsid w:val="00CC30AF"/>
    <w:rsid w:val="00CC320D"/>
    <w:rsid w:val="00CC5B96"/>
    <w:rsid w:val="00CC6C6A"/>
    <w:rsid w:val="00CC742B"/>
    <w:rsid w:val="00CC7AAF"/>
    <w:rsid w:val="00CC7F7E"/>
    <w:rsid w:val="00CD06ED"/>
    <w:rsid w:val="00CD144C"/>
    <w:rsid w:val="00CD28F1"/>
    <w:rsid w:val="00CD3E5F"/>
    <w:rsid w:val="00CD403D"/>
    <w:rsid w:val="00CD5E46"/>
    <w:rsid w:val="00CD6843"/>
    <w:rsid w:val="00CD7CEF"/>
    <w:rsid w:val="00CE0441"/>
    <w:rsid w:val="00CE1276"/>
    <w:rsid w:val="00CE2A46"/>
    <w:rsid w:val="00CE2B5B"/>
    <w:rsid w:val="00CE2D20"/>
    <w:rsid w:val="00CE3AFB"/>
    <w:rsid w:val="00CE41F0"/>
    <w:rsid w:val="00CE4665"/>
    <w:rsid w:val="00CE603C"/>
    <w:rsid w:val="00CE790D"/>
    <w:rsid w:val="00CF025B"/>
    <w:rsid w:val="00CF20BE"/>
    <w:rsid w:val="00CF2B18"/>
    <w:rsid w:val="00CF30E9"/>
    <w:rsid w:val="00CF3EDE"/>
    <w:rsid w:val="00CF41F8"/>
    <w:rsid w:val="00CF4600"/>
    <w:rsid w:val="00CF4C33"/>
    <w:rsid w:val="00CF4C35"/>
    <w:rsid w:val="00CF56BF"/>
    <w:rsid w:val="00CF62C9"/>
    <w:rsid w:val="00CF6D31"/>
    <w:rsid w:val="00D01062"/>
    <w:rsid w:val="00D02A67"/>
    <w:rsid w:val="00D0424D"/>
    <w:rsid w:val="00D04FE1"/>
    <w:rsid w:val="00D05854"/>
    <w:rsid w:val="00D112C0"/>
    <w:rsid w:val="00D11E87"/>
    <w:rsid w:val="00D11EB5"/>
    <w:rsid w:val="00D12237"/>
    <w:rsid w:val="00D12857"/>
    <w:rsid w:val="00D13180"/>
    <w:rsid w:val="00D132FC"/>
    <w:rsid w:val="00D13B33"/>
    <w:rsid w:val="00D147B2"/>
    <w:rsid w:val="00D14E7D"/>
    <w:rsid w:val="00D15260"/>
    <w:rsid w:val="00D15659"/>
    <w:rsid w:val="00D1597F"/>
    <w:rsid w:val="00D164D4"/>
    <w:rsid w:val="00D203E1"/>
    <w:rsid w:val="00D21DFD"/>
    <w:rsid w:val="00D224B5"/>
    <w:rsid w:val="00D23E63"/>
    <w:rsid w:val="00D25465"/>
    <w:rsid w:val="00D258E0"/>
    <w:rsid w:val="00D275ED"/>
    <w:rsid w:val="00D27E1F"/>
    <w:rsid w:val="00D302FF"/>
    <w:rsid w:val="00D329D3"/>
    <w:rsid w:val="00D330D4"/>
    <w:rsid w:val="00D3392C"/>
    <w:rsid w:val="00D35470"/>
    <w:rsid w:val="00D354C8"/>
    <w:rsid w:val="00D36512"/>
    <w:rsid w:val="00D368E3"/>
    <w:rsid w:val="00D3769A"/>
    <w:rsid w:val="00D376B7"/>
    <w:rsid w:val="00D41BA1"/>
    <w:rsid w:val="00D42266"/>
    <w:rsid w:val="00D439B1"/>
    <w:rsid w:val="00D44F09"/>
    <w:rsid w:val="00D45F0D"/>
    <w:rsid w:val="00D46F8E"/>
    <w:rsid w:val="00D47184"/>
    <w:rsid w:val="00D475A4"/>
    <w:rsid w:val="00D50516"/>
    <w:rsid w:val="00D50F3F"/>
    <w:rsid w:val="00D51664"/>
    <w:rsid w:val="00D51F49"/>
    <w:rsid w:val="00D543CE"/>
    <w:rsid w:val="00D54E2F"/>
    <w:rsid w:val="00D57DE9"/>
    <w:rsid w:val="00D57DF6"/>
    <w:rsid w:val="00D613C2"/>
    <w:rsid w:val="00D61C7B"/>
    <w:rsid w:val="00D6220D"/>
    <w:rsid w:val="00D635C3"/>
    <w:rsid w:val="00D63996"/>
    <w:rsid w:val="00D64F19"/>
    <w:rsid w:val="00D652A2"/>
    <w:rsid w:val="00D66F2A"/>
    <w:rsid w:val="00D67394"/>
    <w:rsid w:val="00D6751B"/>
    <w:rsid w:val="00D6783C"/>
    <w:rsid w:val="00D727CA"/>
    <w:rsid w:val="00D72926"/>
    <w:rsid w:val="00D72CAF"/>
    <w:rsid w:val="00D7413D"/>
    <w:rsid w:val="00D742F1"/>
    <w:rsid w:val="00D75E19"/>
    <w:rsid w:val="00D763CB"/>
    <w:rsid w:val="00D80F39"/>
    <w:rsid w:val="00D81718"/>
    <w:rsid w:val="00D81EB3"/>
    <w:rsid w:val="00D82931"/>
    <w:rsid w:val="00D839A3"/>
    <w:rsid w:val="00D83BAA"/>
    <w:rsid w:val="00D8457E"/>
    <w:rsid w:val="00D84743"/>
    <w:rsid w:val="00D84821"/>
    <w:rsid w:val="00D85297"/>
    <w:rsid w:val="00D8588D"/>
    <w:rsid w:val="00D85E57"/>
    <w:rsid w:val="00D86AAE"/>
    <w:rsid w:val="00D879AF"/>
    <w:rsid w:val="00D9029A"/>
    <w:rsid w:val="00D90755"/>
    <w:rsid w:val="00D921ED"/>
    <w:rsid w:val="00D92542"/>
    <w:rsid w:val="00D9303F"/>
    <w:rsid w:val="00D93BEC"/>
    <w:rsid w:val="00D94A39"/>
    <w:rsid w:val="00D950C7"/>
    <w:rsid w:val="00D96F08"/>
    <w:rsid w:val="00D97D58"/>
    <w:rsid w:val="00D97FE6"/>
    <w:rsid w:val="00DA0141"/>
    <w:rsid w:val="00DA143E"/>
    <w:rsid w:val="00DA1DC3"/>
    <w:rsid w:val="00DA25F1"/>
    <w:rsid w:val="00DA5BD4"/>
    <w:rsid w:val="00DB0395"/>
    <w:rsid w:val="00DB0FBE"/>
    <w:rsid w:val="00DB3CA4"/>
    <w:rsid w:val="00DB3E5B"/>
    <w:rsid w:val="00DB4BEA"/>
    <w:rsid w:val="00DB4E3C"/>
    <w:rsid w:val="00DB676F"/>
    <w:rsid w:val="00DC2AB3"/>
    <w:rsid w:val="00DC3270"/>
    <w:rsid w:val="00DC33B0"/>
    <w:rsid w:val="00DC40C2"/>
    <w:rsid w:val="00DC4C3B"/>
    <w:rsid w:val="00DC5725"/>
    <w:rsid w:val="00DC5AC6"/>
    <w:rsid w:val="00DC5C72"/>
    <w:rsid w:val="00DC69E7"/>
    <w:rsid w:val="00DD0082"/>
    <w:rsid w:val="00DD033F"/>
    <w:rsid w:val="00DD0351"/>
    <w:rsid w:val="00DD086B"/>
    <w:rsid w:val="00DD0C98"/>
    <w:rsid w:val="00DD135C"/>
    <w:rsid w:val="00DD1B48"/>
    <w:rsid w:val="00DD1E83"/>
    <w:rsid w:val="00DD35C4"/>
    <w:rsid w:val="00DD3A3B"/>
    <w:rsid w:val="00DD3E5C"/>
    <w:rsid w:val="00DD5EA8"/>
    <w:rsid w:val="00DD5EFC"/>
    <w:rsid w:val="00DD71D8"/>
    <w:rsid w:val="00DD7905"/>
    <w:rsid w:val="00DE0AA7"/>
    <w:rsid w:val="00DE0ADB"/>
    <w:rsid w:val="00DE0C1D"/>
    <w:rsid w:val="00DE1B7F"/>
    <w:rsid w:val="00DE1F16"/>
    <w:rsid w:val="00DE3036"/>
    <w:rsid w:val="00DE3467"/>
    <w:rsid w:val="00DE44DD"/>
    <w:rsid w:val="00DE4F8A"/>
    <w:rsid w:val="00DE56AB"/>
    <w:rsid w:val="00DE6554"/>
    <w:rsid w:val="00DE6767"/>
    <w:rsid w:val="00DF1B3C"/>
    <w:rsid w:val="00DF1E58"/>
    <w:rsid w:val="00DF29B9"/>
    <w:rsid w:val="00DF2D76"/>
    <w:rsid w:val="00DF3B39"/>
    <w:rsid w:val="00DF455E"/>
    <w:rsid w:val="00DF4B08"/>
    <w:rsid w:val="00DF4F83"/>
    <w:rsid w:val="00DF53FC"/>
    <w:rsid w:val="00DF5BDC"/>
    <w:rsid w:val="00DF765F"/>
    <w:rsid w:val="00E004C2"/>
    <w:rsid w:val="00E012F1"/>
    <w:rsid w:val="00E01BC3"/>
    <w:rsid w:val="00E025C7"/>
    <w:rsid w:val="00E02826"/>
    <w:rsid w:val="00E02EC8"/>
    <w:rsid w:val="00E03FB2"/>
    <w:rsid w:val="00E061E5"/>
    <w:rsid w:val="00E0694B"/>
    <w:rsid w:val="00E07621"/>
    <w:rsid w:val="00E119BB"/>
    <w:rsid w:val="00E11A33"/>
    <w:rsid w:val="00E11A46"/>
    <w:rsid w:val="00E11C1B"/>
    <w:rsid w:val="00E11E1A"/>
    <w:rsid w:val="00E12F0A"/>
    <w:rsid w:val="00E135C6"/>
    <w:rsid w:val="00E13739"/>
    <w:rsid w:val="00E1432C"/>
    <w:rsid w:val="00E1478A"/>
    <w:rsid w:val="00E14892"/>
    <w:rsid w:val="00E14C33"/>
    <w:rsid w:val="00E15939"/>
    <w:rsid w:val="00E15F6F"/>
    <w:rsid w:val="00E17800"/>
    <w:rsid w:val="00E20090"/>
    <w:rsid w:val="00E200BB"/>
    <w:rsid w:val="00E20F5A"/>
    <w:rsid w:val="00E21F49"/>
    <w:rsid w:val="00E23167"/>
    <w:rsid w:val="00E24579"/>
    <w:rsid w:val="00E250C6"/>
    <w:rsid w:val="00E252C0"/>
    <w:rsid w:val="00E27CEB"/>
    <w:rsid w:val="00E3016F"/>
    <w:rsid w:val="00E30AE7"/>
    <w:rsid w:val="00E315E4"/>
    <w:rsid w:val="00E3193E"/>
    <w:rsid w:val="00E31EA5"/>
    <w:rsid w:val="00E3237C"/>
    <w:rsid w:val="00E331AA"/>
    <w:rsid w:val="00E3334E"/>
    <w:rsid w:val="00E33DB7"/>
    <w:rsid w:val="00E34290"/>
    <w:rsid w:val="00E3485F"/>
    <w:rsid w:val="00E35882"/>
    <w:rsid w:val="00E35972"/>
    <w:rsid w:val="00E37738"/>
    <w:rsid w:val="00E37EEF"/>
    <w:rsid w:val="00E40A9A"/>
    <w:rsid w:val="00E40AAA"/>
    <w:rsid w:val="00E40E95"/>
    <w:rsid w:val="00E418C8"/>
    <w:rsid w:val="00E42B66"/>
    <w:rsid w:val="00E43167"/>
    <w:rsid w:val="00E4368B"/>
    <w:rsid w:val="00E4473E"/>
    <w:rsid w:val="00E455A1"/>
    <w:rsid w:val="00E45E3A"/>
    <w:rsid w:val="00E467B3"/>
    <w:rsid w:val="00E47062"/>
    <w:rsid w:val="00E51F0C"/>
    <w:rsid w:val="00E523B3"/>
    <w:rsid w:val="00E52D2A"/>
    <w:rsid w:val="00E53DFF"/>
    <w:rsid w:val="00E5519E"/>
    <w:rsid w:val="00E5721B"/>
    <w:rsid w:val="00E60021"/>
    <w:rsid w:val="00E6118D"/>
    <w:rsid w:val="00E6141C"/>
    <w:rsid w:val="00E61F68"/>
    <w:rsid w:val="00E635C3"/>
    <w:rsid w:val="00E63729"/>
    <w:rsid w:val="00E65725"/>
    <w:rsid w:val="00E65746"/>
    <w:rsid w:val="00E65F33"/>
    <w:rsid w:val="00E67362"/>
    <w:rsid w:val="00E67B1C"/>
    <w:rsid w:val="00E70D23"/>
    <w:rsid w:val="00E7109E"/>
    <w:rsid w:val="00E7222A"/>
    <w:rsid w:val="00E75062"/>
    <w:rsid w:val="00E7511F"/>
    <w:rsid w:val="00E7790E"/>
    <w:rsid w:val="00E81F2E"/>
    <w:rsid w:val="00E835AC"/>
    <w:rsid w:val="00E842FC"/>
    <w:rsid w:val="00E843F5"/>
    <w:rsid w:val="00E849AC"/>
    <w:rsid w:val="00E8562D"/>
    <w:rsid w:val="00E8719C"/>
    <w:rsid w:val="00E90A47"/>
    <w:rsid w:val="00E90F6F"/>
    <w:rsid w:val="00E923A0"/>
    <w:rsid w:val="00E92B39"/>
    <w:rsid w:val="00E93469"/>
    <w:rsid w:val="00E9444B"/>
    <w:rsid w:val="00E94E33"/>
    <w:rsid w:val="00E95144"/>
    <w:rsid w:val="00E95966"/>
    <w:rsid w:val="00E9658B"/>
    <w:rsid w:val="00E96890"/>
    <w:rsid w:val="00E9746C"/>
    <w:rsid w:val="00E97CE8"/>
    <w:rsid w:val="00EA026B"/>
    <w:rsid w:val="00EA3A73"/>
    <w:rsid w:val="00EA3AED"/>
    <w:rsid w:val="00EA3FA8"/>
    <w:rsid w:val="00EA4424"/>
    <w:rsid w:val="00EA4B7C"/>
    <w:rsid w:val="00EA664C"/>
    <w:rsid w:val="00EB0C3C"/>
    <w:rsid w:val="00EB138C"/>
    <w:rsid w:val="00EB143E"/>
    <w:rsid w:val="00EB4819"/>
    <w:rsid w:val="00EB5CE9"/>
    <w:rsid w:val="00EB6410"/>
    <w:rsid w:val="00EC0305"/>
    <w:rsid w:val="00EC0C63"/>
    <w:rsid w:val="00EC1216"/>
    <w:rsid w:val="00EC15E4"/>
    <w:rsid w:val="00EC18A5"/>
    <w:rsid w:val="00EC1DA0"/>
    <w:rsid w:val="00EC3E8E"/>
    <w:rsid w:val="00EC4C10"/>
    <w:rsid w:val="00EC79A1"/>
    <w:rsid w:val="00EC7D80"/>
    <w:rsid w:val="00EC7F41"/>
    <w:rsid w:val="00ED2047"/>
    <w:rsid w:val="00ED358E"/>
    <w:rsid w:val="00ED3F41"/>
    <w:rsid w:val="00ED4D2B"/>
    <w:rsid w:val="00EE1B4E"/>
    <w:rsid w:val="00EE30C1"/>
    <w:rsid w:val="00EE5186"/>
    <w:rsid w:val="00EE663C"/>
    <w:rsid w:val="00EE77CB"/>
    <w:rsid w:val="00EE79ED"/>
    <w:rsid w:val="00EE79F1"/>
    <w:rsid w:val="00EF08FB"/>
    <w:rsid w:val="00EF0D67"/>
    <w:rsid w:val="00EF11E4"/>
    <w:rsid w:val="00EF1626"/>
    <w:rsid w:val="00EF1A29"/>
    <w:rsid w:val="00EF1D7E"/>
    <w:rsid w:val="00EF20F3"/>
    <w:rsid w:val="00EF3AD6"/>
    <w:rsid w:val="00EF4234"/>
    <w:rsid w:val="00EF5122"/>
    <w:rsid w:val="00EF5FDB"/>
    <w:rsid w:val="00EF69D5"/>
    <w:rsid w:val="00F00E77"/>
    <w:rsid w:val="00F01C71"/>
    <w:rsid w:val="00F03EAC"/>
    <w:rsid w:val="00F040D1"/>
    <w:rsid w:val="00F0654C"/>
    <w:rsid w:val="00F06B4D"/>
    <w:rsid w:val="00F104AC"/>
    <w:rsid w:val="00F125F3"/>
    <w:rsid w:val="00F13075"/>
    <w:rsid w:val="00F138AA"/>
    <w:rsid w:val="00F1438D"/>
    <w:rsid w:val="00F15525"/>
    <w:rsid w:val="00F17087"/>
    <w:rsid w:val="00F20C95"/>
    <w:rsid w:val="00F20DE1"/>
    <w:rsid w:val="00F2102F"/>
    <w:rsid w:val="00F2123A"/>
    <w:rsid w:val="00F215D2"/>
    <w:rsid w:val="00F2268C"/>
    <w:rsid w:val="00F22DA9"/>
    <w:rsid w:val="00F23002"/>
    <w:rsid w:val="00F242B2"/>
    <w:rsid w:val="00F25516"/>
    <w:rsid w:val="00F26244"/>
    <w:rsid w:val="00F2678E"/>
    <w:rsid w:val="00F26D9B"/>
    <w:rsid w:val="00F27D80"/>
    <w:rsid w:val="00F318C5"/>
    <w:rsid w:val="00F31E1C"/>
    <w:rsid w:val="00F32DBD"/>
    <w:rsid w:val="00F32DDE"/>
    <w:rsid w:val="00F34267"/>
    <w:rsid w:val="00F348DE"/>
    <w:rsid w:val="00F34C3D"/>
    <w:rsid w:val="00F35387"/>
    <w:rsid w:val="00F3719F"/>
    <w:rsid w:val="00F375D7"/>
    <w:rsid w:val="00F40E27"/>
    <w:rsid w:val="00F41D22"/>
    <w:rsid w:val="00F4234D"/>
    <w:rsid w:val="00F42DE1"/>
    <w:rsid w:val="00F44055"/>
    <w:rsid w:val="00F4413F"/>
    <w:rsid w:val="00F46D9C"/>
    <w:rsid w:val="00F47493"/>
    <w:rsid w:val="00F5062C"/>
    <w:rsid w:val="00F50E50"/>
    <w:rsid w:val="00F512E3"/>
    <w:rsid w:val="00F52633"/>
    <w:rsid w:val="00F52685"/>
    <w:rsid w:val="00F53BE7"/>
    <w:rsid w:val="00F53F8F"/>
    <w:rsid w:val="00F54A59"/>
    <w:rsid w:val="00F5536A"/>
    <w:rsid w:val="00F566D0"/>
    <w:rsid w:val="00F56989"/>
    <w:rsid w:val="00F57540"/>
    <w:rsid w:val="00F57E5E"/>
    <w:rsid w:val="00F60A6C"/>
    <w:rsid w:val="00F61143"/>
    <w:rsid w:val="00F62083"/>
    <w:rsid w:val="00F626BF"/>
    <w:rsid w:val="00F62971"/>
    <w:rsid w:val="00F629DD"/>
    <w:rsid w:val="00F62AB0"/>
    <w:rsid w:val="00F62AEB"/>
    <w:rsid w:val="00F63E47"/>
    <w:rsid w:val="00F65BF5"/>
    <w:rsid w:val="00F67713"/>
    <w:rsid w:val="00F67866"/>
    <w:rsid w:val="00F67F2D"/>
    <w:rsid w:val="00F702DB"/>
    <w:rsid w:val="00F70601"/>
    <w:rsid w:val="00F712C9"/>
    <w:rsid w:val="00F71D64"/>
    <w:rsid w:val="00F72BB6"/>
    <w:rsid w:val="00F73CB5"/>
    <w:rsid w:val="00F7442D"/>
    <w:rsid w:val="00F7775C"/>
    <w:rsid w:val="00F779C6"/>
    <w:rsid w:val="00F77B65"/>
    <w:rsid w:val="00F81BFC"/>
    <w:rsid w:val="00F824AD"/>
    <w:rsid w:val="00F82667"/>
    <w:rsid w:val="00F82A1E"/>
    <w:rsid w:val="00F85899"/>
    <w:rsid w:val="00F8670D"/>
    <w:rsid w:val="00F867F8"/>
    <w:rsid w:val="00F86CED"/>
    <w:rsid w:val="00F86E4B"/>
    <w:rsid w:val="00F90A7D"/>
    <w:rsid w:val="00F91B00"/>
    <w:rsid w:val="00F92B5C"/>
    <w:rsid w:val="00F94444"/>
    <w:rsid w:val="00F9467A"/>
    <w:rsid w:val="00F9485C"/>
    <w:rsid w:val="00F94A97"/>
    <w:rsid w:val="00F969A3"/>
    <w:rsid w:val="00F96E75"/>
    <w:rsid w:val="00FA0094"/>
    <w:rsid w:val="00FA09E4"/>
    <w:rsid w:val="00FA2DDF"/>
    <w:rsid w:val="00FA4A3A"/>
    <w:rsid w:val="00FA51AB"/>
    <w:rsid w:val="00FA5211"/>
    <w:rsid w:val="00FA7262"/>
    <w:rsid w:val="00FA769B"/>
    <w:rsid w:val="00FB1176"/>
    <w:rsid w:val="00FB131E"/>
    <w:rsid w:val="00FB20F1"/>
    <w:rsid w:val="00FB22FE"/>
    <w:rsid w:val="00FB26EA"/>
    <w:rsid w:val="00FB35C6"/>
    <w:rsid w:val="00FB42D1"/>
    <w:rsid w:val="00FB42D9"/>
    <w:rsid w:val="00FB46BB"/>
    <w:rsid w:val="00FB47B4"/>
    <w:rsid w:val="00FB4F4E"/>
    <w:rsid w:val="00FB5C1C"/>
    <w:rsid w:val="00FB6C2F"/>
    <w:rsid w:val="00FC003F"/>
    <w:rsid w:val="00FC06DC"/>
    <w:rsid w:val="00FC0960"/>
    <w:rsid w:val="00FC0B4D"/>
    <w:rsid w:val="00FC1F9F"/>
    <w:rsid w:val="00FC2C8B"/>
    <w:rsid w:val="00FC2EEC"/>
    <w:rsid w:val="00FC4061"/>
    <w:rsid w:val="00FC4725"/>
    <w:rsid w:val="00FC67BB"/>
    <w:rsid w:val="00FC7E25"/>
    <w:rsid w:val="00FD1056"/>
    <w:rsid w:val="00FD11ED"/>
    <w:rsid w:val="00FD26AE"/>
    <w:rsid w:val="00FD2CBB"/>
    <w:rsid w:val="00FD3419"/>
    <w:rsid w:val="00FD3FA6"/>
    <w:rsid w:val="00FD542B"/>
    <w:rsid w:val="00FD6108"/>
    <w:rsid w:val="00FD6A1A"/>
    <w:rsid w:val="00FE0B0C"/>
    <w:rsid w:val="00FE2ECC"/>
    <w:rsid w:val="00FE39C8"/>
    <w:rsid w:val="00FE481A"/>
    <w:rsid w:val="00FE4B01"/>
    <w:rsid w:val="00FE5D05"/>
    <w:rsid w:val="00FE61C9"/>
    <w:rsid w:val="00FE775A"/>
    <w:rsid w:val="00FF06D7"/>
    <w:rsid w:val="00FF0EBA"/>
    <w:rsid w:val="00FF1A96"/>
    <w:rsid w:val="00FF1BF4"/>
    <w:rsid w:val="00FF1C04"/>
    <w:rsid w:val="00FF2208"/>
    <w:rsid w:val="00FF29A6"/>
    <w:rsid w:val="00FF3FE6"/>
    <w:rsid w:val="00FF42F8"/>
    <w:rsid w:val="00FF4959"/>
    <w:rsid w:val="00FF637E"/>
    <w:rsid w:val="00FF6CFD"/>
    <w:rsid w:val="00FF6D57"/>
    <w:rsid w:val="00FF7F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DCFC"/>
  <w15:docId w15:val="{73BA7B68-6012-49D1-A0FD-E21CF4ED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Footer">
    <w:name w:val="footer"/>
    <w:pPr>
      <w:tabs>
        <w:tab w:val="center" w:pos="4536"/>
        <w:tab w:val="right" w:pos="9072"/>
      </w:tabs>
    </w:pPr>
    <w:rPr>
      <w:rFonts w:ascii="Calibri" w:hAnsi="Calibri" w:cs="Arial Unicode MS"/>
      <w:color w:val="000000"/>
      <w:sz w:val="22"/>
      <w:szCs w:val="22"/>
      <w:u w:color="000000"/>
    </w:rPr>
  </w:style>
  <w:style w:type="paragraph" w:customStyle="1" w:styleId="TextA">
    <w:name w:val="Text A"/>
    <w:link w:val="TextAChar"/>
    <w:pPr>
      <w:spacing w:after="160" w:line="259" w:lineRule="auto"/>
    </w:pPr>
    <w:rPr>
      <w:rFonts w:ascii="Calibri" w:eastAsia="Calibri" w:hAnsi="Calibri" w:cs="Calibri"/>
      <w:color w:val="000000"/>
      <w:sz w:val="22"/>
      <w:szCs w:val="22"/>
      <w:u w:color="000000"/>
    </w:rPr>
  </w:style>
  <w:style w:type="paragraph" w:customStyle="1" w:styleId="Standard">
    <w:name w:val="Standard"/>
    <w:rPr>
      <w:rFonts w:ascii="Helvetica" w:eastAsia="Helvetica" w:hAnsi="Helvetica" w:cs="Helvetica"/>
      <w:color w:val="000000"/>
      <w:sz w:val="22"/>
      <w:szCs w:val="22"/>
    </w:rPr>
  </w:style>
  <w:style w:type="paragraph" w:customStyle="1" w:styleId="EndNoteBibliography">
    <w:name w:val="EndNote Bibliography"/>
    <w:pPr>
      <w:spacing w:after="160"/>
    </w:pPr>
    <w:rPr>
      <w:rFonts w:ascii="Calibri" w:hAnsi="Calibri" w:cs="Calibri"/>
      <w:color w:val="000000"/>
      <w:sz w:val="22"/>
      <w:szCs w:val="22"/>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CF3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DE"/>
    <w:rPr>
      <w:rFonts w:ascii="Segoe UI" w:hAnsi="Segoe UI" w:cs="Segoe UI"/>
      <w:sz w:val="18"/>
      <w:szCs w:val="18"/>
    </w:rPr>
  </w:style>
  <w:style w:type="paragraph" w:customStyle="1" w:styleId="EndNoteBibliographyTitle">
    <w:name w:val="EndNote Bibliography Title"/>
    <w:basedOn w:val="Normal"/>
    <w:link w:val="EndNoteBibliographyTitleChar"/>
    <w:rsid w:val="00D42266"/>
    <w:pPr>
      <w:jc w:val="center"/>
    </w:pPr>
    <w:rPr>
      <w:rFonts w:ascii="Calibri" w:hAnsi="Calibri" w:cs="Calibri"/>
      <w:noProof/>
      <w:sz w:val="22"/>
    </w:rPr>
  </w:style>
  <w:style w:type="character" w:customStyle="1" w:styleId="TextAChar">
    <w:name w:val="Text A Char"/>
    <w:basedOn w:val="DefaultParagraphFont"/>
    <w:link w:val="TextA"/>
    <w:rsid w:val="00D42266"/>
    <w:rPr>
      <w:rFonts w:ascii="Calibri" w:eastAsia="Calibri" w:hAnsi="Calibri" w:cs="Calibri"/>
      <w:color w:val="000000"/>
      <w:sz w:val="22"/>
      <w:szCs w:val="22"/>
      <w:u w:color="000000"/>
    </w:rPr>
  </w:style>
  <w:style w:type="character" w:customStyle="1" w:styleId="EndNoteBibliographyTitleChar">
    <w:name w:val="EndNote Bibliography Title Char"/>
    <w:basedOn w:val="TextAChar"/>
    <w:link w:val="EndNoteBibliographyTitle"/>
    <w:rsid w:val="00D42266"/>
    <w:rPr>
      <w:rFonts w:ascii="Calibri" w:eastAsia="Calibri" w:hAnsi="Calibri" w:cs="Calibri"/>
      <w:noProof/>
      <w:color w:val="000000"/>
      <w:sz w:val="22"/>
      <w:szCs w:val="24"/>
      <w:u w:color="000000"/>
    </w:rPr>
  </w:style>
  <w:style w:type="paragraph" w:styleId="CommentSubject">
    <w:name w:val="annotation subject"/>
    <w:basedOn w:val="CommentText"/>
    <w:next w:val="CommentText"/>
    <w:link w:val="CommentSubjectChar"/>
    <w:uiPriority w:val="99"/>
    <w:semiHidden/>
    <w:unhideWhenUsed/>
    <w:rsid w:val="001830E5"/>
    <w:rPr>
      <w:b/>
      <w:bCs/>
    </w:rPr>
  </w:style>
  <w:style w:type="character" w:customStyle="1" w:styleId="CommentSubjectChar">
    <w:name w:val="Comment Subject Char"/>
    <w:basedOn w:val="CommentTextChar"/>
    <w:link w:val="CommentSubject"/>
    <w:uiPriority w:val="99"/>
    <w:semiHidden/>
    <w:rsid w:val="001830E5"/>
    <w:rPr>
      <w:b/>
      <w:bCs/>
    </w:rPr>
  </w:style>
  <w:style w:type="character" w:styleId="UnresolvedMention">
    <w:name w:val="Unresolved Mention"/>
    <w:basedOn w:val="DefaultParagraphFont"/>
    <w:uiPriority w:val="99"/>
    <w:semiHidden/>
    <w:unhideWhenUsed/>
    <w:rsid w:val="00F7775C"/>
    <w:rPr>
      <w:color w:val="605E5C"/>
      <w:shd w:val="clear" w:color="auto" w:fill="E1DFDD"/>
    </w:rPr>
  </w:style>
  <w:style w:type="paragraph" w:customStyle="1" w:styleId="Text">
    <w:name w:val="Text"/>
    <w:link w:val="TextChar"/>
    <w:rsid w:val="00136ED1"/>
    <w:pPr>
      <w:spacing w:after="160" w:line="259" w:lineRule="auto"/>
    </w:pPr>
    <w:rPr>
      <w:rFonts w:ascii="Calibri" w:eastAsia="Calibri" w:hAnsi="Calibri" w:cs="Calibri"/>
      <w:color w:val="000000"/>
      <w:sz w:val="22"/>
      <w:szCs w:val="22"/>
      <w:u w:color="000000"/>
    </w:rPr>
  </w:style>
  <w:style w:type="character" w:customStyle="1" w:styleId="TextChar">
    <w:name w:val="Text Char"/>
    <w:basedOn w:val="DefaultParagraphFont"/>
    <w:link w:val="Text"/>
    <w:rsid w:val="00136ED1"/>
    <w:rPr>
      <w:rFonts w:ascii="Calibri" w:eastAsia="Calibri" w:hAnsi="Calibri" w:cs="Calibri"/>
      <w:color w:val="000000"/>
      <w:sz w:val="22"/>
      <w:szCs w:val="22"/>
      <w:u w:color="000000"/>
    </w:rPr>
  </w:style>
  <w:style w:type="paragraph" w:styleId="NormalWeb">
    <w:name w:val="Normal (Web)"/>
    <w:basedOn w:val="Normal"/>
    <w:uiPriority w:val="99"/>
    <w:semiHidden/>
    <w:unhideWhenUsed/>
    <w:rsid w:val="00136E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de-DE" w:eastAsia="de-DE"/>
    </w:rPr>
  </w:style>
  <w:style w:type="paragraph" w:styleId="Header">
    <w:name w:val="header"/>
    <w:basedOn w:val="Normal"/>
    <w:link w:val="HeaderChar"/>
    <w:uiPriority w:val="99"/>
    <w:semiHidden/>
    <w:unhideWhenUsed/>
    <w:rsid w:val="00AC3CEF"/>
    <w:pPr>
      <w:tabs>
        <w:tab w:val="center" w:pos="4680"/>
        <w:tab w:val="right" w:pos="9360"/>
      </w:tabs>
    </w:pPr>
  </w:style>
  <w:style w:type="character" w:customStyle="1" w:styleId="HeaderChar">
    <w:name w:val="Header Char"/>
    <w:basedOn w:val="DefaultParagraphFont"/>
    <w:link w:val="Header"/>
    <w:uiPriority w:val="99"/>
    <w:semiHidden/>
    <w:rsid w:val="00E61F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olfgang.wick@med.uni-heidelberg.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7878D-057A-4DE7-AF85-61F97AC3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49</Pages>
  <Words>13263</Words>
  <Characters>75603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Pawlowski</dc:creator>
  <cp:keywords/>
  <dc:description/>
  <cp:lastModifiedBy>Norbert Hilf</cp:lastModifiedBy>
  <cp:revision>4</cp:revision>
  <cp:lastPrinted>2018-10-27T22:26:00Z</cp:lastPrinted>
  <dcterms:created xsi:type="dcterms:W3CDTF">2018-11-05T15:29:00Z</dcterms:created>
  <dcterms:modified xsi:type="dcterms:W3CDTF">2018-11-15T11:18:00Z</dcterms:modified>
</cp:coreProperties>
</file>