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98E3" w14:textId="77777777" w:rsidR="00C04259" w:rsidRPr="000D1D01" w:rsidRDefault="00C04259" w:rsidP="00C04259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 w:rsidRPr="000D1D01">
        <w:rPr>
          <w:rFonts w:ascii="Arial" w:hAnsi="Arial"/>
          <w:b/>
          <w:sz w:val="22"/>
          <w:szCs w:val="22"/>
        </w:rPr>
        <w:t>Variation in outcome reporting in randomised controlled trials of interventions for the prevention and treatment of fetal growth restriction</w:t>
      </w:r>
    </w:p>
    <w:p w14:paraId="7308201E" w14:textId="77777777" w:rsidR="00C04259" w:rsidRPr="000D1D01" w:rsidRDefault="00C04259" w:rsidP="00C04259">
      <w:pPr>
        <w:spacing w:line="360" w:lineRule="auto"/>
        <w:rPr>
          <w:rFonts w:ascii="Arial" w:hAnsi="Arial"/>
          <w:sz w:val="22"/>
          <w:szCs w:val="22"/>
        </w:rPr>
      </w:pPr>
    </w:p>
    <w:p w14:paraId="19C50F12" w14:textId="77777777" w:rsidR="00C04259" w:rsidRPr="000D1D01" w:rsidRDefault="00C04259" w:rsidP="00C04259">
      <w:pPr>
        <w:spacing w:line="360" w:lineRule="auto"/>
        <w:rPr>
          <w:rFonts w:ascii="Arial" w:hAnsi="Arial"/>
          <w:sz w:val="22"/>
          <w:szCs w:val="22"/>
          <w:vertAlign w:val="superscript"/>
        </w:rPr>
      </w:pPr>
      <w:r w:rsidRPr="000D1D01">
        <w:rPr>
          <w:rFonts w:ascii="Arial" w:hAnsi="Arial"/>
          <w:sz w:val="22"/>
          <w:szCs w:val="22"/>
        </w:rPr>
        <w:t>Rosemary Townsend</w:t>
      </w:r>
      <w:r w:rsidRPr="000D1D01">
        <w:rPr>
          <w:rFonts w:ascii="Arial" w:eastAsia="Calibri" w:hAnsi="Arial"/>
          <w:sz w:val="22"/>
          <w:szCs w:val="22"/>
          <w:vertAlign w:val="superscript"/>
          <w:lang w:eastAsia="en-US"/>
        </w:rPr>
        <w:t>1,2</w:t>
      </w:r>
      <w:r w:rsidRPr="000D1D01">
        <w:rPr>
          <w:rFonts w:ascii="Arial" w:hAnsi="Arial"/>
          <w:sz w:val="22"/>
          <w:szCs w:val="22"/>
        </w:rPr>
        <w:t>, Filomena Sileo</w:t>
      </w:r>
      <w:r w:rsidRPr="000D1D01">
        <w:rPr>
          <w:rFonts w:ascii="Arial" w:eastAsia="Calibri" w:hAnsi="Arial"/>
          <w:sz w:val="22"/>
          <w:szCs w:val="22"/>
          <w:vertAlign w:val="superscript"/>
          <w:lang w:eastAsia="en-US"/>
        </w:rPr>
        <w:t>1</w:t>
      </w:r>
      <w:r w:rsidRPr="000D1D01">
        <w:rPr>
          <w:rFonts w:ascii="Arial" w:hAnsi="Arial"/>
          <w:sz w:val="22"/>
          <w:szCs w:val="22"/>
        </w:rPr>
        <w:t>, Linden Stocker</w:t>
      </w:r>
      <w:r w:rsidRPr="000D1D01">
        <w:rPr>
          <w:rFonts w:ascii="Arial" w:hAnsi="Arial"/>
          <w:sz w:val="22"/>
          <w:szCs w:val="22"/>
          <w:vertAlign w:val="superscript"/>
        </w:rPr>
        <w:t>3</w:t>
      </w:r>
      <w:r w:rsidRPr="000D1D01">
        <w:rPr>
          <w:rFonts w:ascii="Arial" w:hAnsi="Arial"/>
          <w:sz w:val="22"/>
          <w:szCs w:val="22"/>
        </w:rPr>
        <w:t>, Hafsah Kumbay</w:t>
      </w:r>
      <w:r w:rsidRPr="000D1D01">
        <w:rPr>
          <w:rFonts w:ascii="Arial" w:hAnsi="Arial"/>
          <w:sz w:val="22"/>
          <w:szCs w:val="22"/>
          <w:vertAlign w:val="superscript"/>
        </w:rPr>
        <w:t>4</w:t>
      </w:r>
      <w:r w:rsidRPr="000D1D01">
        <w:rPr>
          <w:rFonts w:ascii="Arial" w:hAnsi="Arial"/>
          <w:sz w:val="22"/>
          <w:szCs w:val="22"/>
        </w:rPr>
        <w:t xml:space="preserve">, </w:t>
      </w:r>
      <w:r w:rsidRPr="000D1D01">
        <w:rPr>
          <w:rFonts w:ascii="Arial" w:eastAsia="Calibri" w:hAnsi="Arial"/>
          <w:sz w:val="22"/>
          <w:szCs w:val="22"/>
          <w:lang w:eastAsia="en-US"/>
        </w:rPr>
        <w:t>Patricia Healy</w:t>
      </w:r>
      <w:r w:rsidRPr="000D1D01">
        <w:rPr>
          <w:rFonts w:ascii="Arial" w:eastAsia="Calibri" w:hAnsi="Arial"/>
          <w:sz w:val="22"/>
          <w:szCs w:val="22"/>
          <w:vertAlign w:val="superscript"/>
          <w:lang w:eastAsia="en-US"/>
        </w:rPr>
        <w:t>5,6</w:t>
      </w:r>
      <w:r w:rsidRPr="000D1D01">
        <w:rPr>
          <w:rFonts w:ascii="Arial" w:eastAsia="Times New Roman" w:hAnsi="Arial"/>
          <w:sz w:val="22"/>
          <w:szCs w:val="22"/>
        </w:rPr>
        <w:t>, Sanne Gordijn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7</w:t>
      </w:r>
      <w:r w:rsidRPr="000D1D01">
        <w:rPr>
          <w:rFonts w:ascii="Arial" w:eastAsia="Times New Roman" w:hAnsi="Arial"/>
          <w:sz w:val="22"/>
          <w:szCs w:val="22"/>
        </w:rPr>
        <w:t>, Wessel Ganzevoort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8</w:t>
      </w:r>
      <w:r w:rsidRPr="000D1D01">
        <w:rPr>
          <w:rFonts w:ascii="Arial" w:eastAsia="Times New Roman" w:hAnsi="Arial"/>
          <w:sz w:val="22"/>
          <w:szCs w:val="22"/>
        </w:rPr>
        <w:t>, Irene Beune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7</w:t>
      </w:r>
      <w:r w:rsidRPr="000D1D01">
        <w:rPr>
          <w:rFonts w:ascii="Arial" w:eastAsia="Times New Roman" w:hAnsi="Arial"/>
          <w:sz w:val="22"/>
          <w:szCs w:val="22"/>
        </w:rPr>
        <w:t>, Ahmet Baschat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9</w:t>
      </w:r>
      <w:r w:rsidRPr="000D1D01">
        <w:rPr>
          <w:rFonts w:ascii="Arial" w:eastAsia="Times New Roman" w:hAnsi="Arial"/>
          <w:sz w:val="22"/>
          <w:szCs w:val="22"/>
        </w:rPr>
        <w:t>, Louise Kenny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10</w:t>
      </w:r>
      <w:r w:rsidRPr="000D1D01">
        <w:rPr>
          <w:rFonts w:ascii="Arial" w:eastAsia="Times New Roman" w:hAnsi="Arial"/>
          <w:sz w:val="22"/>
          <w:szCs w:val="22"/>
        </w:rPr>
        <w:t>, Frank Bloomfield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11</w:t>
      </w:r>
      <w:r w:rsidRPr="000D1D01">
        <w:rPr>
          <w:rFonts w:ascii="Arial" w:eastAsia="Times New Roman" w:hAnsi="Arial"/>
          <w:sz w:val="22"/>
          <w:szCs w:val="22"/>
        </w:rPr>
        <w:t>, Mandy Daly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12</w:t>
      </w:r>
      <w:r w:rsidRPr="000D1D01">
        <w:rPr>
          <w:rFonts w:ascii="Arial" w:eastAsia="Times New Roman" w:hAnsi="Arial"/>
          <w:sz w:val="22"/>
          <w:szCs w:val="22"/>
        </w:rPr>
        <w:t>, Declan Devane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5,6</w:t>
      </w:r>
      <w:r w:rsidRPr="000D1D01">
        <w:rPr>
          <w:rFonts w:ascii="Arial" w:eastAsia="Times New Roman" w:hAnsi="Arial"/>
          <w:sz w:val="22"/>
          <w:szCs w:val="22"/>
        </w:rPr>
        <w:t>,</w:t>
      </w:r>
      <w:r w:rsidRPr="000D1D01">
        <w:rPr>
          <w:rFonts w:ascii="Arial" w:hAnsi="Arial"/>
          <w:sz w:val="22"/>
          <w:szCs w:val="22"/>
        </w:rPr>
        <w:t xml:space="preserve"> </w:t>
      </w:r>
      <w:r w:rsidRPr="000D1D01">
        <w:rPr>
          <w:rFonts w:ascii="Arial" w:eastAsia="Times New Roman" w:hAnsi="Arial"/>
          <w:sz w:val="22"/>
          <w:szCs w:val="22"/>
        </w:rPr>
        <w:t>Aris Papageorghiou</w:t>
      </w:r>
      <w:r w:rsidRPr="000D1D01">
        <w:rPr>
          <w:rFonts w:ascii="Arial" w:eastAsia="Times New Roman" w:hAnsi="Arial"/>
          <w:sz w:val="22"/>
          <w:szCs w:val="22"/>
          <w:vertAlign w:val="superscript"/>
        </w:rPr>
        <w:t>1,2,13</w:t>
      </w:r>
      <w:r w:rsidRPr="000D1D01">
        <w:rPr>
          <w:rFonts w:ascii="Arial" w:eastAsia="Times New Roman" w:hAnsi="Arial"/>
          <w:sz w:val="22"/>
          <w:szCs w:val="22"/>
        </w:rPr>
        <w:t xml:space="preserve">, </w:t>
      </w:r>
      <w:r w:rsidRPr="000D1D01">
        <w:rPr>
          <w:rFonts w:ascii="Arial" w:hAnsi="Arial"/>
          <w:sz w:val="22"/>
          <w:szCs w:val="22"/>
        </w:rPr>
        <w:t>Asma Khalil</w:t>
      </w:r>
      <w:r w:rsidRPr="000D1D01">
        <w:rPr>
          <w:rFonts w:ascii="Arial" w:hAnsi="Arial"/>
          <w:sz w:val="22"/>
          <w:szCs w:val="22"/>
          <w:vertAlign w:val="superscript"/>
        </w:rPr>
        <w:t>1,2</w:t>
      </w:r>
    </w:p>
    <w:p w14:paraId="37DFD5DE" w14:textId="77777777" w:rsidR="00C04259" w:rsidRPr="000D1D01" w:rsidRDefault="00C04259" w:rsidP="00C04259">
      <w:pPr>
        <w:rPr>
          <w:rFonts w:ascii="Arial" w:hAnsi="Arial"/>
          <w:sz w:val="22"/>
          <w:szCs w:val="22"/>
          <w:lang w:val="en-US"/>
        </w:rPr>
      </w:pPr>
    </w:p>
    <w:p w14:paraId="211C858F" w14:textId="77777777" w:rsidR="00C04259" w:rsidRPr="000D1D01" w:rsidRDefault="00C04259" w:rsidP="00C04259">
      <w:pPr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1</w:t>
      </w:r>
      <w:r w:rsidRPr="000D1D01">
        <w:rPr>
          <w:rFonts w:ascii="Arial" w:hAnsi="Arial"/>
          <w:sz w:val="22"/>
          <w:szCs w:val="22"/>
          <w:lang w:val="en-US"/>
        </w:rPr>
        <w:t>Fetal Medicine Unit, St George's University Hospitals NHS Foundation Trust, London, UK</w:t>
      </w:r>
    </w:p>
    <w:p w14:paraId="5E3C859B" w14:textId="77777777" w:rsidR="00C04259" w:rsidRPr="000D1D01" w:rsidRDefault="00C04259" w:rsidP="00C04259">
      <w:pPr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2</w:t>
      </w:r>
      <w:r w:rsidRPr="000D1D01">
        <w:rPr>
          <w:rFonts w:ascii="Arial" w:hAnsi="Arial"/>
          <w:sz w:val="22"/>
          <w:szCs w:val="22"/>
          <w:lang w:val="en-US"/>
        </w:rPr>
        <w:t>Molecular and Clinical Sciences Research Institute, St. George’s University of London, London, UK</w:t>
      </w:r>
    </w:p>
    <w:p w14:paraId="52DE7029" w14:textId="77777777" w:rsidR="00C04259" w:rsidRPr="000D1D01" w:rsidRDefault="00C04259" w:rsidP="00C04259">
      <w:pPr>
        <w:outlineLvl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3</w:t>
      </w:r>
      <w:r w:rsidRPr="000D1D01">
        <w:rPr>
          <w:rFonts w:ascii="Arial" w:hAnsi="Arial"/>
          <w:sz w:val="22"/>
          <w:szCs w:val="22"/>
          <w:lang w:val="en-US"/>
        </w:rPr>
        <w:t>Women and Children Division, University Hospital Southampton NHS Foundation Trust, Princess Anne Hospital, Southampton, UK</w:t>
      </w:r>
    </w:p>
    <w:p w14:paraId="3A81C177" w14:textId="77777777" w:rsidR="00C04259" w:rsidRPr="000D1D01" w:rsidRDefault="00C04259" w:rsidP="00C04259">
      <w:pPr>
        <w:outlineLvl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4</w:t>
      </w:r>
      <w:r w:rsidRPr="000D1D01">
        <w:rPr>
          <w:rFonts w:ascii="Arial" w:hAnsi="Arial"/>
          <w:sz w:val="22"/>
          <w:szCs w:val="22"/>
          <w:lang w:val="en-US"/>
        </w:rPr>
        <w:t>GKT School of Medicine, King’s College, London, UK.</w:t>
      </w:r>
    </w:p>
    <w:p w14:paraId="1EE7D3A4" w14:textId="77777777" w:rsidR="00C04259" w:rsidRPr="000D1D01" w:rsidRDefault="00C04259" w:rsidP="00C04259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5</w:t>
      </w:r>
      <w:r w:rsidRPr="000D1D01">
        <w:rPr>
          <w:rFonts w:ascii="Arial" w:hAnsi="Arial"/>
          <w:sz w:val="22"/>
          <w:szCs w:val="22"/>
          <w:lang w:val="en-US"/>
        </w:rPr>
        <w:t>Health Research Board – Trials Methodology Research Network, Ireland </w:t>
      </w:r>
    </w:p>
    <w:p w14:paraId="3EAEF326" w14:textId="77777777" w:rsidR="00C04259" w:rsidRPr="000D1D01" w:rsidRDefault="00C04259" w:rsidP="00C04259">
      <w:pPr>
        <w:widowControl w:val="0"/>
        <w:autoSpaceDE w:val="0"/>
        <w:autoSpaceDN w:val="0"/>
        <w:adjustRightInd w:val="0"/>
        <w:outlineLvl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6</w:t>
      </w:r>
      <w:r w:rsidRPr="000D1D01">
        <w:rPr>
          <w:rFonts w:ascii="Arial" w:hAnsi="Arial"/>
          <w:sz w:val="22"/>
          <w:szCs w:val="22"/>
          <w:lang w:val="en-US"/>
        </w:rPr>
        <w:t>School of Nursing and Midwifery, NUI Galway, Galway, Ireland </w:t>
      </w:r>
    </w:p>
    <w:p w14:paraId="58B2D7F6" w14:textId="77777777" w:rsidR="00C04259" w:rsidRPr="000D1D01" w:rsidRDefault="00C04259" w:rsidP="00C04259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7</w:t>
      </w:r>
      <w:r w:rsidRPr="000D1D01">
        <w:rPr>
          <w:rFonts w:ascii="Arial" w:hAnsi="Arial"/>
          <w:sz w:val="22"/>
          <w:szCs w:val="22"/>
          <w:lang w:val="en-US"/>
        </w:rPr>
        <w:t>Department of Obstetrics and Gynecology, University Medical Center Groningen, University of Groningen, Groningen, The Netherlands </w:t>
      </w:r>
    </w:p>
    <w:p w14:paraId="6013EC6E" w14:textId="77777777" w:rsidR="00C04259" w:rsidRPr="000D1D01" w:rsidRDefault="00C04259" w:rsidP="00C04259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8</w:t>
      </w:r>
      <w:r w:rsidRPr="000D1D01">
        <w:rPr>
          <w:rFonts w:ascii="Arial" w:hAnsi="Arial"/>
          <w:sz w:val="22"/>
          <w:szCs w:val="22"/>
          <w:lang w:val="en-US"/>
        </w:rPr>
        <w:t>Department of Obstetrics and Gynecology, Amsterdam UMC, University of Amsterdam, Amsterdam, The Netherlands </w:t>
      </w:r>
    </w:p>
    <w:p w14:paraId="77621FA9" w14:textId="77777777" w:rsidR="00C04259" w:rsidRPr="000D1D01" w:rsidRDefault="00C04259" w:rsidP="00C04259">
      <w:pPr>
        <w:widowControl w:val="0"/>
        <w:autoSpaceDE w:val="0"/>
        <w:autoSpaceDN w:val="0"/>
        <w:adjustRightInd w:val="0"/>
        <w:outlineLvl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9</w:t>
      </w:r>
      <w:r w:rsidRPr="000D1D01">
        <w:rPr>
          <w:rFonts w:ascii="Arial" w:hAnsi="Arial"/>
          <w:sz w:val="22"/>
          <w:szCs w:val="22"/>
          <w:lang w:val="en-US"/>
        </w:rPr>
        <w:t>Johns Hopkins Center for Fetal Therapy, Baltimore, USA </w:t>
      </w:r>
    </w:p>
    <w:p w14:paraId="0A657F39" w14:textId="77777777" w:rsidR="00C04259" w:rsidRPr="000D1D01" w:rsidRDefault="00C04259" w:rsidP="00C04259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 xml:space="preserve">10 </w:t>
      </w:r>
      <w:r w:rsidRPr="000D1D01">
        <w:rPr>
          <w:rFonts w:ascii="Arial" w:hAnsi="Arial"/>
          <w:sz w:val="22"/>
          <w:szCs w:val="22"/>
          <w:lang w:val="en-US"/>
        </w:rPr>
        <w:t>The Irish Centre for Fetal and Neonatal Translational Research (INFANT), University College Cork, Ireland. </w:t>
      </w:r>
    </w:p>
    <w:p w14:paraId="72CE65AD" w14:textId="77777777" w:rsidR="00C04259" w:rsidRPr="000D1D01" w:rsidRDefault="00C04259" w:rsidP="00C04259">
      <w:pPr>
        <w:widowControl w:val="0"/>
        <w:autoSpaceDE w:val="0"/>
        <w:autoSpaceDN w:val="0"/>
        <w:adjustRightInd w:val="0"/>
        <w:outlineLvl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11</w:t>
      </w:r>
      <w:r w:rsidRPr="000D1D01">
        <w:rPr>
          <w:rFonts w:ascii="Arial" w:hAnsi="Arial"/>
          <w:sz w:val="22"/>
          <w:szCs w:val="22"/>
          <w:lang w:val="en-US"/>
        </w:rPr>
        <w:t>Liggins Institute, University of Auckland, Auckland, New Zealand </w:t>
      </w:r>
    </w:p>
    <w:p w14:paraId="731F91FC" w14:textId="77777777" w:rsidR="00C04259" w:rsidRPr="000D1D01" w:rsidRDefault="00C04259" w:rsidP="00C04259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12</w:t>
      </w:r>
      <w:r w:rsidRPr="000D1D01">
        <w:rPr>
          <w:rFonts w:ascii="Arial" w:hAnsi="Arial"/>
          <w:sz w:val="22"/>
          <w:szCs w:val="22"/>
          <w:lang w:val="en-US"/>
        </w:rPr>
        <w:t>Advocacy and Policymaking, Irish Neonatal Health Alliance, Wicklow, Ireland</w:t>
      </w:r>
    </w:p>
    <w:p w14:paraId="1D305F5E" w14:textId="77777777" w:rsidR="00C04259" w:rsidRPr="000D1D01" w:rsidRDefault="00C04259" w:rsidP="00C04259">
      <w:pPr>
        <w:widowControl w:val="0"/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  <w:r w:rsidRPr="000D1D01">
        <w:rPr>
          <w:rFonts w:ascii="Arial" w:hAnsi="Arial"/>
          <w:sz w:val="22"/>
          <w:szCs w:val="22"/>
          <w:vertAlign w:val="superscript"/>
          <w:lang w:val="en-US"/>
        </w:rPr>
        <w:t>13</w:t>
      </w:r>
      <w:r w:rsidRPr="000D1D01">
        <w:rPr>
          <w:rFonts w:ascii="Arial" w:hAnsi="Arial"/>
          <w:sz w:val="22"/>
          <w:szCs w:val="22"/>
          <w:lang w:val="en-US"/>
        </w:rPr>
        <w:t>University of Oxford Nuffield Department of Obstetrics and Gynaecology, Level 3, Women’s Centre, John Radcliffe Hospital, Headington, Oxford OX3 9DU </w:t>
      </w:r>
    </w:p>
    <w:p w14:paraId="63C76580" w14:textId="77777777" w:rsidR="00C04259" w:rsidRPr="000D1D01" w:rsidRDefault="00C04259" w:rsidP="00C04259">
      <w:pPr>
        <w:spacing w:line="360" w:lineRule="auto"/>
        <w:rPr>
          <w:rFonts w:ascii="Arial" w:hAnsi="Arial"/>
          <w:b/>
          <w:bCs/>
          <w:sz w:val="22"/>
          <w:szCs w:val="22"/>
          <w:lang w:val="en-US"/>
        </w:rPr>
      </w:pPr>
    </w:p>
    <w:p w14:paraId="738DBCDC" w14:textId="77777777" w:rsidR="00C04259" w:rsidRPr="000D1D01" w:rsidRDefault="00C04259" w:rsidP="00C04259">
      <w:pPr>
        <w:spacing w:line="360" w:lineRule="auto"/>
        <w:rPr>
          <w:rFonts w:ascii="Arial" w:hAnsi="Arial"/>
          <w:b/>
          <w:bCs/>
          <w:sz w:val="22"/>
          <w:szCs w:val="22"/>
          <w:lang w:val="en-US"/>
        </w:rPr>
      </w:pPr>
      <w:r w:rsidRPr="000D1D01">
        <w:rPr>
          <w:rFonts w:ascii="Arial" w:hAnsi="Arial"/>
          <w:b/>
          <w:bCs/>
          <w:sz w:val="22"/>
          <w:szCs w:val="22"/>
          <w:lang w:val="en-US"/>
        </w:rPr>
        <w:t xml:space="preserve">Funding: </w:t>
      </w:r>
      <w:r w:rsidRPr="000D1D01">
        <w:rPr>
          <w:rFonts w:ascii="Arial" w:hAnsi="Arial"/>
          <w:sz w:val="22"/>
          <w:szCs w:val="22"/>
        </w:rPr>
        <w:t>Health Research Board - Mother and Baby - Clinical Trials Network Ireland (HRB-M&amp;B-CTNI) </w:t>
      </w:r>
    </w:p>
    <w:p w14:paraId="00825AE5" w14:textId="77777777" w:rsidR="00601DB0" w:rsidRPr="00C04259" w:rsidRDefault="00A711AB">
      <w:pPr>
        <w:rPr>
          <w:lang w:val="en-US"/>
        </w:rPr>
      </w:pPr>
    </w:p>
    <w:sectPr w:rsidR="00601DB0" w:rsidRPr="00C04259" w:rsidSect="00CC0F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59"/>
    <w:rsid w:val="000F7229"/>
    <w:rsid w:val="005B24B3"/>
    <w:rsid w:val="00887DB6"/>
    <w:rsid w:val="00A711AB"/>
    <w:rsid w:val="00BA2531"/>
    <w:rsid w:val="00C04259"/>
    <w:rsid w:val="00C94146"/>
    <w:rsid w:val="00C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E991B"/>
  <w15:chartTrackingRefBased/>
  <w15:docId w15:val="{E50C4B19-8D72-9A4B-B59A-1C10F6EF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259"/>
    <w:rPr>
      <w:rFonts w:ascii="Calibri" w:eastAsia="DengXi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townsend</dc:creator>
  <cp:keywords/>
  <dc:description/>
  <cp:lastModifiedBy>Lapage K.P.</cp:lastModifiedBy>
  <cp:revision>2</cp:revision>
  <dcterms:created xsi:type="dcterms:W3CDTF">2019-02-06T13:38:00Z</dcterms:created>
  <dcterms:modified xsi:type="dcterms:W3CDTF">2019-02-06T13:38:00Z</dcterms:modified>
</cp:coreProperties>
</file>