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6AEA1" w14:textId="4DFEE21B" w:rsidR="00FF4537" w:rsidRPr="009E5026" w:rsidRDefault="00FF4537" w:rsidP="00FF4537">
      <w:pPr>
        <w:pStyle w:val="Heading1"/>
      </w:pPr>
      <w:bookmarkStart w:id="0" w:name="_GoBack"/>
      <w:bookmarkEnd w:id="0"/>
      <w:r w:rsidRPr="009E5026">
        <w:t>Title page</w:t>
      </w:r>
    </w:p>
    <w:p w14:paraId="30C487E4" w14:textId="5133F630" w:rsidR="00B75B85" w:rsidRPr="009E5026" w:rsidRDefault="00B75B85" w:rsidP="00FF4537">
      <w:pPr>
        <w:spacing w:line="480" w:lineRule="auto"/>
      </w:pPr>
      <w:r w:rsidRPr="009E5026">
        <w:rPr>
          <w:b/>
        </w:rPr>
        <w:t xml:space="preserve">Title: </w:t>
      </w:r>
      <w:r w:rsidR="00A3670A" w:rsidRPr="009E5026">
        <w:t>A</w:t>
      </w:r>
      <w:r w:rsidRPr="009E5026">
        <w:t>ccuracy of high-speed video analysis to diagnose primary ciliary dyskinesia</w:t>
      </w:r>
      <w:r w:rsidR="00D6780E" w:rsidRPr="009E5026">
        <w:t xml:space="preserve"> </w:t>
      </w:r>
    </w:p>
    <w:p w14:paraId="664F36A4" w14:textId="77777777" w:rsidR="00CA13F3" w:rsidRPr="009E5026" w:rsidRDefault="00CA13F3" w:rsidP="00CA13F3">
      <w:pPr>
        <w:spacing w:line="480" w:lineRule="auto"/>
        <w:rPr>
          <w:b/>
        </w:rPr>
      </w:pPr>
      <w:r w:rsidRPr="009E5026">
        <w:rPr>
          <w:b/>
        </w:rPr>
        <w:t xml:space="preserve">Authors: </w:t>
      </w:r>
      <w:r w:rsidRPr="009E5026">
        <w:t>Bruna Rubbo, Amelia Shoemark, Claire L Jackson, Robert Hirst, James Thompson, Joseph Hayes, Emily Frost, Fiona Copeland, Claire Hogg, Christopher O’Callaghan, Isabel Reading, Jane S Lucas; on behalf of the National PCD Service, UK.</w:t>
      </w:r>
    </w:p>
    <w:p w14:paraId="1248D1EB" w14:textId="2FA1E536" w:rsidR="002D1E88" w:rsidRPr="009E5026" w:rsidRDefault="00CA13F3" w:rsidP="00FF4537">
      <w:pPr>
        <w:spacing w:line="480" w:lineRule="auto"/>
        <w:rPr>
          <w:b/>
        </w:rPr>
      </w:pPr>
      <w:r w:rsidRPr="009E5026">
        <w:rPr>
          <w:b/>
        </w:rPr>
        <w:t>Affiliations:</w:t>
      </w:r>
    </w:p>
    <w:p w14:paraId="23EE2D59" w14:textId="77777777" w:rsidR="00FF5A4B" w:rsidRPr="009E5026" w:rsidRDefault="00FF5A4B" w:rsidP="00FF5A4B">
      <w:pPr>
        <w:spacing w:line="360" w:lineRule="auto"/>
      </w:pPr>
      <w:r w:rsidRPr="009E5026">
        <w:rPr>
          <w:b/>
        </w:rPr>
        <w:t xml:space="preserve">Bruna Rubbo  </w:t>
      </w:r>
      <w:r w:rsidRPr="00A03A4A">
        <w:rPr>
          <w:b/>
          <w:color w:val="FF0000"/>
        </w:rPr>
        <w:t>MSc</w:t>
      </w:r>
      <w:r w:rsidRPr="009E5026">
        <w:rPr>
          <w:b/>
        </w:rPr>
        <w:t xml:space="preserve"> </w:t>
      </w:r>
      <w:r w:rsidRPr="009E5026">
        <w:t xml:space="preserve"> </w:t>
      </w:r>
      <w:r w:rsidRPr="009E5026">
        <w:rPr>
          <w:u w:val="single"/>
        </w:rPr>
        <w:t>B.Rubbo@soton.ac.uk</w:t>
      </w:r>
      <w:r w:rsidRPr="009E5026">
        <w:t xml:space="preserve">  [1] Primary Ciliary Dyskinesia Centre, NIHR Biomedical Research Centre, University Hospital Southampton NHS Foundation Trust, Southampton, UK [2]University of Southampton Faculty of Medicine, Academic Unit of Clinical and Experimental Medicine, Southampton, UK</w:t>
      </w:r>
    </w:p>
    <w:p w14:paraId="034E69DB" w14:textId="77777777" w:rsidR="00FF5A4B" w:rsidRPr="009E5026" w:rsidRDefault="00FF5A4B" w:rsidP="00FF5A4B">
      <w:pPr>
        <w:spacing w:line="360" w:lineRule="auto"/>
      </w:pPr>
      <w:r w:rsidRPr="009E5026">
        <w:rPr>
          <w:b/>
        </w:rPr>
        <w:t xml:space="preserve">Amelia Shoemark </w:t>
      </w:r>
      <w:r w:rsidRPr="00A03A4A">
        <w:rPr>
          <w:b/>
          <w:color w:val="FF0000"/>
        </w:rPr>
        <w:t xml:space="preserve">PhD </w:t>
      </w:r>
      <w:r w:rsidRPr="009E5026">
        <w:rPr>
          <w:b/>
        </w:rPr>
        <w:t xml:space="preserve"> </w:t>
      </w:r>
      <w:r w:rsidRPr="009E5026">
        <w:rPr>
          <w:u w:val="single"/>
        </w:rPr>
        <w:t>a.shoemark@dundee.ac.uk</w:t>
      </w:r>
      <w:r w:rsidRPr="009E5026">
        <w:rPr>
          <w:b/>
        </w:rPr>
        <w:t xml:space="preserve"> [1] </w:t>
      </w:r>
      <w:r w:rsidRPr="009E5026">
        <w:t>Primary Ciliary Dyskinesia Centre, Paediatric Respiratory Medicine, Royal Brompton Hospital, London UK [2] Scottish Centre for Respiratory Research, Division of Molecular and Clinical  Medicine, University of Dundee, Dundee, UK</w:t>
      </w:r>
    </w:p>
    <w:p w14:paraId="723FA4B6" w14:textId="77777777" w:rsidR="00FF5A4B" w:rsidRPr="009E5026" w:rsidRDefault="00FF5A4B" w:rsidP="00FF5A4B">
      <w:pPr>
        <w:spacing w:line="360" w:lineRule="auto"/>
      </w:pPr>
      <w:r w:rsidRPr="009E5026">
        <w:rPr>
          <w:b/>
        </w:rPr>
        <w:t xml:space="preserve">Claire L Jackson </w:t>
      </w:r>
      <w:r w:rsidRPr="00A03A4A">
        <w:rPr>
          <w:b/>
          <w:color w:val="FF0000"/>
        </w:rPr>
        <w:t>PhD</w:t>
      </w:r>
      <w:r w:rsidRPr="009E5026">
        <w:rPr>
          <w:b/>
        </w:rPr>
        <w:t xml:space="preserve"> </w:t>
      </w:r>
      <w:r w:rsidRPr="009E5026">
        <w:t xml:space="preserve"> </w:t>
      </w:r>
      <w:r w:rsidRPr="009E5026">
        <w:rPr>
          <w:u w:val="single"/>
        </w:rPr>
        <w:t>clj@soton.ac.uk</w:t>
      </w:r>
      <w:r w:rsidRPr="009E5026">
        <w:t xml:space="preserve"> [1] Primary Ciliary Dyskinesia Centre, NIHR Biomedical Research Centre, University Hospital Southampton NHS Foundation Trust, Southampton, UK [2]University of Southampton Faculty of Medicine, Academic Unit of Clinical and Experimental Medicine, Southampton, UK</w:t>
      </w:r>
    </w:p>
    <w:p w14:paraId="0E9ED621" w14:textId="77777777" w:rsidR="00FF5A4B" w:rsidRPr="009E5026" w:rsidRDefault="00FF5A4B" w:rsidP="00FF5A4B">
      <w:pPr>
        <w:spacing w:line="360" w:lineRule="auto"/>
      </w:pPr>
      <w:r w:rsidRPr="009E5026">
        <w:rPr>
          <w:b/>
        </w:rPr>
        <w:t>Robert A Hirst</w:t>
      </w:r>
      <w:r w:rsidRPr="009E5026">
        <w:t xml:space="preserve"> </w:t>
      </w:r>
      <w:r w:rsidRPr="00A03A4A">
        <w:rPr>
          <w:b/>
          <w:color w:val="FF0000"/>
        </w:rPr>
        <w:t>PhD</w:t>
      </w:r>
      <w:r w:rsidRPr="009E5026">
        <w:t xml:space="preserve">  rah9@leicester.ac.uk  Centre for PCD Diagnosis and Research, Department of Infection, Immunity and Inflammation, University of Leicester, Robert Kilpatrick Clinical Sciences Building, Leicester Royal Infirmary, Leicester, UK</w:t>
      </w:r>
    </w:p>
    <w:p w14:paraId="7E896BB4" w14:textId="77777777" w:rsidR="00FF5A4B" w:rsidRPr="009E5026" w:rsidRDefault="00FF5A4B" w:rsidP="00FF5A4B">
      <w:pPr>
        <w:spacing w:line="360" w:lineRule="auto"/>
      </w:pPr>
      <w:r w:rsidRPr="009E5026">
        <w:rPr>
          <w:b/>
        </w:rPr>
        <w:t>James Thompson</w:t>
      </w:r>
      <w:r w:rsidRPr="009E5026">
        <w:t xml:space="preserve"> </w:t>
      </w:r>
      <w:r w:rsidRPr="009E5026">
        <w:rPr>
          <w:u w:val="single"/>
        </w:rPr>
        <w:t>jt3v12@soton.ac.uk</w:t>
      </w:r>
      <w:r w:rsidRPr="009E5026">
        <w:t xml:space="preserve">  [1] Primary Ciliary Dyskinesia Centre, NIHR Biomedical Research Centre, University Hospital Southampton NHS Foundation Trust, Southampton, UK [2]University of Southampton Faculty of Medicine, Academic Unit of Clinical and Experimental Medicine, Southampton, UK</w:t>
      </w:r>
    </w:p>
    <w:p w14:paraId="78F5CFAC" w14:textId="77777777" w:rsidR="00FF5A4B" w:rsidRPr="009E5026" w:rsidRDefault="00FF5A4B" w:rsidP="00FF5A4B">
      <w:pPr>
        <w:spacing w:line="360" w:lineRule="auto"/>
      </w:pPr>
      <w:r w:rsidRPr="009E5026">
        <w:rPr>
          <w:b/>
        </w:rPr>
        <w:t xml:space="preserve">Joseph Hayes </w:t>
      </w:r>
      <w:r w:rsidRPr="00A03A4A">
        <w:rPr>
          <w:b/>
          <w:color w:val="FF0000"/>
        </w:rPr>
        <w:t>BSc</w:t>
      </w:r>
      <w:r w:rsidRPr="009E5026">
        <w:t xml:space="preserve"> </w:t>
      </w:r>
      <w:r w:rsidRPr="009E5026">
        <w:rPr>
          <w:u w:val="single"/>
        </w:rPr>
        <w:t>joh9@le.ac.uk</w:t>
      </w:r>
      <w:r w:rsidRPr="009E5026">
        <w:t xml:space="preserve">   Centre for PCD Diagnosis and Research, Department of Infection, Immunity and Inflammation, University of Leicester, Robert Kilpatrick Clinical Sciences Building, Leicester Royal Infirmary, Leicester, UK</w:t>
      </w:r>
    </w:p>
    <w:p w14:paraId="092D0049" w14:textId="77777777" w:rsidR="00FF5A4B" w:rsidRPr="009E5026" w:rsidRDefault="00FF5A4B" w:rsidP="00FF5A4B">
      <w:pPr>
        <w:spacing w:line="360" w:lineRule="auto"/>
      </w:pPr>
      <w:r w:rsidRPr="009E5026">
        <w:rPr>
          <w:b/>
        </w:rPr>
        <w:lastRenderedPageBreak/>
        <w:t xml:space="preserve">Emily Frost </w:t>
      </w:r>
      <w:r w:rsidRPr="00A03A4A">
        <w:rPr>
          <w:b/>
          <w:color w:val="FF0000"/>
        </w:rPr>
        <w:t>MSc</w:t>
      </w:r>
      <w:r w:rsidRPr="009E5026">
        <w:rPr>
          <w:b/>
        </w:rPr>
        <w:t xml:space="preserve"> </w:t>
      </w:r>
      <w:r w:rsidRPr="009E5026">
        <w:rPr>
          <w:u w:val="single"/>
        </w:rPr>
        <w:t>emilyhowieson23@gmail.com</w:t>
      </w:r>
      <w:r w:rsidRPr="009E5026">
        <w:t xml:space="preserve"> Primary Ciliary Dyskinesia Centre, Departments of Paediatrics and Paediatric Respiratory Medicine, Imperial College and Royal Brompton Hospital, London UK</w:t>
      </w:r>
    </w:p>
    <w:p w14:paraId="1E709B4E" w14:textId="77777777" w:rsidR="00FF5A4B" w:rsidRPr="009E5026" w:rsidRDefault="00FF5A4B" w:rsidP="00FF5A4B">
      <w:pPr>
        <w:spacing w:line="360" w:lineRule="auto"/>
        <w:rPr>
          <w:b/>
        </w:rPr>
      </w:pPr>
      <w:r w:rsidRPr="009E5026">
        <w:rPr>
          <w:b/>
        </w:rPr>
        <w:t>Fiona Copeland</w:t>
      </w:r>
      <w:r w:rsidRPr="009E5026">
        <w:t xml:space="preserve"> </w:t>
      </w:r>
      <w:r w:rsidRPr="009E5026">
        <w:rPr>
          <w:u w:val="single"/>
        </w:rPr>
        <w:t>chair@pcdsupport.org.uk</w:t>
      </w:r>
      <w:r w:rsidRPr="009E5026">
        <w:t xml:space="preserve"> PCD Family Support Group, Milton Keynes, UK</w:t>
      </w:r>
    </w:p>
    <w:p w14:paraId="6102CE4F" w14:textId="77777777" w:rsidR="00FF5A4B" w:rsidRPr="009E5026" w:rsidRDefault="00FF5A4B" w:rsidP="00FF5A4B">
      <w:pPr>
        <w:spacing w:line="360" w:lineRule="auto"/>
      </w:pPr>
      <w:r w:rsidRPr="009E5026">
        <w:rPr>
          <w:b/>
        </w:rPr>
        <w:t xml:space="preserve">Claire Hogg </w:t>
      </w:r>
      <w:r w:rsidRPr="00A03A4A">
        <w:rPr>
          <w:b/>
          <w:color w:val="FF0000"/>
        </w:rPr>
        <w:t>MBChB</w:t>
      </w:r>
      <w:r w:rsidRPr="009E5026">
        <w:t xml:space="preserve"> </w:t>
      </w:r>
      <w:r w:rsidRPr="009E5026">
        <w:rPr>
          <w:u w:val="single"/>
        </w:rPr>
        <w:t>C.Hogg@rbht.nhs.uk</w:t>
      </w:r>
      <w:r w:rsidRPr="009E5026">
        <w:t xml:space="preserve"> Primary Ciliary Dyskinesia Centre, Departments of Paediatrics and Paediatric Respiratory Medicine, Imperial College and Royal Brompton Hospital, London UK</w:t>
      </w:r>
    </w:p>
    <w:p w14:paraId="43B197C6" w14:textId="77777777" w:rsidR="00FF5A4B" w:rsidRPr="009E5026" w:rsidRDefault="00FF5A4B" w:rsidP="00FF5A4B">
      <w:pPr>
        <w:spacing w:line="360" w:lineRule="auto"/>
      </w:pPr>
      <w:r w:rsidRPr="009E5026">
        <w:rPr>
          <w:b/>
        </w:rPr>
        <w:t xml:space="preserve">Christopher O’Callaghan MD </w:t>
      </w:r>
      <w:r w:rsidRPr="00A03A4A">
        <w:rPr>
          <w:b/>
          <w:color w:val="FF0000"/>
        </w:rPr>
        <w:t>PhD</w:t>
      </w:r>
      <w:r w:rsidRPr="009E5026">
        <w:rPr>
          <w:b/>
        </w:rPr>
        <w:t xml:space="preserve"> </w:t>
      </w:r>
      <w:r w:rsidRPr="009E5026">
        <w:rPr>
          <w:u w:val="single"/>
        </w:rPr>
        <w:t>c.ocallaghan@ucl.ac.uk</w:t>
      </w:r>
      <w:r w:rsidRPr="009E5026">
        <w:t xml:space="preserve"> [1] Centre for PCD Diagnosis and Research, Department of Infection, Immunity and Inflammation, University of Leicester, Robert Kilpatrick Clinical Sciences Building, Leicester Royal Infirmary, Leicester, UK [2] Infection, Immunity, Inflammation and Physiological Medicine, Institute of Child Health, University College London WC1N 1EH, UK</w:t>
      </w:r>
    </w:p>
    <w:p w14:paraId="0F185010" w14:textId="77777777" w:rsidR="00FF5A4B" w:rsidRPr="009E5026" w:rsidRDefault="00FF5A4B" w:rsidP="00FF5A4B">
      <w:pPr>
        <w:spacing w:line="360" w:lineRule="auto"/>
      </w:pPr>
      <w:r w:rsidRPr="009E5026">
        <w:rPr>
          <w:b/>
          <w:bCs/>
        </w:rPr>
        <w:t xml:space="preserve">Isabel Reading </w:t>
      </w:r>
      <w:r w:rsidRPr="00A03A4A">
        <w:rPr>
          <w:b/>
          <w:color w:val="FF0000"/>
        </w:rPr>
        <w:t>PhD</w:t>
      </w:r>
      <w:r w:rsidRPr="009E5026">
        <w:rPr>
          <w:b/>
          <w:bCs/>
        </w:rPr>
        <w:t xml:space="preserve"> </w:t>
      </w:r>
      <w:r w:rsidRPr="009E5026">
        <w:rPr>
          <w:u w:val="single"/>
        </w:rPr>
        <w:t>I.C.Reading@soton.ac.uk</w:t>
      </w:r>
      <w:r w:rsidRPr="009E5026">
        <w:t xml:space="preserve"> National Institute of Health Research Design Service South Central, University Hospital Southampton NHS Foundation Trust, Southampton, UK</w:t>
      </w:r>
    </w:p>
    <w:p w14:paraId="32C43414" w14:textId="77777777" w:rsidR="00FF5A4B" w:rsidRPr="009E5026" w:rsidRDefault="00FF5A4B" w:rsidP="00FF5A4B">
      <w:pPr>
        <w:spacing w:line="360" w:lineRule="auto"/>
      </w:pPr>
      <w:r w:rsidRPr="009E5026">
        <w:rPr>
          <w:b/>
        </w:rPr>
        <w:t xml:space="preserve">Jane S Lucas </w:t>
      </w:r>
      <w:r w:rsidRPr="00A03A4A">
        <w:rPr>
          <w:b/>
          <w:color w:val="FF0000"/>
        </w:rPr>
        <w:t xml:space="preserve">MD PhD </w:t>
      </w:r>
      <w:r w:rsidRPr="009E5026">
        <w:rPr>
          <w:u w:val="single"/>
        </w:rPr>
        <w:t>jlucas1@soton.ac.uk</w:t>
      </w:r>
      <w:r w:rsidRPr="009E5026">
        <w:t xml:space="preserve">  [1] Primary Ciliary Dyskinesia Centre, NIHR Biomedical Research Centre, University Hospital Southampton NHS Foundation Trust, Southampton, UK [2]University of Southampton Faculty of Medicine, Academic Unit of Clinical and Experimental Medicine, Southampton, UK</w:t>
      </w:r>
    </w:p>
    <w:p w14:paraId="03F3AAC0" w14:textId="77777777" w:rsidR="00FF5A4B" w:rsidRPr="009E5026" w:rsidRDefault="00FF5A4B" w:rsidP="00FF4537">
      <w:pPr>
        <w:spacing w:line="480" w:lineRule="auto"/>
        <w:rPr>
          <w:b/>
        </w:rPr>
      </w:pPr>
    </w:p>
    <w:p w14:paraId="4AC88D5E" w14:textId="606F9C7B" w:rsidR="00B75B85" w:rsidRPr="009E5026" w:rsidRDefault="00B75B85" w:rsidP="00FF4537">
      <w:pPr>
        <w:spacing w:line="480" w:lineRule="auto"/>
      </w:pPr>
      <w:r w:rsidRPr="009E5026">
        <w:rPr>
          <w:b/>
        </w:rPr>
        <w:t xml:space="preserve">Correspondence: </w:t>
      </w:r>
      <w:r w:rsidRPr="009E5026">
        <w:t xml:space="preserve">Jane Lucas, Southampton University Hospital, Mailpoint 803 F level, Tremona Road, Southampton, SO16 6YD, UK. E-mail: </w:t>
      </w:r>
      <w:r w:rsidRPr="009E5026">
        <w:rPr>
          <w:rStyle w:val="Hyperlink"/>
        </w:rPr>
        <w:t>jlucas1@soton.ac.uk</w:t>
      </w:r>
      <w:r w:rsidRPr="009E5026">
        <w:t xml:space="preserve"> </w:t>
      </w:r>
    </w:p>
    <w:p w14:paraId="0AE43A69" w14:textId="77777777" w:rsidR="00B75B85" w:rsidRPr="009E5026" w:rsidRDefault="00B75B85" w:rsidP="00FF4537">
      <w:pPr>
        <w:spacing w:line="480" w:lineRule="auto"/>
        <w:rPr>
          <w:b/>
        </w:rPr>
      </w:pPr>
    </w:p>
    <w:p w14:paraId="78DA52D0" w14:textId="77777777" w:rsidR="00C822B7" w:rsidRPr="009E5026" w:rsidRDefault="00B515C3" w:rsidP="00FF4537">
      <w:pPr>
        <w:spacing w:line="480" w:lineRule="auto"/>
        <w:rPr>
          <w:b/>
        </w:rPr>
      </w:pPr>
      <w:r w:rsidRPr="009E5026">
        <w:rPr>
          <w:b/>
        </w:rPr>
        <w:t xml:space="preserve">Funding: </w:t>
      </w:r>
    </w:p>
    <w:p w14:paraId="6AA7E14F" w14:textId="77777777" w:rsidR="007F699A" w:rsidRPr="009E5026" w:rsidRDefault="00101342" w:rsidP="00FF4537">
      <w:pPr>
        <w:spacing w:line="480" w:lineRule="auto"/>
      </w:pPr>
      <w:r w:rsidRPr="009E5026">
        <w:t>This report is independent research funded by the National Institute for Health Research</w:t>
      </w:r>
      <w:r w:rsidR="00C555C6" w:rsidRPr="009E5026">
        <w:t xml:space="preserve"> (NIHR) under its </w:t>
      </w:r>
      <w:r w:rsidRPr="009E5026">
        <w:t>Research for Patient Benefit</w:t>
      </w:r>
      <w:r w:rsidR="00C555C6" w:rsidRPr="009E5026">
        <w:t xml:space="preserve"> RfPB)</w:t>
      </w:r>
      <w:r w:rsidRPr="009E5026">
        <w:t xml:space="preserve"> Programme </w:t>
      </w:r>
      <w:r w:rsidR="00C555C6" w:rsidRPr="009E5026">
        <w:t>(Grant Reference Number</w:t>
      </w:r>
      <w:r w:rsidRPr="009E5026">
        <w:t xml:space="preserve"> PB-PG-1215-20014). The views expressed are those of the authors and not necessarily those of the </w:t>
      </w:r>
      <w:r w:rsidR="00C555C6" w:rsidRPr="009E5026">
        <w:t>National Health Service (</w:t>
      </w:r>
      <w:r w:rsidRPr="009E5026">
        <w:t>NHS</w:t>
      </w:r>
      <w:r w:rsidR="00C555C6" w:rsidRPr="009E5026">
        <w:t>)</w:t>
      </w:r>
      <w:r w:rsidRPr="009E5026">
        <w:t xml:space="preserve">, the </w:t>
      </w:r>
      <w:r w:rsidR="00C555C6" w:rsidRPr="009E5026">
        <w:t>NIHR</w:t>
      </w:r>
      <w:r w:rsidRPr="009E5026">
        <w:t xml:space="preserve"> or the Department of Health. The PCD Diagnostic Centres in Southampton, Leicester and London are funded by NHS England.</w:t>
      </w:r>
      <w:r w:rsidR="006A12BA" w:rsidRPr="009E5026">
        <w:t xml:space="preserve"> </w:t>
      </w:r>
    </w:p>
    <w:p w14:paraId="457B8C42" w14:textId="77777777" w:rsidR="007F699A" w:rsidRPr="009E5026" w:rsidRDefault="007F699A" w:rsidP="00FF4537">
      <w:pPr>
        <w:spacing w:line="480" w:lineRule="auto"/>
        <w:rPr>
          <w:b/>
        </w:rPr>
      </w:pPr>
      <w:r w:rsidRPr="009E5026">
        <w:rPr>
          <w:b/>
        </w:rPr>
        <w:lastRenderedPageBreak/>
        <w:t>Data Sharing Statement</w:t>
      </w:r>
    </w:p>
    <w:p w14:paraId="2FC0A3C8" w14:textId="77777777" w:rsidR="007F699A" w:rsidRPr="009E5026" w:rsidRDefault="007F699A" w:rsidP="00FF4537">
      <w:pPr>
        <w:spacing w:line="480" w:lineRule="auto"/>
        <w:rPr>
          <w:lang w:val="en"/>
        </w:rPr>
      </w:pPr>
      <w:r w:rsidRPr="009E5026">
        <w:rPr>
          <w:lang w:val="en"/>
        </w:rPr>
        <w:t xml:space="preserve">We shall make study data available to the scientific community with as few restrictions as feasible, while retaining exclusive use until the publication of major outputs. Anonymized study data will be available from the corresponding author. Ethical approvals for the use of the video archive currently restrict access to the UK PCD Centres;  </w:t>
      </w:r>
      <w:r w:rsidR="00A55EE1" w:rsidRPr="009E5026">
        <w:rPr>
          <w:lang w:val="en"/>
        </w:rPr>
        <w:t>JSL, CO’C and CH are</w:t>
      </w:r>
      <w:r w:rsidRPr="009E5026">
        <w:rPr>
          <w:lang w:val="en"/>
        </w:rPr>
        <w:t xml:space="preserve"> custodians of this clinical data.</w:t>
      </w:r>
    </w:p>
    <w:p w14:paraId="01732D0B" w14:textId="77777777" w:rsidR="002B3B0B" w:rsidRPr="009E5026" w:rsidRDefault="002B3B0B" w:rsidP="002B3B0B">
      <w:pPr>
        <w:spacing w:line="480" w:lineRule="auto"/>
        <w:rPr>
          <w:b/>
          <w:lang w:val="en"/>
        </w:rPr>
      </w:pPr>
      <w:r w:rsidRPr="009E5026">
        <w:rPr>
          <w:b/>
          <w:lang w:val="en"/>
        </w:rPr>
        <w:t>Conflict of interest declaration</w:t>
      </w:r>
    </w:p>
    <w:p w14:paraId="3A93B445" w14:textId="77777777" w:rsidR="002B3B0B" w:rsidRPr="009E5026" w:rsidRDefault="002B3B0B" w:rsidP="002B3B0B">
      <w:pPr>
        <w:spacing w:line="480" w:lineRule="auto"/>
      </w:pPr>
      <w:r w:rsidRPr="009E5026">
        <w:rPr>
          <w:lang w:val="en"/>
        </w:rPr>
        <w:t>JSL</w:t>
      </w:r>
      <w:r w:rsidRPr="009E5026">
        <w:t xml:space="preserve"> reports grants, personal fees and non-financial support from Aerocrine/ Circassia, grants and personal fees from Vertex, grants from Parion, outside the submitted work. All other authors have declared no competing interest.</w:t>
      </w:r>
    </w:p>
    <w:p w14:paraId="32F80B0A" w14:textId="77777777" w:rsidR="002B3B0B" w:rsidRPr="009E5026" w:rsidRDefault="002B3B0B" w:rsidP="00FF4537">
      <w:pPr>
        <w:spacing w:line="480" w:lineRule="auto"/>
      </w:pPr>
    </w:p>
    <w:p w14:paraId="2820A26E" w14:textId="0C1E5DED" w:rsidR="00101342" w:rsidRPr="009E5026" w:rsidRDefault="00422FCF" w:rsidP="00FF4537">
      <w:pPr>
        <w:spacing w:line="480" w:lineRule="auto"/>
      </w:pPr>
      <w:r w:rsidRPr="009E5026">
        <w:rPr>
          <w:b/>
        </w:rPr>
        <w:t>Short running head:</w:t>
      </w:r>
      <w:r w:rsidR="00A77E96" w:rsidRPr="009E5026">
        <w:t xml:space="preserve"> Accuracy of High-s</w:t>
      </w:r>
      <w:r w:rsidRPr="009E5026">
        <w:t>peed Video in PCD</w:t>
      </w:r>
      <w:r w:rsidR="00446F76" w:rsidRPr="009E5026">
        <w:t xml:space="preserve"> (current 35, max 50)</w:t>
      </w:r>
    </w:p>
    <w:p w14:paraId="46A4DD67" w14:textId="4BEF03BB" w:rsidR="00BE02BE" w:rsidRPr="009E5026" w:rsidRDefault="00422FCF" w:rsidP="00FF4537">
      <w:pPr>
        <w:spacing w:line="480" w:lineRule="auto"/>
        <w:rPr>
          <w:b/>
          <w:lang w:val="en"/>
        </w:rPr>
      </w:pPr>
      <w:r w:rsidRPr="009E5026">
        <w:rPr>
          <w:b/>
          <w:lang w:val="en"/>
        </w:rPr>
        <w:t xml:space="preserve">Word Count : </w:t>
      </w:r>
      <w:r w:rsidR="00AB2EAB" w:rsidRPr="009E5026">
        <w:rPr>
          <w:b/>
        </w:rPr>
        <w:t>3682</w:t>
      </w:r>
    </w:p>
    <w:p w14:paraId="35C3BE21" w14:textId="06D7D45F" w:rsidR="00AC5432" w:rsidRPr="009E5026" w:rsidRDefault="00AC5432" w:rsidP="00AC5432">
      <w:pPr>
        <w:spacing w:line="480" w:lineRule="auto"/>
        <w:rPr>
          <w:lang w:val="en"/>
        </w:rPr>
      </w:pPr>
      <w:r w:rsidRPr="009E5026">
        <w:rPr>
          <w:lang w:val="en"/>
        </w:rPr>
        <w:t xml:space="preserve">This article has </w:t>
      </w:r>
      <w:r w:rsidR="00610681" w:rsidRPr="009E5026">
        <w:rPr>
          <w:rStyle w:val="Hyperlink"/>
          <w:lang w:val="en"/>
        </w:rPr>
        <w:t>supplementary</w:t>
      </w:r>
      <w:r w:rsidR="00704430" w:rsidRPr="009E5026">
        <w:rPr>
          <w:lang w:val="en"/>
        </w:rPr>
        <w:t xml:space="preserve"> material available</w:t>
      </w:r>
      <w:r w:rsidRPr="009E5026">
        <w:rPr>
          <w:lang w:val="en"/>
        </w:rPr>
        <w:t xml:space="preserve">. </w:t>
      </w:r>
    </w:p>
    <w:p w14:paraId="2231E8FD" w14:textId="73199E93" w:rsidR="00AC5432" w:rsidRPr="009E5026" w:rsidRDefault="00AC5432" w:rsidP="00FF4537">
      <w:pPr>
        <w:spacing w:line="480" w:lineRule="auto"/>
        <w:rPr>
          <w:rFonts w:asciiTheme="majorHAnsi" w:eastAsiaTheme="majorEastAsia" w:hAnsiTheme="majorHAnsi" w:cstheme="majorBidi"/>
          <w:color w:val="2E74B5" w:themeColor="accent1" w:themeShade="BF"/>
          <w:sz w:val="32"/>
          <w:szCs w:val="32"/>
        </w:rPr>
        <w:sectPr w:rsidR="00AC5432" w:rsidRPr="009E5026">
          <w:pgSz w:w="11906" w:h="16838"/>
          <w:pgMar w:top="1440" w:right="1440" w:bottom="1440" w:left="1440" w:header="708" w:footer="708" w:gutter="0"/>
          <w:cols w:space="708"/>
          <w:docGrid w:linePitch="360"/>
        </w:sectPr>
      </w:pPr>
    </w:p>
    <w:p w14:paraId="3DCE9A0D" w14:textId="77777777" w:rsidR="00014674" w:rsidRPr="009E5026" w:rsidRDefault="00014674" w:rsidP="00FF4537">
      <w:pPr>
        <w:pStyle w:val="Heading1"/>
        <w:spacing w:line="480" w:lineRule="auto"/>
        <w:rPr>
          <w:color w:val="2E74B5" w:themeColor="accent1" w:themeShade="BF"/>
          <w:lang w:val="en"/>
        </w:rPr>
      </w:pPr>
      <w:r w:rsidRPr="009E5026">
        <w:rPr>
          <w:color w:val="2E74B5" w:themeColor="accent1" w:themeShade="BF"/>
          <w:lang w:val="en"/>
        </w:rPr>
        <w:lastRenderedPageBreak/>
        <w:t>Abstract</w:t>
      </w:r>
      <w:r w:rsidR="00BE02BE" w:rsidRPr="009E5026">
        <w:rPr>
          <w:color w:val="2E74B5" w:themeColor="accent1" w:themeShade="BF"/>
          <w:lang w:val="en"/>
        </w:rPr>
        <w:t xml:space="preserve"> </w:t>
      </w:r>
    </w:p>
    <w:p w14:paraId="14D92153" w14:textId="3F58AE06" w:rsidR="00014674" w:rsidRPr="009E5026" w:rsidRDefault="00441A60" w:rsidP="008F260E">
      <w:pPr>
        <w:spacing w:line="480" w:lineRule="auto"/>
      </w:pPr>
      <w:r w:rsidRPr="009E5026">
        <w:t xml:space="preserve">Background: </w:t>
      </w:r>
      <w:r w:rsidR="00014674" w:rsidRPr="009E5026">
        <w:t>Diagnosis of primary ciliary dyskinesia (PCD) relies on a combination of tests. High-speed video microscopy analysis (</w:t>
      </w:r>
      <w:r w:rsidR="00096B45" w:rsidRPr="009E5026">
        <w:t>HSVA</w:t>
      </w:r>
      <w:r w:rsidR="00014674" w:rsidRPr="009E5026">
        <w:t xml:space="preserve">) </w:t>
      </w:r>
      <w:r w:rsidR="00CA6B04" w:rsidRPr="009E5026">
        <w:t xml:space="preserve">is widely used to contribute to the diagnosis. It </w:t>
      </w:r>
      <w:r w:rsidR="00024EB7" w:rsidRPr="009E5026">
        <w:t>can be analy</w:t>
      </w:r>
      <w:r w:rsidR="00276334" w:rsidRPr="009E5026">
        <w:t>s</w:t>
      </w:r>
      <w:r w:rsidR="00024EB7" w:rsidRPr="009E5026">
        <w:t>ed</w:t>
      </w:r>
      <w:r w:rsidR="00E92BAF" w:rsidRPr="009E5026">
        <w:t xml:space="preserve"> </w:t>
      </w:r>
      <w:r w:rsidR="00633EC0" w:rsidRPr="009E5026">
        <w:t>on</w:t>
      </w:r>
      <w:r w:rsidR="00E92BAF" w:rsidRPr="009E5026">
        <w:t xml:space="preserve"> </w:t>
      </w:r>
      <w:r w:rsidR="00633EC0" w:rsidRPr="009E5026">
        <w:t xml:space="preserve">the day of </w:t>
      </w:r>
      <w:r w:rsidR="00024EB7" w:rsidRPr="009E5026">
        <w:t xml:space="preserve">diagnostic consultation, </w:t>
      </w:r>
      <w:r w:rsidR="00014674" w:rsidRPr="009E5026">
        <w:t xml:space="preserve">but the qualitative analyses are subjective. Diagnostic accuracy and reliability </w:t>
      </w:r>
      <w:r w:rsidR="00430DC2" w:rsidRPr="009E5026">
        <w:t>o</w:t>
      </w:r>
      <w:r w:rsidR="00024EB7" w:rsidRPr="009E5026">
        <w:t>f assessing ciliary function</w:t>
      </w:r>
      <w:r w:rsidR="00430DC2" w:rsidRPr="009E5026">
        <w:t xml:space="preserve"> </w:t>
      </w:r>
      <w:r w:rsidR="00014674" w:rsidRPr="009E5026">
        <w:t>have not been robustly evaluated.</w:t>
      </w:r>
      <w:r w:rsidR="008F260E" w:rsidRPr="009E5026">
        <w:rPr>
          <w:b/>
        </w:rPr>
        <w:t xml:space="preserve"> </w:t>
      </w:r>
      <w:r w:rsidR="008F260E" w:rsidRPr="009E5026">
        <w:t xml:space="preserve">We aimed to </w:t>
      </w:r>
      <w:r w:rsidR="005C171D" w:rsidRPr="009E5026">
        <w:t>e</w:t>
      </w:r>
      <w:r w:rsidR="00014674" w:rsidRPr="009E5026">
        <w:t>stablish the accuracy of HSV</w:t>
      </w:r>
      <w:r w:rsidR="0088354C" w:rsidRPr="009E5026">
        <w:t>A</w:t>
      </w:r>
      <w:r w:rsidR="00DA3C39" w:rsidRPr="009E5026">
        <w:t xml:space="preserve"> to diagnose PCD</w:t>
      </w:r>
      <w:r w:rsidR="00014674" w:rsidRPr="009E5026">
        <w:t xml:space="preserve"> </w:t>
      </w:r>
      <w:r w:rsidR="005C171D" w:rsidRPr="009E5026">
        <w:t>compared</w:t>
      </w:r>
      <w:r w:rsidR="00014674" w:rsidRPr="009E5026">
        <w:t xml:space="preserve"> to combination of tests</w:t>
      </w:r>
      <w:r w:rsidR="005C171D" w:rsidRPr="009E5026">
        <w:t>,</w:t>
      </w:r>
      <w:r w:rsidR="008F260E" w:rsidRPr="009E5026">
        <w:t xml:space="preserve"> and </w:t>
      </w:r>
      <w:r w:rsidR="0097431B" w:rsidRPr="009E5026">
        <w:t>assess the inter-</w:t>
      </w:r>
      <w:r w:rsidR="00276334" w:rsidRPr="009E5026">
        <w:t xml:space="preserve">observer </w:t>
      </w:r>
      <w:r w:rsidR="00014674" w:rsidRPr="009E5026">
        <w:t>reliability of</w:t>
      </w:r>
      <w:r w:rsidR="0088354C" w:rsidRPr="009E5026">
        <w:t xml:space="preserve"> </w:t>
      </w:r>
      <w:r w:rsidR="00096B45" w:rsidRPr="009E5026">
        <w:t>HSVA</w:t>
      </w:r>
      <w:r w:rsidR="007C6D76" w:rsidRPr="009E5026">
        <w:t xml:space="preserve"> analysis</w:t>
      </w:r>
      <w:r w:rsidR="00014674" w:rsidRPr="009E5026">
        <w:t>.</w:t>
      </w:r>
    </w:p>
    <w:p w14:paraId="68E03BFA" w14:textId="4818FD83" w:rsidR="00014674" w:rsidRPr="009E5026" w:rsidRDefault="00441A60" w:rsidP="00FF4537">
      <w:pPr>
        <w:spacing w:line="480" w:lineRule="auto"/>
      </w:pPr>
      <w:r w:rsidRPr="009E5026">
        <w:t xml:space="preserve">Methods: </w:t>
      </w:r>
      <w:r w:rsidR="005C171D" w:rsidRPr="009E5026">
        <w:t>W</w:t>
      </w:r>
      <w:r w:rsidR="00024EB7" w:rsidRPr="009E5026">
        <w:t xml:space="preserve">e </w:t>
      </w:r>
      <w:r w:rsidR="00014674" w:rsidRPr="009E5026">
        <w:t>randomly selected and anonymi</w:t>
      </w:r>
      <w:r w:rsidR="00276334" w:rsidRPr="009E5026">
        <w:t>s</w:t>
      </w:r>
      <w:r w:rsidR="00014674" w:rsidRPr="009E5026">
        <w:t>ed archived videos from 120 patients</w:t>
      </w:r>
      <w:r w:rsidR="005C171D" w:rsidRPr="009E5026">
        <w:t xml:space="preserve"> seen at three UK PCD centres</w:t>
      </w:r>
      <w:r w:rsidR="00014674" w:rsidRPr="009E5026">
        <w:t xml:space="preserve">. Three </w:t>
      </w:r>
      <w:r w:rsidR="005C171D" w:rsidRPr="009E5026">
        <w:t xml:space="preserve">experienced </w:t>
      </w:r>
      <w:r w:rsidR="00014674" w:rsidRPr="009E5026">
        <w:t xml:space="preserve">scientists independently reviewed </w:t>
      </w:r>
      <w:r w:rsidR="0088354C" w:rsidRPr="009E5026">
        <w:t>six</w:t>
      </w:r>
      <w:r w:rsidR="00014674" w:rsidRPr="009E5026">
        <w:t xml:space="preserve"> videos </w:t>
      </w:r>
      <w:r w:rsidR="005C171D" w:rsidRPr="009E5026">
        <w:t>per</w:t>
      </w:r>
      <w:r w:rsidR="00014674" w:rsidRPr="009E5026">
        <w:t xml:space="preserve"> patient</w:t>
      </w:r>
      <w:r w:rsidR="005C171D" w:rsidRPr="009E5026">
        <w:t xml:space="preserve"> using a standardised proforma</w:t>
      </w:r>
      <w:r w:rsidR="00014674" w:rsidRPr="009E5026">
        <w:t>, blinded to diagnostic and clinical data. We compared study outcomes to two references</w:t>
      </w:r>
      <w:r w:rsidR="0088354C" w:rsidRPr="009E5026">
        <w:t>:</w:t>
      </w:r>
      <w:r w:rsidR="00014674" w:rsidRPr="009E5026">
        <w:t xml:space="preserve"> (a) combination of diagnostic tests following </w:t>
      </w:r>
      <w:r w:rsidR="003734AD" w:rsidRPr="009E5026">
        <w:t>the</w:t>
      </w:r>
      <w:r w:rsidR="00024EB7" w:rsidRPr="009E5026">
        <w:t xml:space="preserve"> </w:t>
      </w:r>
      <w:r w:rsidR="00F45E9B" w:rsidRPr="009E5026">
        <w:t xml:space="preserve">ERS PCD diagnostic </w:t>
      </w:r>
      <w:r w:rsidR="00280DFC" w:rsidRPr="009E5026">
        <w:t>g</w:t>
      </w:r>
      <w:r w:rsidR="00014674" w:rsidRPr="009E5026">
        <w:t>uidelines and (b) original clinical outcome determined by all available diagnostic tests.</w:t>
      </w:r>
    </w:p>
    <w:p w14:paraId="7D69C2F4" w14:textId="01C2628F" w:rsidR="00014674" w:rsidRPr="009E5026" w:rsidRDefault="00441A60" w:rsidP="00FF4537">
      <w:pPr>
        <w:spacing w:line="480" w:lineRule="auto"/>
      </w:pPr>
      <w:r w:rsidRPr="009E5026">
        <w:t xml:space="preserve">Results: </w:t>
      </w:r>
      <w:r w:rsidR="00096B45" w:rsidRPr="009E5026">
        <w:t>HSVA</w:t>
      </w:r>
      <w:r w:rsidR="00014674" w:rsidRPr="009E5026">
        <w:t xml:space="preserve"> had excellent sensitivity and specificity to diagnose PCD; (a) 100% &amp; 96% </w:t>
      </w:r>
      <w:r w:rsidR="00024EB7" w:rsidRPr="009E5026">
        <w:t>compared to</w:t>
      </w:r>
      <w:r w:rsidR="00276334" w:rsidRPr="009E5026">
        <w:t xml:space="preserve"> ERS </w:t>
      </w:r>
      <w:r w:rsidR="00014674" w:rsidRPr="009E5026">
        <w:t>guidelines, and (b) 9</w:t>
      </w:r>
      <w:r w:rsidR="009D3F22" w:rsidRPr="009E5026">
        <w:t>6</w:t>
      </w:r>
      <w:r w:rsidR="00014674" w:rsidRPr="009E5026">
        <w:t xml:space="preserve">% &amp; 91% </w:t>
      </w:r>
      <w:r w:rsidR="003734AD" w:rsidRPr="009E5026">
        <w:t>compared to</w:t>
      </w:r>
      <w:r w:rsidR="00014674" w:rsidRPr="009E5026">
        <w:t xml:space="preserve"> diagnostic outcome</w:t>
      </w:r>
      <w:r w:rsidR="003734AD" w:rsidRPr="009E5026">
        <w:t>s</w:t>
      </w:r>
      <w:r w:rsidR="00014674" w:rsidRPr="009E5026">
        <w:t xml:space="preserve">. There was </w:t>
      </w:r>
      <w:r w:rsidR="00422FCF" w:rsidRPr="009E5026">
        <w:t>high</w:t>
      </w:r>
      <w:r w:rsidR="00014674" w:rsidRPr="009E5026">
        <w:t xml:space="preserve"> inter-</w:t>
      </w:r>
      <w:r w:rsidR="00276334" w:rsidRPr="009E5026">
        <w:t>observer</w:t>
      </w:r>
      <w:r w:rsidR="00394B4C" w:rsidRPr="009E5026">
        <w:t xml:space="preserve"> </w:t>
      </w:r>
      <w:r w:rsidR="00014674" w:rsidRPr="009E5026">
        <w:t>agreement for ‘PCD positive’ outcomes (</w:t>
      </w:r>
      <w:r w:rsidR="00974E83" w:rsidRPr="009E5026">
        <w:rPr>
          <w:rFonts w:cstheme="minorHAnsi"/>
        </w:rPr>
        <w:t>κ</w:t>
      </w:r>
      <w:r w:rsidR="00014674" w:rsidRPr="009E5026">
        <w:t>=0.7)</w:t>
      </w:r>
      <w:r w:rsidR="0088354C" w:rsidRPr="009E5026">
        <w:t>.</w:t>
      </w:r>
      <w:r w:rsidR="00014674" w:rsidRPr="009E5026">
        <w:t xml:space="preserve"> </w:t>
      </w:r>
    </w:p>
    <w:p w14:paraId="5D690260" w14:textId="194BC4DE" w:rsidR="00C54D73" w:rsidRPr="009E5026" w:rsidRDefault="00441A60" w:rsidP="00FF4537">
      <w:pPr>
        <w:spacing w:line="480" w:lineRule="auto"/>
      </w:pPr>
      <w:r w:rsidRPr="009E5026">
        <w:t xml:space="preserve">Conclusions: </w:t>
      </w:r>
      <w:r w:rsidR="00014674" w:rsidRPr="009E5026">
        <w:t xml:space="preserve">Specialist scientists accurately diagnosed PCD using </w:t>
      </w:r>
      <w:r w:rsidR="00096B45" w:rsidRPr="009E5026">
        <w:t>HSVA</w:t>
      </w:r>
      <w:r w:rsidR="0097431B" w:rsidRPr="009E5026">
        <w:t>, with high inter-</w:t>
      </w:r>
      <w:r w:rsidR="00276334" w:rsidRPr="009E5026">
        <w:t xml:space="preserve">observer </w:t>
      </w:r>
      <w:r w:rsidR="00014674" w:rsidRPr="009E5026">
        <w:t xml:space="preserve">agreement. </w:t>
      </w:r>
      <w:r w:rsidR="00096B45" w:rsidRPr="009E5026">
        <w:t>HSVA</w:t>
      </w:r>
      <w:r w:rsidR="00014674" w:rsidRPr="009E5026">
        <w:t xml:space="preserve"> can be reliably used to counsel patients and commence treatment on the day of testing whilst awaiting confirmatory investigations</w:t>
      </w:r>
      <w:r w:rsidR="00B33530" w:rsidRPr="009E5026">
        <w:t>.</w:t>
      </w:r>
    </w:p>
    <w:p w14:paraId="236EEF80" w14:textId="520AB309" w:rsidR="0023388B" w:rsidRPr="009E5026" w:rsidRDefault="008C2E23" w:rsidP="00FF4537">
      <w:pPr>
        <w:spacing w:line="480" w:lineRule="auto"/>
        <w:rPr>
          <w:b/>
          <w:lang w:val="en"/>
        </w:rPr>
      </w:pPr>
      <w:r w:rsidRPr="009E5026">
        <w:rPr>
          <w:b/>
        </w:rPr>
        <w:t>Abstract Word Count</w:t>
      </w:r>
      <w:r w:rsidR="00893FA5" w:rsidRPr="009E5026">
        <w:t>= 213</w:t>
      </w:r>
    </w:p>
    <w:p w14:paraId="208D00E8" w14:textId="38BC1B45" w:rsidR="00EB5E1E" w:rsidRPr="009E5026" w:rsidRDefault="00EB5E1E" w:rsidP="00FF4537">
      <w:pPr>
        <w:spacing w:line="480" w:lineRule="auto"/>
        <w:rPr>
          <w:b/>
        </w:rPr>
      </w:pPr>
      <w:r w:rsidRPr="009E5026">
        <w:rPr>
          <w:b/>
          <w:lang w:val="en"/>
        </w:rPr>
        <w:t xml:space="preserve">Keywords: </w:t>
      </w:r>
      <w:r w:rsidRPr="009E5026">
        <w:rPr>
          <w:lang w:val="en"/>
        </w:rPr>
        <w:t>primary ciliary dyskinesia;</w:t>
      </w:r>
      <w:r w:rsidR="00974E83" w:rsidRPr="009E5026">
        <w:rPr>
          <w:lang w:val="en"/>
        </w:rPr>
        <w:t xml:space="preserve"> </w:t>
      </w:r>
      <w:r w:rsidR="00974E83" w:rsidRPr="009E5026">
        <w:t>sensitivity and specificity</w:t>
      </w:r>
      <w:r w:rsidRPr="009E5026">
        <w:rPr>
          <w:lang w:val="en"/>
        </w:rPr>
        <w:t>; diagnostic tests; accuracy; microscopy</w:t>
      </w:r>
    </w:p>
    <w:p w14:paraId="305025FF" w14:textId="77777777" w:rsidR="00441A60" w:rsidRPr="009E5026" w:rsidRDefault="00441A60">
      <w:pPr>
        <w:rPr>
          <w:rFonts w:asciiTheme="majorHAnsi" w:eastAsiaTheme="majorEastAsia" w:hAnsiTheme="majorHAnsi" w:cstheme="majorBidi"/>
          <w:color w:val="2E74B5" w:themeColor="accent1" w:themeShade="BF"/>
          <w:sz w:val="32"/>
          <w:szCs w:val="32"/>
          <w:lang w:val="en"/>
        </w:rPr>
      </w:pPr>
      <w:r w:rsidRPr="009E5026">
        <w:rPr>
          <w:color w:val="2E74B5" w:themeColor="accent1" w:themeShade="BF"/>
          <w:lang w:val="en"/>
        </w:rPr>
        <w:br w:type="page"/>
      </w:r>
    </w:p>
    <w:p w14:paraId="36D56A05" w14:textId="3BD688F0" w:rsidR="00333C25" w:rsidRPr="009E5026" w:rsidRDefault="00333C25" w:rsidP="00C25461">
      <w:pPr>
        <w:pStyle w:val="Heading1"/>
        <w:rPr>
          <w:color w:val="2E74B5" w:themeColor="accent1" w:themeShade="BF"/>
          <w:lang w:val="en"/>
        </w:rPr>
      </w:pPr>
      <w:r w:rsidRPr="009E5026">
        <w:rPr>
          <w:color w:val="2E74B5" w:themeColor="accent1" w:themeShade="BF"/>
          <w:lang w:val="en"/>
        </w:rPr>
        <w:lastRenderedPageBreak/>
        <w:t>Introduction</w:t>
      </w:r>
    </w:p>
    <w:p w14:paraId="345114B0" w14:textId="3678410E" w:rsidR="00C717C4" w:rsidRPr="009E5026" w:rsidRDefault="00333C25" w:rsidP="00FF4537">
      <w:pPr>
        <w:spacing w:line="480" w:lineRule="auto"/>
      </w:pPr>
      <w:r w:rsidRPr="009E5026">
        <w:t xml:space="preserve">Primary ciliary dyskinesia (PCD) is a </w:t>
      </w:r>
      <w:r w:rsidR="00235D46" w:rsidRPr="009E5026">
        <w:t>rare (≈1:10-20,000),</w:t>
      </w:r>
      <w:r w:rsidRPr="009E5026">
        <w:t xml:space="preserve"> heterogeneous disease, </w:t>
      </w:r>
      <w:r w:rsidR="003D40E8" w:rsidRPr="009E5026">
        <w:t xml:space="preserve">usually </w:t>
      </w:r>
      <w:r w:rsidRPr="009E5026">
        <w:t>inherited as a</w:t>
      </w:r>
      <w:r w:rsidR="00917EA0" w:rsidRPr="009E5026">
        <w:t>n autosomal recessive condition</w:t>
      </w:r>
      <w:r w:rsidR="00884D60" w:rsidRPr="009E5026">
        <w:t xml:space="preserve">. </w:t>
      </w:r>
      <w:r w:rsidR="00C717C4" w:rsidRPr="009E5026">
        <w:t xml:space="preserve">Impaired function of motile cilia leads to neonatal respiratory distress in term infants, persistent wet cough, bronchiectasis, chronic rhinosinusitis, fertility issues and conductive hearing impairment. Approximately 50% of patients have </w:t>
      </w:r>
      <w:r w:rsidR="00C717C4" w:rsidRPr="009E5026">
        <w:rPr>
          <w:i/>
        </w:rPr>
        <w:t>situs inversus</w:t>
      </w:r>
      <w:r w:rsidR="00024EB7" w:rsidRPr="009E5026">
        <w:rPr>
          <w:i/>
        </w:rPr>
        <w:t>,</w:t>
      </w:r>
      <w:r w:rsidR="00C717C4" w:rsidRPr="009E5026">
        <w:t xml:space="preserve"> and congenital heart disease has been reported in 5% of children</w:t>
      </w:r>
      <w:r w:rsidR="00917EA0" w:rsidRPr="009E5026">
        <w:t xml:space="preserve"> </w:t>
      </w:r>
      <w:r w:rsidR="00917EA0" w:rsidRPr="009E5026">
        <w:rPr>
          <w:noProof/>
        </w:rPr>
        <w:t>[1]</w:t>
      </w:r>
      <w:r w:rsidR="00C717C4" w:rsidRPr="009E5026">
        <w:t>.</w:t>
      </w:r>
      <w:r w:rsidR="00E25B83" w:rsidRPr="009E5026">
        <w:t xml:space="preserve"> </w:t>
      </w:r>
    </w:p>
    <w:p w14:paraId="259379BB" w14:textId="47F62170" w:rsidR="00553551" w:rsidRPr="009E5026" w:rsidRDefault="0097431B" w:rsidP="00FF4537">
      <w:pPr>
        <w:spacing w:line="480" w:lineRule="auto"/>
      </w:pPr>
      <w:r w:rsidRPr="009E5026">
        <w:t>In</w:t>
      </w:r>
      <w:r w:rsidR="003132B6" w:rsidRPr="009E5026">
        <w:t xml:space="preserve"> the absence of a single ‘gold standard’ test, </w:t>
      </w:r>
      <w:r w:rsidR="00E0410C" w:rsidRPr="009E5026">
        <w:t>g</w:t>
      </w:r>
      <w:r w:rsidR="00746435" w:rsidRPr="009E5026">
        <w:t>uidelines recommended that diagnosis require</w:t>
      </w:r>
      <w:r w:rsidR="00E0410C" w:rsidRPr="009E5026">
        <w:t>s</w:t>
      </w:r>
      <w:r w:rsidR="00746435" w:rsidRPr="009E5026">
        <w:t xml:space="preserve"> </w:t>
      </w:r>
      <w:r w:rsidR="00CA6B04" w:rsidRPr="009E5026">
        <w:t xml:space="preserve">access to a number </w:t>
      </w:r>
      <w:r w:rsidR="00626BE3" w:rsidRPr="009E5026">
        <w:t>of</w:t>
      </w:r>
      <w:r w:rsidR="00E65E96" w:rsidRPr="009E5026">
        <w:t xml:space="preserve"> </w:t>
      </w:r>
      <w:r w:rsidR="00626BE3" w:rsidRPr="009E5026">
        <w:t>tests</w:t>
      </w:r>
      <w:r w:rsidR="00CA6B04" w:rsidRPr="009E5026">
        <w:t xml:space="preserve"> </w:t>
      </w:r>
      <w:r w:rsidR="00917EA0" w:rsidRPr="009E5026">
        <w:rPr>
          <w:noProof/>
        </w:rPr>
        <w:t>[2, 3]</w:t>
      </w:r>
      <w:r w:rsidR="00985927" w:rsidRPr="009E5026">
        <w:t>.</w:t>
      </w:r>
      <w:r w:rsidR="00360EA1" w:rsidRPr="009E5026">
        <w:t xml:space="preserve"> </w:t>
      </w:r>
      <w:r w:rsidR="00944D71" w:rsidRPr="009E5026">
        <w:t>In our</w:t>
      </w:r>
      <w:r w:rsidR="00E65E96" w:rsidRPr="009E5026">
        <w:t xml:space="preserve"> cent</w:t>
      </w:r>
      <w:r w:rsidR="000F3CDF" w:rsidRPr="009E5026">
        <w:t>r</w:t>
      </w:r>
      <w:r w:rsidR="00276334" w:rsidRPr="009E5026">
        <w:t>e</w:t>
      </w:r>
      <w:r w:rsidR="00E65E96" w:rsidRPr="009E5026">
        <w:t xml:space="preserve">s, a </w:t>
      </w:r>
      <w:r w:rsidR="00717744" w:rsidRPr="009E5026">
        <w:t xml:space="preserve">multidisciplinary team (MDT) of clinical and laboratory staff </w:t>
      </w:r>
      <w:r w:rsidR="00256BE4" w:rsidRPr="009E5026">
        <w:t xml:space="preserve">determines whether patients have PCD </w:t>
      </w:r>
      <w:r w:rsidR="00717744" w:rsidRPr="009E5026">
        <w:t xml:space="preserve">using clinical history, nasal nitric oxide (nNO), </w:t>
      </w:r>
      <w:r w:rsidR="00934840" w:rsidRPr="009E5026">
        <w:t>high-</w:t>
      </w:r>
      <w:r w:rsidR="00717744" w:rsidRPr="009E5026">
        <w:t xml:space="preserve">speed video microscopy </w:t>
      </w:r>
      <w:r w:rsidR="0088354C" w:rsidRPr="009E5026">
        <w:t>analysis</w:t>
      </w:r>
      <w:r w:rsidR="00934840" w:rsidRPr="009E5026">
        <w:t xml:space="preserve"> (HSVA)</w:t>
      </w:r>
      <w:r w:rsidR="00717744" w:rsidRPr="009E5026">
        <w:t xml:space="preserve">, transmission electron microscopy (TEM), and </w:t>
      </w:r>
      <w:r w:rsidR="00826A44" w:rsidRPr="009E5026">
        <w:t>more recently</w:t>
      </w:r>
      <w:r w:rsidR="00717744" w:rsidRPr="009E5026">
        <w:t xml:space="preserve"> air-liquid interface (ALI)</w:t>
      </w:r>
      <w:r w:rsidR="001C2355" w:rsidRPr="009E5026">
        <w:t xml:space="preserve"> cell</w:t>
      </w:r>
      <w:r w:rsidR="00717744" w:rsidRPr="009E5026">
        <w:t xml:space="preserve"> culture, immunofluores</w:t>
      </w:r>
      <w:r w:rsidR="00256BE4" w:rsidRPr="009E5026">
        <w:t>cence (IF) and genetic analysis</w:t>
      </w:r>
      <w:r w:rsidR="00917EA0" w:rsidRPr="009E5026">
        <w:t xml:space="preserve"> </w:t>
      </w:r>
      <w:r w:rsidR="00917EA0" w:rsidRPr="009E5026">
        <w:rPr>
          <w:noProof/>
        </w:rPr>
        <w:t>[4]</w:t>
      </w:r>
      <w:r w:rsidR="00717744" w:rsidRPr="009E5026">
        <w:t xml:space="preserve">. </w:t>
      </w:r>
      <w:r w:rsidR="00DC11EB" w:rsidRPr="009E5026">
        <w:t xml:space="preserve">TEM can confirm a diagnosis, but </w:t>
      </w:r>
      <w:r w:rsidR="00382AEC" w:rsidRPr="009E5026">
        <w:t>is</w:t>
      </w:r>
      <w:r w:rsidR="00DC11EB" w:rsidRPr="009E5026">
        <w:t xml:space="preserve"> normal in 15-20%</w:t>
      </w:r>
      <w:r w:rsidR="00C717C4" w:rsidRPr="009E5026">
        <w:t xml:space="preserve"> </w:t>
      </w:r>
      <w:r w:rsidR="00DC11EB" w:rsidRPr="009E5026">
        <w:t>of patients with PCD</w:t>
      </w:r>
      <w:r w:rsidR="00382AEC" w:rsidRPr="009E5026">
        <w:t xml:space="preserve"> </w:t>
      </w:r>
      <w:r w:rsidR="00DC11EB" w:rsidRPr="009E5026">
        <w:t xml:space="preserve">and therefore cannot be used to exclude a </w:t>
      </w:r>
      <w:r w:rsidR="002548F5" w:rsidRPr="009E5026">
        <w:t>diagnosis</w:t>
      </w:r>
      <w:r w:rsidR="00917EA0" w:rsidRPr="009E5026">
        <w:t xml:space="preserve"> </w:t>
      </w:r>
      <w:r w:rsidR="00917EA0" w:rsidRPr="009E5026">
        <w:rPr>
          <w:noProof/>
        </w:rPr>
        <w:t>[2, 5, 6]</w:t>
      </w:r>
      <w:r w:rsidR="002548F5" w:rsidRPr="009E5026">
        <w:t xml:space="preserve">. </w:t>
      </w:r>
      <w:r w:rsidR="00DC11EB" w:rsidRPr="009E5026">
        <w:t xml:space="preserve">Similarly, poor sensitivity </w:t>
      </w:r>
      <w:r w:rsidR="00944D71" w:rsidRPr="009E5026">
        <w:t xml:space="preserve">(≈0.65) </w:t>
      </w:r>
      <w:r w:rsidR="00DC11EB" w:rsidRPr="009E5026">
        <w:t>means that genotyping cannot be used in isolation</w:t>
      </w:r>
      <w:r w:rsidR="00944D71" w:rsidRPr="009E5026">
        <w:t>,</w:t>
      </w:r>
      <w:r w:rsidR="00DC11EB" w:rsidRPr="009E5026">
        <w:t xml:space="preserve"> but pathogenic bi-allelic mutations in known genes confirms a diagnosis</w:t>
      </w:r>
      <w:r w:rsidR="00917EA0" w:rsidRPr="009E5026">
        <w:t xml:space="preserve"> </w:t>
      </w:r>
      <w:r w:rsidR="007C40F1" w:rsidRPr="009E5026">
        <w:rPr>
          <w:noProof/>
        </w:rPr>
        <w:t>[7, 8]</w:t>
      </w:r>
      <w:r w:rsidR="00DC11EB" w:rsidRPr="009E5026">
        <w:t xml:space="preserve">. </w:t>
      </w:r>
    </w:p>
    <w:p w14:paraId="25B1D3F3" w14:textId="628BBAF0" w:rsidR="004D2976" w:rsidRPr="009E5026" w:rsidRDefault="00096B45" w:rsidP="00FF4537">
      <w:pPr>
        <w:spacing w:line="480" w:lineRule="auto"/>
      </w:pPr>
      <w:r w:rsidRPr="009E5026">
        <w:t>HSVA</w:t>
      </w:r>
      <w:r w:rsidR="000B41A0" w:rsidRPr="009E5026">
        <w:t xml:space="preserve"> is a technique where the respiratory cilia are visuali</w:t>
      </w:r>
      <w:r w:rsidR="00276334" w:rsidRPr="009E5026">
        <w:t>s</w:t>
      </w:r>
      <w:r w:rsidR="000B41A0" w:rsidRPr="009E5026">
        <w:t>ed ex-vivo with a light microscope</w:t>
      </w:r>
      <w:r w:rsidR="0097431B" w:rsidRPr="009E5026">
        <w:t>,</w:t>
      </w:r>
      <w:r w:rsidR="000B41A0" w:rsidRPr="009E5026">
        <w:t xml:space="preserve"> and recorded using a high</w:t>
      </w:r>
      <w:r w:rsidR="004B2513" w:rsidRPr="009E5026">
        <w:t>-</w:t>
      </w:r>
      <w:r w:rsidR="000B41A0" w:rsidRPr="009E5026">
        <w:t>speed video camera. Videos are assessed for multiple parameters including ciliary beat frequency</w:t>
      </w:r>
      <w:r w:rsidR="00276334" w:rsidRPr="009E5026">
        <w:t xml:space="preserve"> (CBF)</w:t>
      </w:r>
      <w:r w:rsidR="000B41A0" w:rsidRPr="009E5026">
        <w:t>, ciliary beat pattern</w:t>
      </w:r>
      <w:r w:rsidR="00276334" w:rsidRPr="009E5026">
        <w:t xml:space="preserve"> (CBP)</w:t>
      </w:r>
      <w:r w:rsidR="000B41A0" w:rsidRPr="009E5026">
        <w:t xml:space="preserve"> and effective mucociliary clearance. </w:t>
      </w:r>
      <w:r w:rsidRPr="009E5026">
        <w:t>HSVA</w:t>
      </w:r>
      <w:r w:rsidR="00C27061" w:rsidRPr="009E5026">
        <w:t xml:space="preserve"> is the only </w:t>
      </w:r>
      <w:r w:rsidR="0097431B" w:rsidRPr="009E5026">
        <w:t xml:space="preserve">widely used </w:t>
      </w:r>
      <w:r w:rsidR="00C27061" w:rsidRPr="009E5026">
        <w:t>test that assess</w:t>
      </w:r>
      <w:r w:rsidR="00746435" w:rsidRPr="009E5026">
        <w:t xml:space="preserve">es </w:t>
      </w:r>
      <w:r w:rsidR="00C27061" w:rsidRPr="009E5026">
        <w:t>cilia</w:t>
      </w:r>
      <w:r w:rsidR="00746435" w:rsidRPr="009E5026">
        <w:t>ry</w:t>
      </w:r>
      <w:r w:rsidR="00C27061" w:rsidRPr="009E5026">
        <w:t xml:space="preserve"> </w:t>
      </w:r>
      <w:r w:rsidR="00E65E96" w:rsidRPr="009E5026">
        <w:t>function,</w:t>
      </w:r>
      <w:r w:rsidR="00DC11EB" w:rsidRPr="009E5026">
        <w:t xml:space="preserve"> and results are available on the day of testing</w:t>
      </w:r>
      <w:r w:rsidR="00C27061" w:rsidRPr="009E5026">
        <w:t xml:space="preserve">. </w:t>
      </w:r>
      <w:r w:rsidR="00C717C4" w:rsidRPr="009E5026">
        <w:t xml:space="preserve">In comparison, </w:t>
      </w:r>
      <w:r w:rsidR="003D40E8" w:rsidRPr="009E5026">
        <w:t xml:space="preserve">TEM and genetic </w:t>
      </w:r>
      <w:r w:rsidR="00743C5B" w:rsidRPr="009E5026">
        <w:t>analyses</w:t>
      </w:r>
      <w:r w:rsidR="00826A44" w:rsidRPr="009E5026">
        <w:t xml:space="preserve"> may take weeks or even</w:t>
      </w:r>
      <w:r w:rsidR="003D40E8" w:rsidRPr="009E5026">
        <w:t xml:space="preserve"> months to get a definitive result. </w:t>
      </w:r>
      <w:r w:rsidR="00CA6B04" w:rsidRPr="009E5026">
        <w:t>HSVA is used frequently at European and Australian PCD centres, but less so in North America</w:t>
      </w:r>
      <w:r w:rsidR="007C40F1" w:rsidRPr="009E5026">
        <w:t xml:space="preserve"> </w:t>
      </w:r>
      <w:r w:rsidR="007C40F1" w:rsidRPr="009E5026">
        <w:rPr>
          <w:noProof/>
        </w:rPr>
        <w:t>[2, 3]</w:t>
      </w:r>
      <w:r w:rsidR="00CA6B04" w:rsidRPr="009E5026">
        <w:t xml:space="preserve">. </w:t>
      </w:r>
      <w:r w:rsidR="00387D67" w:rsidRPr="009E5026">
        <w:t xml:space="preserve">Previous </w:t>
      </w:r>
      <w:r w:rsidR="00553551" w:rsidRPr="009E5026">
        <w:t xml:space="preserve">retrospective </w:t>
      </w:r>
      <w:r w:rsidR="00387D67" w:rsidRPr="009E5026">
        <w:t>studies</w:t>
      </w:r>
      <w:r w:rsidR="00EC1968" w:rsidRPr="009E5026">
        <w:t xml:space="preserve"> have </w:t>
      </w:r>
      <w:r w:rsidR="00746435" w:rsidRPr="009E5026">
        <w:t>suggested</w:t>
      </w:r>
      <w:r w:rsidR="00EC1968" w:rsidRPr="009E5026">
        <w:t xml:space="preserve"> high sens</w:t>
      </w:r>
      <w:r w:rsidR="00C717C4" w:rsidRPr="009E5026">
        <w:t>itivity and specificity of HVS</w:t>
      </w:r>
      <w:r w:rsidR="0072177E" w:rsidRPr="009E5026">
        <w:t>A</w:t>
      </w:r>
      <w:r w:rsidR="00EC1968" w:rsidRPr="009E5026">
        <w:t xml:space="preserve"> </w:t>
      </w:r>
      <w:r w:rsidR="00E65E96" w:rsidRPr="009E5026">
        <w:t>as a diagnostic test</w:t>
      </w:r>
      <w:r w:rsidR="007C40F1" w:rsidRPr="009E5026">
        <w:t xml:space="preserve"> </w:t>
      </w:r>
      <w:r w:rsidR="007C40F1" w:rsidRPr="009E5026">
        <w:rPr>
          <w:noProof/>
        </w:rPr>
        <w:t>[9, 10]</w:t>
      </w:r>
      <w:r w:rsidR="003D40E8" w:rsidRPr="009E5026">
        <w:t>, however both studies risk</w:t>
      </w:r>
      <w:r w:rsidR="00CA6B04" w:rsidRPr="009E5026">
        <w:t>ed</w:t>
      </w:r>
      <w:r w:rsidR="003D40E8" w:rsidRPr="009E5026">
        <w:t xml:space="preserve"> bias due to study design</w:t>
      </w:r>
      <w:r w:rsidR="007C40F1" w:rsidRPr="009E5026">
        <w:t xml:space="preserve"> </w:t>
      </w:r>
      <w:r w:rsidR="007C40F1" w:rsidRPr="009E5026">
        <w:rPr>
          <w:noProof/>
        </w:rPr>
        <w:t>[11]</w:t>
      </w:r>
      <w:r w:rsidR="000001F3" w:rsidRPr="009E5026">
        <w:t>.</w:t>
      </w:r>
      <w:r w:rsidR="00FE448B" w:rsidRPr="009E5026">
        <w:t xml:space="preserve"> Additionally, there has never been a study to assess the </w:t>
      </w:r>
      <w:r w:rsidR="00BB38B6" w:rsidRPr="009E5026">
        <w:t xml:space="preserve">intra- and </w:t>
      </w:r>
      <w:r w:rsidR="00FE448B" w:rsidRPr="009E5026">
        <w:t>int</w:t>
      </w:r>
      <w:r w:rsidR="00310754" w:rsidRPr="009E5026">
        <w:t>er</w:t>
      </w:r>
      <w:r w:rsidR="00FE448B" w:rsidRPr="009E5026">
        <w:t>-</w:t>
      </w:r>
      <w:r w:rsidR="00276334" w:rsidRPr="009E5026">
        <w:t>observer</w:t>
      </w:r>
      <w:r w:rsidR="003D40E8" w:rsidRPr="009E5026">
        <w:t xml:space="preserve"> </w:t>
      </w:r>
      <w:r w:rsidR="009B62CE" w:rsidRPr="009E5026">
        <w:t xml:space="preserve">agreement </w:t>
      </w:r>
      <w:r w:rsidR="003D40E8" w:rsidRPr="009E5026">
        <w:t xml:space="preserve">of </w:t>
      </w:r>
      <w:r w:rsidRPr="009E5026">
        <w:t>HSVA</w:t>
      </w:r>
      <w:r w:rsidR="00FE448B" w:rsidRPr="009E5026">
        <w:t xml:space="preserve">. </w:t>
      </w:r>
      <w:r w:rsidR="003D40E8" w:rsidRPr="009E5026">
        <w:t>If confirmed</w:t>
      </w:r>
      <w:r w:rsidR="00E65E96" w:rsidRPr="009E5026">
        <w:t xml:space="preserve"> to be accurate</w:t>
      </w:r>
      <w:r w:rsidR="00786766" w:rsidRPr="009E5026">
        <w:t>,</w:t>
      </w:r>
      <w:r w:rsidR="003D40E8" w:rsidRPr="009E5026">
        <w:t xml:space="preserve"> </w:t>
      </w:r>
      <w:r w:rsidR="0097431B" w:rsidRPr="009E5026">
        <w:t xml:space="preserve">with good </w:t>
      </w:r>
      <w:r w:rsidR="009B62CE" w:rsidRPr="009E5026">
        <w:t>reliability</w:t>
      </w:r>
      <w:r w:rsidR="00E65E96" w:rsidRPr="009E5026">
        <w:t xml:space="preserve">, </w:t>
      </w:r>
      <w:r w:rsidR="003D40E8" w:rsidRPr="009E5026">
        <w:t xml:space="preserve">clinicians could make informed decisions on whether </w:t>
      </w:r>
      <w:r w:rsidR="00113F51" w:rsidRPr="009E5026">
        <w:t xml:space="preserve">to initiate </w:t>
      </w:r>
      <w:r w:rsidR="00113F51" w:rsidRPr="009E5026">
        <w:lastRenderedPageBreak/>
        <w:t xml:space="preserve">treatment </w:t>
      </w:r>
      <w:r w:rsidR="003D40E8" w:rsidRPr="009E5026">
        <w:t>on the day of the patients’ clinic appointment whilst awaiting TEM and genetics results</w:t>
      </w:r>
      <w:r w:rsidR="004B2513" w:rsidRPr="009E5026">
        <w:t>,</w:t>
      </w:r>
      <w:r w:rsidR="003D40E8" w:rsidRPr="009E5026">
        <w:t xml:space="preserve"> reducing time-to-diagnosis and potentially limiting disease prog</w:t>
      </w:r>
      <w:r w:rsidR="00E65E96" w:rsidRPr="009E5026">
        <w:t>ression</w:t>
      </w:r>
      <w:r w:rsidR="003D40E8" w:rsidRPr="009E5026">
        <w:t xml:space="preserve">. </w:t>
      </w:r>
    </w:p>
    <w:p w14:paraId="27B5A4AF" w14:textId="4FE1D908" w:rsidR="002F3C6B" w:rsidRPr="009E5026" w:rsidRDefault="00EB5E1E" w:rsidP="00FF4537">
      <w:pPr>
        <w:spacing w:line="480" w:lineRule="auto"/>
      </w:pPr>
      <w:r w:rsidRPr="009E5026">
        <w:t>We hypothesized that</w:t>
      </w:r>
      <w:r w:rsidR="0079405B" w:rsidRPr="009E5026">
        <w:t xml:space="preserve"> a)</w:t>
      </w:r>
      <w:r w:rsidR="00EB45A8" w:rsidRPr="009E5026">
        <w:t xml:space="preserve"> </w:t>
      </w:r>
      <w:r w:rsidRPr="009E5026">
        <w:t xml:space="preserve">scientists using </w:t>
      </w:r>
      <w:r w:rsidR="00096B45" w:rsidRPr="009E5026">
        <w:t>HSVA</w:t>
      </w:r>
      <w:r w:rsidR="004D2976" w:rsidRPr="009E5026">
        <w:t xml:space="preserve"> would </w:t>
      </w:r>
      <w:r w:rsidR="003D01BB" w:rsidRPr="009E5026">
        <w:t>accurately diagnose PCD</w:t>
      </w:r>
      <w:r w:rsidR="00161269" w:rsidRPr="009E5026">
        <w:t xml:space="preserve"> and </w:t>
      </w:r>
      <w:r w:rsidR="0079405B" w:rsidRPr="009E5026">
        <w:t>b)</w:t>
      </w:r>
      <w:r w:rsidR="00161269" w:rsidRPr="009E5026">
        <w:t xml:space="preserve"> </w:t>
      </w:r>
      <w:r w:rsidR="00EB45A8" w:rsidRPr="009E5026">
        <w:t>the</w:t>
      </w:r>
      <w:r w:rsidR="003D01BB" w:rsidRPr="009E5026">
        <w:t>re would be good</w:t>
      </w:r>
      <w:r w:rsidR="00EB45A8" w:rsidRPr="009E5026">
        <w:t xml:space="preserve"> inter-</w:t>
      </w:r>
      <w:r w:rsidR="00276334" w:rsidRPr="009E5026">
        <w:t>observer</w:t>
      </w:r>
      <w:r w:rsidR="00EB45A8" w:rsidRPr="009E5026">
        <w:t xml:space="preserve"> reliability of the test.</w:t>
      </w:r>
      <w:r w:rsidR="006870F9" w:rsidRPr="009E5026">
        <w:t xml:space="preserve"> </w:t>
      </w:r>
    </w:p>
    <w:p w14:paraId="35F56D4A" w14:textId="264FDEC0" w:rsidR="00AF77D8" w:rsidRPr="009E5026" w:rsidRDefault="00D526DD" w:rsidP="00FF4537">
      <w:pPr>
        <w:pStyle w:val="Heading1"/>
        <w:spacing w:line="480" w:lineRule="auto"/>
        <w:rPr>
          <w:color w:val="2E74B5" w:themeColor="accent1" w:themeShade="BF"/>
          <w:lang w:val="en"/>
        </w:rPr>
      </w:pPr>
      <w:r w:rsidRPr="009E5026">
        <w:rPr>
          <w:color w:val="2E74B5" w:themeColor="accent1" w:themeShade="BF"/>
          <w:lang w:val="en"/>
        </w:rPr>
        <w:t>Materials and m</w:t>
      </w:r>
      <w:r w:rsidR="00736E89" w:rsidRPr="009E5026">
        <w:rPr>
          <w:color w:val="2E74B5" w:themeColor="accent1" w:themeShade="BF"/>
          <w:lang w:val="en"/>
        </w:rPr>
        <w:t>ethods</w:t>
      </w:r>
    </w:p>
    <w:p w14:paraId="600B6DE1" w14:textId="77777777" w:rsidR="00974189" w:rsidRPr="009E5026" w:rsidRDefault="00974189" w:rsidP="00FF4537">
      <w:pPr>
        <w:spacing w:line="480" w:lineRule="auto"/>
        <w:rPr>
          <w:iCs/>
        </w:rPr>
      </w:pPr>
      <w:r w:rsidRPr="009E5026">
        <w:rPr>
          <w:iCs/>
        </w:rPr>
        <w:t>Local and national Research</w:t>
      </w:r>
      <w:r w:rsidR="00AF77D8" w:rsidRPr="009E5026">
        <w:rPr>
          <w:iCs/>
        </w:rPr>
        <w:t xml:space="preserve"> </w:t>
      </w:r>
      <w:r w:rsidRPr="009E5026">
        <w:rPr>
          <w:iCs/>
        </w:rPr>
        <w:t xml:space="preserve">and ethical approvals were adhered to (Southampton and South West Hampshire Research Ethics 07/Q1702/109). </w:t>
      </w:r>
    </w:p>
    <w:p w14:paraId="31834D7F" w14:textId="77777777" w:rsidR="003F6A55" w:rsidRPr="009E5026" w:rsidRDefault="00B47C91" w:rsidP="00FF4537">
      <w:pPr>
        <w:pStyle w:val="Heading2"/>
        <w:spacing w:line="480" w:lineRule="auto"/>
      </w:pPr>
      <w:r w:rsidRPr="009E5026">
        <w:t>Patient population</w:t>
      </w:r>
      <w:r w:rsidR="0082223B" w:rsidRPr="009E5026">
        <w:t xml:space="preserve"> and diagnostic decisions in the clinical setting</w:t>
      </w:r>
    </w:p>
    <w:p w14:paraId="1540C52D" w14:textId="084B7A09" w:rsidR="00F757C1" w:rsidRPr="009E5026" w:rsidRDefault="00AF77D8" w:rsidP="00FF4537">
      <w:pPr>
        <w:spacing w:line="480" w:lineRule="auto"/>
      </w:pPr>
      <w:r w:rsidRPr="009E5026">
        <w:t xml:space="preserve">Patients </w:t>
      </w:r>
      <w:r w:rsidR="004439C8" w:rsidRPr="009E5026">
        <w:t>were</w:t>
      </w:r>
      <w:r w:rsidR="009C78F2" w:rsidRPr="009E5026">
        <w:t xml:space="preserve"> </w:t>
      </w:r>
      <w:r w:rsidR="00736E89" w:rsidRPr="009E5026">
        <w:t>referred</w:t>
      </w:r>
      <w:r w:rsidRPr="009E5026">
        <w:t xml:space="preserve"> to </w:t>
      </w:r>
      <w:r w:rsidR="00736E89" w:rsidRPr="009E5026">
        <w:t xml:space="preserve">one of </w:t>
      </w:r>
      <w:r w:rsidR="00B47C91" w:rsidRPr="009E5026">
        <w:t xml:space="preserve">three </w:t>
      </w:r>
      <w:r w:rsidR="00553551" w:rsidRPr="009E5026">
        <w:t>UK</w:t>
      </w:r>
      <w:r w:rsidR="00934840" w:rsidRPr="009E5026">
        <w:t xml:space="preserve"> </w:t>
      </w:r>
      <w:r w:rsidR="00B47C91" w:rsidRPr="009E5026">
        <w:t xml:space="preserve">PCD </w:t>
      </w:r>
      <w:r w:rsidRPr="009E5026">
        <w:t xml:space="preserve">diagnostic </w:t>
      </w:r>
      <w:r w:rsidR="00B47C91" w:rsidRPr="009E5026">
        <w:t>cent</w:t>
      </w:r>
      <w:r w:rsidR="00470414" w:rsidRPr="009E5026">
        <w:t>r</w:t>
      </w:r>
      <w:r w:rsidR="00276334" w:rsidRPr="009E5026">
        <w:t>e</w:t>
      </w:r>
      <w:r w:rsidR="00B47C91" w:rsidRPr="009E5026">
        <w:t>s</w:t>
      </w:r>
      <w:r w:rsidR="0052312C" w:rsidRPr="009E5026">
        <w:t xml:space="preserve"> between</w:t>
      </w:r>
      <w:r w:rsidR="0090630A" w:rsidRPr="009E5026">
        <w:t xml:space="preserve"> </w:t>
      </w:r>
      <w:r w:rsidR="00CB785E" w:rsidRPr="009E5026">
        <w:t>January 2015 and April 2017</w:t>
      </w:r>
      <w:r w:rsidR="00B47C91" w:rsidRPr="009E5026">
        <w:t xml:space="preserve">. </w:t>
      </w:r>
      <w:r w:rsidR="00042CEE" w:rsidRPr="009E5026">
        <w:t>T</w:t>
      </w:r>
      <w:r w:rsidR="00A26C5C" w:rsidRPr="009E5026">
        <w:t>esting included a combination of clinical history, nNO, HSVA, and TEM</w:t>
      </w:r>
      <w:r w:rsidR="00886554" w:rsidRPr="009E5026">
        <w:t>. With selected cases</w:t>
      </w:r>
      <w:r w:rsidR="00276334" w:rsidRPr="009E5026">
        <w:t>,</w:t>
      </w:r>
      <w:r w:rsidR="00886554" w:rsidRPr="009E5026">
        <w:t xml:space="preserve"> we additionally included reanalysis following ALI-culture and immunofluorescence staining</w:t>
      </w:r>
      <w:r w:rsidRPr="009E5026">
        <w:t xml:space="preserve">; genetic testing was </w:t>
      </w:r>
      <w:r w:rsidR="00A26C5C" w:rsidRPr="009E5026">
        <w:t>conducted on selected patients for research.</w:t>
      </w:r>
      <w:r w:rsidR="00042CEE" w:rsidRPr="009E5026">
        <w:t xml:space="preserve"> </w:t>
      </w:r>
      <w:r w:rsidR="00877C03" w:rsidRPr="009E5026">
        <w:t xml:space="preserve">For HSVA, diagnostic scientists report the sample to be compatible with PCD, unlikely to be PCD or inconclusive; they base this decision on analysis of at least 6 videos from the same sample, including five side views and one top view. </w:t>
      </w:r>
      <w:r w:rsidR="00042CEE" w:rsidRPr="009E5026">
        <w:t>Investigations are detailed in the online supplementary file.</w:t>
      </w:r>
      <w:r w:rsidR="0068620B" w:rsidRPr="009E5026">
        <w:t xml:space="preserve"> Teams from the three centres share diagnostic protocols and frequently discuss difficult cases.</w:t>
      </w:r>
    </w:p>
    <w:p w14:paraId="70D90020" w14:textId="570870B6" w:rsidR="0082223B" w:rsidRPr="009E5026" w:rsidRDefault="00886554" w:rsidP="00FF4537">
      <w:pPr>
        <w:spacing w:line="480" w:lineRule="auto"/>
      </w:pPr>
      <w:r w:rsidRPr="009E5026">
        <w:t>Diagnostic results</w:t>
      </w:r>
      <w:r w:rsidR="0082223B" w:rsidRPr="009E5026">
        <w:t xml:space="preserve"> were re</w:t>
      </w:r>
      <w:r w:rsidR="00826A44" w:rsidRPr="009E5026">
        <w:t xml:space="preserve">viewed at </w:t>
      </w:r>
      <w:r w:rsidR="009F431B" w:rsidRPr="009E5026">
        <w:t>MDT</w:t>
      </w:r>
      <w:r w:rsidR="0082223B" w:rsidRPr="009E5026">
        <w:t xml:space="preserve"> meetings, including a clinician, </w:t>
      </w:r>
      <w:r w:rsidR="00826A44" w:rsidRPr="009E5026">
        <w:t>HSV</w:t>
      </w:r>
      <w:r w:rsidR="0082223B" w:rsidRPr="009E5026">
        <w:t xml:space="preserve">-microscopist and TEM-microscopist. All clinical and diagnostic data were considered when agreeing the </w:t>
      </w:r>
      <w:r w:rsidR="00B72AD0" w:rsidRPr="009E5026">
        <w:t xml:space="preserve">MDT </w:t>
      </w:r>
      <w:r w:rsidR="0082223B" w:rsidRPr="009E5026">
        <w:t xml:space="preserve">diagnostic outcome as </w:t>
      </w:r>
      <w:r w:rsidR="00FC7006" w:rsidRPr="009E5026">
        <w:t>‘</w:t>
      </w:r>
      <w:r w:rsidR="0082223B" w:rsidRPr="009E5026">
        <w:t>PC</w:t>
      </w:r>
      <w:r w:rsidR="00FC7006" w:rsidRPr="009E5026">
        <w:t xml:space="preserve">D </w:t>
      </w:r>
      <w:r w:rsidR="0082223B" w:rsidRPr="009E5026">
        <w:t>positive</w:t>
      </w:r>
      <w:r w:rsidR="00FC7006" w:rsidRPr="009E5026">
        <w:t>’</w:t>
      </w:r>
      <w:r w:rsidR="0082223B" w:rsidRPr="009E5026">
        <w:t xml:space="preserve">, </w:t>
      </w:r>
      <w:r w:rsidR="00FC7006" w:rsidRPr="009E5026">
        <w:t>‘</w:t>
      </w:r>
      <w:r w:rsidR="006411D6" w:rsidRPr="009E5026">
        <w:t>PCD</w:t>
      </w:r>
      <w:r w:rsidR="00FC7006" w:rsidRPr="009E5026">
        <w:t xml:space="preserve"> </w:t>
      </w:r>
      <w:r w:rsidR="006411D6" w:rsidRPr="009E5026">
        <w:t>highly likely</w:t>
      </w:r>
      <w:r w:rsidR="00FC7006" w:rsidRPr="009E5026">
        <w:t>’</w:t>
      </w:r>
      <w:r w:rsidR="006411D6" w:rsidRPr="009E5026">
        <w:t xml:space="preserve">, </w:t>
      </w:r>
      <w:r w:rsidR="00FC7006" w:rsidRPr="009E5026">
        <w:t>‘</w:t>
      </w:r>
      <w:r w:rsidR="0082223B" w:rsidRPr="009E5026">
        <w:t>PCD</w:t>
      </w:r>
      <w:r w:rsidR="00FC7006" w:rsidRPr="009E5026">
        <w:t xml:space="preserve"> </w:t>
      </w:r>
      <w:r w:rsidR="006411D6" w:rsidRPr="009E5026">
        <w:t>highly unlikely</w:t>
      </w:r>
      <w:r w:rsidR="00FC7006" w:rsidRPr="009E5026">
        <w:t>’</w:t>
      </w:r>
      <w:r w:rsidR="0082223B" w:rsidRPr="009E5026">
        <w:t xml:space="preserve">, or </w:t>
      </w:r>
      <w:r w:rsidR="00FC7006" w:rsidRPr="009E5026">
        <w:t>‘</w:t>
      </w:r>
      <w:r w:rsidR="0082223B" w:rsidRPr="009E5026">
        <w:t>inconclusive</w:t>
      </w:r>
      <w:r w:rsidR="00FC7006" w:rsidRPr="009E5026">
        <w:t>’</w:t>
      </w:r>
      <w:r w:rsidR="00AF77D8" w:rsidRPr="009E5026">
        <w:t>, based on clinical experience</w:t>
      </w:r>
      <w:r w:rsidR="00CC2BE8" w:rsidRPr="009E5026">
        <w:t>.</w:t>
      </w:r>
      <w:r w:rsidR="0079110B" w:rsidRPr="009E5026">
        <w:t xml:space="preserve"> An inconclusive diagnosis was reported when abnormalities</w:t>
      </w:r>
      <w:r w:rsidR="003D0718" w:rsidRPr="009E5026">
        <w:t xml:space="preserve"> not attributed to secondary defects</w:t>
      </w:r>
      <w:r w:rsidR="0079110B" w:rsidRPr="009E5026">
        <w:t xml:space="preserve"> were seen</w:t>
      </w:r>
      <w:r w:rsidR="003D0718" w:rsidRPr="009E5026">
        <w:t xml:space="preserve"> after repeated testing of adequate samples, </w:t>
      </w:r>
      <w:r w:rsidR="0079110B" w:rsidRPr="009E5026">
        <w:t>but not sufficient</w:t>
      </w:r>
      <w:r w:rsidR="003D0718" w:rsidRPr="009E5026">
        <w:t>ly</w:t>
      </w:r>
      <w:r w:rsidR="0079110B" w:rsidRPr="009E5026">
        <w:t xml:space="preserve"> or </w:t>
      </w:r>
      <w:r w:rsidR="003D0718" w:rsidRPr="009E5026">
        <w:t>consistently throughout the repeat testing</w:t>
      </w:r>
      <w:r w:rsidR="0079110B" w:rsidRPr="009E5026">
        <w:t xml:space="preserve"> to be deemed ‘PCD highly likely’</w:t>
      </w:r>
      <w:r w:rsidR="003D0718" w:rsidRPr="009E5026">
        <w:t>, or when further testing was still needed to rule-in or rule-out a PCD diagnosis.</w:t>
      </w:r>
    </w:p>
    <w:p w14:paraId="4FE6AEFB" w14:textId="77777777" w:rsidR="006842C8" w:rsidRPr="009E5026" w:rsidRDefault="006842C8" w:rsidP="00FF4537">
      <w:pPr>
        <w:pStyle w:val="Heading2"/>
        <w:spacing w:line="480" w:lineRule="auto"/>
      </w:pPr>
      <w:r w:rsidRPr="009E5026">
        <w:lastRenderedPageBreak/>
        <w:t>Selection of reference standards</w:t>
      </w:r>
    </w:p>
    <w:p w14:paraId="5FD3A7A0" w14:textId="4174BC7F" w:rsidR="006842C8" w:rsidRPr="009E5026" w:rsidRDefault="006842C8" w:rsidP="00FF4537">
      <w:pPr>
        <w:spacing w:line="480" w:lineRule="auto"/>
      </w:pPr>
      <w:r w:rsidRPr="009E5026">
        <w:t xml:space="preserve">There is no </w:t>
      </w:r>
      <w:r w:rsidR="00786766" w:rsidRPr="009E5026">
        <w:t>‘</w:t>
      </w:r>
      <w:r w:rsidRPr="009E5026">
        <w:t>gold standard</w:t>
      </w:r>
      <w:r w:rsidR="00786766" w:rsidRPr="009E5026">
        <w:t>’</w:t>
      </w:r>
      <w:r w:rsidRPr="009E5026">
        <w:t xml:space="preserve"> reference for PCD diagnostics and we therefore compared the scientists’ study outcomes to two imperfect references</w:t>
      </w:r>
      <w:r w:rsidR="007C40F1" w:rsidRPr="009E5026">
        <w:t xml:space="preserve"> </w:t>
      </w:r>
      <w:r w:rsidR="007C40F1" w:rsidRPr="009E5026">
        <w:rPr>
          <w:noProof/>
        </w:rPr>
        <w:t>[12]</w:t>
      </w:r>
      <w:r w:rsidRPr="009E5026">
        <w:t xml:space="preserve">: </w:t>
      </w:r>
      <w:r w:rsidRPr="009E5026">
        <w:rPr>
          <w:b/>
        </w:rPr>
        <w:t>(</w:t>
      </w:r>
      <w:r w:rsidRPr="009E5026">
        <w:rPr>
          <w:b/>
          <w:i/>
        </w:rPr>
        <w:t>a</w:t>
      </w:r>
      <w:r w:rsidRPr="009E5026">
        <w:rPr>
          <w:b/>
        </w:rPr>
        <w:t>)</w:t>
      </w:r>
      <w:r w:rsidR="00A26C5C" w:rsidRPr="009E5026">
        <w:rPr>
          <w:b/>
        </w:rPr>
        <w:t xml:space="preserve"> outcomes defined using</w:t>
      </w:r>
      <w:r w:rsidRPr="009E5026">
        <w:rPr>
          <w:b/>
        </w:rPr>
        <w:t xml:space="preserve"> E</w:t>
      </w:r>
      <w:r w:rsidR="00163326" w:rsidRPr="009E5026">
        <w:rPr>
          <w:b/>
        </w:rPr>
        <w:t>uropean Respiratory Society (ERS)</w:t>
      </w:r>
      <w:r w:rsidRPr="009E5026">
        <w:rPr>
          <w:b/>
        </w:rPr>
        <w:t xml:space="preserve"> </w:t>
      </w:r>
      <w:r w:rsidR="00276334" w:rsidRPr="009E5026">
        <w:rPr>
          <w:b/>
        </w:rPr>
        <w:t xml:space="preserve">guidelines for the diagnosis of </w:t>
      </w:r>
      <w:r w:rsidRPr="009E5026">
        <w:rPr>
          <w:b/>
        </w:rPr>
        <w:t>PCD</w:t>
      </w:r>
      <w:r w:rsidR="00276334" w:rsidRPr="009E5026">
        <w:rPr>
          <w:b/>
        </w:rPr>
        <w:t xml:space="preserve"> </w:t>
      </w:r>
      <w:r w:rsidR="007C40F1" w:rsidRPr="009E5026">
        <w:rPr>
          <w:noProof/>
        </w:rPr>
        <w:t>[2]</w:t>
      </w:r>
      <w:r w:rsidR="00505B67" w:rsidRPr="009E5026">
        <w:t xml:space="preserve"> (Figure 1</w:t>
      </w:r>
      <w:r w:rsidR="002E4395" w:rsidRPr="009E5026">
        <w:t>a</w:t>
      </w:r>
      <w:r w:rsidR="00505B67" w:rsidRPr="009E5026">
        <w:t>)</w:t>
      </w:r>
      <w:r w:rsidRPr="009E5026">
        <w:t xml:space="preserve">; and </w:t>
      </w:r>
      <w:r w:rsidRPr="009E5026">
        <w:rPr>
          <w:b/>
        </w:rPr>
        <w:t>(</w:t>
      </w:r>
      <w:r w:rsidRPr="009E5026">
        <w:t>b</w:t>
      </w:r>
      <w:r w:rsidRPr="009E5026">
        <w:rPr>
          <w:b/>
        </w:rPr>
        <w:t>) the clinical MDT outcome for the patient</w:t>
      </w:r>
      <w:r w:rsidRPr="009E5026">
        <w:t xml:space="preserve">, extracted from </w:t>
      </w:r>
      <w:r w:rsidR="00A26C5C" w:rsidRPr="009E5026">
        <w:t xml:space="preserve">contemporary MDT meeting </w:t>
      </w:r>
      <w:r w:rsidRPr="009E5026">
        <w:t>reports</w:t>
      </w:r>
      <w:r w:rsidR="002E4395" w:rsidRPr="009E5026">
        <w:t xml:space="preserve"> (Figure 1b</w:t>
      </w:r>
      <w:r w:rsidR="00505B67" w:rsidRPr="009E5026">
        <w:t>)</w:t>
      </w:r>
      <w:r w:rsidR="00974189" w:rsidRPr="009E5026">
        <w:t xml:space="preserve">. </w:t>
      </w:r>
      <w:r w:rsidRPr="009E5026">
        <w:t xml:space="preserve">For </w:t>
      </w:r>
      <w:r w:rsidRPr="009E5026">
        <w:rPr>
          <w:i/>
        </w:rPr>
        <w:t xml:space="preserve">reference </w:t>
      </w:r>
      <w:r w:rsidRPr="009E5026">
        <w:rPr>
          <w:b/>
          <w:i/>
        </w:rPr>
        <w:t>a</w:t>
      </w:r>
      <w:r w:rsidRPr="009E5026">
        <w:t xml:space="preserve">, diagnostic test results were retrospectively used to define the patient outcome as ‘PCD positive’ or ‘PCD highly unlikely’. Both ‘PCD highly likely’ and ‘inconclusive’ outcomes were considered as indeterminate </w:t>
      </w:r>
      <w:r w:rsidR="0072177E" w:rsidRPr="009E5026">
        <w:t>for</w:t>
      </w:r>
      <w:r w:rsidRPr="009E5026">
        <w:t xml:space="preserve"> accuracy</w:t>
      </w:r>
      <w:r w:rsidR="0072177E" w:rsidRPr="009E5026">
        <w:t xml:space="preserve"> calculations</w:t>
      </w:r>
      <w:r w:rsidRPr="009E5026">
        <w:t>, as they do not provide a definitive outcome</w:t>
      </w:r>
      <w:r w:rsidR="00125361" w:rsidRPr="009E5026">
        <w:t xml:space="preserve"> </w:t>
      </w:r>
      <w:r w:rsidR="00125361" w:rsidRPr="009E5026">
        <w:rPr>
          <w:noProof/>
        </w:rPr>
        <w:t>[2]</w:t>
      </w:r>
      <w:r w:rsidRPr="009E5026">
        <w:t xml:space="preserve">. </w:t>
      </w:r>
      <w:r w:rsidR="00FC073B" w:rsidRPr="009E5026">
        <w:t>Patients with diagnostic test results that did</w:t>
      </w:r>
      <w:r w:rsidR="00C95676" w:rsidRPr="009E5026">
        <w:t xml:space="preserve"> not</w:t>
      </w:r>
      <w:r w:rsidR="00FC073B" w:rsidRPr="009E5026">
        <w:t xml:space="preserve"> fulfil criteria for ‘PCD positive’, ‘PCD highly likely’ or ‘PCD highly unlikely’ were deemed ‘inconclusive’. </w:t>
      </w:r>
      <w:r w:rsidRPr="009E5026">
        <w:t>The strength of using this reference is that it follows an evidence-based international guideline, and that the ‘PCD positive’ outcome is based only on</w:t>
      </w:r>
      <w:r w:rsidRPr="009E5026">
        <w:rPr>
          <w:b/>
        </w:rPr>
        <w:t xml:space="preserve"> </w:t>
      </w:r>
      <w:r w:rsidRPr="009E5026">
        <w:t xml:space="preserve">‘hallmark’ TEM and/ or pathogenic bi-allelic mutations in PCD genes, and therefore does not include </w:t>
      </w:r>
      <w:r w:rsidR="00096B45" w:rsidRPr="009E5026">
        <w:t>HSVA</w:t>
      </w:r>
      <w:r w:rsidRPr="009E5026">
        <w:t xml:space="preserve"> in the reference standard. TEM and genetics </w:t>
      </w:r>
      <w:r w:rsidR="00313B83" w:rsidRPr="009E5026">
        <w:t xml:space="preserve">are believed to </w:t>
      </w:r>
      <w:r w:rsidRPr="009E5026">
        <w:t>have excellent specificity (≈1.0), but the limitation is that both tests have poor sensitivity (0.8 and 0.7, respectively) and will therefore ‘miss’ a significant proportion of true PCD patients. Moreover, genotyping was only undertaken in a small subset of patients</w:t>
      </w:r>
      <w:r w:rsidR="00B54E34" w:rsidRPr="009E5026">
        <w:t>,</w:t>
      </w:r>
      <w:r w:rsidR="00276334" w:rsidRPr="009E5026">
        <w:t xml:space="preserve"> as it is not readily available in the English National Health Service (NHS)</w:t>
      </w:r>
      <w:r w:rsidRPr="009E5026">
        <w:t xml:space="preserve">. </w:t>
      </w:r>
    </w:p>
    <w:p w14:paraId="55D29A29" w14:textId="764D4F6F" w:rsidR="006842C8" w:rsidRPr="009E5026" w:rsidRDefault="006842C8" w:rsidP="00FF4537">
      <w:pPr>
        <w:spacing w:line="480" w:lineRule="auto"/>
      </w:pPr>
      <w:r w:rsidRPr="009E5026">
        <w:t xml:space="preserve">For </w:t>
      </w:r>
      <w:r w:rsidRPr="009E5026">
        <w:rPr>
          <w:i/>
        </w:rPr>
        <w:t xml:space="preserve">reference </w:t>
      </w:r>
      <w:r w:rsidRPr="009E5026">
        <w:rPr>
          <w:b/>
          <w:i/>
        </w:rPr>
        <w:t>b</w:t>
      </w:r>
      <w:r w:rsidRPr="009E5026">
        <w:t xml:space="preserve">, diagnostic outcomes were extracted from the </w:t>
      </w:r>
      <w:r w:rsidR="00974189" w:rsidRPr="009E5026">
        <w:t xml:space="preserve">contemporary </w:t>
      </w:r>
      <w:r w:rsidRPr="009E5026">
        <w:t>clinical MDT meeting report</w:t>
      </w:r>
      <w:r w:rsidR="00974189" w:rsidRPr="009E5026">
        <w:t>s</w:t>
      </w:r>
      <w:r w:rsidRPr="009E5026">
        <w:t>. The strength of using this reference is that it was based on all data available to an expert MDT at the time of the meeting</w:t>
      </w:r>
      <w:r w:rsidR="0072177E" w:rsidRPr="009E5026">
        <w:t xml:space="preserve"> and it represents clinical decision on </w:t>
      </w:r>
      <w:r w:rsidR="009A2DF7" w:rsidRPr="009E5026">
        <w:t>how to manage</w:t>
      </w:r>
      <w:r w:rsidR="0072177E" w:rsidRPr="009E5026">
        <w:t xml:space="preserve"> patients</w:t>
      </w:r>
      <w:r w:rsidRPr="009E5026">
        <w:t xml:space="preserve">; however, the limitation is that </w:t>
      </w:r>
      <w:r w:rsidR="00096B45" w:rsidRPr="009E5026">
        <w:t>HSVA</w:t>
      </w:r>
      <w:r w:rsidRPr="009E5026">
        <w:t xml:space="preserve"> is included in the reference.</w:t>
      </w:r>
    </w:p>
    <w:p w14:paraId="0B710C76" w14:textId="2B8CD422" w:rsidR="00DB028C" w:rsidRPr="009E5026" w:rsidRDefault="00877C03" w:rsidP="00FF4537">
      <w:pPr>
        <w:pStyle w:val="Heading2"/>
        <w:spacing w:line="480" w:lineRule="auto"/>
      </w:pPr>
      <w:r w:rsidRPr="009E5026">
        <w:t>Analysis of archived videos</w:t>
      </w:r>
    </w:p>
    <w:p w14:paraId="0AF7BE1F" w14:textId="2E0BD8F0" w:rsidR="006E2E5D" w:rsidRPr="009E5026" w:rsidRDefault="00AF77D8" w:rsidP="00FF4537">
      <w:pPr>
        <w:spacing w:line="480" w:lineRule="auto"/>
      </w:pPr>
      <w:r w:rsidRPr="009E5026">
        <w:t>One hundred and twenty p</w:t>
      </w:r>
      <w:r w:rsidR="00EC512A" w:rsidRPr="009E5026">
        <w:t>atients</w:t>
      </w:r>
      <w:r w:rsidRPr="009E5026">
        <w:t xml:space="preserve"> were</w:t>
      </w:r>
      <w:r w:rsidR="006B28C7" w:rsidRPr="009E5026">
        <w:t xml:space="preserve"> </w:t>
      </w:r>
      <w:r w:rsidR="0077171C" w:rsidRPr="009E5026">
        <w:t>randomly selected</w:t>
      </w:r>
      <w:r w:rsidRPr="009E5026">
        <w:t xml:space="preserve"> </w:t>
      </w:r>
      <w:r w:rsidR="006B28C7" w:rsidRPr="009E5026">
        <w:t>for inclusion in the study</w:t>
      </w:r>
      <w:r w:rsidR="0077171C" w:rsidRPr="009E5026">
        <w:t xml:space="preserve">. </w:t>
      </w:r>
      <w:r w:rsidR="00F311AD" w:rsidRPr="009E5026">
        <w:t>Inclusion and exclusion criteria for sample selection are detailed in the supplementary material.</w:t>
      </w:r>
    </w:p>
    <w:p w14:paraId="5D456807" w14:textId="4888E3BB" w:rsidR="006B28C7" w:rsidRPr="009E5026" w:rsidRDefault="00AF77D8" w:rsidP="00FF4537">
      <w:pPr>
        <w:spacing w:line="480" w:lineRule="auto"/>
      </w:pPr>
      <w:r w:rsidRPr="009E5026">
        <w:lastRenderedPageBreak/>
        <w:t>Clinical d</w:t>
      </w:r>
      <w:r w:rsidR="00385723" w:rsidRPr="009E5026">
        <w:t>ata</w:t>
      </w:r>
      <w:r w:rsidR="00D90AAB" w:rsidRPr="009E5026">
        <w:t xml:space="preserve"> </w:t>
      </w:r>
      <w:r w:rsidRPr="009E5026">
        <w:t>w</w:t>
      </w:r>
      <w:r w:rsidR="00934840" w:rsidRPr="009E5026">
        <w:t>ere</w:t>
      </w:r>
      <w:r w:rsidRPr="009E5026">
        <w:t xml:space="preserve"> extracted </w:t>
      </w:r>
      <w:r w:rsidR="002851E0" w:rsidRPr="009E5026">
        <w:t xml:space="preserve">from </w:t>
      </w:r>
      <w:r w:rsidR="006E2E5D" w:rsidRPr="009E5026">
        <w:t xml:space="preserve">local </w:t>
      </w:r>
      <w:r w:rsidR="002851E0" w:rsidRPr="009E5026">
        <w:t>clinical database</w:t>
      </w:r>
      <w:r w:rsidR="006E2E5D" w:rsidRPr="009E5026">
        <w:t>s</w:t>
      </w:r>
      <w:r w:rsidR="002851E0" w:rsidRPr="009E5026">
        <w:t xml:space="preserve">: </w:t>
      </w:r>
      <w:r w:rsidR="00EC512A" w:rsidRPr="009E5026">
        <w:t>clinical symptoms</w:t>
      </w:r>
      <w:r w:rsidR="00D90AAB" w:rsidRPr="009E5026">
        <w:t>, nNO results, TEM</w:t>
      </w:r>
      <w:r w:rsidR="000C66C0" w:rsidRPr="009E5026">
        <w:t>, genetic analysis (</w:t>
      </w:r>
      <w:r w:rsidR="00D90AAB" w:rsidRPr="009E5026">
        <w:t>where available</w:t>
      </w:r>
      <w:r w:rsidR="000C66C0" w:rsidRPr="009E5026">
        <w:t>), and final diagnostic outcome by MDT decision</w:t>
      </w:r>
      <w:r w:rsidR="002851E0" w:rsidRPr="009E5026">
        <w:t xml:space="preserve">. </w:t>
      </w:r>
      <w:r w:rsidR="001137AB" w:rsidRPr="009E5026">
        <w:t>Images were anonymi</w:t>
      </w:r>
      <w:r w:rsidR="0090427B" w:rsidRPr="009E5026">
        <w:t>s</w:t>
      </w:r>
      <w:r w:rsidR="001137AB" w:rsidRPr="009E5026">
        <w:t>ed</w:t>
      </w:r>
      <w:r w:rsidR="0052312C" w:rsidRPr="009E5026">
        <w:t xml:space="preserve"> and upload</w:t>
      </w:r>
      <w:r w:rsidR="001137AB" w:rsidRPr="009E5026">
        <w:t>ed to a central platform</w:t>
      </w:r>
      <w:r w:rsidR="006E2E5D" w:rsidRPr="009E5026">
        <w:t xml:space="preserve">. </w:t>
      </w:r>
      <w:r w:rsidR="002851E0" w:rsidRPr="009E5026">
        <w:t xml:space="preserve">The </w:t>
      </w:r>
      <w:r w:rsidR="00096B45" w:rsidRPr="009E5026">
        <w:t>HSVA</w:t>
      </w:r>
      <w:r w:rsidR="002851E0" w:rsidRPr="009E5026">
        <w:t xml:space="preserve"> scientists were not aware of the study period and were not involved in data e</w:t>
      </w:r>
      <w:r w:rsidR="006B28C7" w:rsidRPr="009E5026">
        <w:t>xtraction or uploading</w:t>
      </w:r>
      <w:r w:rsidR="002851E0" w:rsidRPr="009E5026">
        <w:t xml:space="preserve">. </w:t>
      </w:r>
    </w:p>
    <w:p w14:paraId="4AB4BA4C" w14:textId="025770A0" w:rsidR="00D6766F" w:rsidRPr="009E5026" w:rsidRDefault="001137AB" w:rsidP="00FF4537">
      <w:pPr>
        <w:spacing w:line="480" w:lineRule="auto"/>
      </w:pPr>
      <w:r w:rsidRPr="009E5026">
        <w:t>Three s</w:t>
      </w:r>
      <w:r w:rsidR="00B77EE5" w:rsidRPr="009E5026">
        <w:t>cientist</w:t>
      </w:r>
      <w:r w:rsidR="00505B67" w:rsidRPr="009E5026">
        <w:t>s</w:t>
      </w:r>
      <w:r w:rsidR="00704430" w:rsidRPr="009E5026">
        <w:t>, each</w:t>
      </w:r>
      <w:r w:rsidRPr="009E5026">
        <w:t xml:space="preserve"> with</w:t>
      </w:r>
      <w:r w:rsidR="00B77EE5" w:rsidRPr="009E5026">
        <w:t xml:space="preserve"> over </w:t>
      </w:r>
      <w:r w:rsidR="00D6766F" w:rsidRPr="009E5026">
        <w:t>eight</w:t>
      </w:r>
      <w:r w:rsidR="00B77EE5" w:rsidRPr="009E5026">
        <w:t xml:space="preserve"> years</w:t>
      </w:r>
      <w:r w:rsidR="006E2E5D" w:rsidRPr="009E5026">
        <w:t>’</w:t>
      </w:r>
      <w:r w:rsidR="00B77EE5" w:rsidRPr="009E5026">
        <w:t xml:space="preserve"> experience in </w:t>
      </w:r>
      <w:r w:rsidR="00096B45" w:rsidRPr="009E5026">
        <w:t>HSVA</w:t>
      </w:r>
      <w:r w:rsidR="00FE3F2C" w:rsidRPr="009E5026">
        <w:t>, one from each UK PCD diagnostic centres,</w:t>
      </w:r>
      <w:r w:rsidRPr="009E5026">
        <w:t xml:space="preserve"> </w:t>
      </w:r>
      <w:r w:rsidR="00B77EE5" w:rsidRPr="009E5026">
        <w:t xml:space="preserve">independently </w:t>
      </w:r>
      <w:r w:rsidR="003F1873" w:rsidRPr="009E5026">
        <w:t xml:space="preserve">viewed </w:t>
      </w:r>
      <w:r w:rsidR="004E7969" w:rsidRPr="009E5026">
        <w:t>720 videos from 120</w:t>
      </w:r>
      <w:r w:rsidR="004A4CE1" w:rsidRPr="009E5026">
        <w:t xml:space="preserve"> anonymi</w:t>
      </w:r>
      <w:r w:rsidR="0090427B" w:rsidRPr="009E5026">
        <w:t>s</w:t>
      </w:r>
      <w:r w:rsidR="004A4CE1" w:rsidRPr="009E5026">
        <w:t>ed</w:t>
      </w:r>
      <w:r w:rsidR="004E7969" w:rsidRPr="009E5026">
        <w:t xml:space="preserve"> patient samples (</w:t>
      </w:r>
      <w:r w:rsidR="00505B67" w:rsidRPr="009E5026">
        <w:t>six</w:t>
      </w:r>
      <w:r w:rsidR="000236A7" w:rsidRPr="009E5026">
        <w:t xml:space="preserve"> </w:t>
      </w:r>
      <w:r w:rsidR="004E7969" w:rsidRPr="009E5026">
        <w:t xml:space="preserve">videos per </w:t>
      </w:r>
      <w:r w:rsidR="000236A7" w:rsidRPr="009E5026">
        <w:t>sample</w:t>
      </w:r>
      <w:r w:rsidR="00BC1967" w:rsidRPr="009E5026">
        <w:t xml:space="preserve">, </w:t>
      </w:r>
      <w:r w:rsidR="001F72A5" w:rsidRPr="009E5026">
        <w:t>according to the UK standard diagnostic protocol</w:t>
      </w:r>
      <w:r w:rsidR="000236A7" w:rsidRPr="009E5026">
        <w:t>)</w:t>
      </w:r>
      <w:r w:rsidR="00F6712C" w:rsidRPr="009E5026">
        <w:t xml:space="preserve">. </w:t>
      </w:r>
      <w:r w:rsidR="00446437" w:rsidRPr="009E5026">
        <w:t>Scientists</w:t>
      </w:r>
      <w:r w:rsidR="00F6712C" w:rsidRPr="009E5026">
        <w:t xml:space="preserve"> score</w:t>
      </w:r>
      <w:r w:rsidR="00446437" w:rsidRPr="009E5026">
        <w:t>d</w:t>
      </w:r>
      <w:r w:rsidR="00F6712C" w:rsidRPr="009E5026">
        <w:t xml:space="preserve"> the collec</w:t>
      </w:r>
      <w:r w:rsidR="00446437" w:rsidRPr="009E5026">
        <w:t>tion of six videos derived from each sample</w:t>
      </w:r>
      <w:r w:rsidR="0072177E" w:rsidRPr="009E5026">
        <w:t>, blinded to other clinical or diagnostic data,</w:t>
      </w:r>
      <w:r w:rsidR="00F6712C" w:rsidRPr="009E5026">
        <w:t xml:space="preserve"> to provide a</w:t>
      </w:r>
      <w:r w:rsidR="0072177E" w:rsidRPr="009E5026">
        <w:t>-priori study</w:t>
      </w:r>
      <w:r w:rsidR="00F6712C" w:rsidRPr="009E5026">
        <w:t xml:space="preserve"> outcome</w:t>
      </w:r>
      <w:r w:rsidR="00446437" w:rsidRPr="009E5026">
        <w:t xml:space="preserve"> for each patient</w:t>
      </w:r>
      <w:r w:rsidR="0072177E" w:rsidRPr="009E5026">
        <w:t xml:space="preserve"> sample</w:t>
      </w:r>
      <w:r w:rsidRPr="009E5026">
        <w:t>: ‘PCD positive’, ‘PCD highly likely’, ‘PCD highly unlikely’ and ‘inconclusive’</w:t>
      </w:r>
      <w:r w:rsidR="0090427B" w:rsidRPr="009E5026">
        <w:t>, based on</w:t>
      </w:r>
      <w:r w:rsidR="00167846" w:rsidRPr="009E5026">
        <w:t xml:space="preserve"> qualitative assessment of</w:t>
      </w:r>
      <w:r w:rsidR="0090427B" w:rsidRPr="009E5026">
        <w:t xml:space="preserve"> CBP and</w:t>
      </w:r>
      <w:r w:rsidR="00167846" w:rsidRPr="009E5026">
        <w:t xml:space="preserve"> observed</w:t>
      </w:r>
      <w:r w:rsidR="0090427B" w:rsidRPr="009E5026">
        <w:t xml:space="preserve"> normality and abnormality in the samples analysed</w:t>
      </w:r>
      <w:r w:rsidR="003F1873" w:rsidRPr="009E5026">
        <w:t>.</w:t>
      </w:r>
      <w:r w:rsidR="009F779E" w:rsidRPr="009E5026">
        <w:t xml:space="preserve"> To calculate the intra-observer agreement after one year, each of the three scientists’ independently, and blinded to their initial assessment, re-assessed 20 patient-samples that were randomly selected</w:t>
      </w:r>
      <w:r w:rsidR="00B129A9" w:rsidRPr="009E5026">
        <w:t xml:space="preserve"> </w:t>
      </w:r>
      <w:r w:rsidR="009B0399" w:rsidRPr="009E5026">
        <w:t>[13]</w:t>
      </w:r>
      <w:r w:rsidR="009F779E" w:rsidRPr="009E5026">
        <w:t>. We applied the same proportions of positive, negative and inconclusive cases used in the selection of the original study sample (i.e. 50%, 30% and 20% respectively).</w:t>
      </w:r>
    </w:p>
    <w:p w14:paraId="125BC2B7" w14:textId="77777777" w:rsidR="00DB028C" w:rsidRPr="009E5026" w:rsidRDefault="00DB028C" w:rsidP="00FF4537">
      <w:pPr>
        <w:pStyle w:val="Heading2"/>
        <w:spacing w:line="480" w:lineRule="auto"/>
      </w:pPr>
      <w:r w:rsidRPr="009E5026">
        <w:t>Statistical analys</w:t>
      </w:r>
      <w:r w:rsidR="003D01BB" w:rsidRPr="009E5026">
        <w:t>e</w:t>
      </w:r>
      <w:r w:rsidRPr="009E5026">
        <w:t>s</w:t>
      </w:r>
    </w:p>
    <w:p w14:paraId="4D27B781" w14:textId="258F79F5" w:rsidR="005E6C03" w:rsidRPr="009E5026" w:rsidRDefault="00A13680" w:rsidP="00FF4537">
      <w:pPr>
        <w:spacing w:line="480" w:lineRule="auto"/>
      </w:pPr>
      <w:r w:rsidRPr="009E5026">
        <w:t>We stratified the total number of patients referred to each centre</w:t>
      </w:r>
      <w:r w:rsidR="0072177E" w:rsidRPr="009E5026">
        <w:t xml:space="preserve"> during the study period</w:t>
      </w:r>
      <w:r w:rsidRPr="009E5026">
        <w:t xml:space="preserve"> by their clinical diagnostic outcome, based on the MDT final report</w:t>
      </w:r>
      <w:r w:rsidR="009A7602" w:rsidRPr="009E5026">
        <w:t>:</w:t>
      </w:r>
      <w:r w:rsidRPr="009E5026">
        <w:t xml:space="preserve"> PCD positive</w:t>
      </w:r>
      <w:r w:rsidR="00584D39" w:rsidRPr="009E5026">
        <w:t xml:space="preserve"> (included PCD highly likely cases)</w:t>
      </w:r>
      <w:r w:rsidRPr="009E5026">
        <w:t xml:space="preserve">, PCD highly unlikely and inconclusive. We </w:t>
      </w:r>
      <w:r w:rsidR="0072177E" w:rsidRPr="009E5026">
        <w:t>used</w:t>
      </w:r>
      <w:r w:rsidRPr="009E5026">
        <w:t xml:space="preserve"> disproportional sampling in order to </w:t>
      </w:r>
      <w:r w:rsidR="00957980" w:rsidRPr="009E5026">
        <w:t xml:space="preserve">enhance </w:t>
      </w:r>
      <w:r w:rsidR="00C062F3" w:rsidRPr="009E5026">
        <w:t xml:space="preserve">the proportion of PCD positive cases </w:t>
      </w:r>
      <w:r w:rsidR="00F34A09" w:rsidRPr="009E5026">
        <w:t xml:space="preserve">and </w:t>
      </w:r>
      <w:r w:rsidR="00C062F3" w:rsidRPr="009E5026">
        <w:t>obtain sufficient data on subgroups of interest</w:t>
      </w:r>
      <w:r w:rsidR="00EC5349" w:rsidRPr="009E5026">
        <w:t xml:space="preserve"> </w:t>
      </w:r>
      <w:r w:rsidR="00EC5349" w:rsidRPr="009E5026">
        <w:rPr>
          <w:noProof/>
        </w:rPr>
        <w:t>[14</w:t>
      </w:r>
      <w:r w:rsidR="009B0399" w:rsidRPr="009E5026">
        <w:rPr>
          <w:noProof/>
        </w:rPr>
        <w:t>, 15</w:t>
      </w:r>
      <w:r w:rsidR="00EC5349" w:rsidRPr="009E5026">
        <w:rPr>
          <w:noProof/>
        </w:rPr>
        <w:t>]</w:t>
      </w:r>
      <w:r w:rsidR="009A7602" w:rsidRPr="009E5026">
        <w:t xml:space="preserve">. Therefore </w:t>
      </w:r>
      <w:r w:rsidR="00455B8A" w:rsidRPr="009E5026">
        <w:t>50%</w:t>
      </w:r>
      <w:r w:rsidR="00245693" w:rsidRPr="009E5026">
        <w:t xml:space="preserve"> of our total cohort w</w:t>
      </w:r>
      <w:r w:rsidR="009A7602" w:rsidRPr="009E5026">
        <w:t>ere</w:t>
      </w:r>
      <w:r w:rsidR="00245693" w:rsidRPr="009E5026">
        <w:t xml:space="preserve"> randomly sampled from the PCD positive or PCD highly likely strata, 30% from the PCD highly unlikely</w:t>
      </w:r>
      <w:r w:rsidR="00F34A09" w:rsidRPr="009E5026">
        <w:t xml:space="preserve"> stratum</w:t>
      </w:r>
      <w:r w:rsidR="005E6C03" w:rsidRPr="009E5026">
        <w:t xml:space="preserve"> and 20% from inconclusive.</w:t>
      </w:r>
      <w:r w:rsidR="00DD4272" w:rsidRPr="009E5026">
        <w:t xml:space="preserve"> </w:t>
      </w:r>
      <w:r w:rsidR="0094651A" w:rsidRPr="009E5026">
        <w:t>The sample size</w:t>
      </w:r>
      <w:r w:rsidR="00F34A09" w:rsidRPr="009E5026">
        <w:t xml:space="preserve"> needed</w:t>
      </w:r>
      <w:r w:rsidR="0094651A" w:rsidRPr="009E5026">
        <w:t xml:space="preserve"> to detect a sensitivity of 90% with +/- 0.9 confidence intervals was </w:t>
      </w:r>
      <w:r w:rsidR="00DD4272" w:rsidRPr="009E5026">
        <w:t>90</w:t>
      </w:r>
      <w:r w:rsidR="00F34A09" w:rsidRPr="009E5026">
        <w:t xml:space="preserve"> patient samples</w:t>
      </w:r>
      <w:r w:rsidR="00DD4272" w:rsidRPr="009E5026">
        <w:t>.</w:t>
      </w:r>
    </w:p>
    <w:p w14:paraId="6549966F" w14:textId="04E90AEB" w:rsidR="00B9465A" w:rsidRPr="009E5026" w:rsidRDefault="00724B3F" w:rsidP="00FF4537">
      <w:pPr>
        <w:spacing w:line="480" w:lineRule="auto"/>
      </w:pPr>
      <w:r w:rsidRPr="009E5026">
        <w:lastRenderedPageBreak/>
        <w:t>T</w:t>
      </w:r>
      <w:r w:rsidR="00AA46E4" w:rsidRPr="009E5026">
        <w:t>o allow for</w:t>
      </w:r>
      <w:r w:rsidRPr="009E5026">
        <w:t xml:space="preserve"> </w:t>
      </w:r>
      <w:r w:rsidR="00AA46E4" w:rsidRPr="009E5026">
        <w:t>missing data</w:t>
      </w:r>
      <w:r w:rsidR="00AD7F9A" w:rsidRPr="009E5026">
        <w:t xml:space="preserve"> and indeterminate outcomes</w:t>
      </w:r>
      <w:r w:rsidRPr="009E5026">
        <w:t xml:space="preserve"> we </w:t>
      </w:r>
      <w:r w:rsidR="00AE0464" w:rsidRPr="009E5026">
        <w:t xml:space="preserve">randomly selected </w:t>
      </w:r>
      <w:r w:rsidRPr="009E5026">
        <w:t xml:space="preserve">120 patients </w:t>
      </w:r>
      <w:r w:rsidR="00AE0464" w:rsidRPr="009E5026">
        <w:t>from each outcome stratum</w:t>
      </w:r>
      <w:r w:rsidR="007769B4" w:rsidRPr="009E5026">
        <w:t>: 59 ‘PCD positive’, 36 ‘PCD highly unlikely’ and 25 ‘inconclusive’</w:t>
      </w:r>
      <w:r w:rsidR="00934840" w:rsidRPr="009E5026">
        <w:t>.</w:t>
      </w:r>
      <w:r w:rsidR="00AE0464" w:rsidRPr="009E5026">
        <w:t xml:space="preserve"> </w:t>
      </w:r>
      <w:r w:rsidR="00246DB0" w:rsidRPr="009E5026">
        <w:t>Randomi</w:t>
      </w:r>
      <w:r w:rsidR="003C492E" w:rsidRPr="009E5026">
        <w:t>s</w:t>
      </w:r>
      <w:r w:rsidR="00246DB0" w:rsidRPr="009E5026">
        <w:t>ation for each strat</w:t>
      </w:r>
      <w:r w:rsidR="00934840" w:rsidRPr="009E5026">
        <w:t>um</w:t>
      </w:r>
      <w:r w:rsidR="00246DB0" w:rsidRPr="009E5026">
        <w:t xml:space="preserve"> was performed in STATA</w:t>
      </w:r>
      <w:r w:rsidR="00F93329" w:rsidRPr="009E5026">
        <w:t>.</w:t>
      </w:r>
      <w:r w:rsidR="00D67D6D" w:rsidRPr="009E5026">
        <w:t xml:space="preserve"> </w:t>
      </w:r>
    </w:p>
    <w:p w14:paraId="60041B7E" w14:textId="77777777" w:rsidR="00BB38B6" w:rsidRPr="009E5026" w:rsidRDefault="00793F62" w:rsidP="00FF4537">
      <w:pPr>
        <w:spacing w:line="480" w:lineRule="auto"/>
      </w:pPr>
      <w:r w:rsidRPr="009E5026">
        <w:t xml:space="preserve">To calculate the accuracy of </w:t>
      </w:r>
      <w:r w:rsidR="00096B45" w:rsidRPr="009E5026">
        <w:t>HSVA</w:t>
      </w:r>
      <w:r w:rsidR="006D20F7" w:rsidRPr="009E5026">
        <w:t>,</w:t>
      </w:r>
      <w:r w:rsidR="0057107F" w:rsidRPr="009E5026">
        <w:t xml:space="preserve"> </w:t>
      </w:r>
      <w:r w:rsidR="007509F0" w:rsidRPr="009E5026">
        <w:t xml:space="preserve">we compared the outcomes by each of the </w:t>
      </w:r>
      <w:r w:rsidRPr="009E5026">
        <w:t>s</w:t>
      </w:r>
      <w:r w:rsidR="007509F0" w:rsidRPr="009E5026">
        <w:t>cientist</w:t>
      </w:r>
      <w:r w:rsidRPr="009E5026">
        <w:t>s</w:t>
      </w:r>
      <w:r w:rsidR="007509F0" w:rsidRPr="009E5026">
        <w:t xml:space="preserve"> to the </w:t>
      </w:r>
      <w:r w:rsidR="0027793C" w:rsidRPr="009E5026">
        <w:t>patient</w:t>
      </w:r>
      <w:r w:rsidR="007509F0" w:rsidRPr="009E5026">
        <w:t xml:space="preserve"> </w:t>
      </w:r>
      <w:r w:rsidR="00370FC5" w:rsidRPr="009E5026">
        <w:t xml:space="preserve">reference </w:t>
      </w:r>
      <w:r w:rsidR="007509F0" w:rsidRPr="009E5026">
        <w:t xml:space="preserve">outcome, using </w:t>
      </w:r>
      <w:r w:rsidR="007509F0" w:rsidRPr="009E5026">
        <w:rPr>
          <w:b/>
          <w:i/>
        </w:rPr>
        <w:t>a)</w:t>
      </w:r>
      <w:r w:rsidR="007509F0" w:rsidRPr="009E5026">
        <w:t xml:space="preserve"> the ERS guidelines, and </w:t>
      </w:r>
      <w:r w:rsidR="007509F0" w:rsidRPr="009E5026">
        <w:rPr>
          <w:b/>
          <w:i/>
        </w:rPr>
        <w:t>b)</w:t>
      </w:r>
      <w:r w:rsidR="0027793C" w:rsidRPr="009E5026">
        <w:t xml:space="preserve"> </w:t>
      </w:r>
      <w:r w:rsidR="007509F0" w:rsidRPr="009E5026">
        <w:t xml:space="preserve">the original MDT report. For </w:t>
      </w:r>
      <w:r w:rsidR="008A2A71" w:rsidRPr="009E5026">
        <w:rPr>
          <w:i/>
        </w:rPr>
        <w:t xml:space="preserve">reference </w:t>
      </w:r>
      <w:r w:rsidR="008A2A71" w:rsidRPr="009E5026">
        <w:rPr>
          <w:b/>
          <w:i/>
        </w:rPr>
        <w:t>a</w:t>
      </w:r>
      <w:r w:rsidR="008A2A71" w:rsidRPr="009E5026">
        <w:t>, we defined true positive as [‘PCD positive’ by scientist] divided by [‘PCD positive’ by reference]. Similarly, true negative was defined as [‘PCD highly unlikely’ by scientist] divided by [‘PCD highly unlikely’ by reference].</w:t>
      </w:r>
      <w:r w:rsidRPr="009E5026">
        <w:t xml:space="preserve"> </w:t>
      </w:r>
      <w:r w:rsidR="007509F0" w:rsidRPr="009E5026">
        <w:t xml:space="preserve">For </w:t>
      </w:r>
      <w:r w:rsidR="008A2A71" w:rsidRPr="009E5026">
        <w:rPr>
          <w:i/>
        </w:rPr>
        <w:t xml:space="preserve">reference </w:t>
      </w:r>
      <w:r w:rsidR="008A2A71" w:rsidRPr="009E5026">
        <w:rPr>
          <w:b/>
          <w:i/>
        </w:rPr>
        <w:t>b</w:t>
      </w:r>
      <w:r w:rsidR="008A2A71" w:rsidRPr="009E5026">
        <w:t>, we grouped ‘PCD positive’ and ‘PCD highly likely’ outcomes, since these are clinically managed similarly, and the ‘PCD highly likely’ group is likely to include true PCD patients with normal TEM where the genotype has not yet been resolved</w:t>
      </w:r>
      <w:r w:rsidR="005C262B" w:rsidRPr="009E5026">
        <w:t xml:space="preserve"> (Figure 2)</w:t>
      </w:r>
      <w:r w:rsidR="008A2A71" w:rsidRPr="009E5026">
        <w:t>. True positive was therefore defined as [‘PCD positive’ or ‘</w:t>
      </w:r>
      <w:r w:rsidRPr="009E5026">
        <w:t xml:space="preserve">PCD </w:t>
      </w:r>
      <w:r w:rsidR="008A2A71" w:rsidRPr="009E5026">
        <w:t>highly likely’ by scientist] divided by [‘PCD positive’ or ‘</w:t>
      </w:r>
      <w:r w:rsidRPr="009E5026">
        <w:t xml:space="preserve">PCD </w:t>
      </w:r>
      <w:r w:rsidR="008A2A71" w:rsidRPr="009E5026">
        <w:t xml:space="preserve">highly likely’ by MDT decision]. </w:t>
      </w:r>
      <w:r w:rsidRPr="009E5026">
        <w:t xml:space="preserve">True negatives were defined as described for </w:t>
      </w:r>
      <w:r w:rsidRPr="009E5026">
        <w:rPr>
          <w:i/>
        </w:rPr>
        <w:t xml:space="preserve">reference </w:t>
      </w:r>
      <w:r w:rsidRPr="009E5026">
        <w:rPr>
          <w:b/>
          <w:i/>
        </w:rPr>
        <w:t>a</w:t>
      </w:r>
      <w:r w:rsidR="008A2A71" w:rsidRPr="009E5026">
        <w:t>.</w:t>
      </w:r>
      <w:r w:rsidR="007509F0" w:rsidRPr="009E5026">
        <w:t xml:space="preserve"> </w:t>
      </w:r>
      <w:r w:rsidRPr="009E5026">
        <w:t>For both references, f</w:t>
      </w:r>
      <w:r w:rsidR="007509F0" w:rsidRPr="009E5026">
        <w:t xml:space="preserve">alse positive or false negative were determined when </w:t>
      </w:r>
      <w:r w:rsidR="00096B45" w:rsidRPr="009E5026">
        <w:t>HSVA</w:t>
      </w:r>
      <w:r w:rsidR="007509F0" w:rsidRPr="009E5026">
        <w:t xml:space="preserve"> scientists did not agree with reference. </w:t>
      </w:r>
    </w:p>
    <w:p w14:paraId="531D03C1" w14:textId="73DD6753" w:rsidR="00647FE0" w:rsidRPr="009E5026" w:rsidRDefault="00C062F3" w:rsidP="00FF4537">
      <w:pPr>
        <w:spacing w:line="480" w:lineRule="auto"/>
      </w:pPr>
      <w:r w:rsidRPr="009E5026">
        <w:t>We calculated the i</w:t>
      </w:r>
      <w:r w:rsidR="001B5358" w:rsidRPr="009E5026">
        <w:t>nter-</w:t>
      </w:r>
      <w:r w:rsidR="003C492E" w:rsidRPr="009E5026">
        <w:t>observer</w:t>
      </w:r>
      <w:r w:rsidR="00B55E4A" w:rsidRPr="009E5026">
        <w:t xml:space="preserve"> </w:t>
      </w:r>
      <w:r w:rsidR="003822E3" w:rsidRPr="009E5026">
        <w:t>repeatability</w:t>
      </w:r>
      <w:r w:rsidR="007E456D" w:rsidRPr="009E5026">
        <w:t xml:space="preserve"> </w:t>
      </w:r>
      <w:r w:rsidR="003822E3" w:rsidRPr="009E5026">
        <w:t>using Fleiss kappa coefficient</w:t>
      </w:r>
      <w:r w:rsidR="007E456D" w:rsidRPr="009E5026">
        <w:t xml:space="preserve"> for each diagnostic </w:t>
      </w:r>
      <w:r w:rsidR="00F34A09" w:rsidRPr="009E5026">
        <w:t>outcome</w:t>
      </w:r>
      <w:r w:rsidR="00FA2D26" w:rsidRPr="009E5026">
        <w:t xml:space="preserve"> </w:t>
      </w:r>
      <w:r w:rsidR="00EC5349" w:rsidRPr="009E5026">
        <w:rPr>
          <w:noProof/>
        </w:rPr>
        <w:t>[</w:t>
      </w:r>
      <w:r w:rsidR="009B0399" w:rsidRPr="009E5026">
        <w:rPr>
          <w:noProof/>
        </w:rPr>
        <w:t>16</w:t>
      </w:r>
      <w:r w:rsidR="00EC5349" w:rsidRPr="009E5026">
        <w:rPr>
          <w:noProof/>
        </w:rPr>
        <w:t>]</w:t>
      </w:r>
      <w:r w:rsidR="00F93329" w:rsidRPr="009E5026">
        <w:t>.</w:t>
      </w:r>
      <w:r w:rsidR="00BB38B6" w:rsidRPr="009E5026">
        <w:t xml:space="preserve"> We calculated the intra-observer repeatability for each of the scientists using Cohen kappa coefficient, with bootstrapped confidence intervals (</w:t>
      </w:r>
      <w:r w:rsidR="00BB38B6" w:rsidRPr="009E5026">
        <w:rPr>
          <w:i/>
        </w:rPr>
        <w:t>n</w:t>
      </w:r>
      <w:r w:rsidR="00BB38B6" w:rsidRPr="009E5026">
        <w:t>=5)</w:t>
      </w:r>
      <w:r w:rsidR="009B0399" w:rsidRPr="009E5026">
        <w:t xml:space="preserve"> [17</w:t>
      </w:r>
      <w:r w:rsidR="00B71075" w:rsidRPr="009E5026">
        <w:t>]</w:t>
      </w:r>
      <w:r w:rsidR="00BB38B6" w:rsidRPr="009E5026">
        <w:t>.</w:t>
      </w:r>
    </w:p>
    <w:p w14:paraId="13867C20" w14:textId="0FD1BFEF" w:rsidR="005E6E84" w:rsidRPr="009E5026" w:rsidRDefault="00AA07BA" w:rsidP="002F3C6B">
      <w:pPr>
        <w:spacing w:line="480" w:lineRule="auto"/>
      </w:pPr>
      <w:r w:rsidRPr="009E5026">
        <w:t>Data</w:t>
      </w:r>
      <w:r w:rsidR="00D01FD3" w:rsidRPr="009E5026">
        <w:t xml:space="preserve"> were analy</w:t>
      </w:r>
      <w:r w:rsidR="00B54E34" w:rsidRPr="009E5026">
        <w:t>s</w:t>
      </w:r>
      <w:r w:rsidR="003822E3" w:rsidRPr="009E5026">
        <w:t>ed in STATA version 14</w:t>
      </w:r>
      <w:r w:rsidR="00846781" w:rsidRPr="009E5026">
        <w:t>.0</w:t>
      </w:r>
      <w:r w:rsidR="003822E3" w:rsidRPr="009E5026">
        <w:t>.</w:t>
      </w:r>
      <w:r w:rsidR="00151DE3" w:rsidRPr="009E5026">
        <w:t xml:space="preserve"> Continuous variables were presented as median and inter-quarter range (IQR) and</w:t>
      </w:r>
      <w:r w:rsidR="003822E3" w:rsidRPr="009E5026">
        <w:t xml:space="preserve"> </w:t>
      </w:r>
      <w:r w:rsidR="00151DE3" w:rsidRPr="009E5026">
        <w:t>c</w:t>
      </w:r>
      <w:r w:rsidR="003822E3" w:rsidRPr="009E5026">
        <w:t xml:space="preserve">ategorical variables </w:t>
      </w:r>
      <w:r w:rsidR="00246DB0" w:rsidRPr="009E5026">
        <w:t>we</w:t>
      </w:r>
      <w:r w:rsidR="003822E3" w:rsidRPr="009E5026">
        <w:t xml:space="preserve">re reported as proportions. </w:t>
      </w:r>
      <w:r w:rsidR="006C7465" w:rsidRPr="009E5026">
        <w:t>Sensitivity and specificity were presented with 95% confidence intervals (CI</w:t>
      </w:r>
      <w:r w:rsidR="00163326" w:rsidRPr="009E5026">
        <w:rPr>
          <w:vertAlign w:val="subscript"/>
        </w:rPr>
        <w:t>95%</w:t>
      </w:r>
      <w:r w:rsidR="006C7465" w:rsidRPr="009E5026">
        <w:t>), where appropriate.</w:t>
      </w:r>
      <w:r w:rsidR="009479F7" w:rsidRPr="009E5026">
        <w:t xml:space="preserve"> We report on both ag</w:t>
      </w:r>
      <w:r w:rsidR="00F34A09" w:rsidRPr="009E5026">
        <w:t>gregate and individual (i.e.</w:t>
      </w:r>
      <w:r w:rsidR="009479F7" w:rsidRPr="009E5026">
        <w:t xml:space="preserve"> each scientist) sensitivity and specificity of HSVA study outcomes compared to both reference</w:t>
      </w:r>
      <w:r w:rsidR="00783E01" w:rsidRPr="009E5026">
        <w:t xml:space="preserve"> standards</w:t>
      </w:r>
      <w:r w:rsidR="009479F7" w:rsidRPr="009E5026">
        <w:t xml:space="preserve">. </w:t>
      </w:r>
      <w:r w:rsidR="00F34A09" w:rsidRPr="009E5026">
        <w:t>We obtained three outcomes for each sample, one from each scientist. T</w:t>
      </w:r>
      <w:r w:rsidR="009479F7" w:rsidRPr="009E5026">
        <w:t>o adjust for clustering of data</w:t>
      </w:r>
      <w:r w:rsidR="0094651A" w:rsidRPr="009E5026">
        <w:t xml:space="preserve"> and provide robust confidence intervals</w:t>
      </w:r>
      <w:r w:rsidR="00F34A09" w:rsidRPr="009E5026">
        <w:t>,</w:t>
      </w:r>
      <w:r w:rsidR="009479F7" w:rsidRPr="009E5026">
        <w:t xml:space="preserve"> we used a generalised estimating equation</w:t>
      </w:r>
      <w:r w:rsidR="005E6E84" w:rsidRPr="009E5026">
        <w:t xml:space="preserve"> (GEE)</w:t>
      </w:r>
      <w:r w:rsidR="009479F7" w:rsidRPr="009E5026">
        <w:t xml:space="preserve"> model</w:t>
      </w:r>
      <w:r w:rsidR="00F34A09" w:rsidRPr="009E5026">
        <w:t xml:space="preserve"> when reporting on </w:t>
      </w:r>
      <w:r w:rsidR="00ED0620" w:rsidRPr="009E5026">
        <w:t xml:space="preserve">all </w:t>
      </w:r>
      <w:r w:rsidR="00F34A09" w:rsidRPr="009E5026">
        <w:t>aggregate diagnostic outcomes</w:t>
      </w:r>
      <w:r w:rsidR="00EC5349" w:rsidRPr="009E5026">
        <w:t xml:space="preserve"> </w:t>
      </w:r>
      <w:r w:rsidR="00EC5349" w:rsidRPr="009E5026">
        <w:rPr>
          <w:noProof/>
        </w:rPr>
        <w:t>[</w:t>
      </w:r>
      <w:r w:rsidR="00B71075" w:rsidRPr="009E5026">
        <w:rPr>
          <w:noProof/>
        </w:rPr>
        <w:t>1</w:t>
      </w:r>
      <w:r w:rsidR="009B0399" w:rsidRPr="009E5026">
        <w:rPr>
          <w:noProof/>
        </w:rPr>
        <w:t>8</w:t>
      </w:r>
      <w:r w:rsidR="00EC5349" w:rsidRPr="009E5026">
        <w:rPr>
          <w:noProof/>
        </w:rPr>
        <w:t>]</w:t>
      </w:r>
      <w:r w:rsidR="0094651A" w:rsidRPr="009E5026">
        <w:t>.</w:t>
      </w:r>
    </w:p>
    <w:p w14:paraId="68485F47" w14:textId="7CBCF323" w:rsidR="002F3C6B" w:rsidRPr="009E5026" w:rsidRDefault="00783E01" w:rsidP="002F3C6B">
      <w:pPr>
        <w:spacing w:line="480" w:lineRule="auto"/>
      </w:pPr>
      <w:r w:rsidRPr="009E5026">
        <w:lastRenderedPageBreak/>
        <w:t>To deal with</w:t>
      </w:r>
      <w:r w:rsidR="005E6E84" w:rsidRPr="009E5026">
        <w:t xml:space="preserve"> </w:t>
      </w:r>
      <w:r w:rsidR="009B6A89" w:rsidRPr="009E5026">
        <w:t>‘</w:t>
      </w:r>
      <w:r w:rsidR="005E6E84" w:rsidRPr="009E5026">
        <w:t>inconclusive</w:t>
      </w:r>
      <w:r w:rsidR="009B6A89" w:rsidRPr="009E5026">
        <w:t>’</w:t>
      </w:r>
      <w:r w:rsidR="005E6E84" w:rsidRPr="009E5026">
        <w:t xml:space="preserve"> </w:t>
      </w:r>
      <w:r w:rsidR="00EF38BF" w:rsidRPr="009E5026">
        <w:t xml:space="preserve">study </w:t>
      </w:r>
      <w:r w:rsidR="005E6E84" w:rsidRPr="009E5026">
        <w:t xml:space="preserve">outcomes, test accuracy was also calculated using </w:t>
      </w:r>
      <w:r w:rsidR="002F2874" w:rsidRPr="009E5026">
        <w:t>the ‘</w:t>
      </w:r>
      <w:r w:rsidR="005E6E84" w:rsidRPr="009E5026">
        <w:t>worst-case scenario</w:t>
      </w:r>
      <w:r w:rsidR="002F2874" w:rsidRPr="009E5026">
        <w:t>’</w:t>
      </w:r>
      <w:r w:rsidR="005E6E84" w:rsidRPr="009E5026">
        <w:t xml:space="preserve"> approach, where </w:t>
      </w:r>
      <w:r w:rsidR="009B6A89" w:rsidRPr="009E5026">
        <w:t>‘</w:t>
      </w:r>
      <w:r w:rsidR="005E6E84" w:rsidRPr="009E5026">
        <w:t>inconclusive</w:t>
      </w:r>
      <w:r w:rsidR="009B6A89" w:rsidRPr="009E5026">
        <w:t>’</w:t>
      </w:r>
      <w:r w:rsidR="005E6E84" w:rsidRPr="009E5026">
        <w:t xml:space="preserve"> </w:t>
      </w:r>
      <w:r w:rsidR="009B6A89" w:rsidRPr="009E5026">
        <w:t>were r</w:t>
      </w:r>
      <w:r w:rsidR="005E6E84" w:rsidRPr="009E5026">
        <w:t>ecoded as either ‘false positives’ or ‘false negatives’</w:t>
      </w:r>
      <w:r w:rsidR="00F34A09" w:rsidRPr="009E5026">
        <w:t xml:space="preserve"> and</w:t>
      </w:r>
      <w:r w:rsidR="005E6E84" w:rsidRPr="009E5026">
        <w:t xml:space="preserve"> adjusted for clustering using GEE mo</w:t>
      </w:r>
      <w:r w:rsidR="009B6A89" w:rsidRPr="009E5026">
        <w:t>delling</w:t>
      </w:r>
      <w:r w:rsidR="005E6E84" w:rsidRPr="009E5026">
        <w:t>.</w:t>
      </w:r>
      <w:r w:rsidR="00FA4E5B" w:rsidRPr="009E5026">
        <w:t xml:space="preserve"> </w:t>
      </w:r>
      <w:r w:rsidR="00412BBA" w:rsidRPr="009E5026">
        <w:t xml:space="preserve">Results </w:t>
      </w:r>
      <w:r w:rsidR="000309C2" w:rsidRPr="009E5026">
        <w:t xml:space="preserve">were </w:t>
      </w:r>
      <w:r w:rsidR="00412BBA" w:rsidRPr="009E5026">
        <w:t>reported according to the</w:t>
      </w:r>
      <w:r w:rsidR="002428CC" w:rsidRPr="009E5026">
        <w:t xml:space="preserve"> STARD 2015 guidelines on reporting of diagnostic test accuracy </w:t>
      </w:r>
      <w:r w:rsidR="004317BE" w:rsidRPr="009E5026">
        <w:t>studies</w:t>
      </w:r>
      <w:r w:rsidR="00EC5349" w:rsidRPr="009E5026">
        <w:t xml:space="preserve"> </w:t>
      </w:r>
      <w:r w:rsidR="00EC5349" w:rsidRPr="009E5026">
        <w:rPr>
          <w:noProof/>
        </w:rPr>
        <w:t>[</w:t>
      </w:r>
      <w:r w:rsidR="00B71075" w:rsidRPr="009E5026">
        <w:rPr>
          <w:noProof/>
        </w:rPr>
        <w:t>1</w:t>
      </w:r>
      <w:r w:rsidR="009B0399" w:rsidRPr="009E5026">
        <w:rPr>
          <w:noProof/>
        </w:rPr>
        <w:t>9</w:t>
      </w:r>
      <w:r w:rsidR="00EC5349" w:rsidRPr="009E5026">
        <w:rPr>
          <w:noProof/>
        </w:rPr>
        <w:t>]</w:t>
      </w:r>
      <w:r w:rsidR="00C95676" w:rsidRPr="009E5026">
        <w:t>.</w:t>
      </w:r>
    </w:p>
    <w:p w14:paraId="7C93D9E9" w14:textId="7D203B7D" w:rsidR="00333C25" w:rsidRPr="009E5026" w:rsidRDefault="00333C25" w:rsidP="002F3C6B">
      <w:pPr>
        <w:pStyle w:val="Heading1"/>
        <w:rPr>
          <w:color w:val="2E74B5" w:themeColor="accent1" w:themeShade="BF"/>
          <w:lang w:val="en"/>
        </w:rPr>
      </w:pPr>
      <w:r w:rsidRPr="009E5026">
        <w:rPr>
          <w:color w:val="2E74B5" w:themeColor="accent1" w:themeShade="BF"/>
          <w:lang w:val="en"/>
        </w:rPr>
        <w:t>Results</w:t>
      </w:r>
    </w:p>
    <w:p w14:paraId="2C82F525" w14:textId="77C87235" w:rsidR="00F30B68" w:rsidRPr="009E5026" w:rsidRDefault="00270986" w:rsidP="00FF4537">
      <w:pPr>
        <w:spacing w:line="480" w:lineRule="auto"/>
      </w:pPr>
      <w:r w:rsidRPr="009E5026" w:rsidDel="00A91D04">
        <w:t>The three diagnostic cent</w:t>
      </w:r>
      <w:r w:rsidR="00470414" w:rsidRPr="009E5026" w:rsidDel="00A91D04">
        <w:t>r</w:t>
      </w:r>
      <w:r w:rsidR="00A13680" w:rsidRPr="009E5026">
        <w:t>e</w:t>
      </w:r>
      <w:r w:rsidRPr="009E5026" w:rsidDel="00A91D04">
        <w:t>s received a total of</w:t>
      </w:r>
      <w:r w:rsidR="00370FC5" w:rsidRPr="009E5026" w:rsidDel="00A91D04">
        <w:t xml:space="preserve"> 1286 referrals </w:t>
      </w:r>
      <w:r w:rsidRPr="009E5026" w:rsidDel="00A91D04">
        <w:t>from J</w:t>
      </w:r>
      <w:r w:rsidR="00370FC5" w:rsidRPr="009E5026" w:rsidDel="00A91D04">
        <w:t>anuary 2015 to April 2017</w:t>
      </w:r>
      <w:r w:rsidR="00EF38BF" w:rsidRPr="009E5026">
        <w:t xml:space="preserve">; </w:t>
      </w:r>
      <w:r w:rsidR="00F34A09" w:rsidRPr="009E5026">
        <w:t>115 were</w:t>
      </w:r>
      <w:r w:rsidR="00A13680" w:rsidRPr="009E5026">
        <w:t xml:space="preserve"> PCD positive after review by the MDT, 852 were negative and 305 were inconclusive. </w:t>
      </w:r>
      <w:r w:rsidR="00C95676" w:rsidRPr="009E5026">
        <w:t>T</w:t>
      </w:r>
      <w:r w:rsidR="00A13680" w:rsidRPr="009E5026">
        <w:t xml:space="preserve">hirteen nasal brushing samples were deemed insufficient for </w:t>
      </w:r>
      <w:r w:rsidR="00EF38BF" w:rsidRPr="009E5026">
        <w:t>analysis</w:t>
      </w:r>
      <w:r w:rsidR="00A13680" w:rsidRPr="009E5026">
        <w:t xml:space="preserve">. </w:t>
      </w:r>
      <w:r w:rsidR="00370FC5" w:rsidRPr="009E5026">
        <w:t>C</w:t>
      </w:r>
      <w:r w:rsidRPr="009E5026">
        <w:t xml:space="preserve">haracteristics of the patients whose videos were </w:t>
      </w:r>
      <w:r w:rsidR="00042CEE" w:rsidRPr="009E5026">
        <w:t>randomly selected for</w:t>
      </w:r>
      <w:r w:rsidR="00F311AD" w:rsidRPr="009E5026">
        <w:t xml:space="preserve"> the study are outlined in T</w:t>
      </w:r>
      <w:r w:rsidRPr="009E5026">
        <w:t>able 1</w:t>
      </w:r>
      <w:r w:rsidR="001B5358" w:rsidRPr="009E5026">
        <w:t>.</w:t>
      </w:r>
      <w:r w:rsidR="00981AB5" w:rsidRPr="009E5026">
        <w:t xml:space="preserve"> Clinical characteristics extracted were based on PICADAR, a PCD-specific diagnostic predictive tool</w:t>
      </w:r>
      <w:r w:rsidR="00F10B46" w:rsidRPr="009E5026">
        <w:t xml:space="preserve"> </w:t>
      </w:r>
      <w:r w:rsidR="00F10B46" w:rsidRPr="009E5026">
        <w:rPr>
          <w:noProof/>
        </w:rPr>
        <w:t>[</w:t>
      </w:r>
      <w:r w:rsidR="009B0399" w:rsidRPr="009E5026">
        <w:rPr>
          <w:noProof/>
        </w:rPr>
        <w:t>20</w:t>
      </w:r>
      <w:r w:rsidR="00F10B46" w:rsidRPr="009E5026">
        <w:rPr>
          <w:noProof/>
        </w:rPr>
        <w:t>]</w:t>
      </w:r>
      <w:r w:rsidR="00981AB5" w:rsidRPr="009E5026">
        <w:t>.</w:t>
      </w:r>
      <w:r w:rsidR="001B5358" w:rsidRPr="009E5026">
        <w:t xml:space="preserve"> </w:t>
      </w:r>
      <w:r w:rsidR="005B10FA" w:rsidRPr="009E5026">
        <w:t>Geneti</w:t>
      </w:r>
      <w:r w:rsidR="00767A95" w:rsidRPr="009E5026">
        <w:t xml:space="preserve">c results were available for 16 </w:t>
      </w:r>
      <w:r w:rsidR="005B10FA" w:rsidRPr="009E5026">
        <w:t xml:space="preserve">patients, of which </w:t>
      </w:r>
      <w:r w:rsidR="003C492E" w:rsidRPr="009E5026">
        <w:t>eight</w:t>
      </w:r>
      <w:r w:rsidR="005B10FA" w:rsidRPr="009E5026">
        <w:t xml:space="preserve"> showed bi-allelic pathogenic mutations in a PCD-causative gene (three in </w:t>
      </w:r>
      <w:r w:rsidR="005B10FA" w:rsidRPr="009E5026">
        <w:rPr>
          <w:i/>
        </w:rPr>
        <w:t>DNAH5</w:t>
      </w:r>
      <w:r w:rsidR="005B10FA" w:rsidRPr="009E5026">
        <w:t xml:space="preserve">, two in </w:t>
      </w:r>
      <w:r w:rsidR="005B10FA" w:rsidRPr="009E5026">
        <w:rPr>
          <w:i/>
        </w:rPr>
        <w:t>DNAH11</w:t>
      </w:r>
      <w:r w:rsidR="005B10FA" w:rsidRPr="009E5026">
        <w:t xml:space="preserve">, two in </w:t>
      </w:r>
      <w:r w:rsidR="005B10FA" w:rsidRPr="009E5026">
        <w:rPr>
          <w:i/>
        </w:rPr>
        <w:t>CCDC40</w:t>
      </w:r>
      <w:r w:rsidR="005B10FA" w:rsidRPr="009E5026">
        <w:t xml:space="preserve">, one in </w:t>
      </w:r>
      <w:r w:rsidR="005B10FA" w:rsidRPr="009E5026">
        <w:rPr>
          <w:i/>
        </w:rPr>
        <w:t>RSPH9</w:t>
      </w:r>
      <w:r w:rsidR="003C492E" w:rsidRPr="009E5026">
        <w:t xml:space="preserve">) </w:t>
      </w:r>
      <w:r w:rsidR="005B10FA" w:rsidRPr="009E5026">
        <w:t>and one in</w:t>
      </w:r>
      <w:r w:rsidR="003C492E" w:rsidRPr="009E5026">
        <w:t xml:space="preserve"> x-linked PCD gene</w:t>
      </w:r>
      <w:r w:rsidR="005B10FA" w:rsidRPr="009E5026">
        <w:t xml:space="preserve"> </w:t>
      </w:r>
      <w:r w:rsidR="003C492E" w:rsidRPr="009E5026">
        <w:t>(</w:t>
      </w:r>
      <w:r w:rsidR="005B10FA" w:rsidRPr="009E5026">
        <w:rPr>
          <w:i/>
        </w:rPr>
        <w:t>OFD1</w:t>
      </w:r>
      <w:r w:rsidR="00AC5432" w:rsidRPr="009E5026">
        <w:t xml:space="preserve">). </w:t>
      </w:r>
    </w:p>
    <w:p w14:paraId="37034A09" w14:textId="77777777" w:rsidR="00F30B68" w:rsidRPr="009E5026" w:rsidRDefault="008E53A3" w:rsidP="00FF4537">
      <w:pPr>
        <w:pStyle w:val="Heading2"/>
        <w:spacing w:line="480" w:lineRule="auto"/>
      </w:pPr>
      <w:r w:rsidRPr="009E5026">
        <w:t xml:space="preserve">Accuracy of </w:t>
      </w:r>
      <w:r w:rsidR="00096B45" w:rsidRPr="009E5026">
        <w:t>HSVA</w:t>
      </w:r>
      <w:r w:rsidRPr="009E5026">
        <w:t xml:space="preserve"> </w:t>
      </w:r>
      <w:r w:rsidR="00F30B68" w:rsidRPr="009E5026">
        <w:t xml:space="preserve">compared to </w:t>
      </w:r>
      <w:r w:rsidR="00777719" w:rsidRPr="009E5026">
        <w:t>the ERS defined outcomes</w:t>
      </w:r>
      <w:r w:rsidR="00F30B68" w:rsidRPr="009E5026">
        <w:t xml:space="preserve"> (</w:t>
      </w:r>
      <w:r w:rsidR="00F30B68" w:rsidRPr="009E5026">
        <w:rPr>
          <w:i/>
        </w:rPr>
        <w:t xml:space="preserve">reference </w:t>
      </w:r>
      <w:r w:rsidR="00F30B68" w:rsidRPr="009E5026">
        <w:rPr>
          <w:b/>
          <w:i/>
        </w:rPr>
        <w:t>a</w:t>
      </w:r>
      <w:r w:rsidR="00F30B68" w:rsidRPr="009E5026">
        <w:t>)</w:t>
      </w:r>
    </w:p>
    <w:p w14:paraId="143BFA96" w14:textId="054B8398" w:rsidR="00F30B68" w:rsidRPr="009E5026" w:rsidRDefault="00F30B68" w:rsidP="00FF4537">
      <w:pPr>
        <w:spacing w:line="480" w:lineRule="auto"/>
      </w:pPr>
      <w:r w:rsidRPr="009E5026">
        <w:t xml:space="preserve">Using the ERS PCD </w:t>
      </w:r>
      <w:r w:rsidR="00280DFC" w:rsidRPr="009E5026">
        <w:t>d</w:t>
      </w:r>
      <w:r w:rsidRPr="009E5026">
        <w:t xml:space="preserve">iagnostic </w:t>
      </w:r>
      <w:r w:rsidR="00280DFC" w:rsidRPr="009E5026">
        <w:t>g</w:t>
      </w:r>
      <w:r w:rsidRPr="009E5026">
        <w:t xml:space="preserve">uidelines, 36 </w:t>
      </w:r>
      <w:r w:rsidR="00487641" w:rsidRPr="009E5026">
        <w:t xml:space="preserve">patient </w:t>
      </w:r>
      <w:r w:rsidRPr="009E5026">
        <w:t>samples were ‘PCD positive’, 16 were ‘PCD highly likely’, 26 were ‘PCD highly unlikely’ and 42 were ‘inconclusive’ (</w:t>
      </w:r>
      <w:r w:rsidR="00C83060" w:rsidRPr="009E5026">
        <w:t xml:space="preserve">see Table </w:t>
      </w:r>
      <w:r w:rsidR="00610681" w:rsidRPr="009E5026">
        <w:t>S</w:t>
      </w:r>
      <w:r w:rsidR="00C83060" w:rsidRPr="009E5026">
        <w:t xml:space="preserve">2 in </w:t>
      </w:r>
      <w:r w:rsidR="0077242D" w:rsidRPr="009E5026">
        <w:t>the online data supplement</w:t>
      </w:r>
      <w:r w:rsidRPr="009E5026">
        <w:t>).</w:t>
      </w:r>
    </w:p>
    <w:p w14:paraId="43424F39" w14:textId="02DE91AE" w:rsidR="00FA1FE6" w:rsidRPr="009E5026" w:rsidRDefault="00AB4583" w:rsidP="00FF4537">
      <w:pPr>
        <w:spacing w:line="480" w:lineRule="auto"/>
      </w:pPr>
      <w:r w:rsidRPr="009E5026">
        <w:t>There was excellent</w:t>
      </w:r>
      <w:r w:rsidR="00F30B68" w:rsidRPr="009E5026">
        <w:t xml:space="preserve"> sensitivity </w:t>
      </w:r>
      <w:r w:rsidRPr="009E5026">
        <w:t>(</w:t>
      </w:r>
      <w:r w:rsidR="00F30B68" w:rsidRPr="009E5026">
        <w:t>100%</w:t>
      </w:r>
      <w:r w:rsidRPr="009E5026">
        <w:t>)</w:t>
      </w:r>
      <w:r w:rsidR="00F30B68" w:rsidRPr="009E5026">
        <w:t xml:space="preserve"> and specificity</w:t>
      </w:r>
      <w:r w:rsidRPr="009E5026">
        <w:t xml:space="preserve"> (</w:t>
      </w:r>
      <w:r w:rsidR="00315D8D" w:rsidRPr="009E5026">
        <w:t>96.2%, CI</w:t>
      </w:r>
      <w:r w:rsidR="00315D8D" w:rsidRPr="009E5026">
        <w:rPr>
          <w:vertAlign w:val="subscript"/>
        </w:rPr>
        <w:t xml:space="preserve">95% </w:t>
      </w:r>
      <w:r w:rsidR="00315D8D" w:rsidRPr="009E5026">
        <w:t>91.7 to 100%</w:t>
      </w:r>
      <w:r w:rsidRPr="009E5026">
        <w:t>)</w:t>
      </w:r>
      <w:r w:rsidR="00C062F3" w:rsidRPr="009E5026">
        <w:t xml:space="preserve"> when</w:t>
      </w:r>
      <w:r w:rsidRPr="009E5026">
        <w:t xml:space="preserve"> comparing the study decisions of </w:t>
      </w:r>
      <w:r w:rsidR="00096B45" w:rsidRPr="009E5026">
        <w:t>HSVA</w:t>
      </w:r>
      <w:r w:rsidR="00280DFC" w:rsidRPr="009E5026">
        <w:t xml:space="preserve"> </w:t>
      </w:r>
      <w:r w:rsidRPr="009E5026">
        <w:t>scientists to the diagnostic outcome</w:t>
      </w:r>
      <w:r w:rsidR="00F30B68" w:rsidRPr="009E5026">
        <w:t xml:space="preserve"> based on</w:t>
      </w:r>
      <w:r w:rsidR="00280DFC" w:rsidRPr="009E5026">
        <w:t xml:space="preserve"> </w:t>
      </w:r>
      <w:r w:rsidR="00C95A1C" w:rsidRPr="009E5026">
        <w:t xml:space="preserve">outcomes defined by </w:t>
      </w:r>
      <w:r w:rsidR="00280DFC" w:rsidRPr="009E5026">
        <w:t>the</w:t>
      </w:r>
      <w:r w:rsidR="00F30B68" w:rsidRPr="009E5026">
        <w:t xml:space="preserve"> </w:t>
      </w:r>
      <w:r w:rsidR="00D86D3B" w:rsidRPr="009E5026">
        <w:t xml:space="preserve">ERS PCD </w:t>
      </w:r>
      <w:r w:rsidR="00280DFC" w:rsidRPr="009E5026">
        <w:t>g</w:t>
      </w:r>
      <w:r w:rsidRPr="009E5026">
        <w:t>uideline</w:t>
      </w:r>
      <w:r w:rsidR="00C95A1C" w:rsidRPr="009E5026">
        <w:t>s</w:t>
      </w:r>
      <w:r w:rsidRPr="009E5026">
        <w:t xml:space="preserve">. </w:t>
      </w:r>
      <w:r w:rsidR="00F30B68" w:rsidRPr="009E5026">
        <w:t xml:space="preserve">(Table </w:t>
      </w:r>
      <w:r w:rsidR="00EC1FFE" w:rsidRPr="009E5026">
        <w:t>2</w:t>
      </w:r>
      <w:r w:rsidR="00F30B68" w:rsidRPr="009E5026">
        <w:t>).</w:t>
      </w:r>
      <w:r w:rsidR="00FC00A7" w:rsidRPr="009E5026">
        <w:t xml:space="preserve"> </w:t>
      </w:r>
      <w:r w:rsidR="00ED0620" w:rsidRPr="009E5026">
        <w:t>Specificity results were adjusted for clustering; however, it</w:t>
      </w:r>
      <w:r w:rsidR="00FC00A7" w:rsidRPr="009E5026">
        <w:t xml:space="preserve"> was not possible to </w:t>
      </w:r>
      <w:r w:rsidR="00315D8D" w:rsidRPr="009E5026">
        <w:t>adjust</w:t>
      </w:r>
      <w:r w:rsidR="00FC00A7" w:rsidRPr="009E5026">
        <w:t xml:space="preserve"> sensitivity as there were no </w:t>
      </w:r>
      <w:r w:rsidR="00315D8D" w:rsidRPr="009E5026">
        <w:t>‘</w:t>
      </w:r>
      <w:r w:rsidR="00FC00A7" w:rsidRPr="009E5026">
        <w:t>false negatives</w:t>
      </w:r>
      <w:r w:rsidR="00315D8D" w:rsidRPr="009E5026">
        <w:t>’</w:t>
      </w:r>
      <w:r w:rsidR="00FC00A7" w:rsidRPr="009E5026">
        <w:t xml:space="preserve"> observed.</w:t>
      </w:r>
      <w:r w:rsidR="0094651A" w:rsidRPr="009E5026">
        <w:t xml:space="preserve"> </w:t>
      </w:r>
      <w:r w:rsidR="00FA4E5B" w:rsidRPr="009E5026">
        <w:t>‘</w:t>
      </w:r>
      <w:r w:rsidR="0094651A" w:rsidRPr="009E5026">
        <w:t>W</w:t>
      </w:r>
      <w:r w:rsidR="00FA1FE6" w:rsidRPr="009E5026">
        <w:t>orst-case scenario</w:t>
      </w:r>
      <w:r w:rsidR="00FA4E5B" w:rsidRPr="009E5026">
        <w:t>’</w:t>
      </w:r>
      <w:r w:rsidR="0094651A" w:rsidRPr="009E5026">
        <w:t xml:space="preserve"> combined with GEE modelling showed that</w:t>
      </w:r>
      <w:r w:rsidR="00FA1FE6" w:rsidRPr="009E5026">
        <w:t xml:space="preserve"> sensitivity remained high (93.3%, CI</w:t>
      </w:r>
      <w:r w:rsidR="00FA1FE6" w:rsidRPr="009E5026">
        <w:rPr>
          <w:vertAlign w:val="subscript"/>
        </w:rPr>
        <w:t>95%</w:t>
      </w:r>
      <w:r w:rsidR="00FA1FE6" w:rsidRPr="009E5026">
        <w:t xml:space="preserve"> 92.0 to 100%) but specificity decre</w:t>
      </w:r>
      <w:r w:rsidR="00FA4E5B" w:rsidRPr="009E5026">
        <w:t>ased</w:t>
      </w:r>
      <w:r w:rsidR="00FA1FE6" w:rsidRPr="009E5026">
        <w:t xml:space="preserve"> from 96.2% to 67.9% (</w:t>
      </w:r>
      <w:r w:rsidR="00934840" w:rsidRPr="009E5026">
        <w:t>CI</w:t>
      </w:r>
      <w:r w:rsidR="00934840" w:rsidRPr="009E5026">
        <w:rPr>
          <w:vertAlign w:val="subscript"/>
        </w:rPr>
        <w:t>95%</w:t>
      </w:r>
      <w:r w:rsidR="00934840" w:rsidRPr="009E5026">
        <w:t xml:space="preserve"> </w:t>
      </w:r>
      <w:r w:rsidR="00FA1FE6" w:rsidRPr="009E5026">
        <w:t>58.7 to 77.2%).</w:t>
      </w:r>
    </w:p>
    <w:p w14:paraId="50F40DB7" w14:textId="7821280D" w:rsidR="00F30B68" w:rsidRPr="009E5026" w:rsidRDefault="00C062F3" w:rsidP="00FF4537">
      <w:pPr>
        <w:spacing w:line="480" w:lineRule="auto"/>
      </w:pPr>
      <w:r w:rsidRPr="009E5026">
        <w:t>I</w:t>
      </w:r>
      <w:r w:rsidR="00755E09" w:rsidRPr="009E5026">
        <w:t xml:space="preserve">ndividual scientists had similarly </w:t>
      </w:r>
      <w:r w:rsidR="00FA4E5B" w:rsidRPr="009E5026">
        <w:t>good</w:t>
      </w:r>
      <w:r w:rsidR="00755E09" w:rsidRPr="009E5026">
        <w:t xml:space="preserve"> </w:t>
      </w:r>
      <w:r w:rsidR="00072939" w:rsidRPr="009E5026">
        <w:t xml:space="preserve">accuracy </w:t>
      </w:r>
      <w:r w:rsidRPr="009E5026">
        <w:t>(</w:t>
      </w:r>
      <w:r w:rsidR="0077242D" w:rsidRPr="009E5026">
        <w:t xml:space="preserve">see Table </w:t>
      </w:r>
      <w:r w:rsidR="00610681" w:rsidRPr="009E5026">
        <w:t>S</w:t>
      </w:r>
      <w:r w:rsidR="0077242D" w:rsidRPr="009E5026">
        <w:t>2 in the online data supplement</w:t>
      </w:r>
      <w:r w:rsidR="00072939" w:rsidRPr="009E5026">
        <w:t>)</w:t>
      </w:r>
      <w:r w:rsidR="00280DFC" w:rsidRPr="009E5026">
        <w:t>.</w:t>
      </w:r>
      <w:r w:rsidR="00072939" w:rsidRPr="009E5026">
        <w:t xml:space="preserve"> </w:t>
      </w:r>
      <w:r w:rsidR="00FC00A7" w:rsidRPr="009E5026">
        <w:t>A</w:t>
      </w:r>
      <w:r w:rsidR="00755E09" w:rsidRPr="009E5026">
        <w:t xml:space="preserve"> </w:t>
      </w:r>
      <w:r w:rsidR="00FC073B" w:rsidRPr="009E5026">
        <w:t>proportion</w:t>
      </w:r>
      <w:r w:rsidR="00755E09" w:rsidRPr="009E5026">
        <w:t xml:space="preserve"> of samples were reported as ‘highly likely’ or ‘inconclusive’ when using either study </w:t>
      </w:r>
      <w:r w:rsidR="00096B45" w:rsidRPr="009E5026">
        <w:t>HSVA</w:t>
      </w:r>
      <w:r w:rsidR="00755E09" w:rsidRPr="009E5026">
        <w:t xml:space="preserve"> </w:t>
      </w:r>
      <w:r w:rsidR="00755E09" w:rsidRPr="009E5026">
        <w:lastRenderedPageBreak/>
        <w:t xml:space="preserve">results alone or using the ERS </w:t>
      </w:r>
      <w:r w:rsidR="00A17A60" w:rsidRPr="009E5026">
        <w:t>guidelines</w:t>
      </w:r>
      <w:r w:rsidR="00755E09" w:rsidRPr="009E5026">
        <w:t xml:space="preserve"> and these outcomes </w:t>
      </w:r>
      <w:r w:rsidR="00B60C70" w:rsidRPr="009E5026">
        <w:t>could not be</w:t>
      </w:r>
      <w:r w:rsidR="00755E09" w:rsidRPr="009E5026">
        <w:t xml:space="preserve"> included in the accuracy calculations.</w:t>
      </w:r>
    </w:p>
    <w:p w14:paraId="3DBEFFFF" w14:textId="77777777" w:rsidR="00C02638" w:rsidRPr="009E5026" w:rsidRDefault="008E53A3" w:rsidP="00FF4537">
      <w:pPr>
        <w:pStyle w:val="Heading2"/>
        <w:spacing w:line="480" w:lineRule="auto"/>
      </w:pPr>
      <w:r w:rsidRPr="009E5026">
        <w:t xml:space="preserve">Accuracy of </w:t>
      </w:r>
      <w:r w:rsidR="00096B45" w:rsidRPr="009E5026">
        <w:t>HSVA</w:t>
      </w:r>
      <w:r w:rsidRPr="009E5026">
        <w:t xml:space="preserve"> </w:t>
      </w:r>
      <w:r w:rsidR="00806AF0" w:rsidRPr="009E5026">
        <w:t xml:space="preserve">compared to </w:t>
      </w:r>
      <w:r w:rsidR="00C02638" w:rsidRPr="009E5026">
        <w:t>MDT decision</w:t>
      </w:r>
      <w:r w:rsidR="005D4A77" w:rsidRPr="009E5026">
        <w:t xml:space="preserve"> </w:t>
      </w:r>
      <w:r w:rsidR="00806AF0" w:rsidRPr="009E5026">
        <w:t>(</w:t>
      </w:r>
      <w:r w:rsidR="00806AF0" w:rsidRPr="009E5026">
        <w:rPr>
          <w:i/>
        </w:rPr>
        <w:t xml:space="preserve">reference </w:t>
      </w:r>
      <w:r w:rsidR="00806AF0" w:rsidRPr="009E5026">
        <w:rPr>
          <w:b/>
          <w:i/>
        </w:rPr>
        <w:t>b</w:t>
      </w:r>
      <w:r w:rsidR="00806AF0" w:rsidRPr="009E5026">
        <w:t>)</w:t>
      </w:r>
    </w:p>
    <w:p w14:paraId="4139FAE7" w14:textId="058404DE" w:rsidR="002E3C58" w:rsidRPr="009E5026" w:rsidRDefault="00072939" w:rsidP="00FF4537">
      <w:pPr>
        <w:spacing w:line="480" w:lineRule="auto"/>
      </w:pPr>
      <w:r w:rsidRPr="009E5026">
        <w:t xml:space="preserve">Using the MDT diagnostic outcome as the reference standard, 59 patients were </w:t>
      </w:r>
      <w:r w:rsidR="00C062F3" w:rsidRPr="009E5026">
        <w:t>‘PCD</w:t>
      </w:r>
      <w:r w:rsidRPr="009E5026">
        <w:t xml:space="preserve"> positive</w:t>
      </w:r>
      <w:r w:rsidR="00C062F3" w:rsidRPr="009E5026">
        <w:t>’</w:t>
      </w:r>
      <w:r w:rsidRPr="009E5026">
        <w:t xml:space="preserve">, 36 </w:t>
      </w:r>
      <w:r w:rsidR="00C062F3" w:rsidRPr="009E5026">
        <w:t xml:space="preserve">‘PCD </w:t>
      </w:r>
      <w:r w:rsidRPr="009E5026">
        <w:t>highly unlikely</w:t>
      </w:r>
      <w:r w:rsidR="00C062F3" w:rsidRPr="009E5026">
        <w:t>’</w:t>
      </w:r>
      <w:r w:rsidRPr="009E5026">
        <w:t xml:space="preserve"> and 25 had inconclusive test results</w:t>
      </w:r>
      <w:r w:rsidR="00EC1FFE" w:rsidRPr="009E5026">
        <w:t xml:space="preserve"> (</w:t>
      </w:r>
      <w:r w:rsidR="0077242D" w:rsidRPr="009E5026">
        <w:t xml:space="preserve">see Table </w:t>
      </w:r>
      <w:r w:rsidR="00610681" w:rsidRPr="009E5026">
        <w:t>S</w:t>
      </w:r>
      <w:r w:rsidR="0077242D" w:rsidRPr="009E5026">
        <w:t>3 in the online data supplement</w:t>
      </w:r>
      <w:r w:rsidR="00EC1FFE" w:rsidRPr="009E5026">
        <w:t>)</w:t>
      </w:r>
      <w:r w:rsidRPr="009E5026">
        <w:t xml:space="preserve">. </w:t>
      </w:r>
      <w:r w:rsidR="001C2C4F" w:rsidRPr="009E5026">
        <w:t>There was</w:t>
      </w:r>
      <w:r w:rsidR="007C4879" w:rsidRPr="009E5026">
        <w:t xml:space="preserve"> </w:t>
      </w:r>
      <w:r w:rsidR="00826D2C" w:rsidRPr="009E5026">
        <w:t>excellent</w:t>
      </w:r>
      <w:r w:rsidR="00701CF1" w:rsidRPr="009E5026">
        <w:t xml:space="preserve"> </w:t>
      </w:r>
      <w:r w:rsidR="007C4879" w:rsidRPr="009E5026">
        <w:t>sensitivity (</w:t>
      </w:r>
      <w:r w:rsidR="00A17A60" w:rsidRPr="009E5026">
        <w:t>96.7%, CI</w:t>
      </w:r>
      <w:r w:rsidR="00A17A60" w:rsidRPr="009E5026">
        <w:rPr>
          <w:vertAlign w:val="subscript"/>
        </w:rPr>
        <w:t>95%</w:t>
      </w:r>
      <w:r w:rsidR="00A17A60" w:rsidRPr="009E5026">
        <w:t xml:space="preserve"> 92.9 to 100%</w:t>
      </w:r>
      <w:r w:rsidR="007C4879" w:rsidRPr="009E5026">
        <w:t>) and specificity (</w:t>
      </w:r>
      <w:r w:rsidR="00A17A60" w:rsidRPr="009E5026">
        <w:t>91.1%, CI</w:t>
      </w:r>
      <w:r w:rsidR="00A17A60" w:rsidRPr="009E5026">
        <w:rPr>
          <w:vertAlign w:val="subscript"/>
        </w:rPr>
        <w:t xml:space="preserve">95% </w:t>
      </w:r>
      <w:r w:rsidR="00A17A60" w:rsidRPr="009E5026">
        <w:t>85.3 to 96.9%</w:t>
      </w:r>
      <w:r w:rsidR="007C4879" w:rsidRPr="009E5026">
        <w:t xml:space="preserve">) </w:t>
      </w:r>
      <w:r w:rsidR="0046605D" w:rsidRPr="009E5026">
        <w:t xml:space="preserve">of </w:t>
      </w:r>
      <w:r w:rsidR="00826D2C" w:rsidRPr="009E5026">
        <w:t xml:space="preserve">study </w:t>
      </w:r>
      <w:r w:rsidR="00096B45" w:rsidRPr="009E5026">
        <w:t>HSVA</w:t>
      </w:r>
      <w:r w:rsidR="00826D2C" w:rsidRPr="009E5026">
        <w:t xml:space="preserve"> analysis</w:t>
      </w:r>
      <w:r w:rsidR="0046605D" w:rsidRPr="009E5026">
        <w:t xml:space="preserve"> com</w:t>
      </w:r>
      <w:r w:rsidR="001B5358" w:rsidRPr="009E5026">
        <w:t xml:space="preserve">pared to the original MDT </w:t>
      </w:r>
      <w:r w:rsidR="0046605D" w:rsidRPr="009E5026">
        <w:t xml:space="preserve">diagnostic </w:t>
      </w:r>
      <w:r w:rsidR="001B5358" w:rsidRPr="009E5026">
        <w:t>outcome</w:t>
      </w:r>
      <w:r w:rsidR="00547826" w:rsidRPr="009E5026">
        <w:t xml:space="preserve"> (Table </w:t>
      </w:r>
      <w:r w:rsidR="0013158B" w:rsidRPr="009E5026">
        <w:t>3</w:t>
      </w:r>
      <w:r w:rsidR="00547826" w:rsidRPr="009E5026">
        <w:t>)</w:t>
      </w:r>
      <w:r w:rsidR="000236A7" w:rsidRPr="009E5026">
        <w:t xml:space="preserve">. </w:t>
      </w:r>
      <w:r w:rsidR="00A17A60" w:rsidRPr="009E5026">
        <w:t>S</w:t>
      </w:r>
      <w:r w:rsidR="0094651A" w:rsidRPr="009E5026">
        <w:t xml:space="preserve">ensitivity dropped </w:t>
      </w:r>
      <w:r w:rsidR="00501AF4" w:rsidRPr="009E5026">
        <w:t>to 85.3% (CI</w:t>
      </w:r>
      <w:r w:rsidR="00501AF4" w:rsidRPr="009E5026">
        <w:rPr>
          <w:vertAlign w:val="subscript"/>
        </w:rPr>
        <w:t xml:space="preserve">95% </w:t>
      </w:r>
      <w:r w:rsidR="00501AF4" w:rsidRPr="009E5026">
        <w:t>78.0 to 92.6</w:t>
      </w:r>
      <w:r w:rsidR="0094651A" w:rsidRPr="009E5026">
        <w:t>%) and</w:t>
      </w:r>
      <w:r w:rsidR="00501AF4" w:rsidRPr="009E5026">
        <w:t xml:space="preserve"> </w:t>
      </w:r>
      <w:r w:rsidR="0094651A" w:rsidRPr="009E5026">
        <w:t>s</w:t>
      </w:r>
      <w:r w:rsidR="00501AF4" w:rsidRPr="009E5026">
        <w:t>pecificity to 67.6% (CI</w:t>
      </w:r>
      <w:r w:rsidR="00501AF4" w:rsidRPr="009E5026">
        <w:rPr>
          <w:vertAlign w:val="subscript"/>
        </w:rPr>
        <w:t xml:space="preserve">95% </w:t>
      </w:r>
      <w:r w:rsidR="0094651A" w:rsidRPr="009E5026">
        <w:t>58.4 to 76.8%)</w:t>
      </w:r>
      <w:r w:rsidR="00A17A60" w:rsidRPr="009E5026">
        <w:t xml:space="preserve"> when calculating accuracy using the ‘worse-case’ approach</w:t>
      </w:r>
      <w:r w:rsidR="00205F12" w:rsidRPr="009E5026">
        <w:t>.</w:t>
      </w:r>
      <w:r w:rsidR="00FA1FE6" w:rsidRPr="009E5026">
        <w:t xml:space="preserve"> </w:t>
      </w:r>
      <w:r w:rsidR="00501AF4" w:rsidRPr="009E5026">
        <w:t>Individual scientist s</w:t>
      </w:r>
      <w:r w:rsidR="0066410C" w:rsidRPr="009E5026">
        <w:t>ensitivity ranged from 95.9</w:t>
      </w:r>
      <w:r w:rsidR="00A17A60" w:rsidRPr="009E5026">
        <w:t>% to 100% and specificity</w:t>
      </w:r>
      <w:r w:rsidR="0066410C" w:rsidRPr="009E5026">
        <w:t xml:space="preserve"> from 66.7% to 100% </w:t>
      </w:r>
      <w:r w:rsidR="009E2F6C" w:rsidRPr="009E5026">
        <w:t>(</w:t>
      </w:r>
      <w:r w:rsidR="0077242D" w:rsidRPr="009E5026">
        <w:t xml:space="preserve">see Table </w:t>
      </w:r>
      <w:r w:rsidR="00610681" w:rsidRPr="009E5026">
        <w:t>S</w:t>
      </w:r>
      <w:r w:rsidR="0077242D" w:rsidRPr="009E5026">
        <w:t>3 in the online data supplement</w:t>
      </w:r>
      <w:r w:rsidR="009E2F6C" w:rsidRPr="009E5026">
        <w:t>).</w:t>
      </w:r>
    </w:p>
    <w:p w14:paraId="0E076D3C" w14:textId="49D274DD" w:rsidR="00893319" w:rsidRPr="009E5026" w:rsidRDefault="00893319" w:rsidP="00FF4537">
      <w:pPr>
        <w:spacing w:line="480" w:lineRule="auto"/>
      </w:pPr>
      <w:r w:rsidRPr="009E5026">
        <w:t xml:space="preserve">Twenty-five cases remained </w:t>
      </w:r>
      <w:r w:rsidR="00EC1FFE" w:rsidRPr="009E5026">
        <w:t>‘</w:t>
      </w:r>
      <w:r w:rsidRPr="009E5026">
        <w:t>inconclusi</w:t>
      </w:r>
      <w:r w:rsidR="00535E01" w:rsidRPr="009E5026">
        <w:t>ve</w:t>
      </w:r>
      <w:r w:rsidR="00EC1FFE" w:rsidRPr="009E5026">
        <w:t>’</w:t>
      </w:r>
      <w:r w:rsidR="0013158B" w:rsidRPr="009E5026">
        <w:t xml:space="preserve"> after review by MDT (Table 3</w:t>
      </w:r>
      <w:r w:rsidRPr="009E5026">
        <w:t xml:space="preserve">). These were difficult </w:t>
      </w:r>
      <w:r w:rsidR="00072939" w:rsidRPr="009E5026">
        <w:t xml:space="preserve">clinical </w:t>
      </w:r>
      <w:r w:rsidRPr="009E5026">
        <w:t>diagn</w:t>
      </w:r>
      <w:r w:rsidR="00072939" w:rsidRPr="009E5026">
        <w:t>ostic cases that required further</w:t>
      </w:r>
      <w:r w:rsidRPr="009E5026">
        <w:t xml:space="preserve"> brushing and/or additional diagnostic testing. </w:t>
      </w:r>
      <w:r w:rsidR="00072939" w:rsidRPr="009E5026">
        <w:t>The scientists reported a similar number of samples as inconclusive (mean 28 samples</w:t>
      </w:r>
      <w:r w:rsidR="00EE6AFC" w:rsidRPr="009E5026">
        <w:t xml:space="preserve">; range </w:t>
      </w:r>
      <w:r w:rsidR="00EC1FFE" w:rsidRPr="009E5026">
        <w:t>21</w:t>
      </w:r>
      <w:r w:rsidR="00EE6AFC" w:rsidRPr="009E5026">
        <w:t>-</w:t>
      </w:r>
      <w:r w:rsidR="00EC1FFE" w:rsidRPr="009E5026">
        <w:t>33</w:t>
      </w:r>
      <w:r w:rsidR="00072939" w:rsidRPr="009E5026">
        <w:t>)</w:t>
      </w:r>
      <w:r w:rsidRPr="009E5026">
        <w:t xml:space="preserve"> despite the fact that the</w:t>
      </w:r>
      <w:r w:rsidR="00A17A60" w:rsidRPr="009E5026">
        <w:t>y</w:t>
      </w:r>
      <w:r w:rsidRPr="009E5026">
        <w:t xml:space="preserve"> had to rely on </w:t>
      </w:r>
      <w:r w:rsidR="00096B45" w:rsidRPr="009E5026">
        <w:t>HSVA</w:t>
      </w:r>
      <w:r w:rsidRPr="009E5026">
        <w:t xml:space="preserve"> images alone while the MDT had the full range of clinical and diagnostic information at their disposal</w:t>
      </w:r>
      <w:r w:rsidR="00F56A4C" w:rsidRPr="009E5026">
        <w:t xml:space="preserve"> (</w:t>
      </w:r>
      <w:r w:rsidR="0077242D" w:rsidRPr="009E5026">
        <w:t xml:space="preserve">see Table </w:t>
      </w:r>
      <w:r w:rsidR="00610681" w:rsidRPr="009E5026">
        <w:t>S</w:t>
      </w:r>
      <w:r w:rsidR="0077242D" w:rsidRPr="009E5026">
        <w:t>3 in the online data supplement</w:t>
      </w:r>
      <w:r w:rsidR="00F56A4C" w:rsidRPr="009E5026">
        <w:t>)</w:t>
      </w:r>
      <w:r w:rsidRPr="009E5026">
        <w:t xml:space="preserve">. </w:t>
      </w:r>
    </w:p>
    <w:p w14:paraId="7C4FD3D0" w14:textId="370A0467" w:rsidR="00F30B68" w:rsidRPr="009E5026" w:rsidRDefault="00F30B68" w:rsidP="00FF4537">
      <w:pPr>
        <w:spacing w:line="480" w:lineRule="auto"/>
      </w:pPr>
      <w:r w:rsidRPr="009E5026">
        <w:t xml:space="preserve">Two cases were classified as ‘PCD highly likely’ by both ERS guideline and the MDT, but either ‘PCD highly unlikely ’or ‘inconclusive’ by the </w:t>
      </w:r>
      <w:r w:rsidR="00096B45" w:rsidRPr="009E5026">
        <w:t>HSVA</w:t>
      </w:r>
      <w:r w:rsidRPr="009E5026">
        <w:t xml:space="preserve"> scientists (</w:t>
      </w:r>
      <w:r w:rsidR="0077242D" w:rsidRPr="009E5026">
        <w:t xml:space="preserve">see Table </w:t>
      </w:r>
      <w:r w:rsidR="00610681" w:rsidRPr="009E5026">
        <w:t>S</w:t>
      </w:r>
      <w:r w:rsidR="0077242D" w:rsidRPr="009E5026">
        <w:t>3 in the online data supplement</w:t>
      </w:r>
      <w:r w:rsidRPr="009E5026">
        <w:t>). The original clinical records indicated that one case had an isolated inner dynein arm defect on TEM (i.e. not a hallmark abnormality) and five repeat brushings. CBF varied between low and normal on different occasions and CBP was described as “almost normal” in most brushing samples, some with observe</w:t>
      </w:r>
      <w:r w:rsidR="00E45FE5" w:rsidRPr="009E5026">
        <w:t>d muco</w:t>
      </w:r>
      <w:r w:rsidRPr="009E5026">
        <w:t xml:space="preserve">ciliary clearance. Two of the </w:t>
      </w:r>
      <w:r w:rsidR="00096B45" w:rsidRPr="009E5026">
        <w:t>HSVA</w:t>
      </w:r>
      <w:r w:rsidRPr="009E5026">
        <w:t xml:space="preserve"> scientists classified this sample as ‘PCD highly unlikely’ and one deemed it ‘inconclusive’. The second case had normal nNO, TEM and genetics for known causative genes but was diagnosed as ‘PCD highly likely’ based on “semi-rotating” CBP coupled with a sibling diagnosed with PCD exhibiting similar clinical symptoms </w:t>
      </w:r>
      <w:r w:rsidR="00E52E42" w:rsidRPr="009E5026">
        <w:t xml:space="preserve">and </w:t>
      </w:r>
      <w:r w:rsidR="00096B45" w:rsidRPr="009E5026">
        <w:t>HSVA</w:t>
      </w:r>
      <w:r w:rsidR="00E52E42" w:rsidRPr="009E5026">
        <w:t xml:space="preserve"> findings </w:t>
      </w:r>
      <w:r w:rsidRPr="009E5026">
        <w:t xml:space="preserve">to </w:t>
      </w:r>
      <w:r w:rsidRPr="009E5026">
        <w:lastRenderedPageBreak/>
        <w:t>the patient in question. Two scientists classified this sample as ‘highly unlikely’, while one said it was ‘inconclusive’. Both cases are currently treated as PCD (i.e. under management care by the PCD teams) but require further diagnostic testing before a definite diagno</w:t>
      </w:r>
      <w:r w:rsidR="008B62CF" w:rsidRPr="009E5026">
        <w:t>stic outcome can be determined.</w:t>
      </w:r>
    </w:p>
    <w:p w14:paraId="1D7DDC22" w14:textId="72D45865" w:rsidR="008E53A3" w:rsidRPr="009E5026" w:rsidRDefault="00BB38B6" w:rsidP="00FF4537">
      <w:pPr>
        <w:pStyle w:val="Heading2"/>
        <w:spacing w:line="480" w:lineRule="auto"/>
      </w:pPr>
      <w:r w:rsidRPr="009E5026">
        <w:t>Intra- and i</w:t>
      </w:r>
      <w:r w:rsidR="00974E83" w:rsidRPr="009E5026">
        <w:t>nter-</w:t>
      </w:r>
      <w:r w:rsidR="00B54E34" w:rsidRPr="009E5026">
        <w:t>observer</w:t>
      </w:r>
      <w:r w:rsidR="00974E83" w:rsidRPr="009E5026">
        <w:t xml:space="preserve"> reliability</w:t>
      </w:r>
    </w:p>
    <w:p w14:paraId="05A03D56" w14:textId="5750175F" w:rsidR="002F3C6B" w:rsidRPr="009E5026" w:rsidRDefault="00EE6AFC" w:rsidP="002F3C6B">
      <w:pPr>
        <w:spacing w:line="480" w:lineRule="auto"/>
        <w:rPr>
          <w:rFonts w:cstheme="minorHAnsi"/>
        </w:rPr>
      </w:pPr>
      <w:r w:rsidRPr="009E5026">
        <w:t>Using</w:t>
      </w:r>
      <w:r w:rsidR="008D3950" w:rsidRPr="009E5026">
        <w:t xml:space="preserve"> </w:t>
      </w:r>
      <w:r w:rsidR="00C74AAD" w:rsidRPr="009E5026">
        <w:t>Fleiss kappa agreement</w:t>
      </w:r>
      <w:r w:rsidR="00F25112" w:rsidRPr="009E5026">
        <w:t xml:space="preserve"> </w:t>
      </w:r>
      <w:r w:rsidR="00982A11" w:rsidRPr="009E5026">
        <w:t>to compare scoring between the three scientists</w:t>
      </w:r>
      <w:r w:rsidR="00BD529C" w:rsidRPr="009E5026">
        <w:t xml:space="preserve"> for each diagnostic outcome</w:t>
      </w:r>
      <w:r w:rsidR="00F56A4C" w:rsidRPr="009E5026">
        <w:t>,</w:t>
      </w:r>
      <w:r w:rsidRPr="009E5026">
        <w:t xml:space="preserve"> w</w:t>
      </w:r>
      <w:r w:rsidR="00863B20" w:rsidRPr="009E5026">
        <w:t xml:space="preserve">e found </w:t>
      </w:r>
      <w:r w:rsidR="00C74AAD" w:rsidRPr="009E5026">
        <w:t>substantial agreement (</w:t>
      </w:r>
      <w:r w:rsidR="00974E83" w:rsidRPr="009E5026">
        <w:rPr>
          <w:rFonts w:cstheme="minorHAnsi"/>
        </w:rPr>
        <w:t>κ</w:t>
      </w:r>
      <w:r w:rsidR="00C74AAD" w:rsidRPr="009E5026">
        <w:t>=0.7</w:t>
      </w:r>
      <w:r w:rsidR="00014674" w:rsidRPr="009E5026">
        <w:t>0</w:t>
      </w:r>
      <w:r w:rsidR="00C74AAD" w:rsidRPr="009E5026">
        <w:t xml:space="preserve">) for </w:t>
      </w:r>
      <w:r w:rsidR="009A1946" w:rsidRPr="009E5026">
        <w:t>‘</w:t>
      </w:r>
      <w:r w:rsidR="00C74AAD" w:rsidRPr="009E5026">
        <w:t>PCD positive</w:t>
      </w:r>
      <w:r w:rsidR="009A1946" w:rsidRPr="009E5026">
        <w:t>’</w:t>
      </w:r>
      <w:r w:rsidR="00C74AAD" w:rsidRPr="009E5026">
        <w:t xml:space="preserve"> and moderate agreement (</w:t>
      </w:r>
      <w:r w:rsidR="00974E83" w:rsidRPr="009E5026">
        <w:rPr>
          <w:rFonts w:cstheme="minorHAnsi"/>
        </w:rPr>
        <w:t>κ</w:t>
      </w:r>
      <w:r w:rsidR="00C74AAD" w:rsidRPr="009E5026">
        <w:t xml:space="preserve">=0.44) </w:t>
      </w:r>
      <w:r w:rsidR="0075342B" w:rsidRPr="009E5026">
        <w:t xml:space="preserve">for </w:t>
      </w:r>
      <w:r w:rsidR="009A1946" w:rsidRPr="009E5026">
        <w:t>‘</w:t>
      </w:r>
      <w:r w:rsidR="0075342B" w:rsidRPr="009E5026">
        <w:t>PCD highly unlikely</w:t>
      </w:r>
      <w:r w:rsidR="009A1946" w:rsidRPr="009E5026">
        <w:t>’</w:t>
      </w:r>
      <w:r w:rsidR="00AD428D" w:rsidRPr="009E5026">
        <w:t>.</w:t>
      </w:r>
      <w:r w:rsidR="00A40B9C" w:rsidRPr="009E5026">
        <w:t xml:space="preserve"> Agreement was </w:t>
      </w:r>
      <w:r w:rsidR="00DC084D" w:rsidRPr="009E5026">
        <w:t>low</w:t>
      </w:r>
      <w:r w:rsidR="00A40B9C" w:rsidRPr="009E5026">
        <w:t xml:space="preserve"> for </w:t>
      </w:r>
      <w:r w:rsidR="009A1946" w:rsidRPr="009E5026">
        <w:t>‘</w:t>
      </w:r>
      <w:r w:rsidR="00A40B9C" w:rsidRPr="009E5026">
        <w:t>PCD highly likely</w:t>
      </w:r>
      <w:r w:rsidR="009A1946" w:rsidRPr="009E5026">
        <w:t>’</w:t>
      </w:r>
      <w:r w:rsidR="00982A11" w:rsidRPr="009E5026">
        <w:t xml:space="preserve"> (</w:t>
      </w:r>
      <w:r w:rsidR="00974E83" w:rsidRPr="009E5026">
        <w:rPr>
          <w:rFonts w:cstheme="minorHAnsi"/>
        </w:rPr>
        <w:t>κ</w:t>
      </w:r>
      <w:r w:rsidR="00982A11" w:rsidRPr="009E5026">
        <w:t>=</w:t>
      </w:r>
      <w:r w:rsidR="00D64DF9" w:rsidRPr="009E5026">
        <w:t>0.11</w:t>
      </w:r>
      <w:r w:rsidR="00982A11" w:rsidRPr="009E5026">
        <w:t>)</w:t>
      </w:r>
      <w:r w:rsidR="00A40B9C" w:rsidRPr="009E5026">
        <w:t xml:space="preserve"> and </w:t>
      </w:r>
      <w:r w:rsidR="009A1946" w:rsidRPr="009E5026">
        <w:t>‘</w:t>
      </w:r>
      <w:r w:rsidR="00A40B9C" w:rsidRPr="009E5026">
        <w:t>inconclusive</w:t>
      </w:r>
      <w:r w:rsidR="009A1946" w:rsidRPr="009E5026">
        <w:t>’</w:t>
      </w:r>
      <w:r w:rsidR="00D64DF9" w:rsidRPr="009E5026">
        <w:t xml:space="preserve"> (</w:t>
      </w:r>
      <w:r w:rsidR="00974E83" w:rsidRPr="009E5026">
        <w:rPr>
          <w:rFonts w:cstheme="minorHAnsi"/>
        </w:rPr>
        <w:t>κ</w:t>
      </w:r>
      <w:r w:rsidR="00D64DF9" w:rsidRPr="009E5026">
        <w:t>=0.2</w:t>
      </w:r>
      <w:r w:rsidR="000C169A" w:rsidRPr="009E5026">
        <w:t>0)</w:t>
      </w:r>
      <w:r w:rsidR="00896C19" w:rsidRPr="009E5026">
        <w:t xml:space="preserve"> </w:t>
      </w:r>
      <w:r w:rsidR="00896C19" w:rsidRPr="009E5026">
        <w:rPr>
          <w:noProof/>
        </w:rPr>
        <w:t>[</w:t>
      </w:r>
      <w:r w:rsidR="00B71075" w:rsidRPr="009E5026">
        <w:rPr>
          <w:noProof/>
        </w:rPr>
        <w:t>2</w:t>
      </w:r>
      <w:r w:rsidR="009B0399" w:rsidRPr="009E5026">
        <w:rPr>
          <w:noProof/>
        </w:rPr>
        <w:t>1</w:t>
      </w:r>
      <w:r w:rsidR="00896C19" w:rsidRPr="009E5026">
        <w:rPr>
          <w:noProof/>
        </w:rPr>
        <w:t>]</w:t>
      </w:r>
      <w:r w:rsidR="000C169A" w:rsidRPr="009E5026">
        <w:t>.</w:t>
      </w:r>
      <w:r w:rsidR="001A6DE7" w:rsidRPr="009E5026">
        <w:t xml:space="preserve"> The combined agreement for the overall diagnostic outcomes was moderate (</w:t>
      </w:r>
      <w:r w:rsidR="001A6DE7" w:rsidRPr="009E5026">
        <w:rPr>
          <w:rFonts w:cstheme="minorHAnsi"/>
        </w:rPr>
        <w:t>κ=0.42, CI</w:t>
      </w:r>
      <w:r w:rsidR="001A6DE7" w:rsidRPr="009E5026">
        <w:rPr>
          <w:rFonts w:cstheme="minorHAnsi"/>
          <w:vertAlign w:val="subscript"/>
        </w:rPr>
        <w:t>95%</w:t>
      </w:r>
      <w:r w:rsidR="001A6DE7" w:rsidRPr="009E5026">
        <w:rPr>
          <w:rFonts w:cstheme="minorHAnsi"/>
        </w:rPr>
        <w:t>0.41 to 0.44)</w:t>
      </w:r>
      <w:r w:rsidR="005C262B" w:rsidRPr="009E5026">
        <w:rPr>
          <w:rFonts w:cstheme="minorHAnsi"/>
        </w:rPr>
        <w:t>.</w:t>
      </w:r>
    </w:p>
    <w:p w14:paraId="15316090" w14:textId="3FCB1FF2" w:rsidR="00BB38B6" w:rsidRPr="009E5026" w:rsidRDefault="002E1449" w:rsidP="002F3C6B">
      <w:pPr>
        <w:spacing w:line="480" w:lineRule="auto"/>
      </w:pPr>
      <w:r w:rsidRPr="009E5026">
        <w:rPr>
          <w:rFonts w:cstheme="minorHAnsi"/>
        </w:rPr>
        <w:t>The</w:t>
      </w:r>
      <w:r w:rsidR="00E419D7" w:rsidRPr="009E5026">
        <w:rPr>
          <w:rFonts w:cstheme="minorHAnsi"/>
        </w:rPr>
        <w:t xml:space="preserve"> </w:t>
      </w:r>
      <w:r w:rsidRPr="009E5026">
        <w:rPr>
          <w:rFonts w:cstheme="minorHAnsi"/>
        </w:rPr>
        <w:t xml:space="preserve">Cohen kappa agreement for </w:t>
      </w:r>
      <w:r w:rsidR="00E419D7" w:rsidRPr="009E5026">
        <w:rPr>
          <w:rFonts w:cstheme="minorHAnsi"/>
        </w:rPr>
        <w:t xml:space="preserve">intra-observer </w:t>
      </w:r>
      <w:r w:rsidRPr="009E5026">
        <w:rPr>
          <w:rFonts w:cstheme="minorHAnsi"/>
        </w:rPr>
        <w:t>reliability</w:t>
      </w:r>
      <w:r w:rsidR="00E419D7" w:rsidRPr="009E5026">
        <w:rPr>
          <w:rFonts w:cstheme="minorHAnsi"/>
        </w:rPr>
        <w:t xml:space="preserve"> </w:t>
      </w:r>
      <w:r w:rsidRPr="009E5026">
        <w:rPr>
          <w:rFonts w:cstheme="minorHAnsi"/>
        </w:rPr>
        <w:t xml:space="preserve">was </w:t>
      </w:r>
      <w:r w:rsidR="00E419D7" w:rsidRPr="009E5026">
        <w:rPr>
          <w:rFonts w:cstheme="minorHAnsi"/>
        </w:rPr>
        <w:t>κ=0.70, CI</w:t>
      </w:r>
      <w:r w:rsidR="00E419D7" w:rsidRPr="009E5026">
        <w:rPr>
          <w:rFonts w:cstheme="minorHAnsi"/>
          <w:vertAlign w:val="subscript"/>
        </w:rPr>
        <w:t>95%</w:t>
      </w:r>
      <w:r w:rsidR="00E419D7" w:rsidRPr="009E5026">
        <w:rPr>
          <w:rFonts w:cstheme="minorHAnsi"/>
        </w:rPr>
        <w:t>0.56 to 0.77</w:t>
      </w:r>
      <w:r w:rsidRPr="009E5026">
        <w:rPr>
          <w:rFonts w:cstheme="minorHAnsi"/>
        </w:rPr>
        <w:t xml:space="preserve"> for scientist 1, κ=0.66, CI</w:t>
      </w:r>
      <w:r w:rsidRPr="009E5026">
        <w:rPr>
          <w:rFonts w:cstheme="minorHAnsi"/>
          <w:vertAlign w:val="subscript"/>
        </w:rPr>
        <w:t>95%</w:t>
      </w:r>
      <w:r w:rsidRPr="009E5026">
        <w:rPr>
          <w:rFonts w:cstheme="minorHAnsi"/>
        </w:rPr>
        <w:t>0.42 to 0.75 for scientist 2</w:t>
      </w:r>
      <w:r w:rsidR="00E419D7" w:rsidRPr="009E5026">
        <w:rPr>
          <w:rFonts w:cstheme="minorHAnsi"/>
        </w:rPr>
        <w:t xml:space="preserve"> and κ=0.78, CI</w:t>
      </w:r>
      <w:r w:rsidR="00E419D7" w:rsidRPr="009E5026">
        <w:rPr>
          <w:rFonts w:cstheme="minorHAnsi"/>
          <w:vertAlign w:val="subscript"/>
        </w:rPr>
        <w:t>95%</w:t>
      </w:r>
      <w:r w:rsidR="00511B2B" w:rsidRPr="009E5026">
        <w:rPr>
          <w:rFonts w:cstheme="minorHAnsi"/>
        </w:rPr>
        <w:t>0.61 to 0.85</w:t>
      </w:r>
      <w:r w:rsidRPr="009E5026">
        <w:rPr>
          <w:rFonts w:cstheme="minorHAnsi"/>
        </w:rPr>
        <w:t xml:space="preserve"> for scientist 3</w:t>
      </w:r>
      <w:r w:rsidR="00E419D7" w:rsidRPr="009E5026">
        <w:rPr>
          <w:rFonts w:cstheme="minorHAnsi"/>
        </w:rPr>
        <w:t xml:space="preserve">. Importantly, </w:t>
      </w:r>
      <w:r w:rsidR="00FA2D26" w:rsidRPr="009E5026">
        <w:rPr>
          <w:rFonts w:cstheme="minorHAnsi"/>
        </w:rPr>
        <w:t xml:space="preserve">none of </w:t>
      </w:r>
      <w:r w:rsidR="005B4045" w:rsidRPr="009E5026">
        <w:rPr>
          <w:rFonts w:cstheme="minorHAnsi"/>
        </w:rPr>
        <w:t>the scientists changed the outcome from their original assessment from positive to negative or from negative to positive</w:t>
      </w:r>
      <w:r w:rsidR="00E419D7" w:rsidRPr="009E5026">
        <w:rPr>
          <w:rFonts w:cstheme="minorHAnsi"/>
        </w:rPr>
        <w:t xml:space="preserve"> (</w:t>
      </w:r>
      <w:r w:rsidR="006F7D00" w:rsidRPr="009E5026">
        <w:rPr>
          <w:rFonts w:cstheme="minorHAnsi"/>
        </w:rPr>
        <w:t>see Table S4</w:t>
      </w:r>
      <w:r w:rsidR="00E419D7" w:rsidRPr="009E5026">
        <w:rPr>
          <w:rFonts w:cstheme="minorHAnsi"/>
        </w:rPr>
        <w:t xml:space="preserve"> </w:t>
      </w:r>
      <w:r w:rsidR="00E419D7" w:rsidRPr="009E5026">
        <w:t>in the online data supplement).</w:t>
      </w:r>
    </w:p>
    <w:p w14:paraId="2AE3714E" w14:textId="6B8E12E6" w:rsidR="002A46E7" w:rsidRPr="009E5026" w:rsidRDefault="00333C25" w:rsidP="002F3C6B">
      <w:pPr>
        <w:pStyle w:val="Heading1"/>
        <w:rPr>
          <w:color w:val="2E74B5" w:themeColor="accent1" w:themeShade="BF"/>
          <w:lang w:val="en"/>
        </w:rPr>
      </w:pPr>
      <w:r w:rsidRPr="009E5026">
        <w:rPr>
          <w:color w:val="2E74B5" w:themeColor="accent1" w:themeShade="BF"/>
          <w:lang w:val="en"/>
        </w:rPr>
        <w:t>Discussion</w:t>
      </w:r>
    </w:p>
    <w:p w14:paraId="727E7BF9" w14:textId="35C7362E" w:rsidR="002A46E7" w:rsidRPr="009E5026" w:rsidRDefault="002A46E7" w:rsidP="00FF4537">
      <w:pPr>
        <w:spacing w:line="480" w:lineRule="auto"/>
      </w:pPr>
      <w:r w:rsidRPr="009E5026">
        <w:t xml:space="preserve">We have shown that </w:t>
      </w:r>
      <w:r w:rsidR="00096B45" w:rsidRPr="009E5026">
        <w:t>HSVA</w:t>
      </w:r>
      <w:r w:rsidRPr="009E5026">
        <w:t xml:space="preserve"> has excel</w:t>
      </w:r>
      <w:r w:rsidR="0097431B" w:rsidRPr="009E5026">
        <w:t>lent accuracy and inter-</w:t>
      </w:r>
      <w:r w:rsidR="00B54E34" w:rsidRPr="009E5026">
        <w:t xml:space="preserve">observer </w:t>
      </w:r>
      <w:r w:rsidRPr="009E5026">
        <w:t>reliability</w:t>
      </w:r>
      <w:r w:rsidR="00445BA3" w:rsidRPr="009E5026">
        <w:t xml:space="preserve"> for diagnosing PCD</w:t>
      </w:r>
      <w:r w:rsidRPr="009E5026">
        <w:t>, when conducted by experienced scientists.</w:t>
      </w:r>
    </w:p>
    <w:p w14:paraId="7966F9F6" w14:textId="77777777" w:rsidR="00974E83" w:rsidRPr="009E5026" w:rsidRDefault="00974E83" w:rsidP="00FF4537">
      <w:pPr>
        <w:pStyle w:val="Heading2"/>
        <w:spacing w:line="480" w:lineRule="auto"/>
      </w:pPr>
      <w:r w:rsidRPr="009E5026">
        <w:t xml:space="preserve">Accuracy of </w:t>
      </w:r>
      <w:r w:rsidR="00096B45" w:rsidRPr="009E5026">
        <w:t>HSVA</w:t>
      </w:r>
      <w:r w:rsidRPr="009E5026">
        <w:t xml:space="preserve"> to diagnose PCD</w:t>
      </w:r>
    </w:p>
    <w:p w14:paraId="7E9051F7" w14:textId="31CBAE66" w:rsidR="002A46E7" w:rsidRPr="009E5026" w:rsidRDefault="00096B45" w:rsidP="00FF4537">
      <w:pPr>
        <w:spacing w:line="480" w:lineRule="auto"/>
      </w:pPr>
      <w:r w:rsidRPr="009E5026">
        <w:t>HSVA</w:t>
      </w:r>
      <w:r w:rsidR="002A46E7" w:rsidRPr="009E5026">
        <w:t xml:space="preserve"> had excellent sensitivity and specificity to diagnose PCD. With lack of a ‘gold standard’ reference</w:t>
      </w:r>
      <w:r w:rsidR="00B54E34" w:rsidRPr="009E5026">
        <w:t>,</w:t>
      </w:r>
      <w:r w:rsidR="002A46E7" w:rsidRPr="009E5026">
        <w:t xml:space="preserve"> we used two imperfect references and found sensitivity and specificity were 100% &amp; 96% when using diagnosis based on</w:t>
      </w:r>
      <w:r w:rsidR="00985326" w:rsidRPr="009E5026">
        <w:t xml:space="preserve"> the</w:t>
      </w:r>
      <w:r w:rsidR="002A46E7" w:rsidRPr="009E5026">
        <w:t xml:space="preserve"> ERS guideline as a reference, and 9</w:t>
      </w:r>
      <w:r w:rsidR="001F4177" w:rsidRPr="009E5026">
        <w:t>6</w:t>
      </w:r>
      <w:r w:rsidR="002A46E7" w:rsidRPr="009E5026">
        <w:t xml:space="preserve">% &amp; 91% when using the clinical diagnostic outcome as standard. </w:t>
      </w:r>
    </w:p>
    <w:p w14:paraId="01A57DD3" w14:textId="50FAE713" w:rsidR="002A46E7" w:rsidRPr="009E5026" w:rsidRDefault="002A46E7" w:rsidP="00FF4537">
      <w:pPr>
        <w:spacing w:line="480" w:lineRule="auto"/>
      </w:pPr>
      <w:r w:rsidRPr="009E5026">
        <w:lastRenderedPageBreak/>
        <w:t>Independently analy</w:t>
      </w:r>
      <w:r w:rsidR="00B54E34" w:rsidRPr="009E5026">
        <w:t>s</w:t>
      </w:r>
      <w:r w:rsidRPr="009E5026">
        <w:t xml:space="preserve">ing 720 videos from 120 patients, </w:t>
      </w:r>
      <w:r w:rsidR="00096B45" w:rsidRPr="009E5026">
        <w:t>HSVA</w:t>
      </w:r>
      <w:r w:rsidRPr="009E5026">
        <w:t xml:space="preserve"> scientists correctly identified all ‘PCD positive’ cases u</w:t>
      </w:r>
      <w:r w:rsidR="008C51BE" w:rsidRPr="009E5026">
        <w:t xml:space="preserve">sing the </w:t>
      </w:r>
      <w:r w:rsidR="00B54E34" w:rsidRPr="009E5026">
        <w:t xml:space="preserve">ERS PCD </w:t>
      </w:r>
      <w:r w:rsidRPr="009E5026">
        <w:t xml:space="preserve">guideline as reference. Considering that these patients have either a hallmark TEM or pathogenic mutations, our findings suggest that </w:t>
      </w:r>
      <w:r w:rsidR="00096B45" w:rsidRPr="009E5026">
        <w:t>HSVA</w:t>
      </w:r>
      <w:r w:rsidRPr="009E5026">
        <w:t xml:space="preserve"> approaches 100% accuracy to detect clear-cut PCD cases. If we were to consider those with an ERS-defined </w:t>
      </w:r>
      <w:r w:rsidR="00C1057F" w:rsidRPr="009E5026">
        <w:t>‘</w:t>
      </w:r>
      <w:r w:rsidRPr="009E5026">
        <w:t>highly likely diagnosis</w:t>
      </w:r>
      <w:r w:rsidR="00C1057F" w:rsidRPr="009E5026">
        <w:t>’</w:t>
      </w:r>
      <w:r w:rsidRPr="009E5026">
        <w:t xml:space="preserve"> (i.e. lack of hallmark TEM or genetic confirmation but at least three </w:t>
      </w:r>
      <w:r w:rsidR="00096B45" w:rsidRPr="009E5026">
        <w:t>HSVA</w:t>
      </w:r>
      <w:r w:rsidRPr="009E5026">
        <w:t xml:space="preserve"> abnormal results or two abnormal results plus abnormal ALI cell culture) as true PCD cases, we increase the detection rate by 15% in </w:t>
      </w:r>
      <w:r w:rsidR="00C1057F" w:rsidRPr="009E5026">
        <w:t xml:space="preserve">our </w:t>
      </w:r>
      <w:r w:rsidRPr="009E5026">
        <w:t xml:space="preserve">study population. This increase </w:t>
      </w:r>
      <w:r w:rsidR="00C1057F" w:rsidRPr="009E5026">
        <w:t>matches</w:t>
      </w:r>
      <w:r w:rsidRPr="009E5026">
        <w:t xml:space="preserve"> </w:t>
      </w:r>
      <w:r w:rsidR="007A43CE" w:rsidRPr="009E5026">
        <w:t xml:space="preserve">the 15-20% PCD cases </w:t>
      </w:r>
      <w:r w:rsidR="00C1057F" w:rsidRPr="009E5026">
        <w:t xml:space="preserve">without a hallmark </w:t>
      </w:r>
      <w:r w:rsidR="007A43CE" w:rsidRPr="009E5026">
        <w:t>TEM</w:t>
      </w:r>
      <w:r w:rsidR="00C1057F" w:rsidRPr="009E5026">
        <w:t xml:space="preserve"> defect</w:t>
      </w:r>
      <w:r w:rsidRPr="009E5026">
        <w:t xml:space="preserve"> reported in the literature, suggesting that </w:t>
      </w:r>
      <w:r w:rsidR="00096B45" w:rsidRPr="009E5026">
        <w:t>HSVA</w:t>
      </w:r>
      <w:r w:rsidRPr="009E5026">
        <w:t xml:space="preserve"> can pick-up cases that might have been otherwise ‘missed’ by TEM, particularly if used in combination with nNO</w:t>
      </w:r>
      <w:r w:rsidR="00F10B46" w:rsidRPr="009E5026">
        <w:t xml:space="preserve"> </w:t>
      </w:r>
      <w:r w:rsidR="00F10B46" w:rsidRPr="009E5026">
        <w:rPr>
          <w:noProof/>
        </w:rPr>
        <w:t>[2]</w:t>
      </w:r>
      <w:r w:rsidR="00E84B6B" w:rsidRPr="009E5026">
        <w:t>.</w:t>
      </w:r>
      <w:r w:rsidR="00C1057F" w:rsidRPr="009E5026">
        <w:t xml:space="preserve"> </w:t>
      </w:r>
    </w:p>
    <w:p w14:paraId="44D8BC54" w14:textId="52824AD0" w:rsidR="002A46E7" w:rsidRPr="009E5026" w:rsidRDefault="002A46E7" w:rsidP="00FF4537">
      <w:pPr>
        <w:spacing w:line="480" w:lineRule="auto"/>
      </w:pPr>
      <w:r w:rsidRPr="009E5026">
        <w:t>Scientists reported two study samples as ‘highly unlikely’ or ‘inconclusive’, whereas both MDT and ERS guidelines had deemed the diagnostic outcome of the patients as ‘PCD highly likely’. Further reviewing the diagnostic history of these cases, the clinical decisions were based on extensive repeat testing coupled with strong clinical and family histories, highlighting the complexity of some cases. Experts agree that some subtle beat pattern abnorm</w:t>
      </w:r>
      <w:r w:rsidR="008C51BE" w:rsidRPr="009E5026">
        <w:t>alities are difficult to spot using</w:t>
      </w:r>
      <w:r w:rsidRPr="009E5026">
        <w:t xml:space="preserve"> </w:t>
      </w:r>
      <w:r w:rsidR="00096B45" w:rsidRPr="009E5026">
        <w:t>HSVA</w:t>
      </w:r>
      <w:r w:rsidRPr="009E5026">
        <w:t>, even with extensive training and years of experience</w:t>
      </w:r>
      <w:r w:rsidR="00F10B46" w:rsidRPr="009E5026">
        <w:t xml:space="preserve"> </w:t>
      </w:r>
      <w:r w:rsidR="00F10B46" w:rsidRPr="009E5026">
        <w:rPr>
          <w:noProof/>
        </w:rPr>
        <w:t>[11]</w:t>
      </w:r>
      <w:r w:rsidR="006C411A" w:rsidRPr="009E5026">
        <w:t xml:space="preserve">. </w:t>
      </w:r>
      <w:r w:rsidRPr="009E5026">
        <w:t xml:space="preserve">Additionally, secondary abnormities are common even in samples from healthy individuals, highlighting the need </w:t>
      </w:r>
      <w:r w:rsidR="00E45FE5" w:rsidRPr="009E5026">
        <w:t>for experienced personnel analy</w:t>
      </w:r>
      <w:r w:rsidR="00B54E34" w:rsidRPr="009E5026">
        <w:t>s</w:t>
      </w:r>
      <w:r w:rsidRPr="009E5026">
        <w:t>ing the whole cilia strip to focus on the overall findings</w:t>
      </w:r>
      <w:r w:rsidR="00F10B46" w:rsidRPr="009E5026">
        <w:t xml:space="preserve"> </w:t>
      </w:r>
      <w:r w:rsidR="00896C19" w:rsidRPr="009E5026">
        <w:rPr>
          <w:noProof/>
        </w:rPr>
        <w:t xml:space="preserve">[11, </w:t>
      </w:r>
      <w:r w:rsidR="00B71075" w:rsidRPr="009E5026">
        <w:rPr>
          <w:noProof/>
        </w:rPr>
        <w:t>2</w:t>
      </w:r>
      <w:r w:rsidR="009B0399" w:rsidRPr="009E5026">
        <w:rPr>
          <w:noProof/>
        </w:rPr>
        <w:t>2</w:t>
      </w:r>
      <w:r w:rsidR="00896C19" w:rsidRPr="009E5026">
        <w:rPr>
          <w:noProof/>
        </w:rPr>
        <w:t>-</w:t>
      </w:r>
      <w:r w:rsidR="009B0399" w:rsidRPr="009E5026">
        <w:rPr>
          <w:noProof/>
        </w:rPr>
        <w:t>24</w:t>
      </w:r>
      <w:r w:rsidR="00896C19" w:rsidRPr="009E5026">
        <w:rPr>
          <w:noProof/>
        </w:rPr>
        <w:t>]</w:t>
      </w:r>
      <w:r w:rsidR="00232818" w:rsidRPr="009E5026">
        <w:t>.</w:t>
      </w:r>
      <w:r w:rsidRPr="009E5026">
        <w:t xml:space="preserve"> It is therefore not surprising that in our study population, a high proportion of patients had indeterminate outcomes according to</w:t>
      </w:r>
      <w:r w:rsidR="008C51BE" w:rsidRPr="009E5026">
        <w:t xml:space="preserve"> both ERS</w:t>
      </w:r>
      <w:r w:rsidRPr="009E5026">
        <w:t xml:space="preserve"> </w:t>
      </w:r>
      <w:r w:rsidR="005C4A3A" w:rsidRPr="009E5026">
        <w:t>g</w:t>
      </w:r>
      <w:r w:rsidRPr="009E5026">
        <w:t>uideline (35%) and MDT decisions (21%).</w:t>
      </w:r>
      <w:r w:rsidR="0068633B" w:rsidRPr="009E5026">
        <w:t xml:space="preserve"> This was also reflected in the number of ‘inconclusive’ outcomes by the scientists</w:t>
      </w:r>
      <w:r w:rsidR="002F2874" w:rsidRPr="009E5026">
        <w:t xml:space="preserve"> (23%)</w:t>
      </w:r>
      <w:r w:rsidR="0068633B" w:rsidRPr="009E5026">
        <w:t xml:space="preserve">. </w:t>
      </w:r>
      <w:r w:rsidR="009A7796" w:rsidRPr="009E5026">
        <w:t>S</w:t>
      </w:r>
      <w:r w:rsidR="0068633B" w:rsidRPr="009E5026">
        <w:t xml:space="preserve">ensitivity remained high even </w:t>
      </w:r>
      <w:r w:rsidR="009B6A89" w:rsidRPr="009E5026">
        <w:t>after reclassification of</w:t>
      </w:r>
      <w:r w:rsidR="0068633B" w:rsidRPr="009E5026">
        <w:t xml:space="preserve"> ‘inconclusive’ by HSVA to false negative. The drop in specificity </w:t>
      </w:r>
      <w:r w:rsidR="002F2874" w:rsidRPr="009E5026">
        <w:t xml:space="preserve">is likely </w:t>
      </w:r>
      <w:r w:rsidR="0094651A" w:rsidRPr="009E5026">
        <w:t>because</w:t>
      </w:r>
      <w:r w:rsidR="0068633B" w:rsidRPr="009E5026">
        <w:t xml:space="preserve"> the scientists were less confident to rule-out PCD based on HSVA alone</w:t>
      </w:r>
      <w:r w:rsidR="001F4177" w:rsidRPr="009E5026">
        <w:t>.</w:t>
      </w:r>
      <w:r w:rsidR="0068633B" w:rsidRPr="009E5026">
        <w:t xml:space="preserve"> </w:t>
      </w:r>
      <w:r w:rsidR="001F4177" w:rsidRPr="009E5026">
        <w:t>This</w:t>
      </w:r>
      <w:r w:rsidR="0068633B" w:rsidRPr="009E5026">
        <w:t xml:space="preserve"> is expected</w:t>
      </w:r>
      <w:r w:rsidR="001F4177" w:rsidRPr="009E5026">
        <w:t>,</w:t>
      </w:r>
      <w:r w:rsidR="0068633B" w:rsidRPr="009E5026">
        <w:t xml:space="preserve"> </w:t>
      </w:r>
      <w:r w:rsidR="002F2874" w:rsidRPr="009E5026">
        <w:t>as</w:t>
      </w:r>
      <w:r w:rsidR="001F4177" w:rsidRPr="009E5026">
        <w:t xml:space="preserve"> scientists</w:t>
      </w:r>
      <w:r w:rsidR="0068633B" w:rsidRPr="009E5026">
        <w:t xml:space="preserve"> </w:t>
      </w:r>
      <w:r w:rsidR="001F4177" w:rsidRPr="009E5026">
        <w:t xml:space="preserve">would </w:t>
      </w:r>
      <w:r w:rsidR="0068633B" w:rsidRPr="009E5026">
        <w:t xml:space="preserve">normally </w:t>
      </w:r>
      <w:r w:rsidR="001F4177" w:rsidRPr="009E5026">
        <w:t>have</w:t>
      </w:r>
      <w:r w:rsidR="0068633B" w:rsidRPr="009E5026">
        <w:t xml:space="preserve"> </w:t>
      </w:r>
      <w:r w:rsidR="001F4177" w:rsidRPr="009E5026">
        <w:t>additional information at their disposal and clinical decisions on whether to treat patients are based on HSVA coupled</w:t>
      </w:r>
      <w:r w:rsidR="00FC4331" w:rsidRPr="009E5026">
        <w:t xml:space="preserve"> with</w:t>
      </w:r>
      <w:r w:rsidR="001F4177" w:rsidRPr="009E5026">
        <w:t xml:space="preserve"> </w:t>
      </w:r>
      <w:r w:rsidR="0096085B" w:rsidRPr="009E5026">
        <w:t>clinical</w:t>
      </w:r>
      <w:r w:rsidR="001F4177" w:rsidRPr="009E5026">
        <w:t xml:space="preserve"> and nNO</w:t>
      </w:r>
      <w:r w:rsidR="0096085B" w:rsidRPr="009E5026">
        <w:t xml:space="preserve"> data</w:t>
      </w:r>
      <w:r w:rsidR="0068633B" w:rsidRPr="009E5026">
        <w:t>.</w:t>
      </w:r>
      <w:r w:rsidR="009A7796" w:rsidRPr="009E5026">
        <w:t xml:space="preserve"> Whilst the ‘worse-case scenario’ calculations are reassuring, reclassifying the </w:t>
      </w:r>
      <w:r w:rsidR="00B626A4" w:rsidRPr="009E5026">
        <w:t>inconclusive outcome was probably over conservative</w:t>
      </w:r>
      <w:r w:rsidR="009A7796" w:rsidRPr="009E5026">
        <w:t xml:space="preserve"> because </w:t>
      </w:r>
      <w:r w:rsidR="00B626A4" w:rsidRPr="009E5026">
        <w:t>‘inconclusive’</w:t>
      </w:r>
      <w:r w:rsidR="009A7796" w:rsidRPr="009E5026">
        <w:t xml:space="preserve"> is a l</w:t>
      </w:r>
      <w:r w:rsidR="00B626A4" w:rsidRPr="009E5026">
        <w:t>egitimate clinical outcome; it</w:t>
      </w:r>
      <w:r w:rsidR="009A7796" w:rsidRPr="009E5026">
        <w:t xml:space="preserve"> is difficult to consider </w:t>
      </w:r>
      <w:r w:rsidR="00B626A4" w:rsidRPr="009E5026">
        <w:lastRenderedPageBreak/>
        <w:t xml:space="preserve">‘inconclusive’ </w:t>
      </w:r>
      <w:r w:rsidR="009A7796" w:rsidRPr="009E5026">
        <w:t>as false positive or false negative</w:t>
      </w:r>
      <w:r w:rsidR="00B626A4" w:rsidRPr="009E5026">
        <w:t>, particularly as the management pathway includes further investigations for inconclusive outcomes</w:t>
      </w:r>
      <w:r w:rsidR="00F10B46" w:rsidRPr="009E5026">
        <w:t xml:space="preserve"> </w:t>
      </w:r>
      <w:r w:rsidR="00F10B46" w:rsidRPr="009E5026">
        <w:rPr>
          <w:noProof/>
        </w:rPr>
        <w:t>[2]</w:t>
      </w:r>
      <w:r w:rsidR="0026474A" w:rsidRPr="009E5026">
        <w:t>.</w:t>
      </w:r>
      <w:r w:rsidR="009A7796" w:rsidRPr="009E5026">
        <w:t xml:space="preserve"> </w:t>
      </w:r>
    </w:p>
    <w:p w14:paraId="49BDB098" w14:textId="77777777" w:rsidR="00974E83" w:rsidRPr="009E5026" w:rsidRDefault="00974E83" w:rsidP="00FF4537">
      <w:pPr>
        <w:pStyle w:val="Heading2"/>
        <w:spacing w:line="480" w:lineRule="auto"/>
      </w:pPr>
      <w:r w:rsidRPr="009E5026">
        <w:t xml:space="preserve">Reliability of </w:t>
      </w:r>
      <w:r w:rsidR="00096B45" w:rsidRPr="009E5026">
        <w:t>HSVA</w:t>
      </w:r>
      <w:r w:rsidRPr="009E5026">
        <w:t xml:space="preserve"> to diagnose PCD</w:t>
      </w:r>
    </w:p>
    <w:p w14:paraId="7B257183" w14:textId="05C3A4B5" w:rsidR="00367E49" w:rsidRPr="009E5026" w:rsidRDefault="002A46E7" w:rsidP="00367E49">
      <w:pPr>
        <w:spacing w:line="480" w:lineRule="auto"/>
      </w:pPr>
      <w:r w:rsidRPr="009E5026">
        <w:t>We found a high inter-</w:t>
      </w:r>
      <w:r w:rsidR="0079110B" w:rsidRPr="009E5026">
        <w:t>observer</w:t>
      </w:r>
      <w:r w:rsidRPr="009E5026">
        <w:t xml:space="preserve"> agreement for ‘PCD positive’ and</w:t>
      </w:r>
      <w:r w:rsidR="00014674" w:rsidRPr="009E5026">
        <w:t xml:space="preserve"> moderate</w:t>
      </w:r>
      <w:r w:rsidRPr="009E5026">
        <w:t xml:space="preserve"> </w:t>
      </w:r>
      <w:r w:rsidR="00014674" w:rsidRPr="009E5026">
        <w:t xml:space="preserve">agreement for </w:t>
      </w:r>
      <w:r w:rsidRPr="009E5026">
        <w:t>‘PCD highly unlikely’ outcomes, as well as between pairs of scientists</w:t>
      </w:r>
      <w:r w:rsidR="00B60C70" w:rsidRPr="009E5026">
        <w:rPr>
          <w:color w:val="1F497D"/>
        </w:rPr>
        <w:t xml:space="preserve"> (see supplementary material)</w:t>
      </w:r>
      <w:r w:rsidRPr="009E5026">
        <w:t>. ‘PCD highly likely’ and ‘inconclus</w:t>
      </w:r>
      <w:r w:rsidR="0073561C" w:rsidRPr="009E5026">
        <w:t xml:space="preserve">ive’ had low agreement; </w:t>
      </w:r>
      <w:r w:rsidRPr="009E5026">
        <w:t xml:space="preserve">this was due to the interchangeability of these outcomes, as some scientists felt more confident in assigning a ‘highly likely’ outcome while others adopted a more cautious option (i.e. ‘inconclusive’). In practice, samples labelled as ‘highly likely’ or ‘inconclusive’ would both require a repeat brushing from the patient and further testing. </w:t>
      </w:r>
    </w:p>
    <w:p w14:paraId="0D2C8081" w14:textId="26F02115" w:rsidR="002A46E7" w:rsidRPr="009E5026" w:rsidRDefault="00367E49" w:rsidP="00367E49">
      <w:pPr>
        <w:spacing w:line="480" w:lineRule="auto"/>
      </w:pPr>
      <w:r w:rsidRPr="009E5026">
        <w:t xml:space="preserve">We also found </w:t>
      </w:r>
      <w:r w:rsidR="002E1449" w:rsidRPr="009E5026">
        <w:t xml:space="preserve">substantial </w:t>
      </w:r>
      <w:r w:rsidRPr="009E5026">
        <w:t xml:space="preserve">intra-observer agreement of samples re-assessed by each of the scientists one year after the original study outcome description. The fact that the scientists were able to discriminate between positive and negative outcomes, and agree on these between each other and with their own initial assessment is key as these two extreme outcomes </w:t>
      </w:r>
      <w:r w:rsidR="00B6519A" w:rsidRPr="009E5026">
        <w:t>lead to</w:t>
      </w:r>
      <w:r w:rsidRPr="009E5026">
        <w:t xml:space="preserve"> different clinical </w:t>
      </w:r>
      <w:r w:rsidR="00B6519A" w:rsidRPr="009E5026">
        <w:t>management plans</w:t>
      </w:r>
      <w:r w:rsidRPr="009E5026">
        <w:t>. T</w:t>
      </w:r>
      <w:r w:rsidR="002E1449" w:rsidRPr="009E5026">
        <w:t>hese</w:t>
      </w:r>
      <w:r w:rsidRPr="009E5026">
        <w:t xml:space="preserve"> demonstrates reliability amongst experienced scientists when using HSVA to diagnose PCD.</w:t>
      </w:r>
    </w:p>
    <w:p w14:paraId="7F4A7AB3" w14:textId="77777777" w:rsidR="005D6305" w:rsidRPr="009E5026" w:rsidRDefault="005D6305" w:rsidP="00FF4537">
      <w:pPr>
        <w:pStyle w:val="Heading2"/>
        <w:spacing w:line="480" w:lineRule="auto"/>
      </w:pPr>
      <w:r w:rsidRPr="009E5026">
        <w:t>Implications to diagnostics and clinical practice</w:t>
      </w:r>
    </w:p>
    <w:p w14:paraId="67521AD0" w14:textId="562733BC" w:rsidR="005D6305" w:rsidRPr="009E5026" w:rsidRDefault="002A46E7" w:rsidP="00FF4537">
      <w:pPr>
        <w:spacing w:line="480" w:lineRule="auto"/>
      </w:pPr>
      <w:r w:rsidRPr="009E5026">
        <w:t>Following current guidelines, nasal brushings are taken from every patient re</w:t>
      </w:r>
      <w:r w:rsidR="00E45FE5" w:rsidRPr="009E5026">
        <w:t>ferred to a PCD diagnostic centr</w:t>
      </w:r>
      <w:r w:rsidR="0079110B" w:rsidRPr="009E5026">
        <w:t>e</w:t>
      </w:r>
      <w:r w:rsidRPr="009E5026">
        <w:t xml:space="preserve"> with a strong suspicion of PCD (i.e. suggestive clinical history). Samples can be evaluated by scientists experienced in </w:t>
      </w:r>
      <w:r w:rsidR="00096B45" w:rsidRPr="009E5026">
        <w:t>HSVA</w:t>
      </w:r>
      <w:r w:rsidRPr="009E5026">
        <w:t xml:space="preserve"> on the day</w:t>
      </w:r>
      <w:r w:rsidR="001F4177" w:rsidRPr="009E5026">
        <w:t xml:space="preserve"> of testing</w:t>
      </w:r>
      <w:r w:rsidRPr="009E5026">
        <w:t xml:space="preserve">. The nasal sample is also sent for TEM analysis but processing and analyses take weeks. Our study demonstrates that specialist </w:t>
      </w:r>
      <w:r w:rsidR="00D263C0" w:rsidRPr="009E5026">
        <w:t>scientists can reliably use HVSA</w:t>
      </w:r>
      <w:r w:rsidRPr="009E5026">
        <w:t xml:space="preserve"> to diagnose some PCD patients on the day of testing. This provides the necessary evidence to counsel patients and initiate lifelong treatment in a ‘one-stop clinic’</w:t>
      </w:r>
      <w:r w:rsidR="002C5F9F" w:rsidRPr="009E5026">
        <w:t xml:space="preserve"> with the proviso that the final diagnostic outcome might change once all test results are available</w:t>
      </w:r>
      <w:r w:rsidR="00BC071B" w:rsidRPr="009E5026">
        <w:t>.</w:t>
      </w:r>
      <w:r w:rsidR="002C5F9F" w:rsidRPr="009E5026" w:rsidDel="002C5F9F">
        <w:t xml:space="preserve"> </w:t>
      </w:r>
      <w:r w:rsidR="002C5F9F" w:rsidRPr="009E5026">
        <w:t>A</w:t>
      </w:r>
      <w:r w:rsidRPr="009E5026">
        <w:t xml:space="preserve">dditional tests such as TEM, IF and genetic analysis will still be needed to confirm the diagnosis </w:t>
      </w:r>
      <w:r w:rsidR="00993AB8" w:rsidRPr="009E5026">
        <w:rPr>
          <w:noProof/>
        </w:rPr>
        <w:t>[2]</w:t>
      </w:r>
      <w:r w:rsidR="00232818" w:rsidRPr="009E5026">
        <w:t xml:space="preserve"> </w:t>
      </w:r>
      <w:r w:rsidRPr="009E5026">
        <w:lastRenderedPageBreak/>
        <w:t>and for deeper phenotypin</w:t>
      </w:r>
      <w:r w:rsidR="00232818" w:rsidRPr="009E5026">
        <w:t>g</w:t>
      </w:r>
      <w:r w:rsidR="00993AB8" w:rsidRPr="009E5026">
        <w:t xml:space="preserve"> </w:t>
      </w:r>
      <w:r w:rsidR="00896C19" w:rsidRPr="009E5026">
        <w:rPr>
          <w:noProof/>
        </w:rPr>
        <w:t xml:space="preserve">[7, </w:t>
      </w:r>
      <w:r w:rsidR="00B71075" w:rsidRPr="009E5026">
        <w:rPr>
          <w:noProof/>
        </w:rPr>
        <w:t>2</w:t>
      </w:r>
      <w:r w:rsidR="009B0399" w:rsidRPr="009E5026">
        <w:rPr>
          <w:noProof/>
        </w:rPr>
        <w:t>5</w:t>
      </w:r>
      <w:r w:rsidR="00896C19" w:rsidRPr="009E5026">
        <w:rPr>
          <w:noProof/>
        </w:rPr>
        <w:t xml:space="preserve">, </w:t>
      </w:r>
      <w:r w:rsidR="00B71075" w:rsidRPr="009E5026">
        <w:rPr>
          <w:noProof/>
        </w:rPr>
        <w:t>2</w:t>
      </w:r>
      <w:r w:rsidR="009B0399" w:rsidRPr="009E5026">
        <w:rPr>
          <w:noProof/>
        </w:rPr>
        <w:t>6</w:t>
      </w:r>
      <w:r w:rsidR="00896C19" w:rsidRPr="009E5026">
        <w:rPr>
          <w:noProof/>
        </w:rPr>
        <w:t>]</w:t>
      </w:r>
      <w:r w:rsidR="00232818" w:rsidRPr="009E5026">
        <w:t>.</w:t>
      </w:r>
      <w:r w:rsidRPr="009E5026">
        <w:t xml:space="preserve"> The diagnosis remains inconclusive for a </w:t>
      </w:r>
      <w:r w:rsidR="0079110B" w:rsidRPr="009E5026">
        <w:t>high proportion</w:t>
      </w:r>
      <w:r w:rsidRPr="009E5026">
        <w:t xml:space="preserve"> of patients following isolated </w:t>
      </w:r>
      <w:r w:rsidR="00096B45" w:rsidRPr="009E5026">
        <w:t>HSVA</w:t>
      </w:r>
      <w:r w:rsidRPr="009E5026">
        <w:t>, and these would need to wait for further diagnostic results; it is notable that our study also demonstrates that many patients have an indeterminate outcome even following comprehensive testing</w:t>
      </w:r>
      <w:r w:rsidR="005C171D" w:rsidRPr="009E5026">
        <w:t xml:space="preserve">, as expected and </w:t>
      </w:r>
      <w:r w:rsidR="001F4177" w:rsidRPr="009E5026">
        <w:t xml:space="preserve">discussed </w:t>
      </w:r>
      <w:r w:rsidR="005C171D" w:rsidRPr="009E5026">
        <w:t>in the ERS PCD diagnostic guidelines</w:t>
      </w:r>
      <w:r w:rsidR="00993AB8" w:rsidRPr="009E5026">
        <w:t xml:space="preserve"> </w:t>
      </w:r>
      <w:r w:rsidR="00993AB8" w:rsidRPr="009E5026">
        <w:rPr>
          <w:noProof/>
        </w:rPr>
        <w:t>[2]</w:t>
      </w:r>
      <w:r w:rsidRPr="009E5026">
        <w:t>.</w:t>
      </w:r>
    </w:p>
    <w:p w14:paraId="53DB8C15" w14:textId="4BC11810" w:rsidR="005D6305" w:rsidRPr="009E5026" w:rsidRDefault="005D6305" w:rsidP="00FF4537">
      <w:pPr>
        <w:pStyle w:val="Heading2"/>
        <w:spacing w:line="480" w:lineRule="auto"/>
      </w:pPr>
      <w:r w:rsidRPr="009E5026">
        <w:t>Strengths and limitations</w:t>
      </w:r>
    </w:p>
    <w:p w14:paraId="2899D866" w14:textId="38F885A5" w:rsidR="002A46E7" w:rsidRPr="009E5026" w:rsidRDefault="002A46E7" w:rsidP="00FF4537">
      <w:pPr>
        <w:spacing w:line="480" w:lineRule="auto"/>
      </w:pPr>
      <w:r w:rsidRPr="009E5026">
        <w:t xml:space="preserve">This is the first blinded study to assess the accuracy and reliability of </w:t>
      </w:r>
      <w:r w:rsidR="00096B45" w:rsidRPr="009E5026">
        <w:t>HSVA</w:t>
      </w:r>
      <w:r w:rsidRPr="009E5026">
        <w:t xml:space="preserve"> to diagnose PCD. Previous literature has called for</w:t>
      </w:r>
      <w:r w:rsidR="00E45FE5" w:rsidRPr="009E5026">
        <w:t xml:space="preserve"> standardi</w:t>
      </w:r>
      <w:r w:rsidR="003D0718" w:rsidRPr="009E5026">
        <w:t>s</w:t>
      </w:r>
      <w:r w:rsidRPr="009E5026">
        <w:t xml:space="preserve">ed methodology and reporting of diagnostic testing in PCD, in particular for </w:t>
      </w:r>
      <w:r w:rsidR="00096B45" w:rsidRPr="009E5026">
        <w:t>HSVA</w:t>
      </w:r>
      <w:r w:rsidR="00993AB8" w:rsidRPr="009E5026">
        <w:t xml:space="preserve"> </w:t>
      </w:r>
      <w:r w:rsidR="00896C19" w:rsidRPr="009E5026">
        <w:rPr>
          <w:noProof/>
        </w:rPr>
        <w:t xml:space="preserve">[2, 3, 9, 11, </w:t>
      </w:r>
      <w:r w:rsidR="00B71075" w:rsidRPr="009E5026">
        <w:rPr>
          <w:noProof/>
        </w:rPr>
        <w:t>2</w:t>
      </w:r>
      <w:r w:rsidR="009B0399" w:rsidRPr="009E5026">
        <w:rPr>
          <w:noProof/>
        </w:rPr>
        <w:t>3</w:t>
      </w:r>
      <w:r w:rsidR="00896C19" w:rsidRPr="009E5026">
        <w:rPr>
          <w:noProof/>
        </w:rPr>
        <w:t>]</w:t>
      </w:r>
      <w:r w:rsidRPr="009E5026">
        <w:t>. In our study, diagnostic outcomes were prospectively assigned by three experienced</w:t>
      </w:r>
      <w:r w:rsidR="009A7796" w:rsidRPr="009E5026">
        <w:t xml:space="preserve"> </w:t>
      </w:r>
      <w:r w:rsidRPr="009E5026">
        <w:t>scientists. Diagnostic outcomes were agreed a-priori by the three scientists and applied in a standardi</w:t>
      </w:r>
      <w:r w:rsidR="003D0718" w:rsidRPr="009E5026">
        <w:t>s</w:t>
      </w:r>
      <w:r w:rsidRPr="009E5026">
        <w:t>ed manner when independently scoring the video images.</w:t>
      </w:r>
    </w:p>
    <w:p w14:paraId="5C3271CD" w14:textId="7445673F" w:rsidR="00D62C91" w:rsidRPr="009E5026" w:rsidRDefault="002A46E7" w:rsidP="00D62C91">
      <w:pPr>
        <w:spacing w:line="480" w:lineRule="auto"/>
      </w:pPr>
      <w:r w:rsidRPr="009E5026">
        <w:t>However, our study has limitations. There is no ‘gold standard’ reference to diagnose PCD so, despite the use of combination testing as reference,</w:t>
      </w:r>
      <w:r w:rsidR="00CF03E8" w:rsidRPr="009E5026">
        <w:t xml:space="preserve"> we might have missed “</w:t>
      </w:r>
      <w:r w:rsidRPr="009E5026">
        <w:t>difficult to diagnose PCD cases</w:t>
      </w:r>
      <w:r w:rsidR="00CF03E8" w:rsidRPr="009E5026">
        <w:t>”</w:t>
      </w:r>
      <w:r w:rsidRPr="009E5026">
        <w:t xml:space="preserve">, likely classified in this study as “inconclusive” by both MDT and ERS guideline. A second limitation was the use of </w:t>
      </w:r>
      <w:r w:rsidR="00096B45" w:rsidRPr="009E5026">
        <w:t>HSVA</w:t>
      </w:r>
      <w:r w:rsidRPr="009E5026">
        <w:t xml:space="preserve"> in both comparator and the MDT reference; </w:t>
      </w:r>
      <w:r w:rsidR="00B626A4" w:rsidRPr="009E5026">
        <w:t>therefore</w:t>
      </w:r>
      <w:r w:rsidRPr="009E5026">
        <w:t xml:space="preserve">, in our comparison of </w:t>
      </w:r>
      <w:r w:rsidR="00096B45" w:rsidRPr="009E5026">
        <w:t>HSVA</w:t>
      </w:r>
      <w:r w:rsidRPr="009E5026">
        <w:t xml:space="preserve"> with a positive diagnosis according to ERS guidelines, we excluded </w:t>
      </w:r>
      <w:r w:rsidR="00096B45" w:rsidRPr="009E5026">
        <w:t>HSVA</w:t>
      </w:r>
      <w:r w:rsidRPr="009E5026">
        <w:t xml:space="preserve"> from the reference</w:t>
      </w:r>
      <w:r w:rsidR="00CF03E8" w:rsidRPr="009E5026">
        <w:t xml:space="preserve"> for sensitivity analyses</w:t>
      </w:r>
      <w:r w:rsidRPr="009E5026">
        <w:t xml:space="preserve"> as only hallmark TEM and/or pathogenic mutations define a positive diagnosis. We had limited genetic information available for samples included in our study, which might have confirmed some of ‘highly likely’ or ‘inconclusive’ cases as PCD.</w:t>
      </w:r>
      <w:r w:rsidR="00167846" w:rsidRPr="009E5026">
        <w:t xml:space="preserve"> Equally, some of the ‘highly likely PCD’ patients might not have PCD.</w:t>
      </w:r>
      <w:r w:rsidRPr="009E5026">
        <w:t xml:space="preserve"> Although we have good standardi</w:t>
      </w:r>
      <w:r w:rsidR="003D0718" w:rsidRPr="009E5026">
        <w:t>s</w:t>
      </w:r>
      <w:r w:rsidRPr="009E5026">
        <w:t>ation of methods and reporting in the UK, our protocols diff</w:t>
      </w:r>
      <w:r w:rsidR="00E45FE5" w:rsidRPr="009E5026">
        <w:t>er with those used in many centr</w:t>
      </w:r>
      <w:r w:rsidR="003D0718" w:rsidRPr="009E5026">
        <w:t>e</w:t>
      </w:r>
      <w:r w:rsidRPr="009E5026">
        <w:t>s (e.g. some cent</w:t>
      </w:r>
      <w:r w:rsidR="00E45FE5" w:rsidRPr="009E5026">
        <w:t>r</w:t>
      </w:r>
      <w:r w:rsidR="003D0718" w:rsidRPr="009E5026">
        <w:t>e</w:t>
      </w:r>
      <w:r w:rsidRPr="009E5026">
        <w:t xml:space="preserve">s measure </w:t>
      </w:r>
      <w:r w:rsidR="00096B45" w:rsidRPr="009E5026">
        <w:t>HSVA</w:t>
      </w:r>
      <w:r w:rsidRPr="009E5026">
        <w:t xml:space="preserve"> at r</w:t>
      </w:r>
      <w:r w:rsidR="00E45FE5" w:rsidRPr="009E5026">
        <w:t>oom temperature whilst we analy</w:t>
      </w:r>
      <w:r w:rsidR="003D0718" w:rsidRPr="009E5026">
        <w:t>s</w:t>
      </w:r>
      <w:r w:rsidRPr="009E5026">
        <w:t>e samples at 37</w:t>
      </w:r>
      <w:r w:rsidR="00AD4162" w:rsidRPr="009E5026">
        <w:rPr>
          <w:vertAlign w:val="superscript"/>
        </w:rPr>
        <w:t>o</w:t>
      </w:r>
      <w:r w:rsidRPr="009E5026">
        <w:t>C</w:t>
      </w:r>
      <w:r w:rsidR="00D62C91" w:rsidRPr="009E5026">
        <w:t>)</w:t>
      </w:r>
      <w:r w:rsidRPr="009E5026">
        <w:t>.</w:t>
      </w:r>
      <w:r w:rsidR="00D62C91" w:rsidRPr="009E5026">
        <w:t xml:space="preserve"> </w:t>
      </w:r>
    </w:p>
    <w:p w14:paraId="310F8192" w14:textId="79C9D749" w:rsidR="002A46E7" w:rsidRPr="009E5026" w:rsidRDefault="00704430" w:rsidP="003C1A57">
      <w:pPr>
        <w:spacing w:line="480" w:lineRule="auto"/>
      </w:pPr>
      <w:r w:rsidRPr="009E5026">
        <w:t>The use of disproportionate sampling allowed for the selection of a higher proportion of positive cases without having to review an unmanageable number of samples</w:t>
      </w:r>
      <w:r w:rsidR="006F7D00" w:rsidRPr="009E5026">
        <w:t>; however, because</w:t>
      </w:r>
      <w:r w:rsidRPr="009E5026">
        <w:t xml:space="preserve"> of this approach, negative cases were </w:t>
      </w:r>
      <w:r w:rsidR="00B6519A" w:rsidRPr="009E5026">
        <w:t xml:space="preserve">proportionally </w:t>
      </w:r>
      <w:r w:rsidRPr="009E5026">
        <w:t xml:space="preserve">underrepresented. </w:t>
      </w:r>
      <w:r w:rsidR="00D62C91" w:rsidRPr="009E5026">
        <w:t xml:space="preserve">Fleiss kappa </w:t>
      </w:r>
      <w:r w:rsidR="003C1A57" w:rsidRPr="009E5026">
        <w:t>perform</w:t>
      </w:r>
      <w:r w:rsidR="00B14937" w:rsidRPr="009E5026">
        <w:t>s</w:t>
      </w:r>
      <w:r w:rsidR="003C1A57" w:rsidRPr="009E5026">
        <w:t xml:space="preserve"> poorly when</w:t>
      </w:r>
      <w:r w:rsidR="00D62C91" w:rsidRPr="009E5026">
        <w:t xml:space="preserve"> </w:t>
      </w:r>
      <w:r w:rsidR="00D62C91" w:rsidRPr="009E5026">
        <w:lastRenderedPageBreak/>
        <w:t>the marginal classification probabilities are either very small or very large</w:t>
      </w:r>
      <w:r w:rsidR="0099122A" w:rsidRPr="009E5026">
        <w:t>,</w:t>
      </w:r>
      <w:r w:rsidR="00D62C91" w:rsidRPr="009E5026">
        <w:t xml:space="preserve"> </w:t>
      </w:r>
      <w:r w:rsidR="0026474A" w:rsidRPr="009E5026">
        <w:t>underestimating the strength of agreement</w:t>
      </w:r>
      <w:r w:rsidR="00993AB8" w:rsidRPr="009E5026">
        <w:t xml:space="preserve"> </w:t>
      </w:r>
      <w:r w:rsidR="00896C19" w:rsidRPr="009E5026">
        <w:rPr>
          <w:noProof/>
        </w:rPr>
        <w:t>[</w:t>
      </w:r>
      <w:r w:rsidR="00B71075" w:rsidRPr="009E5026">
        <w:rPr>
          <w:noProof/>
        </w:rPr>
        <w:t>2</w:t>
      </w:r>
      <w:r w:rsidR="009B0399" w:rsidRPr="009E5026">
        <w:rPr>
          <w:noProof/>
        </w:rPr>
        <w:t>7</w:t>
      </w:r>
      <w:r w:rsidR="00896C19" w:rsidRPr="009E5026">
        <w:rPr>
          <w:noProof/>
        </w:rPr>
        <w:t>]</w:t>
      </w:r>
      <w:r w:rsidR="00D62C91" w:rsidRPr="009E5026">
        <w:t>. Additionally, kappa results rely</w:t>
      </w:r>
      <w:r w:rsidR="003C1A57" w:rsidRPr="009E5026">
        <w:t xml:space="preserve"> on</w:t>
      </w:r>
      <w:r w:rsidR="00D62C91" w:rsidRPr="009E5026">
        <w:t xml:space="preserve"> arbitrary convention for what is considered substantial, moderate and low agreements.</w:t>
      </w:r>
      <w:r w:rsidR="003C1A57" w:rsidRPr="009E5026">
        <w:t xml:space="preserve"> Therefore, we included </w:t>
      </w:r>
      <w:r w:rsidR="00993AB8" w:rsidRPr="009E5026">
        <w:t xml:space="preserve">supplementary </w:t>
      </w:r>
      <w:r w:rsidR="003C1A57" w:rsidRPr="009E5026">
        <w:t>tables S2-</w:t>
      </w:r>
      <w:r w:rsidR="006F7D00" w:rsidRPr="009E5026">
        <w:t>4</w:t>
      </w:r>
      <w:r w:rsidR="003C1A57" w:rsidRPr="009E5026">
        <w:t xml:space="preserve"> to provide data on individual scientist’s performances.</w:t>
      </w:r>
    </w:p>
    <w:p w14:paraId="4DF4472F" w14:textId="1A43B0B5" w:rsidR="00AF75D7" w:rsidRPr="009E5026" w:rsidRDefault="006C2112" w:rsidP="003167B9">
      <w:pPr>
        <w:spacing w:line="480" w:lineRule="auto"/>
      </w:pPr>
      <w:r w:rsidRPr="009E5026">
        <w:t>The s</w:t>
      </w:r>
      <w:r w:rsidR="003C1A57" w:rsidRPr="009E5026">
        <w:t>tudy s</w:t>
      </w:r>
      <w:r w:rsidR="00AF75D7" w:rsidRPr="009E5026">
        <w:t xml:space="preserve">cientists </w:t>
      </w:r>
      <w:r w:rsidR="003C1A57" w:rsidRPr="009E5026">
        <w:t>are highly</w:t>
      </w:r>
      <w:r w:rsidR="00AF75D7" w:rsidRPr="009E5026">
        <w:t xml:space="preserve"> experience</w:t>
      </w:r>
      <w:r w:rsidR="00235D46" w:rsidRPr="009E5026">
        <w:t>d</w:t>
      </w:r>
      <w:r w:rsidR="00AF75D7" w:rsidRPr="009E5026">
        <w:t xml:space="preserve"> in conducting HSVA.</w:t>
      </w:r>
      <w:r w:rsidR="006A320E" w:rsidRPr="009E5026">
        <w:t xml:space="preserve"> </w:t>
      </w:r>
      <w:r w:rsidR="00235D46" w:rsidRPr="009E5026">
        <w:t>A</w:t>
      </w:r>
      <w:r w:rsidR="00AF75D7" w:rsidRPr="009E5026">
        <w:t xml:space="preserve">ccuracy and inter-observer reliability would </w:t>
      </w:r>
      <w:r w:rsidR="00235D46" w:rsidRPr="009E5026">
        <w:t>probably be lower</w:t>
      </w:r>
      <w:r w:rsidR="00AF75D7" w:rsidRPr="009E5026">
        <w:t xml:space="preserve"> if conducted </w:t>
      </w:r>
      <w:r w:rsidR="00571876" w:rsidRPr="009E5026">
        <w:t xml:space="preserve">by </w:t>
      </w:r>
      <w:r w:rsidR="00235D46" w:rsidRPr="009E5026">
        <w:t xml:space="preserve">less experienced </w:t>
      </w:r>
      <w:r w:rsidR="00571876" w:rsidRPr="009E5026">
        <w:t>scientists</w:t>
      </w:r>
      <w:r w:rsidR="00AF75D7" w:rsidRPr="009E5026">
        <w:t>.</w:t>
      </w:r>
      <w:r w:rsidR="00B90A7E" w:rsidRPr="009E5026">
        <w:t xml:space="preserve"> </w:t>
      </w:r>
      <w:r w:rsidRPr="009E5026">
        <w:t>S</w:t>
      </w:r>
      <w:r w:rsidR="003C1A57" w:rsidRPr="009E5026">
        <w:t>cientists</w:t>
      </w:r>
      <w:r w:rsidR="006A320E" w:rsidRPr="009E5026">
        <w:t xml:space="preserve"> </w:t>
      </w:r>
      <w:r w:rsidRPr="009E5026">
        <w:t>potentially</w:t>
      </w:r>
      <w:r w:rsidR="006A320E" w:rsidRPr="009E5026">
        <w:t xml:space="preserve"> recognised cases,</w:t>
      </w:r>
      <w:r w:rsidR="0099122A" w:rsidRPr="009E5026">
        <w:t xml:space="preserve"> </w:t>
      </w:r>
      <w:r w:rsidRPr="009E5026">
        <w:t xml:space="preserve">but </w:t>
      </w:r>
      <w:r w:rsidR="0099122A" w:rsidRPr="009E5026">
        <w:t>this</w:t>
      </w:r>
      <w:r w:rsidR="003C1A57" w:rsidRPr="009E5026">
        <w:t xml:space="preserve"> is</w:t>
      </w:r>
      <w:r w:rsidR="0099122A" w:rsidRPr="009E5026">
        <w:t xml:space="preserve"> unlikely due to high diagnostic throughput</w:t>
      </w:r>
      <w:r w:rsidR="003C1A57" w:rsidRPr="009E5026">
        <w:t xml:space="preserve"> </w:t>
      </w:r>
      <w:r w:rsidR="00235D46" w:rsidRPr="009E5026">
        <w:t>and</w:t>
      </w:r>
      <w:r w:rsidRPr="009E5026">
        <w:t xml:space="preserve"> videos </w:t>
      </w:r>
      <w:r w:rsidR="00571876" w:rsidRPr="009E5026">
        <w:t>originating</w:t>
      </w:r>
      <w:r w:rsidRPr="009E5026">
        <w:t xml:space="preserve"> from </w:t>
      </w:r>
      <w:r w:rsidR="008829A1" w:rsidRPr="009E5026">
        <w:t>analyses conducted some time</w:t>
      </w:r>
      <w:r w:rsidRPr="009E5026">
        <w:t xml:space="preserve"> ago</w:t>
      </w:r>
      <w:r w:rsidR="0099122A" w:rsidRPr="009E5026">
        <w:t xml:space="preserve">. </w:t>
      </w:r>
      <w:r w:rsidR="003167B9" w:rsidRPr="009E5026">
        <w:t>While</w:t>
      </w:r>
      <w:r w:rsidR="00B6519A" w:rsidRPr="009E5026">
        <w:t xml:space="preserve"> we have demonstrated it is technically reliable to provide same-day provisional feedback based on HSVA</w:t>
      </w:r>
      <w:r w:rsidR="003167B9" w:rsidRPr="009E5026">
        <w:t xml:space="preserve">, </w:t>
      </w:r>
      <w:r w:rsidR="00B6519A" w:rsidRPr="009E5026">
        <w:t>the feasibility to achieve this will depend on local resources</w:t>
      </w:r>
      <w:r w:rsidR="003167B9" w:rsidRPr="009E5026">
        <w:t>.</w:t>
      </w:r>
    </w:p>
    <w:p w14:paraId="51536CA1" w14:textId="26723C85" w:rsidR="0073561C" w:rsidRPr="009E5026" w:rsidRDefault="002A46E7" w:rsidP="00FF4537">
      <w:pPr>
        <w:spacing w:line="480" w:lineRule="auto"/>
      </w:pPr>
      <w:r w:rsidRPr="009E5026">
        <w:t>In conclusion, we found that when following standardi</w:t>
      </w:r>
      <w:r w:rsidR="003D0718" w:rsidRPr="009E5026">
        <w:t>s</w:t>
      </w:r>
      <w:r w:rsidRPr="009E5026">
        <w:t xml:space="preserve">ed protocols </w:t>
      </w:r>
      <w:r w:rsidR="00096B45" w:rsidRPr="009E5026">
        <w:t>HSVA</w:t>
      </w:r>
      <w:r w:rsidRPr="009E5026">
        <w:t xml:space="preserve"> has an excellent sensitivity and specificity to diagnose PCD. We found a </w:t>
      </w:r>
      <w:r w:rsidR="003C1A57" w:rsidRPr="009E5026">
        <w:t xml:space="preserve">good </w:t>
      </w:r>
      <w:r w:rsidRPr="009E5026">
        <w:t xml:space="preserve">agreement between scientists on ‘PCD positive’ and ‘PCD highly unlikely’ outcomes, confirming that </w:t>
      </w:r>
      <w:r w:rsidR="00096B45" w:rsidRPr="009E5026">
        <w:t>HSVA</w:t>
      </w:r>
      <w:r w:rsidRPr="009E5026">
        <w:t xml:space="preserve"> is a reliable diagnostic test. There is now a need for international standardi</w:t>
      </w:r>
      <w:r w:rsidR="003D0718" w:rsidRPr="009E5026">
        <w:t>s</w:t>
      </w:r>
      <w:r w:rsidRPr="009E5026">
        <w:t xml:space="preserve">ation of analysis and reporting of </w:t>
      </w:r>
      <w:r w:rsidR="00096B45" w:rsidRPr="009E5026">
        <w:t>HSVA</w:t>
      </w:r>
      <w:r w:rsidRPr="009E5026">
        <w:t>.</w:t>
      </w:r>
    </w:p>
    <w:p w14:paraId="39126A44" w14:textId="77777777" w:rsidR="003E402C" w:rsidRPr="009E5026" w:rsidRDefault="003E402C" w:rsidP="00FF4537">
      <w:pPr>
        <w:spacing w:line="480" w:lineRule="auto"/>
      </w:pPr>
    </w:p>
    <w:p w14:paraId="5211220C" w14:textId="77777777" w:rsidR="00FF4537" w:rsidRPr="009E5026" w:rsidRDefault="00FF4537" w:rsidP="00FF4537">
      <w:pPr>
        <w:pStyle w:val="CommentText"/>
        <w:spacing w:line="480" w:lineRule="auto"/>
        <w:rPr>
          <w:b/>
        </w:rPr>
        <w:sectPr w:rsidR="00FF4537" w:rsidRPr="009E5026" w:rsidSect="00F15795">
          <w:footerReference w:type="default" r:id="rId8"/>
          <w:pgSz w:w="11906" w:h="16838" w:code="9"/>
          <w:pgMar w:top="1440" w:right="1440" w:bottom="1440" w:left="1440" w:header="709" w:footer="709" w:gutter="0"/>
          <w:pgNumType w:start="1"/>
          <w:cols w:space="708"/>
          <w:docGrid w:linePitch="360"/>
        </w:sectPr>
      </w:pPr>
    </w:p>
    <w:p w14:paraId="1531601C" w14:textId="77777777" w:rsidR="006D5392" w:rsidRPr="009E5026" w:rsidRDefault="00F66D4F" w:rsidP="006D5392">
      <w:pPr>
        <w:pStyle w:val="Heading2"/>
        <w:rPr>
          <w:b/>
        </w:rPr>
      </w:pPr>
      <w:r w:rsidRPr="009E5026">
        <w:rPr>
          <w:rStyle w:val="Heading1Char"/>
          <w:sz w:val="26"/>
          <w:szCs w:val="26"/>
        </w:rPr>
        <w:lastRenderedPageBreak/>
        <w:t>Acknowledgements</w:t>
      </w:r>
    </w:p>
    <w:p w14:paraId="7C278BEE" w14:textId="1E567280" w:rsidR="00F66D4F" w:rsidRPr="009E5026" w:rsidRDefault="001F7F0A" w:rsidP="00FF4537">
      <w:pPr>
        <w:pStyle w:val="CommentText"/>
        <w:spacing w:line="480" w:lineRule="auto"/>
      </w:pPr>
      <w:r w:rsidRPr="009E5026">
        <w:t>The authors thank</w:t>
      </w:r>
      <w:r w:rsidR="00F66D4F" w:rsidRPr="009E5026">
        <w:t xml:space="preserve"> all laboratory and clinical members of the national PCD Diagnostic Service at UHS, RB</w:t>
      </w:r>
      <w:r w:rsidR="0073561C" w:rsidRPr="009E5026">
        <w:t>H and LRI</w:t>
      </w:r>
      <w:r w:rsidR="00F66D4F" w:rsidRPr="009E5026">
        <w:t xml:space="preserve"> who have contrib</w:t>
      </w:r>
      <w:r w:rsidR="00E45FE5" w:rsidRPr="009E5026">
        <w:t>uted to the standardi</w:t>
      </w:r>
      <w:r w:rsidR="003D0718" w:rsidRPr="009E5026">
        <w:t>s</w:t>
      </w:r>
      <w:r w:rsidR="00F66D4F" w:rsidRPr="009E5026">
        <w:t>ed clinical protocols and the clinical diagnostic testing of the patients</w:t>
      </w:r>
      <w:r w:rsidR="008848A7" w:rsidRPr="009E5026">
        <w:t>;</w:t>
      </w:r>
      <w:r w:rsidR="00F66D4F" w:rsidRPr="009E5026">
        <w:t xml:space="preserve"> Dr Hannah Mitchison, University College London for conducting the genetic tests as part of a research project (London Bloomsbury. Research Ethics Committee; 08/H0713/82)</w:t>
      </w:r>
      <w:r w:rsidR="008848A7" w:rsidRPr="009E5026">
        <w:t>;</w:t>
      </w:r>
      <w:r w:rsidR="00F66D4F" w:rsidRPr="009E5026">
        <w:t xml:space="preserve"> </w:t>
      </w:r>
      <w:r w:rsidR="008848A7" w:rsidRPr="009E5026">
        <w:t>and</w:t>
      </w:r>
      <w:r w:rsidR="00F66D4F" w:rsidRPr="009E5026">
        <w:t xml:space="preserve"> patients who engage with research to further the understanding of PCD. </w:t>
      </w:r>
    </w:p>
    <w:p w14:paraId="0C0116A4" w14:textId="77777777" w:rsidR="00893FA5" w:rsidRPr="009E5026" w:rsidRDefault="00893FA5" w:rsidP="00893FA5">
      <w:pPr>
        <w:spacing w:line="480" w:lineRule="auto"/>
        <w:rPr>
          <w:b/>
        </w:rPr>
      </w:pPr>
      <w:r w:rsidRPr="009E5026">
        <w:rPr>
          <w:b/>
        </w:rPr>
        <w:t>Contributions:</w:t>
      </w:r>
    </w:p>
    <w:p w14:paraId="20CE5BE9" w14:textId="77777777" w:rsidR="00893FA5" w:rsidRPr="009E5026" w:rsidRDefault="00893FA5" w:rsidP="00893FA5">
      <w:pPr>
        <w:spacing w:line="480" w:lineRule="auto"/>
      </w:pPr>
      <w:r w:rsidRPr="009E5026">
        <w:t>JSL had the concept for the study and takes responsibility for the integrity of the study and data; IR, BR, JSL: designed the study and secured funding; BR: led standardised clinical and diagnostic data collection; randomisation, data management and statistical analyses; drafted the manuscript; AS: led standardisation of study HSVA;  CLJ, RH, AS: Study analyses of video images; FC: PPI; JT led standardisation of video selection and quality assessment; BR, JT, JH, EF, CO’C, CH, JSL: extraction of clinical and diagnostic data from clinical records; JT, JH, EF, BR: preparation of video images for scientist’s review; CH, CO’C, JSL: led multidisciplinary team decisions at diagnostic centres</w:t>
      </w:r>
    </w:p>
    <w:p w14:paraId="5839541E" w14:textId="77777777" w:rsidR="00893FA5" w:rsidRPr="009E5026" w:rsidRDefault="00893FA5" w:rsidP="00FF4537">
      <w:pPr>
        <w:spacing w:line="480" w:lineRule="auto"/>
        <w:sectPr w:rsidR="00893FA5" w:rsidRPr="009E5026">
          <w:pgSz w:w="11906" w:h="16838"/>
          <w:pgMar w:top="1440" w:right="1440" w:bottom="1440" w:left="1440" w:header="708" w:footer="708" w:gutter="0"/>
          <w:cols w:space="708"/>
          <w:docGrid w:linePitch="360"/>
        </w:sectPr>
      </w:pPr>
    </w:p>
    <w:p w14:paraId="0C6CE15C" w14:textId="1F1C75CE" w:rsidR="002F3C6B" w:rsidRPr="009E5026" w:rsidRDefault="00FF4537" w:rsidP="002F3C6B">
      <w:pPr>
        <w:pStyle w:val="Heading1"/>
      </w:pPr>
      <w:r w:rsidRPr="009E5026">
        <w:lastRenderedPageBreak/>
        <w:t>Figure legends</w:t>
      </w:r>
    </w:p>
    <w:p w14:paraId="7B14D72B" w14:textId="079F8CE2" w:rsidR="00FF4537" w:rsidRPr="009E5026" w:rsidRDefault="00FF4537" w:rsidP="002F3C6B">
      <w:pPr>
        <w:spacing w:line="480" w:lineRule="auto"/>
      </w:pPr>
      <w:r w:rsidRPr="009E5026">
        <w:rPr>
          <w:b/>
        </w:rPr>
        <w:t>Figure 1</w:t>
      </w:r>
      <w:r w:rsidR="00AC5432" w:rsidRPr="009E5026">
        <w:rPr>
          <w:b/>
        </w:rPr>
        <w:t>.</w:t>
      </w:r>
      <w:r w:rsidRPr="009E5026">
        <w:t xml:space="preserve"> The two reference standards used to assess the accuracy of high-speed video microscopy</w:t>
      </w:r>
      <w:r w:rsidR="00FD20C1" w:rsidRPr="009E5026">
        <w:t xml:space="preserve"> (HSVA)</w:t>
      </w:r>
      <w:r w:rsidRPr="009E5026">
        <w:t xml:space="preserve"> analysis. </w:t>
      </w:r>
      <w:r w:rsidR="003E402C" w:rsidRPr="009E5026">
        <w:rPr>
          <w:b/>
        </w:rPr>
        <w:t>A</w:t>
      </w:r>
      <w:r w:rsidRPr="009E5026">
        <w:rPr>
          <w:b/>
        </w:rPr>
        <w:t>)</w:t>
      </w:r>
      <w:r w:rsidRPr="009E5026">
        <w:t xml:space="preserve"> </w:t>
      </w:r>
      <w:r w:rsidR="00D955F5" w:rsidRPr="009E5026">
        <w:t xml:space="preserve">ERS </w:t>
      </w:r>
      <w:r w:rsidRPr="009E5026">
        <w:t>guidelines recommended a standardi</w:t>
      </w:r>
      <w:r w:rsidR="00D955F5" w:rsidRPr="009E5026">
        <w:t>s</w:t>
      </w:r>
      <w:r w:rsidRPr="009E5026">
        <w:t>ed terminology to describe the diagnostic outcome</w:t>
      </w:r>
      <w:r w:rsidR="00931FCF" w:rsidRPr="009E5026">
        <w:t xml:space="preserve"> </w:t>
      </w:r>
      <w:r w:rsidR="00931FCF" w:rsidRPr="009E5026">
        <w:rPr>
          <w:noProof/>
        </w:rPr>
        <w:t>[2]</w:t>
      </w:r>
      <w:r w:rsidRPr="009E5026">
        <w:t xml:space="preserve">. If the patient has a hallmark </w:t>
      </w:r>
      <w:r w:rsidR="00FD20C1" w:rsidRPr="009E5026">
        <w:t>transmission electron microscopy (</w:t>
      </w:r>
      <w:r w:rsidRPr="009E5026">
        <w:t>TEM</w:t>
      </w:r>
      <w:r w:rsidR="00FD20C1" w:rsidRPr="009E5026">
        <w:t>)</w:t>
      </w:r>
      <w:r w:rsidRPr="009E5026">
        <w:t xml:space="preserve"> defect or bi</w:t>
      </w:r>
      <w:r w:rsidR="00D955F5" w:rsidRPr="009E5026">
        <w:t>-</w:t>
      </w:r>
      <w:r w:rsidRPr="009E5026">
        <w:t>allelic</w:t>
      </w:r>
      <w:r w:rsidR="00D955F5" w:rsidRPr="009E5026">
        <w:t xml:space="preserve"> or X-linked</w:t>
      </w:r>
      <w:r w:rsidRPr="009E5026">
        <w:t xml:space="preserve"> causative mutation in a </w:t>
      </w:r>
      <w:r w:rsidR="00FD20C1" w:rsidRPr="009E5026">
        <w:t>primary ciliary dyskinesia (</w:t>
      </w:r>
      <w:r w:rsidRPr="009E5026">
        <w:t>PCD</w:t>
      </w:r>
      <w:r w:rsidR="00FD20C1" w:rsidRPr="009E5026">
        <w:t>)</w:t>
      </w:r>
      <w:r w:rsidRPr="009E5026">
        <w:t xml:space="preserve"> gene, they are diagnosed as ‘PCD positive’. If</w:t>
      </w:r>
      <w:r w:rsidR="00FD20C1" w:rsidRPr="009E5026">
        <w:t xml:space="preserve"> nasal nitric oxide</w:t>
      </w:r>
      <w:r w:rsidRPr="009E5026">
        <w:t xml:space="preserve"> </w:t>
      </w:r>
      <w:r w:rsidR="00FD20C1" w:rsidRPr="009E5026">
        <w:t>(</w:t>
      </w:r>
      <w:r w:rsidRPr="009E5026">
        <w:t>nNO</w:t>
      </w:r>
      <w:r w:rsidR="00FD20C1" w:rsidRPr="009E5026">
        <w:t>)</w:t>
      </w:r>
      <w:r w:rsidRPr="009E5026">
        <w:t xml:space="preserve"> is repeatedly low and hallmark HSVA alterations are found on three separate occasions or after </w:t>
      </w:r>
      <w:r w:rsidR="00DE4029" w:rsidRPr="009E5026">
        <w:t>air-liquid interface (</w:t>
      </w:r>
      <w:r w:rsidRPr="009E5026">
        <w:t>ALI</w:t>
      </w:r>
      <w:r w:rsidR="00DE4029" w:rsidRPr="009E5026">
        <w:t>)</w:t>
      </w:r>
      <w:r w:rsidRPr="009E5026">
        <w:t xml:space="preserve"> cell culture, but TEM and genetics testing are normal, the patient is labelled as ‘PCD highly likely’;  PCD is considered ‘highly unlikely’ if all tests are normal. Despite repeated testing, the diagnostic category for a </w:t>
      </w:r>
      <w:r w:rsidR="00D955F5" w:rsidRPr="009E5026">
        <w:t xml:space="preserve">proportion </w:t>
      </w:r>
      <w:r w:rsidRPr="009E5026">
        <w:t>of patients remains inconclusive</w:t>
      </w:r>
      <w:r w:rsidR="00167846" w:rsidRPr="009E5026">
        <w:t>; these were patients that did not satisfy the criteria to be included in any of the other categories</w:t>
      </w:r>
      <w:r w:rsidRPr="009E5026">
        <w:t xml:space="preserve">. </w:t>
      </w:r>
      <w:r w:rsidR="003E402C" w:rsidRPr="009E5026">
        <w:rPr>
          <w:b/>
        </w:rPr>
        <w:t>B</w:t>
      </w:r>
      <w:r w:rsidRPr="009E5026">
        <w:rPr>
          <w:b/>
        </w:rPr>
        <w:t xml:space="preserve">) </w:t>
      </w:r>
      <w:r w:rsidRPr="009E5026">
        <w:t>In the clinical setting, all available clinical and diagnostic data was reviewed at a multidisciplinary meeting to define the diagnostic outcome</w:t>
      </w:r>
      <w:r w:rsidR="00D955F5" w:rsidRPr="009E5026">
        <w:t xml:space="preserve">, based on the opinion of the </w:t>
      </w:r>
      <w:r w:rsidR="003D0718" w:rsidRPr="009E5026">
        <w:t>expert</w:t>
      </w:r>
      <w:r w:rsidR="00D955F5" w:rsidRPr="009E5026">
        <w:t xml:space="preserve"> team.</w:t>
      </w:r>
    </w:p>
    <w:p w14:paraId="1C5A3712" w14:textId="633923B2" w:rsidR="004C6AF3" w:rsidRPr="009E5026" w:rsidRDefault="004C6AF3" w:rsidP="002F3C6B">
      <w:pPr>
        <w:spacing w:line="480" w:lineRule="auto"/>
      </w:pPr>
      <w:r w:rsidRPr="009E5026">
        <w:rPr>
          <w:b/>
        </w:rPr>
        <w:t>Figure 2.</w:t>
      </w:r>
      <w:r w:rsidRPr="009E5026">
        <w:t xml:space="preserve"> Diagnostic algorithms used to determine true positive and true negative outcomes for test accuracy calculations, according to the European Respiratory Society (ERS) guidelines (top half) and the clinical diagnostic decision by the multidisciplinary (MDT) team (bottom half)</w:t>
      </w:r>
      <w:r w:rsidR="00825358" w:rsidRPr="009E5026">
        <w:t>.</w:t>
      </w:r>
    </w:p>
    <w:p w14:paraId="150D8FF9" w14:textId="024A1E5B" w:rsidR="00F07BF9" w:rsidRPr="009E5026" w:rsidRDefault="00F07BF9" w:rsidP="00F07BF9">
      <w:pPr>
        <w:spacing w:line="480" w:lineRule="auto"/>
        <w:sectPr w:rsidR="00F07BF9" w:rsidRPr="009E5026">
          <w:pgSz w:w="11906" w:h="16838"/>
          <w:pgMar w:top="1440" w:right="1440" w:bottom="1440" w:left="1440" w:header="708" w:footer="708" w:gutter="0"/>
          <w:cols w:space="708"/>
          <w:docGrid w:linePitch="360"/>
        </w:sectPr>
      </w:pPr>
      <w:r w:rsidRPr="009E5026">
        <w:rPr>
          <w:b/>
        </w:rPr>
        <w:t>Figure S1.</w:t>
      </w:r>
      <w:r w:rsidRPr="009E5026">
        <w:t xml:space="preserve">  Patient-samples excluded from the study (n=15) and reasons for exclusion, stratified by multidisciplinary team meeting (MDT) diagnostic outcome and centre of origin of patient-sample. Each symbol represents a patient-sample excluded; circles represent patient-samples from the Royal Brompton Hospital (RBH, n=9), squares from Leicester Royal Infirmary (LRI, n=5) and triangles from University Hospital Southampton (UHS, n=1).</w:t>
      </w:r>
    </w:p>
    <w:p w14:paraId="2345F380" w14:textId="4F550102" w:rsidR="00626BAD" w:rsidRPr="009E5026" w:rsidRDefault="00626BAD" w:rsidP="002F3C6B">
      <w:pPr>
        <w:spacing w:line="480" w:lineRule="auto"/>
      </w:pPr>
      <w:r w:rsidRPr="009E5026">
        <w:rPr>
          <w:b/>
        </w:rPr>
        <w:lastRenderedPageBreak/>
        <w:t>Figure S</w:t>
      </w:r>
      <w:r w:rsidR="00F07BF9" w:rsidRPr="009E5026">
        <w:rPr>
          <w:b/>
        </w:rPr>
        <w:t>2</w:t>
      </w:r>
      <w:r w:rsidRPr="009E5026">
        <w:rPr>
          <w:b/>
        </w:rPr>
        <w:t>.</w:t>
      </w:r>
      <w:r w:rsidR="0035120B" w:rsidRPr="009E5026">
        <w:t xml:space="preserve"> Comparison of </w:t>
      </w:r>
      <w:r w:rsidR="0026474A" w:rsidRPr="009E5026">
        <w:t>diagnostic outcomes from study</w:t>
      </w:r>
      <w:r w:rsidR="00E8130D" w:rsidRPr="009E5026">
        <w:t xml:space="preserve"> </w:t>
      </w:r>
      <w:r w:rsidR="0035120B" w:rsidRPr="009E5026">
        <w:t>samples</w:t>
      </w:r>
      <w:r w:rsidR="00D46DDF" w:rsidRPr="009E5026">
        <w:t xml:space="preserve"> between </w:t>
      </w:r>
      <w:r w:rsidR="0035120B" w:rsidRPr="009E5026">
        <w:t>the</w:t>
      </w:r>
      <w:r w:rsidR="00D46DDF" w:rsidRPr="009E5026">
        <w:t xml:space="preserve"> original</w:t>
      </w:r>
      <w:r w:rsidR="0035120B" w:rsidRPr="009E5026">
        <w:t xml:space="preserve"> multidisciplinary team</w:t>
      </w:r>
      <w:r w:rsidR="00E8130D" w:rsidRPr="009E5026">
        <w:t xml:space="preserve"> (MDT) clinical decision</w:t>
      </w:r>
      <w:r w:rsidR="00D46DDF" w:rsidRPr="009E5026">
        <w:t xml:space="preserve"> (reference b)</w:t>
      </w:r>
      <w:r w:rsidR="00E8130D" w:rsidRPr="009E5026">
        <w:t xml:space="preserve"> and </w:t>
      </w:r>
      <w:r w:rsidR="00D46DDF" w:rsidRPr="009E5026">
        <w:t>outcomes reclassified using the</w:t>
      </w:r>
      <w:r w:rsidR="0035120B" w:rsidRPr="009E5026">
        <w:t xml:space="preserve"> ERS guidelines</w:t>
      </w:r>
      <w:r w:rsidR="00D46DDF" w:rsidRPr="009E5026">
        <w:t xml:space="preserve"> (reference a)</w:t>
      </w:r>
      <w:r w:rsidR="0035120B" w:rsidRPr="009E5026">
        <w:t>.</w:t>
      </w:r>
      <w:r w:rsidRPr="009E5026">
        <w:t xml:space="preserve"> </w:t>
      </w:r>
    </w:p>
    <w:p w14:paraId="7DBC2E2A" w14:textId="76FCFE24" w:rsidR="00FF4537" w:rsidRPr="009E5026" w:rsidRDefault="00FF4537" w:rsidP="006D5392">
      <w:pPr>
        <w:pStyle w:val="Heading1"/>
      </w:pPr>
      <w:r w:rsidRPr="009E5026">
        <w:t>Footnotes</w:t>
      </w:r>
    </w:p>
    <w:p w14:paraId="1FB2AB71" w14:textId="0788804E" w:rsidR="00FF4537" w:rsidRPr="009E5026" w:rsidRDefault="00FF4537" w:rsidP="00AC5432">
      <w:pPr>
        <w:spacing w:line="480" w:lineRule="auto"/>
      </w:pPr>
      <w:r w:rsidRPr="009E5026">
        <w:rPr>
          <w:b/>
        </w:rPr>
        <w:t>Table 1.</w:t>
      </w:r>
      <w:r w:rsidRPr="009E5026">
        <w:t xml:space="preserve"> ERS: European Respiratory Society; PCD: primary ciliary dyskinesia; UHS: University Hospital Southampton; RBH: Royal Brompton Hospital in London; L</w:t>
      </w:r>
      <w:r w:rsidR="005E3D3A" w:rsidRPr="009E5026">
        <w:t>R</w:t>
      </w:r>
      <w:r w:rsidRPr="009E5026">
        <w:t xml:space="preserve">I: Leicester Royal Infirmary; ODA: outer dynein arm defect; IDA: inner dynein arm defect; MTD: microtubular disarrangement; CC: central complex defect; </w:t>
      </w:r>
      <w:r w:rsidRPr="009E5026">
        <w:rPr>
          <w:rFonts w:cstheme="minorHAnsi"/>
          <w:vertAlign w:val="superscript"/>
        </w:rPr>
        <w:t>α</w:t>
      </w:r>
      <w:r w:rsidRPr="009E5026">
        <w:rPr>
          <w:rFonts w:cstheme="minorHAnsi"/>
        </w:rPr>
        <w:t xml:space="preserve">bi-allelic mutations in </w:t>
      </w:r>
      <w:r w:rsidRPr="009E5026">
        <w:rPr>
          <w:rFonts w:cstheme="minorHAnsi"/>
          <w:i/>
        </w:rPr>
        <w:t>DNAH11</w:t>
      </w:r>
      <w:r w:rsidRPr="009E5026">
        <w:rPr>
          <w:rFonts w:cstheme="minorHAnsi"/>
        </w:rPr>
        <w:t xml:space="preserve"> gene;</w:t>
      </w:r>
      <w:r w:rsidRPr="009E5026">
        <w:t xml:space="preserve"> </w:t>
      </w:r>
      <w:r w:rsidRPr="009E5026">
        <w:rPr>
          <w:rFonts w:cstheme="minorHAnsi"/>
          <w:vertAlign w:val="superscript"/>
        </w:rPr>
        <w:t>β</w:t>
      </w:r>
      <w:r w:rsidRPr="009E5026">
        <w:t xml:space="preserve">bi-allelic mutations in </w:t>
      </w:r>
      <w:r w:rsidRPr="009E5026">
        <w:rPr>
          <w:i/>
        </w:rPr>
        <w:t>RSPH9</w:t>
      </w:r>
      <w:r w:rsidRPr="009E5026">
        <w:t xml:space="preserve"> gene; </w:t>
      </w:r>
      <w:r w:rsidRPr="009E5026">
        <w:rPr>
          <w:vertAlign w:val="superscript"/>
        </w:rPr>
        <w:t>*</w:t>
      </w:r>
      <w:r w:rsidR="00D955F5" w:rsidRPr="009E5026">
        <w:t>X-linked</w:t>
      </w:r>
      <w:r w:rsidRPr="009E5026">
        <w:t xml:space="preserve"> mutation in </w:t>
      </w:r>
      <w:r w:rsidRPr="009E5026">
        <w:rPr>
          <w:i/>
        </w:rPr>
        <w:t>OFD1</w:t>
      </w:r>
      <w:r w:rsidRPr="009E5026">
        <w:t xml:space="preserve"> gene; </w:t>
      </w:r>
      <w:r w:rsidRPr="009E5026">
        <w:rPr>
          <w:vertAlign w:val="superscript"/>
        </w:rPr>
        <w:t xml:space="preserve">¬ </w:t>
      </w:r>
      <w:r w:rsidRPr="009E5026">
        <w:t>TEM abnormality described as “thin ODA present”, not a hallmark PCD defect according to the ERS Guideline</w:t>
      </w:r>
      <w:r w:rsidR="005E3D3A" w:rsidRPr="009E5026">
        <w:t>s</w:t>
      </w:r>
      <w:r w:rsidRPr="009E5026">
        <w:t>.</w:t>
      </w:r>
    </w:p>
    <w:p w14:paraId="2DE1AC5E" w14:textId="41E59BE0" w:rsidR="00FF4537" w:rsidRPr="009E5026" w:rsidRDefault="00FF4537" w:rsidP="00FF4537">
      <w:pPr>
        <w:spacing w:line="480" w:lineRule="auto"/>
      </w:pPr>
      <w:r w:rsidRPr="009E5026">
        <w:rPr>
          <w:b/>
        </w:rPr>
        <w:t>Table 2.</w:t>
      </w:r>
      <w:r w:rsidRPr="009E5026">
        <w:t xml:space="preserve"> ERS: European Respiratory Society; HSVA: high-speed video microscopy analysis; PCD: primary ciliary dyskinesia;* ‘PCD positive’ cases were those with a hallmark transmission electron microscopy defect and/or genotype.</w:t>
      </w:r>
    </w:p>
    <w:p w14:paraId="192ABA59" w14:textId="03A0603D" w:rsidR="002F3C6B" w:rsidRPr="009E5026" w:rsidRDefault="002F3C6B" w:rsidP="002F3C6B">
      <w:pPr>
        <w:spacing w:line="480" w:lineRule="auto"/>
      </w:pPr>
      <w:r w:rsidRPr="009E5026">
        <w:rPr>
          <w:b/>
        </w:rPr>
        <w:t>Table 3.</w:t>
      </w:r>
      <w:r w:rsidRPr="009E5026">
        <w:t xml:space="preserve"> MDT: multidisciplinary team; HSVA: high-speed video microscopy</w:t>
      </w:r>
      <w:r w:rsidR="005E3D3A" w:rsidRPr="009E5026">
        <w:t xml:space="preserve"> analysis</w:t>
      </w:r>
      <w:r w:rsidRPr="009E5026">
        <w:t>; * Includes both ‘PCD positive’ and ‘PCD highly likely’ outcomes</w:t>
      </w:r>
      <w:r w:rsidR="00825358" w:rsidRPr="009E5026">
        <w:t>.</w:t>
      </w:r>
    </w:p>
    <w:p w14:paraId="70C4885D" w14:textId="096FA429" w:rsidR="0028613C" w:rsidRPr="009E5026" w:rsidRDefault="00AE0F66" w:rsidP="00FF4537">
      <w:pPr>
        <w:spacing w:line="480" w:lineRule="auto"/>
      </w:pPr>
      <w:r w:rsidRPr="009E5026">
        <w:rPr>
          <w:b/>
        </w:rPr>
        <w:t xml:space="preserve">Table </w:t>
      </w:r>
      <w:r w:rsidR="00610681" w:rsidRPr="009E5026">
        <w:rPr>
          <w:b/>
        </w:rPr>
        <w:t>S</w:t>
      </w:r>
      <w:r w:rsidRPr="009E5026">
        <w:rPr>
          <w:b/>
        </w:rPr>
        <w:t>2</w:t>
      </w:r>
      <w:r w:rsidR="0028613C" w:rsidRPr="009E5026">
        <w:rPr>
          <w:b/>
        </w:rPr>
        <w:t>.</w:t>
      </w:r>
      <w:r w:rsidR="0028613C" w:rsidRPr="009E5026">
        <w:t xml:space="preserve"> ERS: European Respiratory Society; HSVA: high-speed video microscopy analysis; PCD: primary ciliary dyskinesia;* ‘PCD positive’ cases were those with a hallmark TEM defect and/or genotype</w:t>
      </w:r>
      <w:r w:rsidR="00825358" w:rsidRPr="009E5026">
        <w:t>.</w:t>
      </w:r>
    </w:p>
    <w:p w14:paraId="59A604BA" w14:textId="56289931" w:rsidR="00AE0F66" w:rsidRPr="009E5026" w:rsidRDefault="00AE0F66" w:rsidP="00FF4537">
      <w:pPr>
        <w:spacing w:line="480" w:lineRule="auto"/>
      </w:pPr>
      <w:r w:rsidRPr="009E5026">
        <w:rPr>
          <w:b/>
        </w:rPr>
        <w:t xml:space="preserve">Table </w:t>
      </w:r>
      <w:r w:rsidR="00610681" w:rsidRPr="009E5026">
        <w:rPr>
          <w:b/>
        </w:rPr>
        <w:t>S</w:t>
      </w:r>
      <w:r w:rsidRPr="009E5026">
        <w:rPr>
          <w:b/>
        </w:rPr>
        <w:t>3.</w:t>
      </w:r>
      <w:r w:rsidRPr="009E5026">
        <w:t xml:space="preserve"> MDT: multidisciplinary team; HSVA: high-speed video microscopy</w:t>
      </w:r>
      <w:r w:rsidR="005E3D3A" w:rsidRPr="009E5026">
        <w:t xml:space="preserve"> analysis</w:t>
      </w:r>
      <w:r w:rsidRPr="009E5026">
        <w:t>; * Includes both ‘PCD positive’ and ‘PCD highly likely’ outcomes</w:t>
      </w:r>
      <w:r w:rsidR="00825358" w:rsidRPr="009E5026">
        <w:t>.</w:t>
      </w:r>
    </w:p>
    <w:p w14:paraId="250710B6" w14:textId="46D4FB6A" w:rsidR="008B4324" w:rsidRPr="009E5026" w:rsidRDefault="008B4324" w:rsidP="00FF4537">
      <w:pPr>
        <w:spacing w:line="480" w:lineRule="auto"/>
        <w:sectPr w:rsidR="008B4324" w:rsidRPr="009E5026">
          <w:pgSz w:w="11906" w:h="16838"/>
          <w:pgMar w:top="1440" w:right="1440" w:bottom="1440" w:left="1440" w:header="708" w:footer="708" w:gutter="0"/>
          <w:cols w:space="708"/>
          <w:docGrid w:linePitch="360"/>
        </w:sectPr>
      </w:pPr>
      <w:r w:rsidRPr="009E5026">
        <w:rPr>
          <w:b/>
        </w:rPr>
        <w:t>Table S4.</w:t>
      </w:r>
      <w:r w:rsidRPr="009E5026">
        <w:t xml:space="preserve"> * Includes both ‘PCD positive’ and ‘PCD highly likely’ outcomes</w:t>
      </w:r>
      <w:r w:rsidR="00825358" w:rsidRPr="009E5026">
        <w:t>.</w:t>
      </w:r>
    </w:p>
    <w:p w14:paraId="24C9980C" w14:textId="64616320" w:rsidR="00FF4537" w:rsidRPr="009E5026" w:rsidRDefault="00FF4537" w:rsidP="006D5392">
      <w:pPr>
        <w:pStyle w:val="Heading1"/>
      </w:pPr>
      <w:r w:rsidRPr="009E5026">
        <w:lastRenderedPageBreak/>
        <w:t>Tables</w:t>
      </w:r>
    </w:p>
    <w:p w14:paraId="619DE938" w14:textId="50F4D413" w:rsidR="00FF4537" w:rsidRPr="009E5026" w:rsidRDefault="00FF4537" w:rsidP="00FF4537">
      <w:pPr>
        <w:spacing w:line="480" w:lineRule="auto"/>
      </w:pPr>
      <w:r w:rsidRPr="009E5026">
        <w:rPr>
          <w:b/>
        </w:rPr>
        <w:t>Table 1.</w:t>
      </w:r>
      <w:r w:rsidRPr="009E5026">
        <w:t xml:space="preserve"> Clinical characteristics of study participants stratified by the diagnostic outcome </w:t>
      </w:r>
      <w:r w:rsidR="00AC5432" w:rsidRPr="009E5026">
        <w:t>according to the European Respiratory Society</w:t>
      </w:r>
      <w:r w:rsidRPr="009E5026">
        <w:t xml:space="preserve"> guideline.</w:t>
      </w:r>
    </w:p>
    <w:tbl>
      <w:tblPr>
        <w:tblStyle w:val="TableGrid"/>
        <w:tblW w:w="9016" w:type="dxa"/>
        <w:tblLook w:val="04A0" w:firstRow="1" w:lastRow="0" w:firstColumn="1" w:lastColumn="0" w:noHBand="0" w:noVBand="1"/>
      </w:tblPr>
      <w:tblGrid>
        <w:gridCol w:w="1536"/>
        <w:gridCol w:w="1720"/>
        <w:gridCol w:w="1684"/>
        <w:gridCol w:w="1284"/>
        <w:gridCol w:w="1146"/>
        <w:gridCol w:w="1646"/>
      </w:tblGrid>
      <w:tr w:rsidR="00FF4537" w:rsidRPr="009E5026" w14:paraId="6A05A322" w14:textId="77777777" w:rsidTr="002A447E">
        <w:trPr>
          <w:trHeight w:val="536"/>
        </w:trPr>
        <w:tc>
          <w:tcPr>
            <w:tcW w:w="1536" w:type="dxa"/>
          </w:tcPr>
          <w:p w14:paraId="0208E97B" w14:textId="77777777" w:rsidR="00FF4537" w:rsidRPr="009E5026" w:rsidRDefault="00FF4537" w:rsidP="002A447E">
            <w:pPr>
              <w:spacing w:line="480" w:lineRule="auto"/>
            </w:pPr>
          </w:p>
        </w:tc>
        <w:tc>
          <w:tcPr>
            <w:tcW w:w="1720" w:type="dxa"/>
          </w:tcPr>
          <w:p w14:paraId="2AF1C8E2" w14:textId="77777777" w:rsidR="00FF4537" w:rsidRPr="009E5026" w:rsidRDefault="00FF4537" w:rsidP="002A447E">
            <w:pPr>
              <w:spacing w:line="480" w:lineRule="auto"/>
            </w:pPr>
            <w:r w:rsidRPr="009E5026">
              <w:t>All patients (n=120)</w:t>
            </w:r>
          </w:p>
        </w:tc>
        <w:tc>
          <w:tcPr>
            <w:tcW w:w="1684" w:type="dxa"/>
          </w:tcPr>
          <w:p w14:paraId="18B45E99" w14:textId="77777777" w:rsidR="00FF4537" w:rsidRPr="009E5026" w:rsidRDefault="00FF4537" w:rsidP="002A447E">
            <w:pPr>
              <w:spacing w:line="480" w:lineRule="auto"/>
            </w:pPr>
            <w:r w:rsidRPr="009E5026">
              <w:t>PCD positive (n= 36)</w:t>
            </w:r>
          </w:p>
        </w:tc>
        <w:tc>
          <w:tcPr>
            <w:tcW w:w="1284" w:type="dxa"/>
          </w:tcPr>
          <w:p w14:paraId="5A9DCB8D" w14:textId="77777777" w:rsidR="00FF4537" w:rsidRPr="009E5026" w:rsidRDefault="00FF4537" w:rsidP="002A447E">
            <w:pPr>
              <w:spacing w:line="480" w:lineRule="auto"/>
            </w:pPr>
            <w:r w:rsidRPr="009E5026">
              <w:t>PCD highly likely (n= 16)</w:t>
            </w:r>
          </w:p>
        </w:tc>
        <w:tc>
          <w:tcPr>
            <w:tcW w:w="1146" w:type="dxa"/>
          </w:tcPr>
          <w:p w14:paraId="7296D45C" w14:textId="77777777" w:rsidR="00FF4537" w:rsidRPr="009E5026" w:rsidRDefault="00FF4537" w:rsidP="002A447E">
            <w:pPr>
              <w:spacing w:line="480" w:lineRule="auto"/>
            </w:pPr>
            <w:r w:rsidRPr="009E5026">
              <w:t>PCD highly unlikely (n= 26)</w:t>
            </w:r>
          </w:p>
        </w:tc>
        <w:tc>
          <w:tcPr>
            <w:tcW w:w="1646" w:type="dxa"/>
          </w:tcPr>
          <w:p w14:paraId="1F5DBC18" w14:textId="77777777" w:rsidR="00FF4537" w:rsidRPr="009E5026" w:rsidRDefault="00FF4537" w:rsidP="002A447E">
            <w:pPr>
              <w:spacing w:line="480" w:lineRule="auto"/>
            </w:pPr>
            <w:r w:rsidRPr="009E5026">
              <w:t>Inconclusive (n= 42)</w:t>
            </w:r>
          </w:p>
        </w:tc>
      </w:tr>
      <w:tr w:rsidR="00FF4537" w:rsidRPr="009E5026" w14:paraId="137B6195" w14:textId="77777777" w:rsidTr="002A447E">
        <w:trPr>
          <w:trHeight w:val="480"/>
        </w:trPr>
        <w:tc>
          <w:tcPr>
            <w:tcW w:w="1536" w:type="dxa"/>
          </w:tcPr>
          <w:p w14:paraId="755034F4" w14:textId="0484C0E1" w:rsidR="00FF4537" w:rsidRPr="009E5026" w:rsidRDefault="00FF4537" w:rsidP="002A447E">
            <w:pPr>
              <w:spacing w:line="480" w:lineRule="auto"/>
            </w:pPr>
            <w:r w:rsidRPr="009E5026">
              <w:t>Centr</w:t>
            </w:r>
            <w:r w:rsidR="00366D0C" w:rsidRPr="009E5026">
              <w:t>e</w:t>
            </w:r>
            <w:r w:rsidRPr="009E5026">
              <w:t xml:space="preserve"> for diagnostic tests</w:t>
            </w:r>
          </w:p>
        </w:tc>
        <w:tc>
          <w:tcPr>
            <w:tcW w:w="1720" w:type="dxa"/>
          </w:tcPr>
          <w:p w14:paraId="210C5A2C" w14:textId="77777777" w:rsidR="00FF4537" w:rsidRPr="009E5026" w:rsidRDefault="00FF4537" w:rsidP="002A447E">
            <w:pPr>
              <w:spacing w:line="480" w:lineRule="auto"/>
            </w:pPr>
          </w:p>
        </w:tc>
        <w:tc>
          <w:tcPr>
            <w:tcW w:w="1684" w:type="dxa"/>
          </w:tcPr>
          <w:p w14:paraId="71EC0241" w14:textId="77777777" w:rsidR="00FF4537" w:rsidRPr="009E5026" w:rsidRDefault="00FF4537" w:rsidP="002A447E">
            <w:pPr>
              <w:spacing w:line="480" w:lineRule="auto"/>
            </w:pPr>
          </w:p>
        </w:tc>
        <w:tc>
          <w:tcPr>
            <w:tcW w:w="1284" w:type="dxa"/>
          </w:tcPr>
          <w:p w14:paraId="061F6144" w14:textId="77777777" w:rsidR="00FF4537" w:rsidRPr="009E5026" w:rsidRDefault="00FF4537" w:rsidP="002A447E">
            <w:pPr>
              <w:spacing w:line="480" w:lineRule="auto"/>
            </w:pPr>
          </w:p>
        </w:tc>
        <w:tc>
          <w:tcPr>
            <w:tcW w:w="1146" w:type="dxa"/>
          </w:tcPr>
          <w:p w14:paraId="7CE325AC" w14:textId="77777777" w:rsidR="00FF4537" w:rsidRPr="009E5026" w:rsidRDefault="00FF4537" w:rsidP="002A447E">
            <w:pPr>
              <w:spacing w:line="480" w:lineRule="auto"/>
            </w:pPr>
          </w:p>
        </w:tc>
        <w:tc>
          <w:tcPr>
            <w:tcW w:w="1646" w:type="dxa"/>
          </w:tcPr>
          <w:p w14:paraId="31292BA0" w14:textId="77777777" w:rsidR="00FF4537" w:rsidRPr="009E5026" w:rsidRDefault="00FF4537" w:rsidP="002A447E">
            <w:pPr>
              <w:spacing w:line="480" w:lineRule="auto"/>
            </w:pPr>
          </w:p>
        </w:tc>
      </w:tr>
      <w:tr w:rsidR="00FF4537" w:rsidRPr="009E5026" w14:paraId="1D35BE61" w14:textId="77777777" w:rsidTr="002A447E">
        <w:trPr>
          <w:trHeight w:val="293"/>
        </w:trPr>
        <w:tc>
          <w:tcPr>
            <w:tcW w:w="1536" w:type="dxa"/>
          </w:tcPr>
          <w:p w14:paraId="7F5B5D67" w14:textId="77777777" w:rsidR="00FF4537" w:rsidRPr="009E5026" w:rsidRDefault="00FF4537" w:rsidP="002A447E">
            <w:pPr>
              <w:spacing w:line="480" w:lineRule="auto"/>
              <w:rPr>
                <w:i/>
              </w:rPr>
            </w:pPr>
            <w:r w:rsidRPr="009E5026">
              <w:rPr>
                <w:i/>
              </w:rPr>
              <w:t>UHS</w:t>
            </w:r>
          </w:p>
        </w:tc>
        <w:tc>
          <w:tcPr>
            <w:tcW w:w="1720" w:type="dxa"/>
          </w:tcPr>
          <w:p w14:paraId="6F1B352C" w14:textId="77777777" w:rsidR="00FF4537" w:rsidRPr="009E5026" w:rsidRDefault="00FF4537" w:rsidP="002A447E">
            <w:pPr>
              <w:spacing w:line="480" w:lineRule="auto"/>
            </w:pPr>
            <w:r w:rsidRPr="009E5026">
              <w:t>40 (33.3%)</w:t>
            </w:r>
          </w:p>
        </w:tc>
        <w:tc>
          <w:tcPr>
            <w:tcW w:w="1684" w:type="dxa"/>
          </w:tcPr>
          <w:p w14:paraId="01D3C376" w14:textId="77777777" w:rsidR="00FF4537" w:rsidRPr="009E5026" w:rsidRDefault="00FF4537" w:rsidP="002A447E">
            <w:pPr>
              <w:spacing w:line="480" w:lineRule="auto"/>
            </w:pPr>
            <w:r w:rsidRPr="009E5026">
              <w:t>11 (30.6%)</w:t>
            </w:r>
          </w:p>
        </w:tc>
        <w:tc>
          <w:tcPr>
            <w:tcW w:w="1284" w:type="dxa"/>
          </w:tcPr>
          <w:p w14:paraId="33FE3DB1" w14:textId="77777777" w:rsidR="00FF4537" w:rsidRPr="009E5026" w:rsidRDefault="00FF4537" w:rsidP="002A447E">
            <w:pPr>
              <w:spacing w:line="480" w:lineRule="auto"/>
            </w:pPr>
            <w:r w:rsidRPr="009E5026">
              <w:t>3 (18.8%)</w:t>
            </w:r>
          </w:p>
        </w:tc>
        <w:tc>
          <w:tcPr>
            <w:tcW w:w="1146" w:type="dxa"/>
          </w:tcPr>
          <w:p w14:paraId="3B916F25" w14:textId="77777777" w:rsidR="00FF4537" w:rsidRPr="009E5026" w:rsidRDefault="00FF4537" w:rsidP="002A447E">
            <w:pPr>
              <w:spacing w:line="480" w:lineRule="auto"/>
            </w:pPr>
            <w:r w:rsidRPr="009E5026">
              <w:t>14 (53.9%)</w:t>
            </w:r>
          </w:p>
        </w:tc>
        <w:tc>
          <w:tcPr>
            <w:tcW w:w="1646" w:type="dxa"/>
          </w:tcPr>
          <w:p w14:paraId="55619FA1" w14:textId="77777777" w:rsidR="00FF4537" w:rsidRPr="009E5026" w:rsidRDefault="00FF4537" w:rsidP="002A447E">
            <w:pPr>
              <w:spacing w:line="480" w:lineRule="auto"/>
            </w:pPr>
            <w:r w:rsidRPr="009E5026">
              <w:t>12 (28.6%)</w:t>
            </w:r>
          </w:p>
        </w:tc>
      </w:tr>
      <w:tr w:rsidR="00FF4537" w:rsidRPr="009E5026" w14:paraId="0DA11639" w14:textId="77777777" w:rsidTr="002A447E">
        <w:trPr>
          <w:trHeight w:val="210"/>
        </w:trPr>
        <w:tc>
          <w:tcPr>
            <w:tcW w:w="1536" w:type="dxa"/>
          </w:tcPr>
          <w:p w14:paraId="31D54F61" w14:textId="77777777" w:rsidR="00FF4537" w:rsidRPr="009E5026" w:rsidRDefault="00FF4537" w:rsidP="002A447E">
            <w:pPr>
              <w:spacing w:line="480" w:lineRule="auto"/>
              <w:rPr>
                <w:i/>
              </w:rPr>
            </w:pPr>
            <w:r w:rsidRPr="009E5026">
              <w:rPr>
                <w:i/>
              </w:rPr>
              <w:t>RBH</w:t>
            </w:r>
          </w:p>
        </w:tc>
        <w:tc>
          <w:tcPr>
            <w:tcW w:w="1720" w:type="dxa"/>
          </w:tcPr>
          <w:p w14:paraId="5F53024B" w14:textId="77777777" w:rsidR="00FF4537" w:rsidRPr="009E5026" w:rsidRDefault="00FF4537" w:rsidP="002A447E">
            <w:pPr>
              <w:spacing w:line="480" w:lineRule="auto"/>
            </w:pPr>
            <w:r w:rsidRPr="009E5026">
              <w:t>40 (33.3%)</w:t>
            </w:r>
          </w:p>
        </w:tc>
        <w:tc>
          <w:tcPr>
            <w:tcW w:w="1684" w:type="dxa"/>
          </w:tcPr>
          <w:p w14:paraId="0E8BF115" w14:textId="77777777" w:rsidR="00FF4537" w:rsidRPr="009E5026" w:rsidRDefault="00FF4537" w:rsidP="002A447E">
            <w:pPr>
              <w:spacing w:line="480" w:lineRule="auto"/>
            </w:pPr>
            <w:r w:rsidRPr="009E5026">
              <w:t>12 (33.3%)</w:t>
            </w:r>
          </w:p>
        </w:tc>
        <w:tc>
          <w:tcPr>
            <w:tcW w:w="1284" w:type="dxa"/>
          </w:tcPr>
          <w:p w14:paraId="29AC7372" w14:textId="77777777" w:rsidR="00FF4537" w:rsidRPr="009E5026" w:rsidRDefault="00FF4537" w:rsidP="002A447E">
            <w:pPr>
              <w:spacing w:line="480" w:lineRule="auto"/>
            </w:pPr>
            <w:r w:rsidRPr="009E5026">
              <w:t>3 (18.8%)</w:t>
            </w:r>
          </w:p>
        </w:tc>
        <w:tc>
          <w:tcPr>
            <w:tcW w:w="1146" w:type="dxa"/>
          </w:tcPr>
          <w:p w14:paraId="57D59476" w14:textId="77777777" w:rsidR="00FF4537" w:rsidRPr="009E5026" w:rsidRDefault="00FF4537" w:rsidP="002A447E">
            <w:pPr>
              <w:spacing w:line="480" w:lineRule="auto"/>
            </w:pPr>
            <w:r w:rsidRPr="009E5026">
              <w:t>3 (11.5%)</w:t>
            </w:r>
          </w:p>
        </w:tc>
        <w:tc>
          <w:tcPr>
            <w:tcW w:w="1646" w:type="dxa"/>
          </w:tcPr>
          <w:p w14:paraId="37AD479D" w14:textId="77777777" w:rsidR="00FF4537" w:rsidRPr="009E5026" w:rsidRDefault="00FF4537" w:rsidP="002A447E">
            <w:pPr>
              <w:spacing w:line="480" w:lineRule="auto"/>
            </w:pPr>
            <w:r w:rsidRPr="009E5026">
              <w:t>22 (52.4%)</w:t>
            </w:r>
          </w:p>
        </w:tc>
      </w:tr>
      <w:tr w:rsidR="00FF4537" w:rsidRPr="009E5026" w14:paraId="248D83CA" w14:textId="77777777" w:rsidTr="002A447E">
        <w:trPr>
          <w:trHeight w:val="319"/>
        </w:trPr>
        <w:tc>
          <w:tcPr>
            <w:tcW w:w="1536" w:type="dxa"/>
          </w:tcPr>
          <w:p w14:paraId="77DE476B" w14:textId="1AAED67A" w:rsidR="00FF4537" w:rsidRPr="009E5026" w:rsidRDefault="00FF4537" w:rsidP="005E3D3A">
            <w:pPr>
              <w:spacing w:line="480" w:lineRule="auto"/>
              <w:rPr>
                <w:i/>
              </w:rPr>
            </w:pPr>
            <w:r w:rsidRPr="009E5026">
              <w:rPr>
                <w:i/>
              </w:rPr>
              <w:t>L</w:t>
            </w:r>
            <w:r w:rsidR="005E3D3A" w:rsidRPr="009E5026">
              <w:rPr>
                <w:i/>
              </w:rPr>
              <w:t>R</w:t>
            </w:r>
            <w:r w:rsidRPr="009E5026">
              <w:rPr>
                <w:i/>
              </w:rPr>
              <w:t>I</w:t>
            </w:r>
          </w:p>
        </w:tc>
        <w:tc>
          <w:tcPr>
            <w:tcW w:w="1720" w:type="dxa"/>
          </w:tcPr>
          <w:p w14:paraId="2566D559" w14:textId="77777777" w:rsidR="00FF4537" w:rsidRPr="009E5026" w:rsidRDefault="00FF4537" w:rsidP="002A447E">
            <w:pPr>
              <w:spacing w:line="480" w:lineRule="auto"/>
            </w:pPr>
            <w:r w:rsidRPr="009E5026">
              <w:t>40 (33.3%)</w:t>
            </w:r>
          </w:p>
        </w:tc>
        <w:tc>
          <w:tcPr>
            <w:tcW w:w="1684" w:type="dxa"/>
          </w:tcPr>
          <w:p w14:paraId="75138C5F" w14:textId="77777777" w:rsidR="00FF4537" w:rsidRPr="009E5026" w:rsidRDefault="00FF4537" w:rsidP="002A447E">
            <w:pPr>
              <w:spacing w:line="480" w:lineRule="auto"/>
            </w:pPr>
            <w:r w:rsidRPr="009E5026">
              <w:t>13 (36.1%)</w:t>
            </w:r>
          </w:p>
        </w:tc>
        <w:tc>
          <w:tcPr>
            <w:tcW w:w="1284" w:type="dxa"/>
          </w:tcPr>
          <w:p w14:paraId="09FD1EF0" w14:textId="77777777" w:rsidR="00FF4537" w:rsidRPr="009E5026" w:rsidRDefault="00FF4537" w:rsidP="002A447E">
            <w:pPr>
              <w:spacing w:line="480" w:lineRule="auto"/>
            </w:pPr>
            <w:r w:rsidRPr="009E5026">
              <w:t>10 (60.5%)</w:t>
            </w:r>
          </w:p>
        </w:tc>
        <w:tc>
          <w:tcPr>
            <w:tcW w:w="1146" w:type="dxa"/>
          </w:tcPr>
          <w:p w14:paraId="4E988B91" w14:textId="77777777" w:rsidR="00FF4537" w:rsidRPr="009E5026" w:rsidRDefault="00FF4537" w:rsidP="002A447E">
            <w:pPr>
              <w:spacing w:line="480" w:lineRule="auto"/>
            </w:pPr>
            <w:r w:rsidRPr="009E5026">
              <w:t>9 (34.6%)</w:t>
            </w:r>
          </w:p>
        </w:tc>
        <w:tc>
          <w:tcPr>
            <w:tcW w:w="1646" w:type="dxa"/>
          </w:tcPr>
          <w:p w14:paraId="4D2F2439" w14:textId="77777777" w:rsidR="00FF4537" w:rsidRPr="009E5026" w:rsidRDefault="00FF4537" w:rsidP="002A447E">
            <w:pPr>
              <w:spacing w:line="480" w:lineRule="auto"/>
            </w:pPr>
            <w:r w:rsidRPr="009E5026">
              <w:t>8 (19.1%)</w:t>
            </w:r>
          </w:p>
        </w:tc>
      </w:tr>
      <w:tr w:rsidR="00FF4537" w:rsidRPr="009E5026" w14:paraId="1D340140" w14:textId="77777777" w:rsidTr="002A447E">
        <w:trPr>
          <w:trHeight w:val="279"/>
        </w:trPr>
        <w:tc>
          <w:tcPr>
            <w:tcW w:w="1536" w:type="dxa"/>
          </w:tcPr>
          <w:p w14:paraId="64059121" w14:textId="77777777" w:rsidR="00FF4537" w:rsidRPr="009E5026" w:rsidRDefault="00FF4537" w:rsidP="002A447E">
            <w:pPr>
              <w:spacing w:line="480" w:lineRule="auto"/>
            </w:pPr>
            <w:r w:rsidRPr="009E5026">
              <w:t>Age in years (median, IQR)</w:t>
            </w:r>
          </w:p>
        </w:tc>
        <w:tc>
          <w:tcPr>
            <w:tcW w:w="1720" w:type="dxa"/>
          </w:tcPr>
          <w:p w14:paraId="449D9A65" w14:textId="77777777" w:rsidR="00FF4537" w:rsidRPr="009E5026" w:rsidRDefault="00FF4537" w:rsidP="002A447E">
            <w:pPr>
              <w:spacing w:line="480" w:lineRule="auto"/>
            </w:pPr>
            <w:r w:rsidRPr="009E5026">
              <w:t>9.6 (2.8 to 16.7)</w:t>
            </w:r>
          </w:p>
        </w:tc>
        <w:tc>
          <w:tcPr>
            <w:tcW w:w="1684" w:type="dxa"/>
          </w:tcPr>
          <w:p w14:paraId="6D38F4BF" w14:textId="77777777" w:rsidR="00FF4537" w:rsidRPr="009E5026" w:rsidRDefault="00FF4537" w:rsidP="002A447E">
            <w:pPr>
              <w:spacing w:line="480" w:lineRule="auto"/>
            </w:pPr>
            <w:r w:rsidRPr="009E5026">
              <w:t>9.1 (3.0 to 20.9)</w:t>
            </w:r>
          </w:p>
        </w:tc>
        <w:tc>
          <w:tcPr>
            <w:tcW w:w="1284" w:type="dxa"/>
          </w:tcPr>
          <w:p w14:paraId="3D123E58" w14:textId="77777777" w:rsidR="00FF4537" w:rsidRPr="009E5026" w:rsidRDefault="00FF4537" w:rsidP="002A447E">
            <w:pPr>
              <w:spacing w:line="480" w:lineRule="auto"/>
            </w:pPr>
            <w:r w:rsidRPr="009E5026">
              <w:t>11.8 (8.9 to 12.6)</w:t>
            </w:r>
          </w:p>
        </w:tc>
        <w:tc>
          <w:tcPr>
            <w:tcW w:w="1146" w:type="dxa"/>
          </w:tcPr>
          <w:p w14:paraId="7FEE92A7" w14:textId="77777777" w:rsidR="00FF4537" w:rsidRPr="009E5026" w:rsidRDefault="00FF4537" w:rsidP="002A447E">
            <w:pPr>
              <w:spacing w:line="480" w:lineRule="auto"/>
            </w:pPr>
            <w:r w:rsidRPr="009E5026">
              <w:t>10 (2.0 to 29.5)</w:t>
            </w:r>
          </w:p>
        </w:tc>
        <w:tc>
          <w:tcPr>
            <w:tcW w:w="1646" w:type="dxa"/>
          </w:tcPr>
          <w:p w14:paraId="7E7D04F4" w14:textId="77777777" w:rsidR="00FF4537" w:rsidRPr="009E5026" w:rsidRDefault="00FF4537" w:rsidP="002A447E">
            <w:pPr>
              <w:spacing w:line="480" w:lineRule="auto"/>
            </w:pPr>
            <w:r w:rsidRPr="009E5026">
              <w:t>7.3 (2.9 to 14.8)</w:t>
            </w:r>
          </w:p>
        </w:tc>
      </w:tr>
      <w:tr w:rsidR="00FF4537" w:rsidRPr="009E5026" w14:paraId="22A8F15D" w14:textId="77777777" w:rsidTr="002A447E">
        <w:trPr>
          <w:trHeight w:val="279"/>
        </w:trPr>
        <w:tc>
          <w:tcPr>
            <w:tcW w:w="1536" w:type="dxa"/>
          </w:tcPr>
          <w:p w14:paraId="6F20AA6C" w14:textId="77777777" w:rsidR="00FF4537" w:rsidRPr="009E5026" w:rsidRDefault="00FF4537" w:rsidP="002A447E">
            <w:pPr>
              <w:spacing w:line="480" w:lineRule="auto"/>
            </w:pPr>
            <w:r w:rsidRPr="009E5026">
              <w:t>Pre-term gestation</w:t>
            </w:r>
          </w:p>
        </w:tc>
        <w:tc>
          <w:tcPr>
            <w:tcW w:w="1720" w:type="dxa"/>
          </w:tcPr>
          <w:p w14:paraId="5336D796" w14:textId="77777777" w:rsidR="00FF4537" w:rsidRPr="009E5026" w:rsidRDefault="00FF4537" w:rsidP="002A447E">
            <w:pPr>
              <w:spacing w:line="480" w:lineRule="auto"/>
            </w:pPr>
            <w:r w:rsidRPr="009E5026">
              <w:t>9 (8.9%)</w:t>
            </w:r>
          </w:p>
        </w:tc>
        <w:tc>
          <w:tcPr>
            <w:tcW w:w="1684" w:type="dxa"/>
          </w:tcPr>
          <w:p w14:paraId="79F97420" w14:textId="77777777" w:rsidR="00FF4537" w:rsidRPr="009E5026" w:rsidRDefault="00FF4537" w:rsidP="002A447E">
            <w:pPr>
              <w:spacing w:line="480" w:lineRule="auto"/>
            </w:pPr>
            <w:r w:rsidRPr="009E5026">
              <w:t>0</w:t>
            </w:r>
          </w:p>
        </w:tc>
        <w:tc>
          <w:tcPr>
            <w:tcW w:w="1284" w:type="dxa"/>
          </w:tcPr>
          <w:p w14:paraId="71E8D945" w14:textId="77777777" w:rsidR="00FF4537" w:rsidRPr="009E5026" w:rsidRDefault="00FF4537" w:rsidP="002A447E">
            <w:pPr>
              <w:spacing w:line="480" w:lineRule="auto"/>
            </w:pPr>
            <w:r w:rsidRPr="009E5026">
              <w:t>3 (23.1%)</w:t>
            </w:r>
          </w:p>
        </w:tc>
        <w:tc>
          <w:tcPr>
            <w:tcW w:w="1146" w:type="dxa"/>
          </w:tcPr>
          <w:p w14:paraId="0CE430C5" w14:textId="77777777" w:rsidR="00FF4537" w:rsidRPr="009E5026" w:rsidRDefault="00FF4537" w:rsidP="002A447E">
            <w:pPr>
              <w:spacing w:line="480" w:lineRule="auto"/>
            </w:pPr>
            <w:r w:rsidRPr="009E5026">
              <w:t>3 (14.3%)</w:t>
            </w:r>
          </w:p>
        </w:tc>
        <w:tc>
          <w:tcPr>
            <w:tcW w:w="1646" w:type="dxa"/>
          </w:tcPr>
          <w:p w14:paraId="292F9D0E" w14:textId="77777777" w:rsidR="00FF4537" w:rsidRPr="009E5026" w:rsidRDefault="00FF4537" w:rsidP="002A447E">
            <w:pPr>
              <w:spacing w:line="480" w:lineRule="auto"/>
            </w:pPr>
            <w:r w:rsidRPr="009E5026">
              <w:t>3 (8.1%)</w:t>
            </w:r>
          </w:p>
        </w:tc>
      </w:tr>
      <w:tr w:rsidR="00FF4537" w:rsidRPr="009E5026" w14:paraId="47F87057" w14:textId="77777777" w:rsidTr="002A447E">
        <w:trPr>
          <w:trHeight w:val="536"/>
        </w:trPr>
        <w:tc>
          <w:tcPr>
            <w:tcW w:w="1536" w:type="dxa"/>
          </w:tcPr>
          <w:p w14:paraId="46403701" w14:textId="77777777" w:rsidR="00FF4537" w:rsidRPr="009E5026" w:rsidRDefault="00FF4537" w:rsidP="002A447E">
            <w:pPr>
              <w:spacing w:line="480" w:lineRule="auto"/>
            </w:pPr>
            <w:r w:rsidRPr="009E5026">
              <w:t>Chest symptoms in neonatal period</w:t>
            </w:r>
          </w:p>
        </w:tc>
        <w:tc>
          <w:tcPr>
            <w:tcW w:w="1720" w:type="dxa"/>
          </w:tcPr>
          <w:p w14:paraId="288B0060" w14:textId="77777777" w:rsidR="00FF4537" w:rsidRPr="009E5026" w:rsidRDefault="00FF4537" w:rsidP="002A447E">
            <w:pPr>
              <w:spacing w:line="480" w:lineRule="auto"/>
            </w:pPr>
            <w:r w:rsidRPr="009E5026">
              <w:t>97 (82.9%)</w:t>
            </w:r>
          </w:p>
        </w:tc>
        <w:tc>
          <w:tcPr>
            <w:tcW w:w="1684" w:type="dxa"/>
          </w:tcPr>
          <w:p w14:paraId="779A22A3" w14:textId="77777777" w:rsidR="00FF4537" w:rsidRPr="009E5026" w:rsidRDefault="00FF4537" w:rsidP="002A447E">
            <w:pPr>
              <w:spacing w:line="480" w:lineRule="auto"/>
            </w:pPr>
            <w:r w:rsidRPr="009E5026">
              <w:t>26 (78.8%)</w:t>
            </w:r>
          </w:p>
        </w:tc>
        <w:tc>
          <w:tcPr>
            <w:tcW w:w="1284" w:type="dxa"/>
          </w:tcPr>
          <w:p w14:paraId="6F2FB728" w14:textId="77777777" w:rsidR="00FF4537" w:rsidRPr="009E5026" w:rsidRDefault="00FF4537" w:rsidP="002A447E">
            <w:pPr>
              <w:spacing w:line="480" w:lineRule="auto"/>
            </w:pPr>
            <w:r w:rsidRPr="009E5026">
              <w:t>15 (93.8%)</w:t>
            </w:r>
          </w:p>
        </w:tc>
        <w:tc>
          <w:tcPr>
            <w:tcW w:w="1146" w:type="dxa"/>
          </w:tcPr>
          <w:p w14:paraId="149261C2" w14:textId="77777777" w:rsidR="00FF4537" w:rsidRPr="009E5026" w:rsidRDefault="00FF4537" w:rsidP="002A447E">
            <w:pPr>
              <w:spacing w:line="480" w:lineRule="auto"/>
            </w:pPr>
            <w:r w:rsidRPr="009E5026">
              <w:t>18 (69.2%)</w:t>
            </w:r>
          </w:p>
        </w:tc>
        <w:tc>
          <w:tcPr>
            <w:tcW w:w="1646" w:type="dxa"/>
          </w:tcPr>
          <w:p w14:paraId="4EBD1C6D" w14:textId="77777777" w:rsidR="00FF4537" w:rsidRPr="009E5026" w:rsidRDefault="00FF4537" w:rsidP="002A447E">
            <w:pPr>
              <w:spacing w:line="480" w:lineRule="auto"/>
            </w:pPr>
            <w:r w:rsidRPr="009E5026">
              <w:t>38 (90.5%)</w:t>
            </w:r>
          </w:p>
        </w:tc>
      </w:tr>
      <w:tr w:rsidR="00FF4537" w:rsidRPr="009E5026" w14:paraId="382986EC" w14:textId="77777777" w:rsidTr="002A447E">
        <w:trPr>
          <w:trHeight w:val="547"/>
        </w:trPr>
        <w:tc>
          <w:tcPr>
            <w:tcW w:w="1536" w:type="dxa"/>
          </w:tcPr>
          <w:p w14:paraId="20FAA548" w14:textId="77777777" w:rsidR="00FF4537" w:rsidRPr="009E5026" w:rsidRDefault="00FF4537" w:rsidP="002A447E">
            <w:pPr>
              <w:spacing w:line="480" w:lineRule="auto"/>
            </w:pPr>
            <w:r w:rsidRPr="009E5026">
              <w:t>Admission to neonatal unit</w:t>
            </w:r>
          </w:p>
        </w:tc>
        <w:tc>
          <w:tcPr>
            <w:tcW w:w="1720" w:type="dxa"/>
          </w:tcPr>
          <w:p w14:paraId="4AA36F4E" w14:textId="77777777" w:rsidR="00FF4537" w:rsidRPr="009E5026" w:rsidRDefault="00FF4537" w:rsidP="002A447E">
            <w:pPr>
              <w:spacing w:line="480" w:lineRule="auto"/>
            </w:pPr>
            <w:r w:rsidRPr="009E5026">
              <w:t>45 (41.3%)</w:t>
            </w:r>
          </w:p>
        </w:tc>
        <w:tc>
          <w:tcPr>
            <w:tcW w:w="1684" w:type="dxa"/>
          </w:tcPr>
          <w:p w14:paraId="7AF1ED5B" w14:textId="77777777" w:rsidR="00FF4537" w:rsidRPr="009E5026" w:rsidRDefault="00FF4537" w:rsidP="002A447E">
            <w:pPr>
              <w:spacing w:line="480" w:lineRule="auto"/>
            </w:pPr>
            <w:r w:rsidRPr="009E5026">
              <w:t>17 (53.1%)</w:t>
            </w:r>
          </w:p>
        </w:tc>
        <w:tc>
          <w:tcPr>
            <w:tcW w:w="1284" w:type="dxa"/>
          </w:tcPr>
          <w:p w14:paraId="2E2BBD16" w14:textId="77777777" w:rsidR="00FF4537" w:rsidRPr="009E5026" w:rsidRDefault="00FF4537" w:rsidP="002A447E">
            <w:pPr>
              <w:spacing w:line="480" w:lineRule="auto"/>
            </w:pPr>
            <w:r w:rsidRPr="009E5026">
              <w:t>11 (78.6%)</w:t>
            </w:r>
          </w:p>
        </w:tc>
        <w:tc>
          <w:tcPr>
            <w:tcW w:w="1146" w:type="dxa"/>
          </w:tcPr>
          <w:p w14:paraId="5F01C6BD" w14:textId="77777777" w:rsidR="00FF4537" w:rsidRPr="009E5026" w:rsidRDefault="00FF4537" w:rsidP="002A447E">
            <w:pPr>
              <w:spacing w:line="480" w:lineRule="auto"/>
            </w:pPr>
            <w:r w:rsidRPr="009E5026">
              <w:t>7 (26.9%)</w:t>
            </w:r>
          </w:p>
        </w:tc>
        <w:tc>
          <w:tcPr>
            <w:tcW w:w="1646" w:type="dxa"/>
          </w:tcPr>
          <w:p w14:paraId="62322104" w14:textId="77777777" w:rsidR="00FF4537" w:rsidRPr="009E5026" w:rsidRDefault="00FF4537" w:rsidP="002A447E">
            <w:pPr>
              <w:spacing w:line="480" w:lineRule="auto"/>
            </w:pPr>
            <w:r w:rsidRPr="009E5026">
              <w:t>10 (27.0%)</w:t>
            </w:r>
          </w:p>
        </w:tc>
      </w:tr>
      <w:tr w:rsidR="00FF4537" w:rsidRPr="009E5026" w14:paraId="73FB8755" w14:textId="77777777" w:rsidTr="002A447E">
        <w:trPr>
          <w:trHeight w:val="536"/>
        </w:trPr>
        <w:tc>
          <w:tcPr>
            <w:tcW w:w="1536" w:type="dxa"/>
          </w:tcPr>
          <w:p w14:paraId="2C29D7DD" w14:textId="77777777" w:rsidR="00FF4537" w:rsidRPr="009E5026" w:rsidRDefault="00FF4537" w:rsidP="002A447E">
            <w:pPr>
              <w:spacing w:line="480" w:lineRule="auto"/>
            </w:pPr>
            <w:r w:rsidRPr="009E5026">
              <w:lastRenderedPageBreak/>
              <w:t>Presence of situs abnormalities</w:t>
            </w:r>
          </w:p>
        </w:tc>
        <w:tc>
          <w:tcPr>
            <w:tcW w:w="1720" w:type="dxa"/>
          </w:tcPr>
          <w:p w14:paraId="5C4B01BD" w14:textId="77777777" w:rsidR="00FF4537" w:rsidRPr="009E5026" w:rsidRDefault="00FF4537" w:rsidP="002A447E">
            <w:pPr>
              <w:spacing w:line="480" w:lineRule="auto"/>
            </w:pPr>
            <w:r w:rsidRPr="009E5026">
              <w:t>22 (18.6%)</w:t>
            </w:r>
          </w:p>
        </w:tc>
        <w:tc>
          <w:tcPr>
            <w:tcW w:w="1684" w:type="dxa"/>
          </w:tcPr>
          <w:p w14:paraId="448EA24D" w14:textId="77777777" w:rsidR="00FF4537" w:rsidRPr="009E5026" w:rsidRDefault="00FF4537" w:rsidP="002A447E">
            <w:pPr>
              <w:spacing w:line="480" w:lineRule="auto"/>
            </w:pPr>
            <w:r w:rsidRPr="009E5026">
              <w:t>16 (45.7%)</w:t>
            </w:r>
          </w:p>
        </w:tc>
        <w:tc>
          <w:tcPr>
            <w:tcW w:w="1284" w:type="dxa"/>
          </w:tcPr>
          <w:p w14:paraId="2EF53A5E" w14:textId="77777777" w:rsidR="00FF4537" w:rsidRPr="009E5026" w:rsidRDefault="00FF4537" w:rsidP="002A447E">
            <w:pPr>
              <w:spacing w:line="480" w:lineRule="auto"/>
            </w:pPr>
            <w:r w:rsidRPr="009E5026">
              <w:t>3 (18.8%)</w:t>
            </w:r>
          </w:p>
        </w:tc>
        <w:tc>
          <w:tcPr>
            <w:tcW w:w="1146" w:type="dxa"/>
          </w:tcPr>
          <w:p w14:paraId="10CCEC30" w14:textId="77777777" w:rsidR="00FF4537" w:rsidRPr="009E5026" w:rsidRDefault="00FF4537" w:rsidP="002A447E">
            <w:pPr>
              <w:spacing w:line="480" w:lineRule="auto"/>
            </w:pPr>
            <w:r w:rsidRPr="009E5026">
              <w:t>0</w:t>
            </w:r>
          </w:p>
        </w:tc>
        <w:tc>
          <w:tcPr>
            <w:tcW w:w="1646" w:type="dxa"/>
          </w:tcPr>
          <w:p w14:paraId="208D9E38" w14:textId="77777777" w:rsidR="00FF4537" w:rsidRPr="009E5026" w:rsidRDefault="00FF4537" w:rsidP="002A447E">
            <w:pPr>
              <w:spacing w:line="480" w:lineRule="auto"/>
            </w:pPr>
            <w:r w:rsidRPr="009E5026">
              <w:t>3 (7.3%)</w:t>
            </w:r>
          </w:p>
        </w:tc>
      </w:tr>
      <w:tr w:rsidR="00FF4537" w:rsidRPr="009E5026" w14:paraId="099259C7" w14:textId="77777777" w:rsidTr="002A447E">
        <w:trPr>
          <w:trHeight w:val="268"/>
        </w:trPr>
        <w:tc>
          <w:tcPr>
            <w:tcW w:w="1536" w:type="dxa"/>
          </w:tcPr>
          <w:p w14:paraId="1383C28A" w14:textId="77777777" w:rsidR="00FF4537" w:rsidRPr="009E5026" w:rsidRDefault="00FF4537" w:rsidP="002A447E">
            <w:pPr>
              <w:spacing w:line="480" w:lineRule="auto"/>
            </w:pPr>
            <w:r w:rsidRPr="009E5026">
              <w:t>Cardiac abnormality</w:t>
            </w:r>
          </w:p>
        </w:tc>
        <w:tc>
          <w:tcPr>
            <w:tcW w:w="1720" w:type="dxa"/>
          </w:tcPr>
          <w:p w14:paraId="40CAE8F2" w14:textId="77777777" w:rsidR="00FF4537" w:rsidRPr="009E5026" w:rsidRDefault="00FF4537" w:rsidP="002A447E">
            <w:pPr>
              <w:spacing w:line="480" w:lineRule="auto"/>
            </w:pPr>
            <w:r w:rsidRPr="009E5026">
              <w:t>5 (4.3%)</w:t>
            </w:r>
          </w:p>
        </w:tc>
        <w:tc>
          <w:tcPr>
            <w:tcW w:w="1684" w:type="dxa"/>
          </w:tcPr>
          <w:p w14:paraId="43576A53" w14:textId="77777777" w:rsidR="00FF4537" w:rsidRPr="009E5026" w:rsidRDefault="00FF4537" w:rsidP="002A447E">
            <w:pPr>
              <w:spacing w:line="480" w:lineRule="auto"/>
            </w:pPr>
            <w:r w:rsidRPr="009E5026">
              <w:t>1 (2.9%)</w:t>
            </w:r>
          </w:p>
        </w:tc>
        <w:tc>
          <w:tcPr>
            <w:tcW w:w="1284" w:type="dxa"/>
          </w:tcPr>
          <w:p w14:paraId="0B96C6E6" w14:textId="77777777" w:rsidR="00FF4537" w:rsidRPr="009E5026" w:rsidRDefault="00FF4537" w:rsidP="002A447E">
            <w:pPr>
              <w:spacing w:line="480" w:lineRule="auto"/>
            </w:pPr>
            <w:r w:rsidRPr="009E5026">
              <w:t>0</w:t>
            </w:r>
          </w:p>
        </w:tc>
        <w:tc>
          <w:tcPr>
            <w:tcW w:w="1146" w:type="dxa"/>
          </w:tcPr>
          <w:p w14:paraId="325929BE" w14:textId="77777777" w:rsidR="00FF4537" w:rsidRPr="009E5026" w:rsidRDefault="00FF4537" w:rsidP="002A447E">
            <w:pPr>
              <w:spacing w:line="480" w:lineRule="auto"/>
            </w:pPr>
            <w:r w:rsidRPr="009E5026">
              <w:t>3 (11.5%)</w:t>
            </w:r>
          </w:p>
        </w:tc>
        <w:tc>
          <w:tcPr>
            <w:tcW w:w="1646" w:type="dxa"/>
          </w:tcPr>
          <w:p w14:paraId="21A31CBE" w14:textId="77777777" w:rsidR="00FF4537" w:rsidRPr="009E5026" w:rsidRDefault="00FF4537" w:rsidP="002A447E">
            <w:pPr>
              <w:spacing w:line="480" w:lineRule="auto"/>
            </w:pPr>
            <w:r w:rsidRPr="009E5026">
              <w:t>1 (2.5%)</w:t>
            </w:r>
          </w:p>
        </w:tc>
      </w:tr>
      <w:tr w:rsidR="00FF4537" w:rsidRPr="009E5026" w14:paraId="084B6B9A" w14:textId="77777777" w:rsidTr="002A447E">
        <w:trPr>
          <w:trHeight w:val="547"/>
        </w:trPr>
        <w:tc>
          <w:tcPr>
            <w:tcW w:w="1536" w:type="dxa"/>
          </w:tcPr>
          <w:p w14:paraId="4E8AD5F9" w14:textId="77777777" w:rsidR="00FF4537" w:rsidRPr="009E5026" w:rsidRDefault="00FF4537" w:rsidP="002A447E">
            <w:pPr>
              <w:spacing w:line="480" w:lineRule="auto"/>
            </w:pPr>
            <w:r w:rsidRPr="009E5026">
              <w:t>Persistent perennial rhinitis</w:t>
            </w:r>
          </w:p>
        </w:tc>
        <w:tc>
          <w:tcPr>
            <w:tcW w:w="1720" w:type="dxa"/>
          </w:tcPr>
          <w:p w14:paraId="3F3F9184" w14:textId="77777777" w:rsidR="00FF4537" w:rsidRPr="009E5026" w:rsidRDefault="00FF4537" w:rsidP="002A447E">
            <w:pPr>
              <w:spacing w:line="480" w:lineRule="auto"/>
            </w:pPr>
            <w:r w:rsidRPr="009E5026">
              <w:t>85 (72%)</w:t>
            </w:r>
          </w:p>
        </w:tc>
        <w:tc>
          <w:tcPr>
            <w:tcW w:w="1684" w:type="dxa"/>
          </w:tcPr>
          <w:p w14:paraId="04BE498D" w14:textId="77777777" w:rsidR="00FF4537" w:rsidRPr="009E5026" w:rsidRDefault="00FF4537" w:rsidP="002A447E">
            <w:pPr>
              <w:spacing w:line="480" w:lineRule="auto"/>
            </w:pPr>
            <w:r w:rsidRPr="009E5026">
              <w:t>28 (80.0%)</w:t>
            </w:r>
          </w:p>
        </w:tc>
        <w:tc>
          <w:tcPr>
            <w:tcW w:w="1284" w:type="dxa"/>
          </w:tcPr>
          <w:p w14:paraId="13185C79" w14:textId="77777777" w:rsidR="00FF4537" w:rsidRPr="009E5026" w:rsidRDefault="00FF4537" w:rsidP="002A447E">
            <w:pPr>
              <w:spacing w:line="480" w:lineRule="auto"/>
            </w:pPr>
            <w:r w:rsidRPr="009E5026">
              <w:t>14 (93.3%)</w:t>
            </w:r>
          </w:p>
        </w:tc>
        <w:tc>
          <w:tcPr>
            <w:tcW w:w="1146" w:type="dxa"/>
          </w:tcPr>
          <w:p w14:paraId="28A054EA" w14:textId="77777777" w:rsidR="00FF4537" w:rsidRPr="009E5026" w:rsidRDefault="00FF4537" w:rsidP="002A447E">
            <w:pPr>
              <w:spacing w:line="480" w:lineRule="auto"/>
            </w:pPr>
            <w:r w:rsidRPr="009E5026">
              <w:t>13 (50.0%)</w:t>
            </w:r>
          </w:p>
        </w:tc>
        <w:tc>
          <w:tcPr>
            <w:tcW w:w="1646" w:type="dxa"/>
          </w:tcPr>
          <w:p w14:paraId="29E66F5F" w14:textId="77777777" w:rsidR="00FF4537" w:rsidRPr="009E5026" w:rsidRDefault="00FF4537" w:rsidP="002A447E">
            <w:pPr>
              <w:spacing w:line="480" w:lineRule="auto"/>
            </w:pPr>
            <w:r w:rsidRPr="009E5026">
              <w:t>30 (71.4%)</w:t>
            </w:r>
          </w:p>
        </w:tc>
      </w:tr>
      <w:tr w:rsidR="00FF4537" w:rsidRPr="009E5026" w14:paraId="3078DB7C" w14:textId="77777777" w:rsidTr="002A447E">
        <w:trPr>
          <w:trHeight w:val="536"/>
        </w:trPr>
        <w:tc>
          <w:tcPr>
            <w:tcW w:w="1536" w:type="dxa"/>
          </w:tcPr>
          <w:p w14:paraId="506BAF7D" w14:textId="77777777" w:rsidR="00FF4537" w:rsidRPr="009E5026" w:rsidRDefault="00FF4537" w:rsidP="002A447E">
            <w:pPr>
              <w:spacing w:line="480" w:lineRule="auto"/>
            </w:pPr>
            <w:r w:rsidRPr="009E5026">
              <w:t>Chronic ear or hearing symptoms</w:t>
            </w:r>
          </w:p>
        </w:tc>
        <w:tc>
          <w:tcPr>
            <w:tcW w:w="1720" w:type="dxa"/>
          </w:tcPr>
          <w:p w14:paraId="4E381F42" w14:textId="77777777" w:rsidR="00FF4537" w:rsidRPr="009E5026" w:rsidRDefault="00FF4537" w:rsidP="002A447E">
            <w:pPr>
              <w:spacing w:line="480" w:lineRule="auto"/>
            </w:pPr>
            <w:r w:rsidRPr="009E5026">
              <w:t>70 (60.3%)</w:t>
            </w:r>
          </w:p>
        </w:tc>
        <w:tc>
          <w:tcPr>
            <w:tcW w:w="1684" w:type="dxa"/>
          </w:tcPr>
          <w:p w14:paraId="5A140071" w14:textId="77777777" w:rsidR="00FF4537" w:rsidRPr="009E5026" w:rsidRDefault="00FF4537" w:rsidP="002A447E">
            <w:pPr>
              <w:spacing w:line="480" w:lineRule="auto"/>
            </w:pPr>
            <w:r w:rsidRPr="009E5026">
              <w:t>20 (57.1%)</w:t>
            </w:r>
          </w:p>
        </w:tc>
        <w:tc>
          <w:tcPr>
            <w:tcW w:w="1284" w:type="dxa"/>
          </w:tcPr>
          <w:p w14:paraId="4C61C43E" w14:textId="77777777" w:rsidR="00FF4537" w:rsidRPr="009E5026" w:rsidRDefault="00FF4537" w:rsidP="002A447E">
            <w:pPr>
              <w:spacing w:line="480" w:lineRule="auto"/>
            </w:pPr>
            <w:r w:rsidRPr="009E5026">
              <w:t>13 (86.7%)</w:t>
            </w:r>
          </w:p>
        </w:tc>
        <w:tc>
          <w:tcPr>
            <w:tcW w:w="1146" w:type="dxa"/>
          </w:tcPr>
          <w:p w14:paraId="5DB26C84" w14:textId="77777777" w:rsidR="00FF4537" w:rsidRPr="009E5026" w:rsidRDefault="00FF4537" w:rsidP="002A447E">
            <w:pPr>
              <w:spacing w:line="480" w:lineRule="auto"/>
            </w:pPr>
            <w:r w:rsidRPr="009E5026">
              <w:t>13 (50.0%)</w:t>
            </w:r>
          </w:p>
        </w:tc>
        <w:tc>
          <w:tcPr>
            <w:tcW w:w="1646" w:type="dxa"/>
          </w:tcPr>
          <w:p w14:paraId="20F9F6AC" w14:textId="77777777" w:rsidR="00FF4537" w:rsidRPr="009E5026" w:rsidRDefault="00FF4537" w:rsidP="002A447E">
            <w:pPr>
              <w:spacing w:line="480" w:lineRule="auto"/>
            </w:pPr>
            <w:r w:rsidRPr="009E5026">
              <w:t>24 (60.0%)</w:t>
            </w:r>
          </w:p>
        </w:tc>
      </w:tr>
      <w:tr w:rsidR="00FF4537" w:rsidRPr="009E5026" w14:paraId="475F8DF9" w14:textId="77777777" w:rsidTr="002A447E">
        <w:trPr>
          <w:trHeight w:val="536"/>
        </w:trPr>
        <w:tc>
          <w:tcPr>
            <w:tcW w:w="1536" w:type="dxa"/>
          </w:tcPr>
          <w:p w14:paraId="2788E3F6" w14:textId="77777777" w:rsidR="00FF4537" w:rsidRPr="009E5026" w:rsidRDefault="00FF4537" w:rsidP="002A447E">
            <w:pPr>
              <w:spacing w:line="480" w:lineRule="auto"/>
            </w:pPr>
            <w:r w:rsidRPr="009E5026">
              <w:t xml:space="preserve">nNO (nl/min) median (IQR); </w:t>
            </w:r>
            <w:r w:rsidRPr="009E5026">
              <w:rPr>
                <w:i/>
              </w:rPr>
              <w:t>n</w:t>
            </w:r>
            <w:r w:rsidRPr="009E5026">
              <w:t xml:space="preserve"> data available</w:t>
            </w:r>
          </w:p>
        </w:tc>
        <w:tc>
          <w:tcPr>
            <w:tcW w:w="1720" w:type="dxa"/>
          </w:tcPr>
          <w:p w14:paraId="499E2BE2" w14:textId="77777777" w:rsidR="00FF4537" w:rsidRPr="009E5026" w:rsidRDefault="00FF4537" w:rsidP="002A447E">
            <w:pPr>
              <w:spacing w:line="480" w:lineRule="auto"/>
            </w:pPr>
            <w:r w:rsidRPr="009E5026">
              <w:t xml:space="preserve">21.8 (7.2 to 105.0); </w:t>
            </w:r>
            <w:r w:rsidRPr="009E5026">
              <w:rPr>
                <w:i/>
              </w:rPr>
              <w:t>n</w:t>
            </w:r>
            <w:r w:rsidRPr="009E5026">
              <w:t>=72</w:t>
            </w:r>
          </w:p>
        </w:tc>
        <w:tc>
          <w:tcPr>
            <w:tcW w:w="1684" w:type="dxa"/>
          </w:tcPr>
          <w:p w14:paraId="54065CEF" w14:textId="77777777" w:rsidR="00FF4537" w:rsidRPr="009E5026" w:rsidRDefault="00FF4537" w:rsidP="002A447E">
            <w:pPr>
              <w:spacing w:line="480" w:lineRule="auto"/>
            </w:pPr>
            <w:r w:rsidRPr="009E5026">
              <w:t xml:space="preserve">9.8 (4.8 to 15.9); </w:t>
            </w:r>
            <w:r w:rsidRPr="009E5026">
              <w:rPr>
                <w:i/>
              </w:rPr>
              <w:t>n</w:t>
            </w:r>
            <w:r w:rsidRPr="009E5026">
              <w:t>=22</w:t>
            </w:r>
          </w:p>
        </w:tc>
        <w:tc>
          <w:tcPr>
            <w:tcW w:w="1284" w:type="dxa"/>
          </w:tcPr>
          <w:p w14:paraId="132822E1" w14:textId="77777777" w:rsidR="00FF4537" w:rsidRPr="009E5026" w:rsidRDefault="00FF4537" w:rsidP="002A447E">
            <w:pPr>
              <w:spacing w:line="480" w:lineRule="auto"/>
            </w:pPr>
            <w:r w:rsidRPr="009E5026">
              <w:t xml:space="preserve">7.2 (3.0 to 63.6); </w:t>
            </w:r>
            <w:r w:rsidRPr="009E5026">
              <w:rPr>
                <w:i/>
              </w:rPr>
              <w:t>n</w:t>
            </w:r>
            <w:r w:rsidRPr="009E5026">
              <w:t>=11</w:t>
            </w:r>
          </w:p>
        </w:tc>
        <w:tc>
          <w:tcPr>
            <w:tcW w:w="1146" w:type="dxa"/>
          </w:tcPr>
          <w:p w14:paraId="05CED45A" w14:textId="77777777" w:rsidR="00FF4537" w:rsidRPr="009E5026" w:rsidRDefault="00FF4537" w:rsidP="002A447E">
            <w:pPr>
              <w:spacing w:line="480" w:lineRule="auto"/>
            </w:pPr>
            <w:r w:rsidRPr="009E5026">
              <w:t xml:space="preserve">189.2 (69.2 to 218.0); </w:t>
            </w:r>
            <w:r w:rsidRPr="009E5026">
              <w:rPr>
                <w:i/>
              </w:rPr>
              <w:t>n</w:t>
            </w:r>
            <w:r w:rsidRPr="009E5026">
              <w:t>=11</w:t>
            </w:r>
          </w:p>
        </w:tc>
        <w:tc>
          <w:tcPr>
            <w:tcW w:w="1646" w:type="dxa"/>
          </w:tcPr>
          <w:p w14:paraId="6AB54687" w14:textId="77777777" w:rsidR="00FF4537" w:rsidRPr="009E5026" w:rsidRDefault="00FF4537" w:rsidP="002A447E">
            <w:pPr>
              <w:spacing w:line="480" w:lineRule="auto"/>
            </w:pPr>
            <w:r w:rsidRPr="009E5026">
              <w:t xml:space="preserve">72.3 (19.9 to 117.8); </w:t>
            </w:r>
            <w:r w:rsidRPr="009E5026">
              <w:rPr>
                <w:i/>
              </w:rPr>
              <w:t>n</w:t>
            </w:r>
            <w:r w:rsidRPr="009E5026">
              <w:t>=28</w:t>
            </w:r>
          </w:p>
        </w:tc>
      </w:tr>
      <w:tr w:rsidR="00FF4537" w:rsidRPr="009E5026" w14:paraId="5BD19EA2" w14:textId="77777777" w:rsidTr="002A447E">
        <w:trPr>
          <w:trHeight w:val="225"/>
        </w:trPr>
        <w:tc>
          <w:tcPr>
            <w:tcW w:w="1536" w:type="dxa"/>
          </w:tcPr>
          <w:p w14:paraId="37D656A2" w14:textId="186554F5" w:rsidR="00FF4537" w:rsidRPr="009E5026" w:rsidRDefault="00FF4537" w:rsidP="000D35A8">
            <w:pPr>
              <w:spacing w:line="480" w:lineRule="auto"/>
            </w:pPr>
            <w:r w:rsidRPr="009E5026">
              <w:t>TEM results</w:t>
            </w:r>
          </w:p>
        </w:tc>
        <w:tc>
          <w:tcPr>
            <w:tcW w:w="1720" w:type="dxa"/>
          </w:tcPr>
          <w:p w14:paraId="34C66223" w14:textId="7613C2D3" w:rsidR="00FF4537" w:rsidRPr="009E5026" w:rsidRDefault="00FF4537" w:rsidP="002A447E">
            <w:pPr>
              <w:spacing w:line="480" w:lineRule="auto"/>
            </w:pPr>
          </w:p>
        </w:tc>
        <w:tc>
          <w:tcPr>
            <w:tcW w:w="1684" w:type="dxa"/>
          </w:tcPr>
          <w:p w14:paraId="39AFB806" w14:textId="223E61B3" w:rsidR="00FF4537" w:rsidRPr="009E5026" w:rsidRDefault="00FF4537" w:rsidP="000D35A8">
            <w:pPr>
              <w:spacing w:line="480" w:lineRule="auto"/>
            </w:pPr>
          </w:p>
        </w:tc>
        <w:tc>
          <w:tcPr>
            <w:tcW w:w="1284" w:type="dxa"/>
          </w:tcPr>
          <w:p w14:paraId="253399D2" w14:textId="2A18CDF2" w:rsidR="00FF4537" w:rsidRPr="009E5026" w:rsidRDefault="00FF4537" w:rsidP="002A447E">
            <w:pPr>
              <w:spacing w:line="480" w:lineRule="auto"/>
            </w:pPr>
          </w:p>
        </w:tc>
        <w:tc>
          <w:tcPr>
            <w:tcW w:w="1146" w:type="dxa"/>
          </w:tcPr>
          <w:p w14:paraId="47A0C662" w14:textId="13021FBE" w:rsidR="00FF4537" w:rsidRPr="009E5026" w:rsidRDefault="00FF4537" w:rsidP="002A447E">
            <w:pPr>
              <w:spacing w:line="480" w:lineRule="auto"/>
            </w:pPr>
          </w:p>
        </w:tc>
        <w:tc>
          <w:tcPr>
            <w:tcW w:w="1646" w:type="dxa"/>
          </w:tcPr>
          <w:p w14:paraId="3639A091" w14:textId="77777777" w:rsidR="00FF4537" w:rsidRPr="009E5026" w:rsidRDefault="00FF4537" w:rsidP="000D35A8">
            <w:pPr>
              <w:spacing w:line="480" w:lineRule="auto"/>
            </w:pPr>
          </w:p>
        </w:tc>
      </w:tr>
      <w:tr w:rsidR="00FF4537" w:rsidRPr="009E5026" w14:paraId="60F77AB0" w14:textId="77777777" w:rsidTr="002A447E">
        <w:trPr>
          <w:trHeight w:val="300"/>
        </w:trPr>
        <w:tc>
          <w:tcPr>
            <w:tcW w:w="1536" w:type="dxa"/>
          </w:tcPr>
          <w:p w14:paraId="13BFA364" w14:textId="77777777" w:rsidR="00FF4537" w:rsidRPr="009E5026" w:rsidRDefault="00FF4537" w:rsidP="002A447E">
            <w:pPr>
              <w:spacing w:line="480" w:lineRule="auto"/>
              <w:rPr>
                <w:i/>
              </w:rPr>
            </w:pPr>
            <w:r w:rsidRPr="009E5026">
              <w:rPr>
                <w:i/>
              </w:rPr>
              <w:t>Normal</w:t>
            </w:r>
          </w:p>
        </w:tc>
        <w:tc>
          <w:tcPr>
            <w:tcW w:w="1720" w:type="dxa"/>
          </w:tcPr>
          <w:p w14:paraId="39EBF471" w14:textId="77777777" w:rsidR="00FF4537" w:rsidRPr="009E5026" w:rsidRDefault="00FF4537" w:rsidP="002A447E">
            <w:pPr>
              <w:spacing w:line="480" w:lineRule="auto"/>
            </w:pPr>
            <w:r w:rsidRPr="009E5026">
              <w:t>63 (52.5%)</w:t>
            </w:r>
          </w:p>
        </w:tc>
        <w:tc>
          <w:tcPr>
            <w:tcW w:w="1684" w:type="dxa"/>
          </w:tcPr>
          <w:p w14:paraId="2C0D66F9" w14:textId="77777777" w:rsidR="00FF4537" w:rsidRPr="009E5026" w:rsidRDefault="00FF4537" w:rsidP="002A447E">
            <w:pPr>
              <w:spacing w:line="480" w:lineRule="auto"/>
            </w:pPr>
            <w:r w:rsidRPr="009E5026">
              <w:t>2 (5.6%)</w:t>
            </w:r>
            <w:r w:rsidRPr="009E5026">
              <w:rPr>
                <w:rFonts w:cstheme="minorHAnsi"/>
                <w:vertAlign w:val="superscript"/>
              </w:rPr>
              <w:t>α</w:t>
            </w:r>
          </w:p>
        </w:tc>
        <w:tc>
          <w:tcPr>
            <w:tcW w:w="1284" w:type="dxa"/>
          </w:tcPr>
          <w:p w14:paraId="193422B8" w14:textId="77777777" w:rsidR="00FF4537" w:rsidRPr="009E5026" w:rsidRDefault="00FF4537" w:rsidP="002A447E">
            <w:pPr>
              <w:spacing w:line="480" w:lineRule="auto"/>
            </w:pPr>
            <w:r w:rsidRPr="009E5026">
              <w:t>7 (43.8%)</w:t>
            </w:r>
          </w:p>
        </w:tc>
        <w:tc>
          <w:tcPr>
            <w:tcW w:w="1146" w:type="dxa"/>
          </w:tcPr>
          <w:p w14:paraId="0024B288" w14:textId="77777777" w:rsidR="00FF4537" w:rsidRPr="009E5026" w:rsidRDefault="00FF4537" w:rsidP="002A447E">
            <w:pPr>
              <w:spacing w:line="480" w:lineRule="auto"/>
            </w:pPr>
            <w:r w:rsidRPr="009E5026">
              <w:t>19 (73.1%)</w:t>
            </w:r>
          </w:p>
        </w:tc>
        <w:tc>
          <w:tcPr>
            <w:tcW w:w="1646" w:type="dxa"/>
          </w:tcPr>
          <w:p w14:paraId="1AE1BC0A" w14:textId="77777777" w:rsidR="00FF4537" w:rsidRPr="009E5026" w:rsidRDefault="00FF4537" w:rsidP="002A447E">
            <w:pPr>
              <w:spacing w:line="480" w:lineRule="auto"/>
            </w:pPr>
            <w:r w:rsidRPr="009E5026">
              <w:t>35 (83.3%)</w:t>
            </w:r>
          </w:p>
        </w:tc>
      </w:tr>
      <w:tr w:rsidR="00FF4537" w:rsidRPr="009E5026" w14:paraId="3B6A81E5" w14:textId="77777777" w:rsidTr="002A447E">
        <w:trPr>
          <w:trHeight w:val="225"/>
        </w:trPr>
        <w:tc>
          <w:tcPr>
            <w:tcW w:w="1536" w:type="dxa"/>
          </w:tcPr>
          <w:p w14:paraId="112A9CDD" w14:textId="77777777" w:rsidR="00FF4537" w:rsidRPr="009E5026" w:rsidRDefault="00FF4537" w:rsidP="002A447E">
            <w:pPr>
              <w:spacing w:line="480" w:lineRule="auto"/>
              <w:rPr>
                <w:i/>
              </w:rPr>
            </w:pPr>
            <w:r w:rsidRPr="009E5026">
              <w:rPr>
                <w:i/>
              </w:rPr>
              <w:t>ODA alone</w:t>
            </w:r>
          </w:p>
        </w:tc>
        <w:tc>
          <w:tcPr>
            <w:tcW w:w="1720" w:type="dxa"/>
          </w:tcPr>
          <w:p w14:paraId="2AD0857B" w14:textId="77777777" w:rsidR="00FF4537" w:rsidRPr="009E5026" w:rsidRDefault="00FF4537" w:rsidP="002A447E">
            <w:pPr>
              <w:spacing w:line="480" w:lineRule="auto"/>
            </w:pPr>
            <w:r w:rsidRPr="009E5026">
              <w:t>14 (11.7%)</w:t>
            </w:r>
          </w:p>
        </w:tc>
        <w:tc>
          <w:tcPr>
            <w:tcW w:w="1684" w:type="dxa"/>
          </w:tcPr>
          <w:p w14:paraId="1C9D8632" w14:textId="77777777" w:rsidR="00FF4537" w:rsidRPr="009E5026" w:rsidRDefault="00FF4537" w:rsidP="002A447E">
            <w:pPr>
              <w:spacing w:line="480" w:lineRule="auto"/>
            </w:pPr>
            <w:r w:rsidRPr="009E5026">
              <w:t>13 (36.1%)</w:t>
            </w:r>
          </w:p>
        </w:tc>
        <w:tc>
          <w:tcPr>
            <w:tcW w:w="1284" w:type="dxa"/>
          </w:tcPr>
          <w:p w14:paraId="6231DCB7" w14:textId="77777777" w:rsidR="00FF4537" w:rsidRPr="009E5026" w:rsidRDefault="00FF4537" w:rsidP="002A447E">
            <w:pPr>
              <w:spacing w:line="480" w:lineRule="auto"/>
            </w:pPr>
            <w:r w:rsidRPr="009E5026">
              <w:t>1 (6.25%)</w:t>
            </w:r>
            <w:r w:rsidRPr="009E5026">
              <w:rPr>
                <w:vertAlign w:val="superscript"/>
              </w:rPr>
              <w:t>¬</w:t>
            </w:r>
          </w:p>
        </w:tc>
        <w:tc>
          <w:tcPr>
            <w:tcW w:w="1146" w:type="dxa"/>
          </w:tcPr>
          <w:p w14:paraId="2DED4D4C" w14:textId="77777777" w:rsidR="00FF4537" w:rsidRPr="009E5026" w:rsidRDefault="00FF4537" w:rsidP="002A447E">
            <w:pPr>
              <w:spacing w:line="480" w:lineRule="auto"/>
            </w:pPr>
            <w:r w:rsidRPr="009E5026">
              <w:t>0</w:t>
            </w:r>
          </w:p>
        </w:tc>
        <w:tc>
          <w:tcPr>
            <w:tcW w:w="1646" w:type="dxa"/>
          </w:tcPr>
          <w:p w14:paraId="03BB16E8" w14:textId="77777777" w:rsidR="00FF4537" w:rsidRPr="009E5026" w:rsidRDefault="00FF4537" w:rsidP="002A447E">
            <w:pPr>
              <w:spacing w:line="480" w:lineRule="auto"/>
            </w:pPr>
            <w:r w:rsidRPr="009E5026">
              <w:t>0</w:t>
            </w:r>
          </w:p>
        </w:tc>
      </w:tr>
      <w:tr w:rsidR="00FF4537" w:rsidRPr="009E5026" w14:paraId="64738037" w14:textId="77777777" w:rsidTr="002A447E">
        <w:trPr>
          <w:trHeight w:val="300"/>
        </w:trPr>
        <w:tc>
          <w:tcPr>
            <w:tcW w:w="1536" w:type="dxa"/>
          </w:tcPr>
          <w:p w14:paraId="00061034" w14:textId="77777777" w:rsidR="00FF4537" w:rsidRPr="009E5026" w:rsidRDefault="00FF4537" w:rsidP="002A447E">
            <w:pPr>
              <w:spacing w:line="480" w:lineRule="auto"/>
              <w:rPr>
                <w:i/>
              </w:rPr>
            </w:pPr>
            <w:r w:rsidRPr="009E5026">
              <w:rPr>
                <w:i/>
              </w:rPr>
              <w:t>ODA+IDA</w:t>
            </w:r>
          </w:p>
        </w:tc>
        <w:tc>
          <w:tcPr>
            <w:tcW w:w="1720" w:type="dxa"/>
          </w:tcPr>
          <w:p w14:paraId="03A83E7C" w14:textId="77777777" w:rsidR="00FF4537" w:rsidRPr="009E5026" w:rsidRDefault="00FF4537" w:rsidP="002A447E">
            <w:pPr>
              <w:spacing w:line="480" w:lineRule="auto"/>
            </w:pPr>
            <w:r w:rsidRPr="009E5026">
              <w:t>14 (11.7%)</w:t>
            </w:r>
          </w:p>
        </w:tc>
        <w:tc>
          <w:tcPr>
            <w:tcW w:w="1684" w:type="dxa"/>
          </w:tcPr>
          <w:p w14:paraId="6871D93D" w14:textId="77777777" w:rsidR="00FF4537" w:rsidRPr="009E5026" w:rsidRDefault="00FF4537" w:rsidP="002A447E">
            <w:pPr>
              <w:spacing w:line="480" w:lineRule="auto"/>
            </w:pPr>
            <w:r w:rsidRPr="009E5026">
              <w:t>14 (38.9%)</w:t>
            </w:r>
          </w:p>
        </w:tc>
        <w:tc>
          <w:tcPr>
            <w:tcW w:w="1284" w:type="dxa"/>
          </w:tcPr>
          <w:p w14:paraId="72A7D783" w14:textId="77777777" w:rsidR="00FF4537" w:rsidRPr="009E5026" w:rsidRDefault="00FF4537" w:rsidP="002A447E">
            <w:pPr>
              <w:spacing w:line="480" w:lineRule="auto"/>
            </w:pPr>
            <w:r w:rsidRPr="009E5026">
              <w:t>0</w:t>
            </w:r>
          </w:p>
        </w:tc>
        <w:tc>
          <w:tcPr>
            <w:tcW w:w="1146" w:type="dxa"/>
          </w:tcPr>
          <w:p w14:paraId="2C03A8DD" w14:textId="77777777" w:rsidR="00FF4537" w:rsidRPr="009E5026" w:rsidRDefault="00FF4537" w:rsidP="002A447E">
            <w:pPr>
              <w:spacing w:line="480" w:lineRule="auto"/>
            </w:pPr>
            <w:r w:rsidRPr="009E5026">
              <w:t>0</w:t>
            </w:r>
          </w:p>
        </w:tc>
        <w:tc>
          <w:tcPr>
            <w:tcW w:w="1646" w:type="dxa"/>
          </w:tcPr>
          <w:p w14:paraId="2371EBE5" w14:textId="77777777" w:rsidR="00FF4537" w:rsidRPr="009E5026" w:rsidRDefault="00FF4537" w:rsidP="002A447E">
            <w:pPr>
              <w:spacing w:line="480" w:lineRule="auto"/>
            </w:pPr>
            <w:r w:rsidRPr="009E5026">
              <w:t>0</w:t>
            </w:r>
          </w:p>
        </w:tc>
      </w:tr>
      <w:tr w:rsidR="00FF4537" w:rsidRPr="009E5026" w14:paraId="21FD7B24" w14:textId="77777777" w:rsidTr="002A447E">
        <w:trPr>
          <w:trHeight w:val="240"/>
        </w:trPr>
        <w:tc>
          <w:tcPr>
            <w:tcW w:w="1536" w:type="dxa"/>
          </w:tcPr>
          <w:p w14:paraId="3E0A9785" w14:textId="77777777" w:rsidR="00FF4537" w:rsidRPr="009E5026" w:rsidRDefault="00FF4537" w:rsidP="002A447E">
            <w:pPr>
              <w:spacing w:line="480" w:lineRule="auto"/>
              <w:rPr>
                <w:i/>
              </w:rPr>
            </w:pPr>
            <w:r w:rsidRPr="009E5026">
              <w:rPr>
                <w:i/>
              </w:rPr>
              <w:t>IDA alone</w:t>
            </w:r>
          </w:p>
        </w:tc>
        <w:tc>
          <w:tcPr>
            <w:tcW w:w="1720" w:type="dxa"/>
          </w:tcPr>
          <w:p w14:paraId="3763A57B" w14:textId="77777777" w:rsidR="00FF4537" w:rsidRPr="009E5026" w:rsidRDefault="00FF4537" w:rsidP="002A447E">
            <w:pPr>
              <w:spacing w:line="480" w:lineRule="auto"/>
            </w:pPr>
            <w:r w:rsidRPr="009E5026">
              <w:t>4 (3.3%)</w:t>
            </w:r>
          </w:p>
        </w:tc>
        <w:tc>
          <w:tcPr>
            <w:tcW w:w="1684" w:type="dxa"/>
          </w:tcPr>
          <w:p w14:paraId="04D02333" w14:textId="77777777" w:rsidR="00FF4537" w:rsidRPr="009E5026" w:rsidRDefault="00FF4537" w:rsidP="002A447E">
            <w:pPr>
              <w:spacing w:line="480" w:lineRule="auto"/>
            </w:pPr>
            <w:r w:rsidRPr="009E5026">
              <w:t>0</w:t>
            </w:r>
          </w:p>
        </w:tc>
        <w:tc>
          <w:tcPr>
            <w:tcW w:w="1284" w:type="dxa"/>
          </w:tcPr>
          <w:p w14:paraId="3FE301E4" w14:textId="77777777" w:rsidR="00FF4537" w:rsidRPr="009E5026" w:rsidRDefault="00FF4537" w:rsidP="002A447E">
            <w:pPr>
              <w:spacing w:line="480" w:lineRule="auto"/>
            </w:pPr>
            <w:r w:rsidRPr="009E5026">
              <w:t>4 (25.0%)</w:t>
            </w:r>
          </w:p>
        </w:tc>
        <w:tc>
          <w:tcPr>
            <w:tcW w:w="1146" w:type="dxa"/>
          </w:tcPr>
          <w:p w14:paraId="02CC61AC" w14:textId="77777777" w:rsidR="00FF4537" w:rsidRPr="009E5026" w:rsidRDefault="00FF4537" w:rsidP="002A447E">
            <w:pPr>
              <w:spacing w:line="480" w:lineRule="auto"/>
            </w:pPr>
            <w:r w:rsidRPr="009E5026">
              <w:t>0</w:t>
            </w:r>
          </w:p>
        </w:tc>
        <w:tc>
          <w:tcPr>
            <w:tcW w:w="1646" w:type="dxa"/>
          </w:tcPr>
          <w:p w14:paraId="75CBAECA" w14:textId="77777777" w:rsidR="00FF4537" w:rsidRPr="009E5026" w:rsidRDefault="00FF4537" w:rsidP="002A447E">
            <w:pPr>
              <w:spacing w:line="480" w:lineRule="auto"/>
            </w:pPr>
            <w:r w:rsidRPr="009E5026">
              <w:t>0</w:t>
            </w:r>
          </w:p>
        </w:tc>
      </w:tr>
      <w:tr w:rsidR="00FF4537" w:rsidRPr="009E5026" w14:paraId="0565DC77" w14:textId="77777777" w:rsidTr="002A447E">
        <w:trPr>
          <w:trHeight w:val="285"/>
        </w:trPr>
        <w:tc>
          <w:tcPr>
            <w:tcW w:w="1536" w:type="dxa"/>
          </w:tcPr>
          <w:p w14:paraId="1469D2F2" w14:textId="77777777" w:rsidR="00FF4537" w:rsidRPr="009E5026" w:rsidRDefault="00FF4537" w:rsidP="002A447E">
            <w:pPr>
              <w:spacing w:line="480" w:lineRule="auto"/>
              <w:rPr>
                <w:i/>
              </w:rPr>
            </w:pPr>
            <w:r w:rsidRPr="009E5026">
              <w:rPr>
                <w:i/>
              </w:rPr>
              <w:t>MTD+IDA</w:t>
            </w:r>
          </w:p>
        </w:tc>
        <w:tc>
          <w:tcPr>
            <w:tcW w:w="1720" w:type="dxa"/>
          </w:tcPr>
          <w:p w14:paraId="3ACE509A" w14:textId="77777777" w:rsidR="00FF4537" w:rsidRPr="009E5026" w:rsidRDefault="00FF4537" w:rsidP="002A447E">
            <w:pPr>
              <w:spacing w:line="480" w:lineRule="auto"/>
            </w:pPr>
            <w:r w:rsidRPr="009E5026">
              <w:t>5 (4.2%)</w:t>
            </w:r>
          </w:p>
        </w:tc>
        <w:tc>
          <w:tcPr>
            <w:tcW w:w="1684" w:type="dxa"/>
          </w:tcPr>
          <w:p w14:paraId="17F6F0C0" w14:textId="77777777" w:rsidR="00FF4537" w:rsidRPr="009E5026" w:rsidRDefault="00FF4537" w:rsidP="002A447E">
            <w:pPr>
              <w:spacing w:line="480" w:lineRule="auto"/>
            </w:pPr>
            <w:r w:rsidRPr="009E5026">
              <w:t>5 (13.9%)</w:t>
            </w:r>
          </w:p>
        </w:tc>
        <w:tc>
          <w:tcPr>
            <w:tcW w:w="1284" w:type="dxa"/>
          </w:tcPr>
          <w:p w14:paraId="777EB031" w14:textId="77777777" w:rsidR="00FF4537" w:rsidRPr="009E5026" w:rsidRDefault="00FF4537" w:rsidP="002A447E">
            <w:pPr>
              <w:spacing w:line="480" w:lineRule="auto"/>
            </w:pPr>
            <w:r w:rsidRPr="009E5026">
              <w:t>0</w:t>
            </w:r>
          </w:p>
        </w:tc>
        <w:tc>
          <w:tcPr>
            <w:tcW w:w="1146" w:type="dxa"/>
          </w:tcPr>
          <w:p w14:paraId="523A3BB7" w14:textId="77777777" w:rsidR="00FF4537" w:rsidRPr="009E5026" w:rsidRDefault="00FF4537" w:rsidP="002A447E">
            <w:pPr>
              <w:spacing w:line="480" w:lineRule="auto"/>
            </w:pPr>
            <w:r w:rsidRPr="009E5026">
              <w:t>0</w:t>
            </w:r>
          </w:p>
        </w:tc>
        <w:tc>
          <w:tcPr>
            <w:tcW w:w="1646" w:type="dxa"/>
          </w:tcPr>
          <w:p w14:paraId="1F11B552" w14:textId="77777777" w:rsidR="00FF4537" w:rsidRPr="009E5026" w:rsidRDefault="00FF4537" w:rsidP="002A447E">
            <w:pPr>
              <w:spacing w:line="480" w:lineRule="auto"/>
            </w:pPr>
            <w:r w:rsidRPr="009E5026">
              <w:t>0</w:t>
            </w:r>
          </w:p>
        </w:tc>
      </w:tr>
      <w:tr w:rsidR="00FF4537" w:rsidRPr="009E5026" w14:paraId="60ACFCFE" w14:textId="77777777" w:rsidTr="002A447E">
        <w:trPr>
          <w:trHeight w:val="252"/>
        </w:trPr>
        <w:tc>
          <w:tcPr>
            <w:tcW w:w="1536" w:type="dxa"/>
          </w:tcPr>
          <w:p w14:paraId="2FC77442" w14:textId="77777777" w:rsidR="00FF4537" w:rsidRPr="009E5026" w:rsidRDefault="00FF4537" w:rsidP="002A447E">
            <w:pPr>
              <w:spacing w:line="480" w:lineRule="auto"/>
            </w:pPr>
            <w:r w:rsidRPr="009E5026">
              <w:rPr>
                <w:i/>
              </w:rPr>
              <w:t>CC</w:t>
            </w:r>
          </w:p>
        </w:tc>
        <w:tc>
          <w:tcPr>
            <w:tcW w:w="1720" w:type="dxa"/>
          </w:tcPr>
          <w:p w14:paraId="11C3D634" w14:textId="77777777" w:rsidR="00FF4537" w:rsidRPr="009E5026" w:rsidRDefault="00FF4537" w:rsidP="002A447E">
            <w:pPr>
              <w:spacing w:line="480" w:lineRule="auto"/>
            </w:pPr>
            <w:r w:rsidRPr="009E5026">
              <w:t>5 (4.2%)</w:t>
            </w:r>
          </w:p>
        </w:tc>
        <w:tc>
          <w:tcPr>
            <w:tcW w:w="1684" w:type="dxa"/>
          </w:tcPr>
          <w:p w14:paraId="20FD54A5" w14:textId="77777777" w:rsidR="00FF4537" w:rsidRPr="009E5026" w:rsidRDefault="00FF4537" w:rsidP="002A447E">
            <w:pPr>
              <w:spacing w:line="480" w:lineRule="auto"/>
            </w:pPr>
            <w:r w:rsidRPr="009E5026">
              <w:t>1 (2.8%)</w:t>
            </w:r>
            <w:r w:rsidRPr="009E5026">
              <w:rPr>
                <w:rFonts w:cstheme="minorHAnsi"/>
                <w:vertAlign w:val="superscript"/>
              </w:rPr>
              <w:t>β</w:t>
            </w:r>
          </w:p>
        </w:tc>
        <w:tc>
          <w:tcPr>
            <w:tcW w:w="1284" w:type="dxa"/>
          </w:tcPr>
          <w:p w14:paraId="31A509EB" w14:textId="77777777" w:rsidR="00FF4537" w:rsidRPr="009E5026" w:rsidRDefault="00FF4537" w:rsidP="002A447E">
            <w:pPr>
              <w:spacing w:line="480" w:lineRule="auto"/>
            </w:pPr>
            <w:r w:rsidRPr="009E5026">
              <w:t>4 (25.0%)</w:t>
            </w:r>
          </w:p>
        </w:tc>
        <w:tc>
          <w:tcPr>
            <w:tcW w:w="1146" w:type="dxa"/>
          </w:tcPr>
          <w:p w14:paraId="237A5D41" w14:textId="77777777" w:rsidR="00FF4537" w:rsidRPr="009E5026" w:rsidRDefault="00FF4537" w:rsidP="002A447E">
            <w:pPr>
              <w:spacing w:line="480" w:lineRule="auto"/>
            </w:pPr>
            <w:r w:rsidRPr="009E5026">
              <w:t>0</w:t>
            </w:r>
          </w:p>
        </w:tc>
        <w:tc>
          <w:tcPr>
            <w:tcW w:w="1646" w:type="dxa"/>
          </w:tcPr>
          <w:p w14:paraId="28585B22" w14:textId="77777777" w:rsidR="00FF4537" w:rsidRPr="009E5026" w:rsidRDefault="00FF4537" w:rsidP="002A447E">
            <w:pPr>
              <w:spacing w:line="480" w:lineRule="auto"/>
            </w:pPr>
            <w:r w:rsidRPr="009E5026">
              <w:t>0</w:t>
            </w:r>
          </w:p>
        </w:tc>
      </w:tr>
      <w:tr w:rsidR="00FF4537" w:rsidRPr="009E5026" w14:paraId="1FD7FBA0" w14:textId="77777777" w:rsidTr="002A447E">
        <w:trPr>
          <w:trHeight w:val="252"/>
        </w:trPr>
        <w:tc>
          <w:tcPr>
            <w:tcW w:w="1536" w:type="dxa"/>
          </w:tcPr>
          <w:p w14:paraId="67728DB6" w14:textId="77777777" w:rsidR="00FF4537" w:rsidRPr="009E5026" w:rsidDel="00083C54" w:rsidRDefault="00FF4537" w:rsidP="002A447E">
            <w:pPr>
              <w:spacing w:line="480" w:lineRule="auto"/>
              <w:rPr>
                <w:i/>
              </w:rPr>
            </w:pPr>
            <w:r w:rsidRPr="009E5026">
              <w:rPr>
                <w:i/>
              </w:rPr>
              <w:t>Lack of cilia</w:t>
            </w:r>
          </w:p>
        </w:tc>
        <w:tc>
          <w:tcPr>
            <w:tcW w:w="1720" w:type="dxa"/>
          </w:tcPr>
          <w:p w14:paraId="30B37F78" w14:textId="77777777" w:rsidR="00FF4537" w:rsidRPr="009E5026" w:rsidRDefault="00FF4537" w:rsidP="002A447E">
            <w:pPr>
              <w:spacing w:line="480" w:lineRule="auto"/>
            </w:pPr>
            <w:r w:rsidRPr="009E5026">
              <w:t>2 (1.7%)</w:t>
            </w:r>
          </w:p>
        </w:tc>
        <w:tc>
          <w:tcPr>
            <w:tcW w:w="1684" w:type="dxa"/>
          </w:tcPr>
          <w:p w14:paraId="712DFE33" w14:textId="77777777" w:rsidR="00FF4537" w:rsidRPr="009E5026" w:rsidRDefault="00FF4537" w:rsidP="002A447E">
            <w:pPr>
              <w:spacing w:line="480" w:lineRule="auto"/>
            </w:pPr>
            <w:r w:rsidRPr="009E5026">
              <w:t>0</w:t>
            </w:r>
          </w:p>
        </w:tc>
        <w:tc>
          <w:tcPr>
            <w:tcW w:w="1284" w:type="dxa"/>
          </w:tcPr>
          <w:p w14:paraId="0C7DE20B" w14:textId="77777777" w:rsidR="00FF4537" w:rsidRPr="009E5026" w:rsidRDefault="00FF4537" w:rsidP="002A447E">
            <w:pPr>
              <w:spacing w:line="480" w:lineRule="auto"/>
            </w:pPr>
            <w:r w:rsidRPr="009E5026">
              <w:t>0</w:t>
            </w:r>
          </w:p>
        </w:tc>
        <w:tc>
          <w:tcPr>
            <w:tcW w:w="1146" w:type="dxa"/>
          </w:tcPr>
          <w:p w14:paraId="545568AE" w14:textId="77777777" w:rsidR="00FF4537" w:rsidRPr="009E5026" w:rsidRDefault="00FF4537" w:rsidP="002A447E">
            <w:pPr>
              <w:spacing w:line="480" w:lineRule="auto"/>
            </w:pPr>
            <w:r w:rsidRPr="009E5026">
              <w:t>0</w:t>
            </w:r>
          </w:p>
        </w:tc>
        <w:tc>
          <w:tcPr>
            <w:tcW w:w="1646" w:type="dxa"/>
          </w:tcPr>
          <w:p w14:paraId="6B9DCD40" w14:textId="77777777" w:rsidR="00FF4537" w:rsidRPr="009E5026" w:rsidRDefault="00FF4537" w:rsidP="002A447E">
            <w:pPr>
              <w:spacing w:line="480" w:lineRule="auto"/>
            </w:pPr>
            <w:r w:rsidRPr="009E5026">
              <w:t>2 (4.8%)</w:t>
            </w:r>
          </w:p>
        </w:tc>
      </w:tr>
      <w:tr w:rsidR="00FF4537" w:rsidRPr="009E5026" w14:paraId="69CC4A73" w14:textId="77777777" w:rsidTr="002A447E">
        <w:trPr>
          <w:trHeight w:val="270"/>
        </w:trPr>
        <w:tc>
          <w:tcPr>
            <w:tcW w:w="1536" w:type="dxa"/>
          </w:tcPr>
          <w:p w14:paraId="3BDCE7D7" w14:textId="77777777" w:rsidR="00FF4537" w:rsidRPr="009E5026" w:rsidDel="00083C54" w:rsidRDefault="00FF4537" w:rsidP="002A447E">
            <w:pPr>
              <w:spacing w:line="480" w:lineRule="auto"/>
              <w:rPr>
                <w:i/>
              </w:rPr>
            </w:pPr>
            <w:r w:rsidRPr="009E5026">
              <w:rPr>
                <w:i/>
              </w:rPr>
              <w:t>Inconclusive</w:t>
            </w:r>
          </w:p>
        </w:tc>
        <w:tc>
          <w:tcPr>
            <w:tcW w:w="1720" w:type="dxa"/>
          </w:tcPr>
          <w:p w14:paraId="24B6FE38" w14:textId="77777777" w:rsidR="00FF4537" w:rsidRPr="009E5026" w:rsidRDefault="00FF4537" w:rsidP="002A447E">
            <w:pPr>
              <w:spacing w:line="480" w:lineRule="auto"/>
            </w:pPr>
            <w:r w:rsidRPr="009E5026">
              <w:t>3 (2.5%)</w:t>
            </w:r>
          </w:p>
        </w:tc>
        <w:tc>
          <w:tcPr>
            <w:tcW w:w="1684" w:type="dxa"/>
          </w:tcPr>
          <w:p w14:paraId="1B437F64" w14:textId="77777777" w:rsidR="00FF4537" w:rsidRPr="009E5026" w:rsidRDefault="00FF4537" w:rsidP="002A447E">
            <w:pPr>
              <w:spacing w:line="480" w:lineRule="auto"/>
            </w:pPr>
            <w:r w:rsidRPr="009E5026">
              <w:t>1 (2.8%)</w:t>
            </w:r>
            <w:r w:rsidRPr="009E5026">
              <w:rPr>
                <w:vertAlign w:val="superscript"/>
              </w:rPr>
              <w:t>*</w:t>
            </w:r>
          </w:p>
        </w:tc>
        <w:tc>
          <w:tcPr>
            <w:tcW w:w="1284" w:type="dxa"/>
          </w:tcPr>
          <w:p w14:paraId="077AD907" w14:textId="77777777" w:rsidR="00FF4537" w:rsidRPr="009E5026" w:rsidRDefault="00FF4537" w:rsidP="002A447E">
            <w:pPr>
              <w:spacing w:line="480" w:lineRule="auto"/>
            </w:pPr>
            <w:r w:rsidRPr="009E5026">
              <w:t>0</w:t>
            </w:r>
          </w:p>
        </w:tc>
        <w:tc>
          <w:tcPr>
            <w:tcW w:w="1146" w:type="dxa"/>
          </w:tcPr>
          <w:p w14:paraId="0EE48FC7" w14:textId="77777777" w:rsidR="00FF4537" w:rsidRPr="009E5026" w:rsidRDefault="00FF4537" w:rsidP="002A447E">
            <w:pPr>
              <w:spacing w:line="480" w:lineRule="auto"/>
            </w:pPr>
            <w:r w:rsidRPr="009E5026">
              <w:t>0</w:t>
            </w:r>
          </w:p>
        </w:tc>
        <w:tc>
          <w:tcPr>
            <w:tcW w:w="1646" w:type="dxa"/>
          </w:tcPr>
          <w:p w14:paraId="716C7B8A" w14:textId="77777777" w:rsidR="00FF4537" w:rsidRPr="009E5026" w:rsidRDefault="00FF4537" w:rsidP="002A447E">
            <w:pPr>
              <w:spacing w:line="480" w:lineRule="auto"/>
            </w:pPr>
            <w:r w:rsidRPr="009E5026">
              <w:t>2 (4.8%)</w:t>
            </w:r>
          </w:p>
        </w:tc>
      </w:tr>
      <w:tr w:rsidR="00FF4537" w:rsidRPr="009E5026" w14:paraId="2127E725" w14:textId="77777777" w:rsidTr="002A447E">
        <w:trPr>
          <w:trHeight w:val="416"/>
        </w:trPr>
        <w:tc>
          <w:tcPr>
            <w:tcW w:w="1536" w:type="dxa"/>
          </w:tcPr>
          <w:p w14:paraId="5D511E94" w14:textId="77777777" w:rsidR="00FF4537" w:rsidRPr="009E5026" w:rsidDel="00083C54" w:rsidRDefault="00FF4537" w:rsidP="002A447E">
            <w:pPr>
              <w:spacing w:line="480" w:lineRule="auto"/>
              <w:rPr>
                <w:i/>
              </w:rPr>
            </w:pPr>
            <w:r w:rsidRPr="009E5026">
              <w:rPr>
                <w:i/>
              </w:rPr>
              <w:lastRenderedPageBreak/>
              <w:t>Not done</w:t>
            </w:r>
          </w:p>
        </w:tc>
        <w:tc>
          <w:tcPr>
            <w:tcW w:w="1720" w:type="dxa"/>
          </w:tcPr>
          <w:p w14:paraId="0C0EF6D3" w14:textId="77777777" w:rsidR="00FF4537" w:rsidRPr="009E5026" w:rsidRDefault="00FF4537" w:rsidP="002A447E">
            <w:pPr>
              <w:spacing w:line="480" w:lineRule="auto"/>
            </w:pPr>
            <w:r w:rsidRPr="009E5026">
              <w:t>10 (8.3%)</w:t>
            </w:r>
          </w:p>
        </w:tc>
        <w:tc>
          <w:tcPr>
            <w:tcW w:w="1684" w:type="dxa"/>
          </w:tcPr>
          <w:p w14:paraId="351FB513" w14:textId="77777777" w:rsidR="00FF4537" w:rsidRPr="009E5026" w:rsidRDefault="00FF4537" w:rsidP="002A447E">
            <w:pPr>
              <w:spacing w:line="480" w:lineRule="auto"/>
            </w:pPr>
            <w:r w:rsidRPr="009E5026">
              <w:t>0</w:t>
            </w:r>
          </w:p>
        </w:tc>
        <w:tc>
          <w:tcPr>
            <w:tcW w:w="1284" w:type="dxa"/>
          </w:tcPr>
          <w:p w14:paraId="1C726B21" w14:textId="77777777" w:rsidR="00FF4537" w:rsidRPr="009E5026" w:rsidRDefault="00FF4537" w:rsidP="002A447E">
            <w:pPr>
              <w:spacing w:line="480" w:lineRule="auto"/>
            </w:pPr>
            <w:r w:rsidRPr="009E5026">
              <w:t>0</w:t>
            </w:r>
          </w:p>
        </w:tc>
        <w:tc>
          <w:tcPr>
            <w:tcW w:w="1146" w:type="dxa"/>
          </w:tcPr>
          <w:p w14:paraId="6C848091" w14:textId="77777777" w:rsidR="00FF4537" w:rsidRPr="009E5026" w:rsidRDefault="00FF4537" w:rsidP="002A447E">
            <w:pPr>
              <w:spacing w:line="480" w:lineRule="auto"/>
            </w:pPr>
            <w:r w:rsidRPr="009E5026">
              <w:t>7 (26.9%)</w:t>
            </w:r>
          </w:p>
        </w:tc>
        <w:tc>
          <w:tcPr>
            <w:tcW w:w="1646" w:type="dxa"/>
          </w:tcPr>
          <w:p w14:paraId="324521A1" w14:textId="77777777" w:rsidR="00FF4537" w:rsidRPr="009E5026" w:rsidRDefault="00FF4537" w:rsidP="002A447E">
            <w:pPr>
              <w:spacing w:line="480" w:lineRule="auto"/>
            </w:pPr>
            <w:r w:rsidRPr="009E5026">
              <w:t>3 (7.1%)</w:t>
            </w:r>
          </w:p>
        </w:tc>
      </w:tr>
    </w:tbl>
    <w:p w14:paraId="15ABA761" w14:textId="2D808EF7" w:rsidR="00FF4537" w:rsidRPr="009E5026" w:rsidRDefault="00FF4537" w:rsidP="00774443"/>
    <w:p w14:paraId="671990E1" w14:textId="7C7DB40E" w:rsidR="00FF4537" w:rsidRPr="009E5026" w:rsidRDefault="00FF4537" w:rsidP="00FF4537">
      <w:pPr>
        <w:spacing w:line="480" w:lineRule="auto"/>
      </w:pPr>
      <w:r w:rsidRPr="009E5026">
        <w:rPr>
          <w:b/>
        </w:rPr>
        <w:t>Table 2.</w:t>
      </w:r>
      <w:r w:rsidRPr="009E5026">
        <w:t xml:space="preserve"> Aggregated diagnostic study outcomes by the three scientists compared to the diagnostic outcome defined by </w:t>
      </w:r>
      <w:r w:rsidR="00366D0C" w:rsidRPr="009E5026">
        <w:t xml:space="preserve">the ERS PCD diagnostic </w:t>
      </w:r>
      <w:r w:rsidRPr="009E5026">
        <w:t xml:space="preserve">guidelines </w:t>
      </w:r>
      <w:r w:rsidR="00896C19" w:rsidRPr="009E5026">
        <w:rPr>
          <w:noProof/>
        </w:rPr>
        <w:t>[2]</w:t>
      </w:r>
      <w:r w:rsidRPr="009E5026">
        <w:t xml:space="preserve"> (n=360 scientists’ outcomes from 120 patient samples). ‘PCD positive’ and ‘PCD highly unlikely’ outcomes contributed to the accuracy analyses. Individual scientists’ results are shown in supplementary Table </w:t>
      </w:r>
      <w:r w:rsidR="00610681" w:rsidRPr="009E5026">
        <w:t>S</w:t>
      </w:r>
      <w:r w:rsidRPr="009E5026">
        <w:t>2.</w:t>
      </w:r>
    </w:p>
    <w:tbl>
      <w:tblPr>
        <w:tblStyle w:val="TableGrid"/>
        <w:tblW w:w="0" w:type="auto"/>
        <w:tblLook w:val="04A0" w:firstRow="1" w:lastRow="0" w:firstColumn="1" w:lastColumn="0" w:noHBand="0" w:noVBand="1"/>
      </w:tblPr>
      <w:tblGrid>
        <w:gridCol w:w="1117"/>
        <w:gridCol w:w="1521"/>
        <w:gridCol w:w="1330"/>
        <w:gridCol w:w="1283"/>
        <w:gridCol w:w="1193"/>
        <w:gridCol w:w="1521"/>
        <w:gridCol w:w="1051"/>
      </w:tblGrid>
      <w:tr w:rsidR="00FF4537" w:rsidRPr="009E5026" w14:paraId="0C566384" w14:textId="77777777" w:rsidTr="002A447E">
        <w:tc>
          <w:tcPr>
            <w:tcW w:w="2638" w:type="dxa"/>
            <w:gridSpan w:val="2"/>
            <w:vMerge w:val="restart"/>
          </w:tcPr>
          <w:p w14:paraId="5AD7FD60" w14:textId="77777777" w:rsidR="00FF4537" w:rsidRPr="009E5026" w:rsidRDefault="00FF4537" w:rsidP="002A447E">
            <w:pPr>
              <w:spacing w:line="480" w:lineRule="auto"/>
              <w:rPr>
                <w:b/>
              </w:rPr>
            </w:pPr>
          </w:p>
        </w:tc>
        <w:tc>
          <w:tcPr>
            <w:tcW w:w="6378" w:type="dxa"/>
            <w:gridSpan w:val="5"/>
          </w:tcPr>
          <w:p w14:paraId="2B202C76" w14:textId="38456C1F" w:rsidR="00FF4537" w:rsidRPr="009E5026" w:rsidRDefault="00FF4537" w:rsidP="00AC5432">
            <w:pPr>
              <w:spacing w:line="480" w:lineRule="auto"/>
              <w:jc w:val="center"/>
            </w:pPr>
            <w:r w:rsidRPr="009E5026">
              <w:rPr>
                <w:b/>
              </w:rPr>
              <w:t xml:space="preserve">Diagnostic outcomes based on the </w:t>
            </w:r>
            <w:r w:rsidR="00AC5432" w:rsidRPr="009E5026">
              <w:rPr>
                <w:b/>
              </w:rPr>
              <w:t>ERS guideline</w:t>
            </w:r>
          </w:p>
        </w:tc>
      </w:tr>
      <w:tr w:rsidR="00FF4537" w:rsidRPr="009E5026" w14:paraId="035F8E32" w14:textId="77777777" w:rsidTr="002A447E">
        <w:tc>
          <w:tcPr>
            <w:tcW w:w="2638" w:type="dxa"/>
            <w:gridSpan w:val="2"/>
            <w:vMerge/>
          </w:tcPr>
          <w:p w14:paraId="69347EB7" w14:textId="77777777" w:rsidR="00FF4537" w:rsidRPr="009E5026" w:rsidRDefault="00FF4537" w:rsidP="002A447E">
            <w:pPr>
              <w:spacing w:line="480" w:lineRule="auto"/>
            </w:pPr>
          </w:p>
        </w:tc>
        <w:tc>
          <w:tcPr>
            <w:tcW w:w="1330" w:type="dxa"/>
          </w:tcPr>
          <w:p w14:paraId="1DEE226D" w14:textId="77777777" w:rsidR="00FF4537" w:rsidRPr="009E5026" w:rsidRDefault="00FF4537" w:rsidP="002A447E">
            <w:pPr>
              <w:spacing w:line="480" w:lineRule="auto"/>
            </w:pPr>
            <w:r w:rsidRPr="009E5026">
              <w:t>PCD positive*</w:t>
            </w:r>
          </w:p>
        </w:tc>
        <w:tc>
          <w:tcPr>
            <w:tcW w:w="1283" w:type="dxa"/>
          </w:tcPr>
          <w:p w14:paraId="53AB714F" w14:textId="77777777" w:rsidR="00FF4537" w:rsidRPr="009E5026" w:rsidRDefault="00FF4537" w:rsidP="002A447E">
            <w:pPr>
              <w:spacing w:line="480" w:lineRule="auto"/>
            </w:pPr>
            <w:r w:rsidRPr="009E5026">
              <w:t>PCD highly unlikely</w:t>
            </w:r>
          </w:p>
        </w:tc>
        <w:tc>
          <w:tcPr>
            <w:tcW w:w="1193" w:type="dxa"/>
          </w:tcPr>
          <w:p w14:paraId="7326C900" w14:textId="77777777" w:rsidR="00FF4537" w:rsidRPr="009E5026" w:rsidRDefault="00FF4537" w:rsidP="002A447E">
            <w:pPr>
              <w:spacing w:line="480" w:lineRule="auto"/>
            </w:pPr>
            <w:r w:rsidRPr="009E5026">
              <w:t>PCD highly likely</w:t>
            </w:r>
          </w:p>
        </w:tc>
        <w:tc>
          <w:tcPr>
            <w:tcW w:w="1521" w:type="dxa"/>
          </w:tcPr>
          <w:p w14:paraId="31F9F505" w14:textId="77777777" w:rsidR="00FF4537" w:rsidRPr="009E5026" w:rsidRDefault="00FF4537" w:rsidP="002A447E">
            <w:pPr>
              <w:spacing w:line="480" w:lineRule="auto"/>
            </w:pPr>
            <w:r w:rsidRPr="009E5026">
              <w:t>Inconclusive</w:t>
            </w:r>
          </w:p>
        </w:tc>
        <w:tc>
          <w:tcPr>
            <w:tcW w:w="1051" w:type="dxa"/>
          </w:tcPr>
          <w:p w14:paraId="5D398992" w14:textId="77777777" w:rsidR="00FF4537" w:rsidRPr="009E5026" w:rsidRDefault="00FF4537" w:rsidP="002A447E">
            <w:pPr>
              <w:spacing w:line="480" w:lineRule="auto"/>
            </w:pPr>
            <w:r w:rsidRPr="009E5026">
              <w:t>Total</w:t>
            </w:r>
          </w:p>
        </w:tc>
      </w:tr>
      <w:tr w:rsidR="00FF4537" w:rsidRPr="009E5026" w14:paraId="09211CB9" w14:textId="77777777" w:rsidTr="006549F4">
        <w:tc>
          <w:tcPr>
            <w:tcW w:w="1117" w:type="dxa"/>
            <w:vMerge w:val="restart"/>
            <w:textDirection w:val="btLr"/>
          </w:tcPr>
          <w:p w14:paraId="03DEB3B6" w14:textId="77777777" w:rsidR="00FF4537" w:rsidRPr="009E5026" w:rsidRDefault="00FF4537" w:rsidP="006549F4">
            <w:pPr>
              <w:spacing w:line="480" w:lineRule="auto"/>
              <w:ind w:left="113" w:right="113"/>
              <w:jc w:val="center"/>
            </w:pPr>
            <w:r w:rsidRPr="009E5026">
              <w:rPr>
                <w:b/>
              </w:rPr>
              <w:t>Study outcomes by HSVA scientists</w:t>
            </w:r>
          </w:p>
        </w:tc>
        <w:tc>
          <w:tcPr>
            <w:tcW w:w="1521" w:type="dxa"/>
          </w:tcPr>
          <w:p w14:paraId="11A112A7" w14:textId="77777777" w:rsidR="00FF4537" w:rsidRPr="009E5026" w:rsidRDefault="00FF4537" w:rsidP="002A447E">
            <w:pPr>
              <w:spacing w:line="480" w:lineRule="auto"/>
            </w:pPr>
            <w:r w:rsidRPr="009E5026">
              <w:t>PCD positive</w:t>
            </w:r>
          </w:p>
        </w:tc>
        <w:tc>
          <w:tcPr>
            <w:tcW w:w="1330" w:type="dxa"/>
            <w:shd w:val="clear" w:color="auto" w:fill="A6A6A6" w:themeFill="background1" w:themeFillShade="A6"/>
          </w:tcPr>
          <w:p w14:paraId="6B5559B9" w14:textId="77777777" w:rsidR="00FF4537" w:rsidRPr="009E5026" w:rsidRDefault="00FF4537" w:rsidP="002A447E">
            <w:pPr>
              <w:spacing w:line="480" w:lineRule="auto"/>
            </w:pPr>
            <w:r w:rsidRPr="009E5026">
              <w:t>94</w:t>
            </w:r>
          </w:p>
        </w:tc>
        <w:tc>
          <w:tcPr>
            <w:tcW w:w="1283" w:type="dxa"/>
            <w:shd w:val="clear" w:color="auto" w:fill="A6A6A6" w:themeFill="background1" w:themeFillShade="A6"/>
          </w:tcPr>
          <w:p w14:paraId="445FEBDE" w14:textId="77777777" w:rsidR="00FF4537" w:rsidRPr="009E5026" w:rsidRDefault="00FF4537" w:rsidP="002A447E">
            <w:pPr>
              <w:spacing w:line="480" w:lineRule="auto"/>
            </w:pPr>
            <w:r w:rsidRPr="009E5026">
              <w:t>2</w:t>
            </w:r>
          </w:p>
        </w:tc>
        <w:tc>
          <w:tcPr>
            <w:tcW w:w="1193" w:type="dxa"/>
          </w:tcPr>
          <w:p w14:paraId="2EE87F96" w14:textId="77777777" w:rsidR="00FF4537" w:rsidRPr="009E5026" w:rsidRDefault="00FF4537" w:rsidP="002A447E">
            <w:pPr>
              <w:spacing w:line="480" w:lineRule="auto"/>
            </w:pPr>
            <w:r w:rsidRPr="009E5026">
              <w:t>25</w:t>
            </w:r>
          </w:p>
        </w:tc>
        <w:tc>
          <w:tcPr>
            <w:tcW w:w="1521" w:type="dxa"/>
          </w:tcPr>
          <w:p w14:paraId="28737276" w14:textId="77777777" w:rsidR="00FF4537" w:rsidRPr="009E5026" w:rsidRDefault="00FF4537" w:rsidP="002A447E">
            <w:pPr>
              <w:spacing w:line="480" w:lineRule="auto"/>
            </w:pPr>
            <w:r w:rsidRPr="009E5026">
              <w:t>13</w:t>
            </w:r>
          </w:p>
        </w:tc>
        <w:tc>
          <w:tcPr>
            <w:tcW w:w="1051" w:type="dxa"/>
          </w:tcPr>
          <w:p w14:paraId="6FFAF1F4" w14:textId="77777777" w:rsidR="00FF4537" w:rsidRPr="009E5026" w:rsidRDefault="00FF4537" w:rsidP="002A447E">
            <w:pPr>
              <w:spacing w:line="480" w:lineRule="auto"/>
            </w:pPr>
            <w:r w:rsidRPr="009E5026">
              <w:t>134</w:t>
            </w:r>
          </w:p>
        </w:tc>
      </w:tr>
      <w:tr w:rsidR="00FF4537" w:rsidRPr="009E5026" w14:paraId="3E5429AC" w14:textId="77777777" w:rsidTr="002A447E">
        <w:tc>
          <w:tcPr>
            <w:tcW w:w="1117" w:type="dxa"/>
            <w:vMerge/>
          </w:tcPr>
          <w:p w14:paraId="56579B14" w14:textId="77777777" w:rsidR="00FF4537" w:rsidRPr="009E5026" w:rsidRDefault="00FF4537" w:rsidP="002A447E">
            <w:pPr>
              <w:spacing w:line="480" w:lineRule="auto"/>
            </w:pPr>
          </w:p>
        </w:tc>
        <w:tc>
          <w:tcPr>
            <w:tcW w:w="1521" w:type="dxa"/>
          </w:tcPr>
          <w:p w14:paraId="79E53F1B" w14:textId="77777777" w:rsidR="00FF4537" w:rsidRPr="009E5026" w:rsidRDefault="00FF4537" w:rsidP="002A447E">
            <w:pPr>
              <w:spacing w:line="480" w:lineRule="auto"/>
            </w:pPr>
            <w:r w:rsidRPr="009E5026">
              <w:t>PCD highly unlikely</w:t>
            </w:r>
          </w:p>
        </w:tc>
        <w:tc>
          <w:tcPr>
            <w:tcW w:w="1330" w:type="dxa"/>
            <w:shd w:val="clear" w:color="auto" w:fill="A6A6A6" w:themeFill="background1" w:themeFillShade="A6"/>
          </w:tcPr>
          <w:p w14:paraId="6AB2DDC6" w14:textId="77777777" w:rsidR="00FF4537" w:rsidRPr="009E5026" w:rsidRDefault="00FF4537" w:rsidP="002A447E">
            <w:pPr>
              <w:spacing w:line="480" w:lineRule="auto"/>
            </w:pPr>
            <w:r w:rsidRPr="009E5026">
              <w:t>0</w:t>
            </w:r>
          </w:p>
        </w:tc>
        <w:tc>
          <w:tcPr>
            <w:tcW w:w="1283" w:type="dxa"/>
            <w:shd w:val="clear" w:color="auto" w:fill="A6A6A6" w:themeFill="background1" w:themeFillShade="A6"/>
          </w:tcPr>
          <w:p w14:paraId="6AF2F594" w14:textId="77777777" w:rsidR="00FF4537" w:rsidRPr="009E5026" w:rsidRDefault="00FF4537" w:rsidP="002A447E">
            <w:pPr>
              <w:spacing w:line="480" w:lineRule="auto"/>
            </w:pPr>
            <w:r w:rsidRPr="009E5026">
              <w:t>53</w:t>
            </w:r>
          </w:p>
        </w:tc>
        <w:tc>
          <w:tcPr>
            <w:tcW w:w="1193" w:type="dxa"/>
          </w:tcPr>
          <w:p w14:paraId="05C42A40" w14:textId="77777777" w:rsidR="00FF4537" w:rsidRPr="009E5026" w:rsidRDefault="00FF4537" w:rsidP="002A447E">
            <w:pPr>
              <w:spacing w:line="480" w:lineRule="auto"/>
            </w:pPr>
            <w:r w:rsidRPr="009E5026">
              <w:t>4</w:t>
            </w:r>
          </w:p>
        </w:tc>
        <w:tc>
          <w:tcPr>
            <w:tcW w:w="1521" w:type="dxa"/>
          </w:tcPr>
          <w:p w14:paraId="519599EA" w14:textId="77777777" w:rsidR="00FF4537" w:rsidRPr="009E5026" w:rsidRDefault="00FF4537" w:rsidP="002A447E">
            <w:pPr>
              <w:spacing w:line="480" w:lineRule="auto"/>
            </w:pPr>
            <w:r w:rsidRPr="009E5026">
              <w:t>42</w:t>
            </w:r>
          </w:p>
        </w:tc>
        <w:tc>
          <w:tcPr>
            <w:tcW w:w="1051" w:type="dxa"/>
          </w:tcPr>
          <w:p w14:paraId="733E767A" w14:textId="77777777" w:rsidR="00FF4537" w:rsidRPr="009E5026" w:rsidRDefault="00FF4537" w:rsidP="002A447E">
            <w:pPr>
              <w:spacing w:line="480" w:lineRule="auto"/>
            </w:pPr>
            <w:r w:rsidRPr="009E5026">
              <w:t>99</w:t>
            </w:r>
          </w:p>
        </w:tc>
      </w:tr>
      <w:tr w:rsidR="00FF4537" w:rsidRPr="009E5026" w14:paraId="0A5B6F22" w14:textId="77777777" w:rsidTr="002A447E">
        <w:tc>
          <w:tcPr>
            <w:tcW w:w="1117" w:type="dxa"/>
            <w:vMerge/>
          </w:tcPr>
          <w:p w14:paraId="3DCF6EFF" w14:textId="77777777" w:rsidR="00FF4537" w:rsidRPr="009E5026" w:rsidRDefault="00FF4537" w:rsidP="002A447E">
            <w:pPr>
              <w:spacing w:line="480" w:lineRule="auto"/>
            </w:pPr>
          </w:p>
        </w:tc>
        <w:tc>
          <w:tcPr>
            <w:tcW w:w="1521" w:type="dxa"/>
          </w:tcPr>
          <w:p w14:paraId="59E1F95D" w14:textId="77777777" w:rsidR="00FF4537" w:rsidRPr="009E5026" w:rsidRDefault="00FF4537" w:rsidP="002A447E">
            <w:pPr>
              <w:spacing w:line="480" w:lineRule="auto"/>
            </w:pPr>
            <w:r w:rsidRPr="009E5026">
              <w:t>PCD highly likely</w:t>
            </w:r>
          </w:p>
        </w:tc>
        <w:tc>
          <w:tcPr>
            <w:tcW w:w="1330" w:type="dxa"/>
          </w:tcPr>
          <w:p w14:paraId="4D283EA0" w14:textId="77777777" w:rsidR="00FF4537" w:rsidRPr="009E5026" w:rsidRDefault="00FF4537" w:rsidP="002A447E">
            <w:pPr>
              <w:spacing w:line="480" w:lineRule="auto"/>
            </w:pPr>
            <w:r w:rsidRPr="009E5026">
              <w:t>10</w:t>
            </w:r>
          </w:p>
        </w:tc>
        <w:tc>
          <w:tcPr>
            <w:tcW w:w="1283" w:type="dxa"/>
          </w:tcPr>
          <w:p w14:paraId="1BF751CD" w14:textId="77777777" w:rsidR="00FF4537" w:rsidRPr="009E5026" w:rsidRDefault="00FF4537" w:rsidP="002A447E">
            <w:pPr>
              <w:spacing w:line="480" w:lineRule="auto"/>
            </w:pPr>
            <w:r w:rsidRPr="009E5026">
              <w:t>4</w:t>
            </w:r>
          </w:p>
        </w:tc>
        <w:tc>
          <w:tcPr>
            <w:tcW w:w="1193" w:type="dxa"/>
          </w:tcPr>
          <w:p w14:paraId="7A09D87F" w14:textId="77777777" w:rsidR="00FF4537" w:rsidRPr="009E5026" w:rsidRDefault="00FF4537" w:rsidP="002A447E">
            <w:pPr>
              <w:spacing w:line="480" w:lineRule="auto"/>
            </w:pPr>
            <w:r w:rsidRPr="009E5026">
              <w:t>11</w:t>
            </w:r>
          </w:p>
        </w:tc>
        <w:tc>
          <w:tcPr>
            <w:tcW w:w="1521" w:type="dxa"/>
          </w:tcPr>
          <w:p w14:paraId="66C374B9" w14:textId="77777777" w:rsidR="00FF4537" w:rsidRPr="009E5026" w:rsidRDefault="00FF4537" w:rsidP="002A447E">
            <w:pPr>
              <w:spacing w:line="480" w:lineRule="auto"/>
            </w:pPr>
            <w:r w:rsidRPr="009E5026">
              <w:t>17</w:t>
            </w:r>
          </w:p>
        </w:tc>
        <w:tc>
          <w:tcPr>
            <w:tcW w:w="1051" w:type="dxa"/>
          </w:tcPr>
          <w:p w14:paraId="7361CF52" w14:textId="77777777" w:rsidR="00FF4537" w:rsidRPr="009E5026" w:rsidRDefault="00FF4537" w:rsidP="002A447E">
            <w:pPr>
              <w:spacing w:line="480" w:lineRule="auto"/>
            </w:pPr>
            <w:r w:rsidRPr="009E5026">
              <w:t>42</w:t>
            </w:r>
          </w:p>
        </w:tc>
      </w:tr>
      <w:tr w:rsidR="00FF4537" w:rsidRPr="009E5026" w14:paraId="6BBB1FA2" w14:textId="77777777" w:rsidTr="002A447E">
        <w:tc>
          <w:tcPr>
            <w:tcW w:w="1117" w:type="dxa"/>
            <w:vMerge/>
          </w:tcPr>
          <w:p w14:paraId="70C32605" w14:textId="77777777" w:rsidR="00FF4537" w:rsidRPr="009E5026" w:rsidRDefault="00FF4537" w:rsidP="002A447E">
            <w:pPr>
              <w:spacing w:line="480" w:lineRule="auto"/>
            </w:pPr>
          </w:p>
        </w:tc>
        <w:tc>
          <w:tcPr>
            <w:tcW w:w="1521" w:type="dxa"/>
          </w:tcPr>
          <w:p w14:paraId="09967047" w14:textId="77777777" w:rsidR="00FF4537" w:rsidRPr="009E5026" w:rsidRDefault="00FF4537" w:rsidP="002A447E">
            <w:pPr>
              <w:spacing w:line="480" w:lineRule="auto"/>
            </w:pPr>
            <w:r w:rsidRPr="009E5026">
              <w:t>Inconclusive</w:t>
            </w:r>
          </w:p>
        </w:tc>
        <w:tc>
          <w:tcPr>
            <w:tcW w:w="1330" w:type="dxa"/>
          </w:tcPr>
          <w:p w14:paraId="6B5DFAFA" w14:textId="77777777" w:rsidR="00FF4537" w:rsidRPr="009E5026" w:rsidRDefault="00FF4537" w:rsidP="002A447E">
            <w:pPr>
              <w:spacing w:line="480" w:lineRule="auto"/>
            </w:pPr>
            <w:r w:rsidRPr="009E5026">
              <w:t>4</w:t>
            </w:r>
          </w:p>
        </w:tc>
        <w:tc>
          <w:tcPr>
            <w:tcW w:w="1283" w:type="dxa"/>
          </w:tcPr>
          <w:p w14:paraId="0F7248F3" w14:textId="77777777" w:rsidR="00FF4537" w:rsidRPr="009E5026" w:rsidRDefault="00FF4537" w:rsidP="002A447E">
            <w:pPr>
              <w:spacing w:line="480" w:lineRule="auto"/>
            </w:pPr>
            <w:r w:rsidRPr="009E5026">
              <w:t>19</w:t>
            </w:r>
          </w:p>
        </w:tc>
        <w:tc>
          <w:tcPr>
            <w:tcW w:w="1193" w:type="dxa"/>
          </w:tcPr>
          <w:p w14:paraId="2E655D22" w14:textId="77777777" w:rsidR="00FF4537" w:rsidRPr="009E5026" w:rsidRDefault="00FF4537" w:rsidP="002A447E">
            <w:pPr>
              <w:spacing w:line="480" w:lineRule="auto"/>
            </w:pPr>
            <w:r w:rsidRPr="009E5026">
              <w:t>8</w:t>
            </w:r>
          </w:p>
        </w:tc>
        <w:tc>
          <w:tcPr>
            <w:tcW w:w="1521" w:type="dxa"/>
          </w:tcPr>
          <w:p w14:paraId="01B2A671" w14:textId="77777777" w:rsidR="00FF4537" w:rsidRPr="009E5026" w:rsidRDefault="00FF4537" w:rsidP="002A447E">
            <w:pPr>
              <w:spacing w:line="480" w:lineRule="auto"/>
            </w:pPr>
            <w:r w:rsidRPr="009E5026">
              <w:t>54</w:t>
            </w:r>
          </w:p>
        </w:tc>
        <w:tc>
          <w:tcPr>
            <w:tcW w:w="1051" w:type="dxa"/>
          </w:tcPr>
          <w:p w14:paraId="3DA7DC4C" w14:textId="77777777" w:rsidR="00FF4537" w:rsidRPr="009E5026" w:rsidRDefault="00FF4537" w:rsidP="002A447E">
            <w:pPr>
              <w:spacing w:line="480" w:lineRule="auto"/>
            </w:pPr>
            <w:r w:rsidRPr="009E5026">
              <w:t>85</w:t>
            </w:r>
          </w:p>
        </w:tc>
      </w:tr>
      <w:tr w:rsidR="00FF4537" w:rsidRPr="009E5026" w14:paraId="722025EF" w14:textId="77777777" w:rsidTr="002A447E">
        <w:tc>
          <w:tcPr>
            <w:tcW w:w="1117" w:type="dxa"/>
          </w:tcPr>
          <w:p w14:paraId="04B97A66" w14:textId="77777777" w:rsidR="00FF4537" w:rsidRPr="009E5026" w:rsidRDefault="00FF4537" w:rsidP="002A447E">
            <w:pPr>
              <w:spacing w:line="480" w:lineRule="auto"/>
            </w:pPr>
          </w:p>
        </w:tc>
        <w:tc>
          <w:tcPr>
            <w:tcW w:w="1521" w:type="dxa"/>
          </w:tcPr>
          <w:p w14:paraId="5F6818B6" w14:textId="77777777" w:rsidR="00FF4537" w:rsidRPr="009E5026" w:rsidRDefault="00FF4537" w:rsidP="002A447E">
            <w:pPr>
              <w:spacing w:line="480" w:lineRule="auto"/>
            </w:pPr>
            <w:r w:rsidRPr="009E5026">
              <w:t xml:space="preserve">Total </w:t>
            </w:r>
          </w:p>
          <w:p w14:paraId="5A9947EF" w14:textId="261A70DA" w:rsidR="00FF4537" w:rsidRPr="009E5026" w:rsidRDefault="00FF4537" w:rsidP="002A447E">
            <w:pPr>
              <w:spacing w:line="480" w:lineRule="auto"/>
            </w:pPr>
            <w:r w:rsidRPr="009E5026">
              <w:t>(n samples)</w:t>
            </w:r>
          </w:p>
        </w:tc>
        <w:tc>
          <w:tcPr>
            <w:tcW w:w="1330" w:type="dxa"/>
          </w:tcPr>
          <w:p w14:paraId="66F85B2F" w14:textId="77777777" w:rsidR="00FF4537" w:rsidRPr="009E5026" w:rsidRDefault="00FF4537" w:rsidP="002A447E">
            <w:pPr>
              <w:spacing w:line="480" w:lineRule="auto"/>
            </w:pPr>
            <w:r w:rsidRPr="009E5026">
              <w:t xml:space="preserve">108 </w:t>
            </w:r>
          </w:p>
          <w:p w14:paraId="45699475" w14:textId="5FA563F3" w:rsidR="00FF4537" w:rsidRPr="009E5026" w:rsidRDefault="00FF4537" w:rsidP="002A447E">
            <w:pPr>
              <w:spacing w:line="480" w:lineRule="auto"/>
            </w:pPr>
            <w:r w:rsidRPr="009E5026">
              <w:t>(n=36)</w:t>
            </w:r>
          </w:p>
        </w:tc>
        <w:tc>
          <w:tcPr>
            <w:tcW w:w="1283" w:type="dxa"/>
          </w:tcPr>
          <w:p w14:paraId="657DCB19" w14:textId="77777777" w:rsidR="00FF4537" w:rsidRPr="009E5026" w:rsidRDefault="00FF4537" w:rsidP="002A447E">
            <w:pPr>
              <w:spacing w:line="480" w:lineRule="auto"/>
            </w:pPr>
            <w:r w:rsidRPr="009E5026">
              <w:t xml:space="preserve">78 </w:t>
            </w:r>
          </w:p>
          <w:p w14:paraId="7E713746" w14:textId="4C90AE5C" w:rsidR="00FF4537" w:rsidRPr="009E5026" w:rsidRDefault="00FF4537" w:rsidP="002A447E">
            <w:pPr>
              <w:spacing w:line="480" w:lineRule="auto"/>
            </w:pPr>
            <w:r w:rsidRPr="009E5026">
              <w:t>(n=26)</w:t>
            </w:r>
          </w:p>
        </w:tc>
        <w:tc>
          <w:tcPr>
            <w:tcW w:w="1193" w:type="dxa"/>
          </w:tcPr>
          <w:p w14:paraId="77A05EA9" w14:textId="77777777" w:rsidR="00FF4537" w:rsidRPr="009E5026" w:rsidRDefault="00FF4537" w:rsidP="002A447E">
            <w:pPr>
              <w:spacing w:line="480" w:lineRule="auto"/>
            </w:pPr>
            <w:r w:rsidRPr="009E5026">
              <w:t xml:space="preserve">48 </w:t>
            </w:r>
          </w:p>
          <w:p w14:paraId="58627269" w14:textId="4EB7AE23" w:rsidR="00FF4537" w:rsidRPr="009E5026" w:rsidRDefault="00FF4537" w:rsidP="002A447E">
            <w:pPr>
              <w:spacing w:line="480" w:lineRule="auto"/>
            </w:pPr>
            <w:r w:rsidRPr="009E5026">
              <w:t>(n=16)</w:t>
            </w:r>
          </w:p>
        </w:tc>
        <w:tc>
          <w:tcPr>
            <w:tcW w:w="1521" w:type="dxa"/>
          </w:tcPr>
          <w:p w14:paraId="62670ADA" w14:textId="77777777" w:rsidR="00FF4537" w:rsidRPr="009E5026" w:rsidRDefault="00FF4537" w:rsidP="002A447E">
            <w:pPr>
              <w:spacing w:line="480" w:lineRule="auto"/>
            </w:pPr>
            <w:r w:rsidRPr="009E5026">
              <w:t xml:space="preserve">126 </w:t>
            </w:r>
          </w:p>
          <w:p w14:paraId="53CC1B42" w14:textId="51165FD3" w:rsidR="00FF4537" w:rsidRPr="009E5026" w:rsidRDefault="00FF4537" w:rsidP="002A447E">
            <w:pPr>
              <w:spacing w:line="480" w:lineRule="auto"/>
            </w:pPr>
            <w:r w:rsidRPr="009E5026">
              <w:t>(n=42)</w:t>
            </w:r>
          </w:p>
        </w:tc>
        <w:tc>
          <w:tcPr>
            <w:tcW w:w="1051" w:type="dxa"/>
          </w:tcPr>
          <w:p w14:paraId="583E8925" w14:textId="77777777" w:rsidR="00FF4537" w:rsidRPr="009E5026" w:rsidRDefault="00FF4537" w:rsidP="002A447E">
            <w:pPr>
              <w:spacing w:line="480" w:lineRule="auto"/>
            </w:pPr>
            <w:r w:rsidRPr="009E5026">
              <w:t>360 (n=120)</w:t>
            </w:r>
          </w:p>
        </w:tc>
      </w:tr>
    </w:tbl>
    <w:p w14:paraId="4336DD3D" w14:textId="58FE61D0" w:rsidR="00FF4537" w:rsidRPr="009E5026" w:rsidRDefault="00FF4537" w:rsidP="00774443"/>
    <w:p w14:paraId="5CD26D50" w14:textId="0B39DF63" w:rsidR="0013158B" w:rsidRPr="009E5026" w:rsidRDefault="0013158B" w:rsidP="0013158B">
      <w:pPr>
        <w:spacing w:line="480" w:lineRule="auto"/>
      </w:pPr>
      <w:r w:rsidRPr="009E5026">
        <w:rPr>
          <w:b/>
        </w:rPr>
        <w:t>Table 3.</w:t>
      </w:r>
      <w:r w:rsidRPr="009E5026">
        <w:t xml:space="preserve"> Aggregated diagnostic study outcomes by the three scientists compared to the original diagnostic decision made by the MDT (n=360 scientists’ outcomes from 120 patient samples). ‘Inconclusive’ outcomes were excluded from the accuracy analyses. Individual scientists results are shown in supplementary Table S3.</w:t>
      </w:r>
    </w:p>
    <w:tbl>
      <w:tblPr>
        <w:tblStyle w:val="TableGrid"/>
        <w:tblW w:w="0" w:type="auto"/>
        <w:tblLook w:val="04A0" w:firstRow="1" w:lastRow="0" w:firstColumn="1" w:lastColumn="0" w:noHBand="0" w:noVBand="1"/>
      </w:tblPr>
      <w:tblGrid>
        <w:gridCol w:w="1413"/>
        <w:gridCol w:w="1498"/>
        <w:gridCol w:w="1541"/>
        <w:gridCol w:w="1502"/>
        <w:gridCol w:w="1640"/>
        <w:gridCol w:w="1422"/>
      </w:tblGrid>
      <w:tr w:rsidR="0013158B" w:rsidRPr="009E5026" w14:paraId="1C4AC4A3" w14:textId="77777777" w:rsidTr="002A447E">
        <w:tc>
          <w:tcPr>
            <w:tcW w:w="2911" w:type="dxa"/>
            <w:gridSpan w:val="2"/>
            <w:vMerge w:val="restart"/>
          </w:tcPr>
          <w:p w14:paraId="41FAD2E4" w14:textId="77777777" w:rsidR="0013158B" w:rsidRPr="009E5026" w:rsidRDefault="0013158B" w:rsidP="002A447E">
            <w:pPr>
              <w:spacing w:line="480" w:lineRule="auto"/>
            </w:pPr>
          </w:p>
        </w:tc>
        <w:tc>
          <w:tcPr>
            <w:tcW w:w="6105" w:type="dxa"/>
            <w:gridSpan w:val="4"/>
          </w:tcPr>
          <w:p w14:paraId="4E793DF5" w14:textId="77777777" w:rsidR="0013158B" w:rsidRPr="009E5026" w:rsidRDefault="0013158B" w:rsidP="002A447E">
            <w:pPr>
              <w:spacing w:line="480" w:lineRule="auto"/>
              <w:jc w:val="center"/>
              <w:rPr>
                <w:b/>
              </w:rPr>
            </w:pPr>
            <w:r w:rsidRPr="009E5026">
              <w:rPr>
                <w:b/>
              </w:rPr>
              <w:t xml:space="preserve">Diagnostic outcomes based on the original expert MDT decision </w:t>
            </w:r>
          </w:p>
        </w:tc>
      </w:tr>
      <w:tr w:rsidR="0013158B" w:rsidRPr="009E5026" w14:paraId="124F14DD" w14:textId="77777777" w:rsidTr="002A447E">
        <w:tc>
          <w:tcPr>
            <w:tcW w:w="2911" w:type="dxa"/>
            <w:gridSpan w:val="2"/>
            <w:vMerge/>
          </w:tcPr>
          <w:p w14:paraId="7B665284" w14:textId="77777777" w:rsidR="0013158B" w:rsidRPr="009E5026" w:rsidRDefault="0013158B" w:rsidP="002A447E">
            <w:pPr>
              <w:spacing w:line="480" w:lineRule="auto"/>
              <w:rPr>
                <w:b/>
              </w:rPr>
            </w:pPr>
          </w:p>
        </w:tc>
        <w:tc>
          <w:tcPr>
            <w:tcW w:w="1541" w:type="dxa"/>
          </w:tcPr>
          <w:p w14:paraId="1F787FBA" w14:textId="77777777" w:rsidR="0013158B" w:rsidRPr="009E5026" w:rsidRDefault="0013158B" w:rsidP="002A447E">
            <w:pPr>
              <w:spacing w:line="480" w:lineRule="auto"/>
            </w:pPr>
            <w:r w:rsidRPr="009E5026">
              <w:t>PCD Positive*</w:t>
            </w:r>
          </w:p>
        </w:tc>
        <w:tc>
          <w:tcPr>
            <w:tcW w:w="1502" w:type="dxa"/>
          </w:tcPr>
          <w:p w14:paraId="6CC8BA17" w14:textId="77777777" w:rsidR="0013158B" w:rsidRPr="009E5026" w:rsidRDefault="0013158B" w:rsidP="002A447E">
            <w:pPr>
              <w:spacing w:line="480" w:lineRule="auto"/>
            </w:pPr>
            <w:r w:rsidRPr="009E5026">
              <w:t>PCD Highly unlikely</w:t>
            </w:r>
          </w:p>
        </w:tc>
        <w:tc>
          <w:tcPr>
            <w:tcW w:w="1640" w:type="dxa"/>
          </w:tcPr>
          <w:p w14:paraId="6B97F50C" w14:textId="77777777" w:rsidR="0013158B" w:rsidRPr="009E5026" w:rsidRDefault="0013158B" w:rsidP="002A447E">
            <w:pPr>
              <w:spacing w:line="480" w:lineRule="auto"/>
            </w:pPr>
            <w:r w:rsidRPr="009E5026">
              <w:t>Inconclusive</w:t>
            </w:r>
          </w:p>
        </w:tc>
        <w:tc>
          <w:tcPr>
            <w:tcW w:w="1422" w:type="dxa"/>
          </w:tcPr>
          <w:p w14:paraId="3FA0AE64" w14:textId="77777777" w:rsidR="0013158B" w:rsidRPr="009E5026" w:rsidRDefault="0013158B" w:rsidP="002A447E">
            <w:pPr>
              <w:spacing w:line="480" w:lineRule="auto"/>
            </w:pPr>
            <w:r w:rsidRPr="009E5026">
              <w:t>Total</w:t>
            </w:r>
          </w:p>
        </w:tc>
      </w:tr>
      <w:tr w:rsidR="0013158B" w:rsidRPr="009E5026" w14:paraId="32FB5E7A" w14:textId="77777777" w:rsidTr="006549F4">
        <w:tc>
          <w:tcPr>
            <w:tcW w:w="1413" w:type="dxa"/>
            <w:vMerge w:val="restart"/>
            <w:textDirection w:val="btLr"/>
          </w:tcPr>
          <w:p w14:paraId="7EE0104A" w14:textId="77777777" w:rsidR="0013158B" w:rsidRPr="009E5026" w:rsidRDefault="0013158B" w:rsidP="006549F4">
            <w:pPr>
              <w:spacing w:line="480" w:lineRule="auto"/>
              <w:ind w:left="113" w:right="113"/>
              <w:jc w:val="center"/>
            </w:pPr>
            <w:r w:rsidRPr="009E5026">
              <w:rPr>
                <w:b/>
              </w:rPr>
              <w:lastRenderedPageBreak/>
              <w:t>Study outcomes by HSVA scientists</w:t>
            </w:r>
          </w:p>
        </w:tc>
        <w:tc>
          <w:tcPr>
            <w:tcW w:w="1498" w:type="dxa"/>
          </w:tcPr>
          <w:p w14:paraId="74DDD4F3" w14:textId="77777777" w:rsidR="0013158B" w:rsidRPr="009E5026" w:rsidRDefault="0013158B" w:rsidP="002A447E">
            <w:pPr>
              <w:spacing w:line="480" w:lineRule="auto"/>
            </w:pPr>
            <w:r w:rsidRPr="009E5026">
              <w:t>Positive*</w:t>
            </w:r>
          </w:p>
        </w:tc>
        <w:tc>
          <w:tcPr>
            <w:tcW w:w="1541" w:type="dxa"/>
            <w:shd w:val="clear" w:color="auto" w:fill="BFBFBF" w:themeFill="background1" w:themeFillShade="BF"/>
          </w:tcPr>
          <w:p w14:paraId="7D3F6808" w14:textId="77777777" w:rsidR="0013158B" w:rsidRPr="009E5026" w:rsidRDefault="0013158B" w:rsidP="002A447E">
            <w:pPr>
              <w:spacing w:line="480" w:lineRule="auto"/>
            </w:pPr>
            <w:r w:rsidRPr="009E5026">
              <w:t>151</w:t>
            </w:r>
          </w:p>
        </w:tc>
        <w:tc>
          <w:tcPr>
            <w:tcW w:w="1502" w:type="dxa"/>
            <w:shd w:val="clear" w:color="auto" w:fill="BFBFBF" w:themeFill="background1" w:themeFillShade="BF"/>
          </w:tcPr>
          <w:p w14:paraId="0487018E" w14:textId="77777777" w:rsidR="0013158B" w:rsidRPr="009E5026" w:rsidRDefault="0013158B" w:rsidP="002A447E">
            <w:pPr>
              <w:spacing w:line="480" w:lineRule="auto"/>
            </w:pPr>
            <w:r w:rsidRPr="009E5026">
              <w:t>7</w:t>
            </w:r>
          </w:p>
        </w:tc>
        <w:tc>
          <w:tcPr>
            <w:tcW w:w="1640" w:type="dxa"/>
          </w:tcPr>
          <w:p w14:paraId="4A5367CC" w14:textId="77777777" w:rsidR="0013158B" w:rsidRPr="009E5026" w:rsidRDefault="0013158B" w:rsidP="002A447E">
            <w:pPr>
              <w:spacing w:line="480" w:lineRule="auto"/>
            </w:pPr>
            <w:r w:rsidRPr="009E5026">
              <w:t>18</w:t>
            </w:r>
          </w:p>
        </w:tc>
        <w:tc>
          <w:tcPr>
            <w:tcW w:w="1422" w:type="dxa"/>
          </w:tcPr>
          <w:p w14:paraId="7CC1D453" w14:textId="77777777" w:rsidR="0013158B" w:rsidRPr="009E5026" w:rsidRDefault="0013158B" w:rsidP="002A447E">
            <w:pPr>
              <w:spacing w:line="480" w:lineRule="auto"/>
            </w:pPr>
            <w:r w:rsidRPr="009E5026">
              <w:t>176</w:t>
            </w:r>
          </w:p>
        </w:tc>
      </w:tr>
      <w:tr w:rsidR="0013158B" w:rsidRPr="009E5026" w14:paraId="4C6DFF37" w14:textId="77777777" w:rsidTr="006549F4">
        <w:tc>
          <w:tcPr>
            <w:tcW w:w="1413" w:type="dxa"/>
            <w:vMerge/>
          </w:tcPr>
          <w:p w14:paraId="70643E91" w14:textId="77777777" w:rsidR="0013158B" w:rsidRPr="009E5026" w:rsidRDefault="0013158B" w:rsidP="002A447E">
            <w:pPr>
              <w:spacing w:line="480" w:lineRule="auto"/>
            </w:pPr>
          </w:p>
        </w:tc>
        <w:tc>
          <w:tcPr>
            <w:tcW w:w="1498" w:type="dxa"/>
          </w:tcPr>
          <w:p w14:paraId="50C12F1F" w14:textId="77777777" w:rsidR="0013158B" w:rsidRPr="009E5026" w:rsidRDefault="0013158B" w:rsidP="002A447E">
            <w:pPr>
              <w:spacing w:line="480" w:lineRule="auto"/>
            </w:pPr>
            <w:r w:rsidRPr="009E5026">
              <w:t>Highly unlikely</w:t>
            </w:r>
          </w:p>
        </w:tc>
        <w:tc>
          <w:tcPr>
            <w:tcW w:w="1541" w:type="dxa"/>
            <w:shd w:val="clear" w:color="auto" w:fill="BFBFBF" w:themeFill="background1" w:themeFillShade="BF"/>
          </w:tcPr>
          <w:p w14:paraId="1E398836" w14:textId="77777777" w:rsidR="0013158B" w:rsidRPr="009E5026" w:rsidRDefault="0013158B" w:rsidP="002A447E">
            <w:pPr>
              <w:spacing w:line="480" w:lineRule="auto"/>
            </w:pPr>
            <w:r w:rsidRPr="009E5026">
              <w:t>4</w:t>
            </w:r>
          </w:p>
        </w:tc>
        <w:tc>
          <w:tcPr>
            <w:tcW w:w="1502" w:type="dxa"/>
            <w:shd w:val="clear" w:color="auto" w:fill="BFBFBF" w:themeFill="background1" w:themeFillShade="BF"/>
          </w:tcPr>
          <w:p w14:paraId="202B5231" w14:textId="77777777" w:rsidR="0013158B" w:rsidRPr="009E5026" w:rsidRDefault="0013158B" w:rsidP="002A447E">
            <w:pPr>
              <w:spacing w:line="480" w:lineRule="auto"/>
            </w:pPr>
            <w:r w:rsidRPr="009E5026">
              <w:t>73</w:t>
            </w:r>
          </w:p>
        </w:tc>
        <w:tc>
          <w:tcPr>
            <w:tcW w:w="1640" w:type="dxa"/>
          </w:tcPr>
          <w:p w14:paraId="38FCDBB9" w14:textId="77777777" w:rsidR="0013158B" w:rsidRPr="009E5026" w:rsidRDefault="0013158B" w:rsidP="002A447E">
            <w:pPr>
              <w:spacing w:line="480" w:lineRule="auto"/>
            </w:pPr>
            <w:r w:rsidRPr="009E5026">
              <w:t>22</w:t>
            </w:r>
          </w:p>
        </w:tc>
        <w:tc>
          <w:tcPr>
            <w:tcW w:w="1422" w:type="dxa"/>
          </w:tcPr>
          <w:p w14:paraId="57860B57" w14:textId="77777777" w:rsidR="0013158B" w:rsidRPr="009E5026" w:rsidRDefault="0013158B" w:rsidP="002A447E">
            <w:pPr>
              <w:spacing w:line="480" w:lineRule="auto"/>
            </w:pPr>
            <w:r w:rsidRPr="009E5026">
              <w:t>99</w:t>
            </w:r>
          </w:p>
        </w:tc>
      </w:tr>
      <w:tr w:rsidR="0013158B" w:rsidRPr="009E5026" w14:paraId="1A58513B" w14:textId="77777777" w:rsidTr="006549F4">
        <w:tc>
          <w:tcPr>
            <w:tcW w:w="1413" w:type="dxa"/>
            <w:vMerge/>
          </w:tcPr>
          <w:p w14:paraId="32E4CF6D" w14:textId="77777777" w:rsidR="0013158B" w:rsidRPr="009E5026" w:rsidRDefault="0013158B" w:rsidP="002A447E">
            <w:pPr>
              <w:spacing w:line="480" w:lineRule="auto"/>
            </w:pPr>
          </w:p>
        </w:tc>
        <w:tc>
          <w:tcPr>
            <w:tcW w:w="1498" w:type="dxa"/>
          </w:tcPr>
          <w:p w14:paraId="0EF65866" w14:textId="77777777" w:rsidR="0013158B" w:rsidRPr="009E5026" w:rsidRDefault="0013158B" w:rsidP="002A447E">
            <w:pPr>
              <w:spacing w:line="480" w:lineRule="auto"/>
            </w:pPr>
            <w:r w:rsidRPr="009E5026">
              <w:t>Inconclusive</w:t>
            </w:r>
          </w:p>
        </w:tc>
        <w:tc>
          <w:tcPr>
            <w:tcW w:w="1541" w:type="dxa"/>
          </w:tcPr>
          <w:p w14:paraId="1BAA05B1" w14:textId="77777777" w:rsidR="0013158B" w:rsidRPr="009E5026" w:rsidRDefault="0013158B" w:rsidP="002A447E">
            <w:pPr>
              <w:spacing w:line="480" w:lineRule="auto"/>
            </w:pPr>
            <w:r w:rsidRPr="009E5026">
              <w:t>22</w:t>
            </w:r>
          </w:p>
        </w:tc>
        <w:tc>
          <w:tcPr>
            <w:tcW w:w="1502" w:type="dxa"/>
          </w:tcPr>
          <w:p w14:paraId="64A91976" w14:textId="77777777" w:rsidR="0013158B" w:rsidRPr="009E5026" w:rsidRDefault="0013158B" w:rsidP="002A447E">
            <w:pPr>
              <w:spacing w:line="480" w:lineRule="auto"/>
            </w:pPr>
            <w:r w:rsidRPr="009E5026">
              <w:t>28</w:t>
            </w:r>
          </w:p>
        </w:tc>
        <w:tc>
          <w:tcPr>
            <w:tcW w:w="1640" w:type="dxa"/>
          </w:tcPr>
          <w:p w14:paraId="4642AC9E" w14:textId="77777777" w:rsidR="0013158B" w:rsidRPr="009E5026" w:rsidRDefault="0013158B" w:rsidP="002A447E">
            <w:pPr>
              <w:spacing w:line="480" w:lineRule="auto"/>
            </w:pPr>
            <w:r w:rsidRPr="009E5026">
              <w:t>35</w:t>
            </w:r>
          </w:p>
        </w:tc>
        <w:tc>
          <w:tcPr>
            <w:tcW w:w="1422" w:type="dxa"/>
          </w:tcPr>
          <w:p w14:paraId="06E500B2" w14:textId="77777777" w:rsidR="0013158B" w:rsidRPr="009E5026" w:rsidRDefault="0013158B" w:rsidP="002A447E">
            <w:pPr>
              <w:spacing w:line="480" w:lineRule="auto"/>
            </w:pPr>
            <w:r w:rsidRPr="009E5026">
              <w:t>85</w:t>
            </w:r>
          </w:p>
        </w:tc>
      </w:tr>
      <w:tr w:rsidR="0013158B" w:rsidRPr="009E5026" w14:paraId="48F81C54" w14:textId="77777777" w:rsidTr="006549F4">
        <w:tc>
          <w:tcPr>
            <w:tcW w:w="1413" w:type="dxa"/>
          </w:tcPr>
          <w:p w14:paraId="4931107C" w14:textId="77777777" w:rsidR="0013158B" w:rsidRPr="009E5026" w:rsidRDefault="0013158B" w:rsidP="002A447E">
            <w:pPr>
              <w:spacing w:line="480" w:lineRule="auto"/>
            </w:pPr>
          </w:p>
        </w:tc>
        <w:tc>
          <w:tcPr>
            <w:tcW w:w="1498" w:type="dxa"/>
          </w:tcPr>
          <w:p w14:paraId="7A524CE5" w14:textId="77777777" w:rsidR="0013158B" w:rsidRPr="009E5026" w:rsidRDefault="0013158B" w:rsidP="002A447E">
            <w:pPr>
              <w:spacing w:line="480" w:lineRule="auto"/>
            </w:pPr>
            <w:r w:rsidRPr="009E5026">
              <w:t>Total (n samples)</w:t>
            </w:r>
          </w:p>
        </w:tc>
        <w:tc>
          <w:tcPr>
            <w:tcW w:w="1541" w:type="dxa"/>
          </w:tcPr>
          <w:p w14:paraId="425CE3F4" w14:textId="77777777" w:rsidR="0013158B" w:rsidRPr="009E5026" w:rsidRDefault="0013158B" w:rsidP="002A447E">
            <w:pPr>
              <w:spacing w:line="480" w:lineRule="auto"/>
            </w:pPr>
            <w:r w:rsidRPr="009E5026">
              <w:t>177 (n=59)</w:t>
            </w:r>
          </w:p>
        </w:tc>
        <w:tc>
          <w:tcPr>
            <w:tcW w:w="1502" w:type="dxa"/>
          </w:tcPr>
          <w:p w14:paraId="00A1DDBD" w14:textId="77777777" w:rsidR="0013158B" w:rsidRPr="009E5026" w:rsidRDefault="0013158B" w:rsidP="002A447E">
            <w:pPr>
              <w:spacing w:line="480" w:lineRule="auto"/>
            </w:pPr>
            <w:r w:rsidRPr="009E5026">
              <w:t>108 (n=36)</w:t>
            </w:r>
          </w:p>
        </w:tc>
        <w:tc>
          <w:tcPr>
            <w:tcW w:w="1640" w:type="dxa"/>
          </w:tcPr>
          <w:p w14:paraId="5CC443D2" w14:textId="77777777" w:rsidR="0013158B" w:rsidRPr="009E5026" w:rsidRDefault="0013158B" w:rsidP="002A447E">
            <w:pPr>
              <w:spacing w:line="480" w:lineRule="auto"/>
            </w:pPr>
            <w:r w:rsidRPr="009E5026">
              <w:t>75 (n=25)</w:t>
            </w:r>
          </w:p>
        </w:tc>
        <w:tc>
          <w:tcPr>
            <w:tcW w:w="1422" w:type="dxa"/>
          </w:tcPr>
          <w:p w14:paraId="706AB6EA" w14:textId="77777777" w:rsidR="0013158B" w:rsidRPr="009E5026" w:rsidRDefault="0013158B" w:rsidP="002A447E">
            <w:pPr>
              <w:spacing w:line="480" w:lineRule="auto"/>
            </w:pPr>
            <w:r w:rsidRPr="009E5026">
              <w:t>360 (n=120)</w:t>
            </w:r>
          </w:p>
        </w:tc>
      </w:tr>
    </w:tbl>
    <w:p w14:paraId="70BC720D" w14:textId="529C1B3F" w:rsidR="0028613C" w:rsidRPr="009E5026" w:rsidRDefault="0028613C" w:rsidP="0013158B">
      <w:pPr>
        <w:spacing w:line="480" w:lineRule="auto"/>
      </w:pPr>
    </w:p>
    <w:p w14:paraId="1CF11B00" w14:textId="77777777" w:rsidR="00BC6B23" w:rsidRPr="009E5026" w:rsidRDefault="00BC6B23" w:rsidP="0028613C">
      <w:pPr>
        <w:spacing w:line="480" w:lineRule="auto"/>
        <w:rPr>
          <w:b/>
          <w:bCs/>
        </w:rPr>
        <w:sectPr w:rsidR="00BC6B23" w:rsidRPr="009E5026">
          <w:pgSz w:w="11906" w:h="16838"/>
          <w:pgMar w:top="1440" w:right="1440" w:bottom="1440" w:left="1440" w:header="708" w:footer="708" w:gutter="0"/>
          <w:cols w:space="708"/>
          <w:docGrid w:linePitch="360"/>
        </w:sectPr>
      </w:pPr>
    </w:p>
    <w:p w14:paraId="16FD2E54" w14:textId="2863EFBE" w:rsidR="0028613C" w:rsidRPr="009E5026" w:rsidRDefault="00D526DD" w:rsidP="0028613C">
      <w:pPr>
        <w:spacing w:line="480" w:lineRule="auto"/>
      </w:pPr>
      <w:r w:rsidRPr="009E5026">
        <w:rPr>
          <w:b/>
          <w:bCs/>
        </w:rPr>
        <w:lastRenderedPageBreak/>
        <w:t>Supplementary t</w:t>
      </w:r>
      <w:r w:rsidR="0028613C" w:rsidRPr="009E5026">
        <w:rPr>
          <w:b/>
          <w:bCs/>
        </w:rPr>
        <w:t xml:space="preserve">able </w:t>
      </w:r>
      <w:r w:rsidRPr="009E5026">
        <w:rPr>
          <w:b/>
          <w:bCs/>
        </w:rPr>
        <w:t>S</w:t>
      </w:r>
      <w:r w:rsidR="0028613C" w:rsidRPr="009E5026">
        <w:rPr>
          <w:b/>
          <w:bCs/>
        </w:rPr>
        <w:t>1</w:t>
      </w:r>
      <w:r w:rsidR="0028613C" w:rsidRPr="009E5026">
        <w:rPr>
          <w:b/>
        </w:rPr>
        <w:t>.</w:t>
      </w:r>
      <w:r w:rsidR="0028613C" w:rsidRPr="009E5026">
        <w:t xml:space="preserve"> Equipment used at the PCD centr</w:t>
      </w:r>
      <w:r w:rsidR="00366D0C" w:rsidRPr="009E5026">
        <w:t>e</w:t>
      </w:r>
      <w:r w:rsidR="0028613C" w:rsidRPr="009E5026">
        <w:t>s for high-speed video microscopy, nasal nitric oxide analysis and electron microscopy.</w:t>
      </w:r>
    </w:p>
    <w:tbl>
      <w:tblPr>
        <w:tblStyle w:val="TableGrid"/>
        <w:tblpPr w:leftFromText="180" w:rightFromText="180" w:vertAnchor="text" w:horzAnchor="margin" w:tblpY="268"/>
        <w:tblW w:w="0" w:type="auto"/>
        <w:tblLook w:val="04A0" w:firstRow="1" w:lastRow="0" w:firstColumn="1" w:lastColumn="0" w:noHBand="0" w:noVBand="1"/>
      </w:tblPr>
      <w:tblGrid>
        <w:gridCol w:w="1696"/>
        <w:gridCol w:w="2436"/>
        <w:gridCol w:w="2436"/>
        <w:gridCol w:w="2437"/>
      </w:tblGrid>
      <w:tr w:rsidR="0028613C" w:rsidRPr="009E5026" w14:paraId="139CB47D" w14:textId="77777777" w:rsidTr="0028613C">
        <w:tc>
          <w:tcPr>
            <w:tcW w:w="1696" w:type="dxa"/>
            <w:hideMark/>
          </w:tcPr>
          <w:p w14:paraId="09E70CCF" w14:textId="77777777" w:rsidR="0028613C" w:rsidRPr="009E5026" w:rsidRDefault="0028613C" w:rsidP="002A447E">
            <w:pPr>
              <w:spacing w:line="480" w:lineRule="auto"/>
            </w:pPr>
          </w:p>
        </w:tc>
        <w:tc>
          <w:tcPr>
            <w:tcW w:w="2436" w:type="dxa"/>
          </w:tcPr>
          <w:p w14:paraId="467608C1" w14:textId="77777777" w:rsidR="0028613C" w:rsidRPr="009E5026" w:rsidRDefault="0028613C" w:rsidP="00AE0F66">
            <w:pPr>
              <w:spacing w:line="480" w:lineRule="auto"/>
            </w:pPr>
            <w:r w:rsidRPr="009E5026">
              <w:t>University Hospital Southampton</w:t>
            </w:r>
          </w:p>
        </w:tc>
        <w:tc>
          <w:tcPr>
            <w:tcW w:w="2436" w:type="dxa"/>
          </w:tcPr>
          <w:p w14:paraId="1D5DE23A" w14:textId="77777777" w:rsidR="0028613C" w:rsidRPr="009E5026" w:rsidRDefault="0028613C" w:rsidP="00AE0F66">
            <w:pPr>
              <w:spacing w:line="480" w:lineRule="auto"/>
            </w:pPr>
            <w:r w:rsidRPr="009E5026">
              <w:t>Leicester Royal Infirmary</w:t>
            </w:r>
          </w:p>
        </w:tc>
        <w:tc>
          <w:tcPr>
            <w:tcW w:w="2437" w:type="dxa"/>
          </w:tcPr>
          <w:p w14:paraId="1C2A08B4" w14:textId="77777777" w:rsidR="0028613C" w:rsidRPr="009E5026" w:rsidRDefault="0028613C" w:rsidP="00AE0F66">
            <w:pPr>
              <w:spacing w:line="480" w:lineRule="auto"/>
            </w:pPr>
            <w:r w:rsidRPr="009E5026">
              <w:t>Royal Brompton London</w:t>
            </w:r>
          </w:p>
        </w:tc>
      </w:tr>
      <w:tr w:rsidR="0028613C" w:rsidRPr="009E5026" w14:paraId="566182F0" w14:textId="77777777" w:rsidTr="0028613C">
        <w:tc>
          <w:tcPr>
            <w:tcW w:w="1696" w:type="dxa"/>
            <w:hideMark/>
          </w:tcPr>
          <w:p w14:paraId="7DC4E3BE" w14:textId="77777777" w:rsidR="0028613C" w:rsidRPr="009E5026" w:rsidRDefault="0028613C" w:rsidP="002A447E">
            <w:pPr>
              <w:spacing w:line="480" w:lineRule="auto"/>
            </w:pPr>
            <w:r w:rsidRPr="009E5026">
              <w:t>Specimen slide</w:t>
            </w:r>
          </w:p>
        </w:tc>
        <w:tc>
          <w:tcPr>
            <w:tcW w:w="2436" w:type="dxa"/>
            <w:hideMark/>
          </w:tcPr>
          <w:p w14:paraId="0561E30B" w14:textId="77777777" w:rsidR="0028613C" w:rsidRPr="009E5026" w:rsidRDefault="0028613C" w:rsidP="002A447E">
            <w:pPr>
              <w:spacing w:line="480" w:lineRule="auto"/>
            </w:pPr>
            <w:r w:rsidRPr="009E5026">
              <w:t>0.5 mm coverwell imaging chamber (Sigma-Aldrich, Poole, UK) mounted onto a glass slide</w:t>
            </w:r>
          </w:p>
        </w:tc>
        <w:tc>
          <w:tcPr>
            <w:tcW w:w="2436" w:type="dxa"/>
            <w:hideMark/>
          </w:tcPr>
          <w:p w14:paraId="174FC995" w14:textId="77777777" w:rsidR="0028613C" w:rsidRPr="009E5026" w:rsidRDefault="0028613C" w:rsidP="002A447E">
            <w:pPr>
              <w:spacing w:line="480" w:lineRule="auto"/>
            </w:pPr>
            <w:r w:rsidRPr="009E5026">
              <w:t>Chamber created by the separation of a coverslip and a glass slide by two adjacent coverslips</w:t>
            </w:r>
          </w:p>
        </w:tc>
        <w:tc>
          <w:tcPr>
            <w:tcW w:w="2437" w:type="dxa"/>
          </w:tcPr>
          <w:p w14:paraId="6AF50F86" w14:textId="77777777" w:rsidR="0028613C" w:rsidRPr="009E5026" w:rsidRDefault="0028613C" w:rsidP="002A447E">
            <w:pPr>
              <w:spacing w:after="160" w:line="480" w:lineRule="auto"/>
            </w:pPr>
            <w:r w:rsidRPr="009E5026">
              <w:t>0.5 mm coverwell imaging chamber (Sigma-Aldrich, Poole, UK) mounted onto a glass slide</w:t>
            </w:r>
          </w:p>
        </w:tc>
      </w:tr>
      <w:tr w:rsidR="0028613C" w:rsidRPr="009E5026" w14:paraId="0F5050C7" w14:textId="77777777" w:rsidTr="0028613C">
        <w:tc>
          <w:tcPr>
            <w:tcW w:w="1696" w:type="dxa"/>
            <w:hideMark/>
          </w:tcPr>
          <w:p w14:paraId="75E90362" w14:textId="77777777" w:rsidR="0028613C" w:rsidRPr="009E5026" w:rsidRDefault="0028613C" w:rsidP="002A447E">
            <w:pPr>
              <w:spacing w:line="480" w:lineRule="auto"/>
            </w:pPr>
            <w:r w:rsidRPr="009E5026">
              <w:t>Microscopy</w:t>
            </w:r>
          </w:p>
        </w:tc>
        <w:tc>
          <w:tcPr>
            <w:tcW w:w="2436" w:type="dxa"/>
            <w:hideMark/>
          </w:tcPr>
          <w:p w14:paraId="0733AA69" w14:textId="77777777" w:rsidR="0028613C" w:rsidRPr="009E5026" w:rsidRDefault="0028613C" w:rsidP="002A447E">
            <w:pPr>
              <w:spacing w:line="480" w:lineRule="auto"/>
            </w:pPr>
            <w:r w:rsidRPr="009E5026">
              <w:t xml:space="preserve">Olympus IX71 inverted microscope and condenser. Specimen inverted onto an x100 UPlan wide aperture oil objective. </w:t>
            </w:r>
          </w:p>
        </w:tc>
        <w:tc>
          <w:tcPr>
            <w:tcW w:w="2436" w:type="dxa"/>
            <w:hideMark/>
          </w:tcPr>
          <w:p w14:paraId="641D2F85" w14:textId="77777777" w:rsidR="0028613C" w:rsidRPr="009E5026" w:rsidRDefault="0028613C" w:rsidP="002A447E">
            <w:pPr>
              <w:spacing w:line="480" w:lineRule="auto"/>
            </w:pPr>
            <w:r w:rsidRPr="009E5026">
              <w:t>Leitz Diaplan upright microscope with x100 interference contrast plan apochromat objective lens.</w:t>
            </w:r>
          </w:p>
        </w:tc>
        <w:tc>
          <w:tcPr>
            <w:tcW w:w="2437" w:type="dxa"/>
          </w:tcPr>
          <w:p w14:paraId="4EB4F60E" w14:textId="77777777" w:rsidR="0028613C" w:rsidRPr="009E5026" w:rsidRDefault="0028613C" w:rsidP="002A447E">
            <w:pPr>
              <w:spacing w:after="160" w:line="480" w:lineRule="auto"/>
            </w:pPr>
            <w:r w:rsidRPr="009E5026">
              <w:t>Leica DM-LB upright microscope with x100 oil plan  objective lens</w:t>
            </w:r>
          </w:p>
        </w:tc>
      </w:tr>
      <w:tr w:rsidR="0028613C" w:rsidRPr="009E5026" w14:paraId="236E669B" w14:textId="77777777" w:rsidTr="0028613C">
        <w:tc>
          <w:tcPr>
            <w:tcW w:w="1696" w:type="dxa"/>
            <w:hideMark/>
          </w:tcPr>
          <w:p w14:paraId="1737A608" w14:textId="77777777" w:rsidR="0028613C" w:rsidRPr="009E5026" w:rsidRDefault="0028613C" w:rsidP="002A447E">
            <w:pPr>
              <w:spacing w:line="480" w:lineRule="auto"/>
            </w:pPr>
            <w:r w:rsidRPr="009E5026">
              <w:t>Environmental control</w:t>
            </w:r>
          </w:p>
        </w:tc>
        <w:tc>
          <w:tcPr>
            <w:tcW w:w="2436" w:type="dxa"/>
            <w:hideMark/>
          </w:tcPr>
          <w:p w14:paraId="4CE93C2D" w14:textId="77777777" w:rsidR="0028613C" w:rsidRPr="009E5026" w:rsidRDefault="0028613C" w:rsidP="002A447E">
            <w:pPr>
              <w:spacing w:line="480" w:lineRule="auto"/>
            </w:pPr>
            <w:r w:rsidRPr="009E5026">
              <w:t>37</w:t>
            </w:r>
            <w:r w:rsidRPr="009E5026">
              <w:rPr>
                <w:vertAlign w:val="superscript"/>
              </w:rPr>
              <w:t>o</w:t>
            </w:r>
            <w:r w:rsidRPr="009E5026">
              <w:t>C heated environmental chamber (Solent Scientific, Southampton, UK).</w:t>
            </w:r>
          </w:p>
        </w:tc>
        <w:tc>
          <w:tcPr>
            <w:tcW w:w="2436" w:type="dxa"/>
            <w:hideMark/>
          </w:tcPr>
          <w:p w14:paraId="2AB657D3" w14:textId="77777777" w:rsidR="0028613C" w:rsidRPr="009E5026" w:rsidRDefault="0028613C" w:rsidP="002A447E">
            <w:pPr>
              <w:spacing w:line="480" w:lineRule="auto"/>
            </w:pPr>
            <w:r w:rsidRPr="009E5026">
              <w:t>37</w:t>
            </w:r>
            <w:r w:rsidRPr="009E5026">
              <w:rPr>
                <w:vertAlign w:val="superscript"/>
              </w:rPr>
              <w:t>o</w:t>
            </w:r>
            <w:r w:rsidRPr="009E5026">
              <w:t>C heated stage; anti-vibration table (Wentworth Laboratories Ltd, Sandy, UK).</w:t>
            </w:r>
          </w:p>
        </w:tc>
        <w:tc>
          <w:tcPr>
            <w:tcW w:w="2437" w:type="dxa"/>
          </w:tcPr>
          <w:p w14:paraId="30540C73" w14:textId="77777777" w:rsidR="0028613C" w:rsidRPr="009E5026" w:rsidRDefault="0028613C" w:rsidP="002A447E">
            <w:pPr>
              <w:spacing w:after="160" w:line="480" w:lineRule="auto"/>
            </w:pPr>
            <w:r w:rsidRPr="009E5026">
              <w:t>37</w:t>
            </w:r>
            <w:r w:rsidRPr="009E5026">
              <w:rPr>
                <w:vertAlign w:val="superscript"/>
              </w:rPr>
              <w:t>o</w:t>
            </w:r>
            <w:r w:rsidRPr="009E5026">
              <w:t>C heated stage; anti-vibration table (Wentworth Laboratories Ltd, Sandy, UK).</w:t>
            </w:r>
          </w:p>
        </w:tc>
      </w:tr>
      <w:tr w:rsidR="0028613C" w:rsidRPr="009E5026" w14:paraId="0AB6C109" w14:textId="77777777" w:rsidTr="0028613C">
        <w:tc>
          <w:tcPr>
            <w:tcW w:w="1696" w:type="dxa"/>
            <w:hideMark/>
          </w:tcPr>
          <w:p w14:paraId="5D62FF14" w14:textId="0AA86AF7" w:rsidR="0028613C" w:rsidRPr="009E5026" w:rsidRDefault="0028613C" w:rsidP="002A447E">
            <w:pPr>
              <w:spacing w:line="480" w:lineRule="auto"/>
            </w:pPr>
            <w:r w:rsidRPr="009E5026">
              <w:t>High-speed video imaging and analysis</w:t>
            </w:r>
          </w:p>
        </w:tc>
        <w:tc>
          <w:tcPr>
            <w:tcW w:w="2436" w:type="dxa"/>
            <w:hideMark/>
          </w:tcPr>
          <w:p w14:paraId="39E09A00" w14:textId="77777777" w:rsidR="0028613C" w:rsidRPr="009E5026" w:rsidRDefault="0028613C" w:rsidP="002A447E">
            <w:pPr>
              <w:spacing w:line="480" w:lineRule="auto"/>
            </w:pPr>
            <w:r w:rsidRPr="009E5026">
              <w:t>Photron FASTCAM MC2 high-speed video digital camera and Photron software.</w:t>
            </w:r>
          </w:p>
        </w:tc>
        <w:tc>
          <w:tcPr>
            <w:tcW w:w="2436" w:type="dxa"/>
            <w:hideMark/>
          </w:tcPr>
          <w:p w14:paraId="7880D5E0" w14:textId="342BC683" w:rsidR="0028613C" w:rsidRPr="009E5026" w:rsidRDefault="0028613C" w:rsidP="002A447E">
            <w:pPr>
              <w:spacing w:line="480" w:lineRule="auto"/>
            </w:pPr>
            <w:r w:rsidRPr="009E5026">
              <w:t>IDT X4 high speed camera. AVI images analy</w:t>
            </w:r>
            <w:r w:rsidR="00610681" w:rsidRPr="009E5026">
              <w:t>s</w:t>
            </w:r>
            <w:r w:rsidRPr="009E5026">
              <w:t xml:space="preserve">ed using </w:t>
            </w:r>
            <w:r w:rsidRPr="009E5026">
              <w:lastRenderedPageBreak/>
              <w:t>MotionPro software, IDT.</w:t>
            </w:r>
          </w:p>
        </w:tc>
        <w:tc>
          <w:tcPr>
            <w:tcW w:w="2437" w:type="dxa"/>
          </w:tcPr>
          <w:p w14:paraId="0199F774" w14:textId="77777777" w:rsidR="0028613C" w:rsidRPr="009E5026" w:rsidRDefault="0028613C" w:rsidP="002A447E">
            <w:pPr>
              <w:spacing w:after="160" w:line="480" w:lineRule="auto"/>
            </w:pPr>
            <w:r w:rsidRPr="009E5026">
              <w:lastRenderedPageBreak/>
              <w:t>Troubleshooter TS-5 Fastec imaging</w:t>
            </w:r>
          </w:p>
        </w:tc>
      </w:tr>
      <w:tr w:rsidR="0028613C" w:rsidRPr="009E5026" w14:paraId="5A5D69ED" w14:textId="77777777" w:rsidTr="0028613C">
        <w:tc>
          <w:tcPr>
            <w:tcW w:w="1696" w:type="dxa"/>
          </w:tcPr>
          <w:p w14:paraId="201829F9" w14:textId="6798CE7E" w:rsidR="0028613C" w:rsidRPr="009E5026" w:rsidRDefault="0028613C" w:rsidP="002A447E">
            <w:pPr>
              <w:spacing w:after="160" w:line="480" w:lineRule="auto"/>
            </w:pPr>
            <w:r w:rsidRPr="009E5026">
              <w:t>Nasal nitric oxide analysis</w:t>
            </w:r>
          </w:p>
        </w:tc>
        <w:tc>
          <w:tcPr>
            <w:tcW w:w="2436" w:type="dxa"/>
          </w:tcPr>
          <w:p w14:paraId="5A0F012C" w14:textId="77777777" w:rsidR="0028613C" w:rsidRPr="009E5026" w:rsidRDefault="0028613C" w:rsidP="002A447E">
            <w:pPr>
              <w:spacing w:after="160" w:line="480" w:lineRule="auto"/>
            </w:pPr>
            <w:r w:rsidRPr="009E5026">
              <w:t>Ecomedics CLD 88 Exhalyzer; exhalation against resistance; sampling 0.33 l/min</w:t>
            </w:r>
          </w:p>
        </w:tc>
        <w:tc>
          <w:tcPr>
            <w:tcW w:w="2436" w:type="dxa"/>
          </w:tcPr>
          <w:p w14:paraId="0CACD0AA" w14:textId="77777777" w:rsidR="0028613C" w:rsidRPr="009E5026" w:rsidRDefault="0028613C" w:rsidP="002A447E">
            <w:pPr>
              <w:spacing w:line="480" w:lineRule="auto"/>
              <w:rPr>
                <w:rFonts w:ascii="Calibri" w:hAnsi="Calibri" w:cs="Calibri"/>
                <w:color w:val="000000"/>
              </w:rPr>
            </w:pPr>
            <w:r w:rsidRPr="009E5026">
              <w:rPr>
                <w:rFonts w:ascii="Calibri" w:hAnsi="Calibri" w:cs="Calibri"/>
                <w:color w:val="000000"/>
              </w:rPr>
              <w:t>Sievers 280i Chemiluminescence; exhalation against resistance; sampling 0.</w:t>
            </w:r>
            <w:r w:rsidRPr="009E5026">
              <w:rPr>
                <w:rFonts w:eastAsia="Times New Roman"/>
              </w:rPr>
              <w:t>3 l/min</w:t>
            </w:r>
          </w:p>
        </w:tc>
        <w:tc>
          <w:tcPr>
            <w:tcW w:w="2437" w:type="dxa"/>
          </w:tcPr>
          <w:p w14:paraId="5CCDB31E" w14:textId="77777777" w:rsidR="0028613C" w:rsidRPr="009E5026" w:rsidRDefault="0028613C" w:rsidP="002A447E">
            <w:pPr>
              <w:spacing w:after="160" w:line="480" w:lineRule="auto"/>
            </w:pPr>
            <w:r w:rsidRPr="009E5026">
              <w:t>Logan LR5000 Chemiluminscence Analyser (Rochester Kent); breath hold sampling 0.25 l/min</w:t>
            </w:r>
          </w:p>
        </w:tc>
      </w:tr>
      <w:tr w:rsidR="0028613C" w:rsidRPr="009E5026" w14:paraId="1DE5EE41" w14:textId="77777777" w:rsidTr="0028613C">
        <w:tc>
          <w:tcPr>
            <w:tcW w:w="1696" w:type="dxa"/>
          </w:tcPr>
          <w:p w14:paraId="4CB595BE" w14:textId="311D8A14" w:rsidR="0028613C" w:rsidRPr="009E5026" w:rsidRDefault="0028613C" w:rsidP="002A447E">
            <w:pPr>
              <w:spacing w:after="160" w:line="480" w:lineRule="auto"/>
            </w:pPr>
            <w:r w:rsidRPr="009E5026">
              <w:t>Electron microscope</w:t>
            </w:r>
          </w:p>
        </w:tc>
        <w:tc>
          <w:tcPr>
            <w:tcW w:w="2436" w:type="dxa"/>
          </w:tcPr>
          <w:p w14:paraId="6D3E8265" w14:textId="77777777" w:rsidR="0028613C" w:rsidRPr="009E5026" w:rsidRDefault="0028613C" w:rsidP="002A447E">
            <w:pPr>
              <w:spacing w:after="160" w:line="480" w:lineRule="auto"/>
            </w:pPr>
            <w:r w:rsidRPr="009E5026">
              <w:t>60,000x magnification (minimum) by Hitachi H7000</w:t>
            </w:r>
          </w:p>
        </w:tc>
        <w:tc>
          <w:tcPr>
            <w:tcW w:w="2436" w:type="dxa"/>
          </w:tcPr>
          <w:p w14:paraId="121D5DDF" w14:textId="77777777" w:rsidR="0028613C" w:rsidRPr="009E5026" w:rsidRDefault="0028613C" w:rsidP="002A447E">
            <w:pPr>
              <w:spacing w:after="160" w:line="480" w:lineRule="auto"/>
            </w:pPr>
            <w:r w:rsidRPr="009E5026">
              <w:t>60,000x magnification by Joel 1200</w:t>
            </w:r>
          </w:p>
        </w:tc>
        <w:tc>
          <w:tcPr>
            <w:tcW w:w="2437" w:type="dxa"/>
          </w:tcPr>
          <w:p w14:paraId="0BA6ED2F" w14:textId="77777777" w:rsidR="0028613C" w:rsidRPr="009E5026" w:rsidRDefault="0028613C" w:rsidP="002A447E">
            <w:pPr>
              <w:spacing w:after="160" w:line="480" w:lineRule="auto"/>
            </w:pPr>
            <w:r w:rsidRPr="009E5026">
              <w:t>60,000x magnification (minimum) by  Hitachi H7000</w:t>
            </w:r>
          </w:p>
        </w:tc>
      </w:tr>
    </w:tbl>
    <w:p w14:paraId="18F206B6" w14:textId="77777777" w:rsidR="0028613C" w:rsidRPr="009E5026" w:rsidRDefault="0028613C" w:rsidP="0028613C">
      <w:pPr>
        <w:spacing w:line="480" w:lineRule="auto"/>
      </w:pPr>
    </w:p>
    <w:p w14:paraId="42E48629" w14:textId="71424886" w:rsidR="00BC6B23" w:rsidRPr="009E5026" w:rsidRDefault="00D526DD" w:rsidP="0028613C">
      <w:pPr>
        <w:spacing w:line="480" w:lineRule="auto"/>
      </w:pPr>
      <w:r w:rsidRPr="009E5026">
        <w:rPr>
          <w:b/>
        </w:rPr>
        <w:t>Supplementary t</w:t>
      </w:r>
      <w:r w:rsidR="0028613C" w:rsidRPr="009E5026">
        <w:rPr>
          <w:b/>
        </w:rPr>
        <w:t xml:space="preserve">able </w:t>
      </w:r>
      <w:r w:rsidRPr="009E5026">
        <w:rPr>
          <w:b/>
        </w:rPr>
        <w:t>S</w:t>
      </w:r>
      <w:r w:rsidR="0028613C" w:rsidRPr="009E5026">
        <w:rPr>
          <w:b/>
        </w:rPr>
        <w:t>2.</w:t>
      </w:r>
      <w:r w:rsidR="0028613C" w:rsidRPr="009E5026">
        <w:t xml:space="preserve"> Diagnostic outcomes decisions made by each of the three HSVA scientists (i.e. scientist 1-3, n=120 for each) compared to the ERS PCD diagnostic guidelines classification. </w:t>
      </w:r>
    </w:p>
    <w:tbl>
      <w:tblPr>
        <w:tblStyle w:val="TableGrid"/>
        <w:tblW w:w="0" w:type="auto"/>
        <w:tblLayout w:type="fixed"/>
        <w:tblLook w:val="04A0" w:firstRow="1" w:lastRow="0" w:firstColumn="1" w:lastColumn="0" w:noHBand="0" w:noVBand="1"/>
      </w:tblPr>
      <w:tblGrid>
        <w:gridCol w:w="1405"/>
        <w:gridCol w:w="1992"/>
        <w:gridCol w:w="1123"/>
        <w:gridCol w:w="1124"/>
        <w:gridCol w:w="1124"/>
        <w:gridCol w:w="1449"/>
        <w:gridCol w:w="799"/>
      </w:tblGrid>
      <w:tr w:rsidR="006B0E6A" w:rsidRPr="009E5026" w14:paraId="729CAD1A" w14:textId="77777777" w:rsidTr="006B0E6A">
        <w:tc>
          <w:tcPr>
            <w:tcW w:w="3397" w:type="dxa"/>
            <w:gridSpan w:val="2"/>
            <w:vMerge w:val="restart"/>
          </w:tcPr>
          <w:p w14:paraId="2C5C1953" w14:textId="77777777" w:rsidR="006B0E6A" w:rsidRPr="009E5026" w:rsidRDefault="006B0E6A" w:rsidP="002A447E">
            <w:pPr>
              <w:spacing w:line="480" w:lineRule="auto"/>
              <w:jc w:val="center"/>
              <w:rPr>
                <w:b/>
              </w:rPr>
            </w:pPr>
          </w:p>
        </w:tc>
        <w:tc>
          <w:tcPr>
            <w:tcW w:w="5619" w:type="dxa"/>
            <w:gridSpan w:val="5"/>
          </w:tcPr>
          <w:p w14:paraId="6C1812F8" w14:textId="6DFA09EF" w:rsidR="006B0E6A" w:rsidRPr="009E5026" w:rsidRDefault="006B0E6A" w:rsidP="002A447E">
            <w:pPr>
              <w:spacing w:line="480" w:lineRule="auto"/>
              <w:jc w:val="center"/>
            </w:pPr>
            <w:r w:rsidRPr="009E5026">
              <w:rPr>
                <w:b/>
              </w:rPr>
              <w:t>Outcomes based on the ERS guideline</w:t>
            </w:r>
          </w:p>
        </w:tc>
      </w:tr>
      <w:tr w:rsidR="006B0E6A" w:rsidRPr="009E5026" w14:paraId="12A96D75" w14:textId="77777777" w:rsidTr="006B0E6A">
        <w:tc>
          <w:tcPr>
            <w:tcW w:w="3397" w:type="dxa"/>
            <w:gridSpan w:val="2"/>
            <w:vMerge/>
          </w:tcPr>
          <w:p w14:paraId="2CBB166E" w14:textId="65FDEEFC" w:rsidR="006B0E6A" w:rsidRPr="009E5026" w:rsidRDefault="006B0E6A" w:rsidP="002A447E">
            <w:pPr>
              <w:spacing w:line="480" w:lineRule="auto"/>
            </w:pPr>
          </w:p>
        </w:tc>
        <w:tc>
          <w:tcPr>
            <w:tcW w:w="1123" w:type="dxa"/>
          </w:tcPr>
          <w:p w14:paraId="2A4962FD" w14:textId="64445699" w:rsidR="006B0E6A" w:rsidRPr="009E5026" w:rsidRDefault="006B0E6A" w:rsidP="002A447E">
            <w:pPr>
              <w:spacing w:line="480" w:lineRule="auto"/>
            </w:pPr>
            <w:r w:rsidRPr="009E5026">
              <w:t>PCD positive*</w:t>
            </w:r>
          </w:p>
        </w:tc>
        <w:tc>
          <w:tcPr>
            <w:tcW w:w="1124" w:type="dxa"/>
          </w:tcPr>
          <w:p w14:paraId="5C675774" w14:textId="77777777" w:rsidR="006B0E6A" w:rsidRPr="009E5026" w:rsidRDefault="006B0E6A" w:rsidP="002A447E">
            <w:pPr>
              <w:spacing w:line="480" w:lineRule="auto"/>
            </w:pPr>
            <w:r w:rsidRPr="009E5026">
              <w:t>PCD highly unlikely</w:t>
            </w:r>
          </w:p>
        </w:tc>
        <w:tc>
          <w:tcPr>
            <w:tcW w:w="1124" w:type="dxa"/>
          </w:tcPr>
          <w:p w14:paraId="0392EB4A" w14:textId="77777777" w:rsidR="006B0E6A" w:rsidRPr="009E5026" w:rsidRDefault="006B0E6A" w:rsidP="002A447E">
            <w:pPr>
              <w:spacing w:line="480" w:lineRule="auto"/>
            </w:pPr>
            <w:r w:rsidRPr="009E5026">
              <w:t>PCD highly likely</w:t>
            </w:r>
          </w:p>
        </w:tc>
        <w:tc>
          <w:tcPr>
            <w:tcW w:w="1449" w:type="dxa"/>
          </w:tcPr>
          <w:p w14:paraId="365929CF" w14:textId="77777777" w:rsidR="006B0E6A" w:rsidRPr="009E5026" w:rsidRDefault="006B0E6A" w:rsidP="002A447E">
            <w:pPr>
              <w:spacing w:line="480" w:lineRule="auto"/>
            </w:pPr>
            <w:r w:rsidRPr="009E5026">
              <w:t>Inconclusive</w:t>
            </w:r>
          </w:p>
        </w:tc>
        <w:tc>
          <w:tcPr>
            <w:tcW w:w="799" w:type="dxa"/>
          </w:tcPr>
          <w:p w14:paraId="15A5BF52" w14:textId="77777777" w:rsidR="006B0E6A" w:rsidRPr="009E5026" w:rsidRDefault="006B0E6A" w:rsidP="002A447E">
            <w:pPr>
              <w:spacing w:line="480" w:lineRule="auto"/>
            </w:pPr>
            <w:r w:rsidRPr="009E5026">
              <w:t>Total</w:t>
            </w:r>
          </w:p>
        </w:tc>
      </w:tr>
      <w:tr w:rsidR="006B0E6A" w:rsidRPr="009E5026" w14:paraId="2D6039A1" w14:textId="77777777" w:rsidTr="006B0E6A">
        <w:tc>
          <w:tcPr>
            <w:tcW w:w="1405" w:type="dxa"/>
            <w:vMerge w:val="restart"/>
            <w:textDirection w:val="btLr"/>
          </w:tcPr>
          <w:p w14:paraId="08D8CB9E" w14:textId="6E963048" w:rsidR="006B0E6A" w:rsidRPr="009E5026" w:rsidRDefault="006B0E6A" w:rsidP="006B0E6A">
            <w:pPr>
              <w:spacing w:line="480" w:lineRule="auto"/>
              <w:ind w:left="113" w:right="113"/>
              <w:jc w:val="center"/>
              <w:rPr>
                <w:b/>
              </w:rPr>
            </w:pPr>
            <w:r w:rsidRPr="009E5026">
              <w:rPr>
                <w:b/>
              </w:rPr>
              <w:t>Outcomes by scientist 1</w:t>
            </w:r>
          </w:p>
        </w:tc>
        <w:tc>
          <w:tcPr>
            <w:tcW w:w="1992" w:type="dxa"/>
            <w:shd w:val="clear" w:color="auto" w:fill="D0CECE" w:themeFill="background2" w:themeFillShade="E6"/>
          </w:tcPr>
          <w:p w14:paraId="77B06FD9" w14:textId="3728DD0E" w:rsidR="006B0E6A" w:rsidRPr="009E5026" w:rsidRDefault="006B0E6A" w:rsidP="002A447E">
            <w:pPr>
              <w:spacing w:line="480" w:lineRule="auto"/>
            </w:pPr>
            <w:r w:rsidRPr="009E5026">
              <w:t>PCD positive</w:t>
            </w:r>
          </w:p>
        </w:tc>
        <w:tc>
          <w:tcPr>
            <w:tcW w:w="1123" w:type="dxa"/>
            <w:shd w:val="clear" w:color="auto" w:fill="D0CECE" w:themeFill="background2" w:themeFillShade="E6"/>
          </w:tcPr>
          <w:p w14:paraId="00082307" w14:textId="2058548D" w:rsidR="006B0E6A" w:rsidRPr="009E5026" w:rsidRDefault="006B0E6A" w:rsidP="002A447E">
            <w:pPr>
              <w:spacing w:line="480" w:lineRule="auto"/>
            </w:pPr>
            <w:r w:rsidRPr="009E5026">
              <w:t>32</w:t>
            </w:r>
          </w:p>
        </w:tc>
        <w:tc>
          <w:tcPr>
            <w:tcW w:w="1124" w:type="dxa"/>
            <w:shd w:val="clear" w:color="auto" w:fill="D0CECE" w:themeFill="background2" w:themeFillShade="E6"/>
          </w:tcPr>
          <w:p w14:paraId="5334609D" w14:textId="77777777" w:rsidR="006B0E6A" w:rsidRPr="009E5026" w:rsidRDefault="006B0E6A" w:rsidP="002A447E">
            <w:pPr>
              <w:spacing w:line="480" w:lineRule="auto"/>
            </w:pPr>
            <w:r w:rsidRPr="009E5026">
              <w:t>0</w:t>
            </w:r>
          </w:p>
        </w:tc>
        <w:tc>
          <w:tcPr>
            <w:tcW w:w="1124" w:type="dxa"/>
          </w:tcPr>
          <w:p w14:paraId="1B6B5329" w14:textId="77777777" w:rsidR="006B0E6A" w:rsidRPr="009E5026" w:rsidRDefault="006B0E6A" w:rsidP="002A447E">
            <w:pPr>
              <w:spacing w:line="480" w:lineRule="auto"/>
            </w:pPr>
            <w:r w:rsidRPr="009E5026">
              <w:t>7</w:t>
            </w:r>
          </w:p>
        </w:tc>
        <w:tc>
          <w:tcPr>
            <w:tcW w:w="1449" w:type="dxa"/>
          </w:tcPr>
          <w:p w14:paraId="7F621120" w14:textId="77777777" w:rsidR="006B0E6A" w:rsidRPr="009E5026" w:rsidRDefault="006B0E6A" w:rsidP="002A447E">
            <w:pPr>
              <w:spacing w:line="480" w:lineRule="auto"/>
            </w:pPr>
            <w:r w:rsidRPr="009E5026">
              <w:t>4</w:t>
            </w:r>
          </w:p>
        </w:tc>
        <w:tc>
          <w:tcPr>
            <w:tcW w:w="799" w:type="dxa"/>
          </w:tcPr>
          <w:p w14:paraId="7037F288" w14:textId="77777777" w:rsidR="006B0E6A" w:rsidRPr="009E5026" w:rsidRDefault="006B0E6A" w:rsidP="002A447E">
            <w:pPr>
              <w:spacing w:line="480" w:lineRule="auto"/>
            </w:pPr>
            <w:r w:rsidRPr="009E5026">
              <w:t>43</w:t>
            </w:r>
          </w:p>
        </w:tc>
      </w:tr>
      <w:tr w:rsidR="006B0E6A" w:rsidRPr="009E5026" w14:paraId="308E27D0" w14:textId="77777777" w:rsidTr="006B0E6A">
        <w:tc>
          <w:tcPr>
            <w:tcW w:w="1405" w:type="dxa"/>
            <w:vMerge/>
          </w:tcPr>
          <w:p w14:paraId="5F8F9075" w14:textId="2B163168" w:rsidR="006B0E6A" w:rsidRPr="009E5026" w:rsidRDefault="006B0E6A" w:rsidP="002A447E">
            <w:pPr>
              <w:spacing w:line="480" w:lineRule="auto"/>
            </w:pPr>
          </w:p>
        </w:tc>
        <w:tc>
          <w:tcPr>
            <w:tcW w:w="1992" w:type="dxa"/>
            <w:shd w:val="clear" w:color="auto" w:fill="D0CECE" w:themeFill="background2" w:themeFillShade="E6"/>
          </w:tcPr>
          <w:p w14:paraId="485128B5" w14:textId="02A8BDCC" w:rsidR="006B0E6A" w:rsidRPr="009E5026" w:rsidRDefault="006B0E6A" w:rsidP="002A447E">
            <w:pPr>
              <w:spacing w:line="480" w:lineRule="auto"/>
            </w:pPr>
            <w:r w:rsidRPr="009E5026">
              <w:t>PCD highly unlikely</w:t>
            </w:r>
          </w:p>
        </w:tc>
        <w:tc>
          <w:tcPr>
            <w:tcW w:w="1123" w:type="dxa"/>
            <w:shd w:val="clear" w:color="auto" w:fill="D0CECE" w:themeFill="background2" w:themeFillShade="E6"/>
          </w:tcPr>
          <w:p w14:paraId="21A5B079" w14:textId="46BFD4BD" w:rsidR="006B0E6A" w:rsidRPr="009E5026" w:rsidRDefault="006B0E6A" w:rsidP="002A447E">
            <w:pPr>
              <w:spacing w:line="480" w:lineRule="auto"/>
            </w:pPr>
            <w:r w:rsidRPr="009E5026">
              <w:t>0</w:t>
            </w:r>
          </w:p>
        </w:tc>
        <w:tc>
          <w:tcPr>
            <w:tcW w:w="1124" w:type="dxa"/>
            <w:shd w:val="clear" w:color="auto" w:fill="D0CECE" w:themeFill="background2" w:themeFillShade="E6"/>
          </w:tcPr>
          <w:p w14:paraId="6C6FCEDF" w14:textId="77777777" w:rsidR="006B0E6A" w:rsidRPr="009E5026" w:rsidRDefault="006B0E6A" w:rsidP="002A447E">
            <w:pPr>
              <w:spacing w:line="480" w:lineRule="auto"/>
            </w:pPr>
            <w:r w:rsidRPr="009E5026">
              <w:t>21</w:t>
            </w:r>
          </w:p>
        </w:tc>
        <w:tc>
          <w:tcPr>
            <w:tcW w:w="1124" w:type="dxa"/>
          </w:tcPr>
          <w:p w14:paraId="186034B4" w14:textId="77777777" w:rsidR="006B0E6A" w:rsidRPr="009E5026" w:rsidRDefault="006B0E6A" w:rsidP="002A447E">
            <w:pPr>
              <w:spacing w:line="480" w:lineRule="auto"/>
            </w:pPr>
            <w:r w:rsidRPr="009E5026">
              <w:t>2</w:t>
            </w:r>
          </w:p>
        </w:tc>
        <w:tc>
          <w:tcPr>
            <w:tcW w:w="1449" w:type="dxa"/>
          </w:tcPr>
          <w:p w14:paraId="3DD2A240" w14:textId="77777777" w:rsidR="006B0E6A" w:rsidRPr="009E5026" w:rsidRDefault="006B0E6A" w:rsidP="002A447E">
            <w:pPr>
              <w:spacing w:line="480" w:lineRule="auto"/>
            </w:pPr>
            <w:r w:rsidRPr="009E5026">
              <w:t>13</w:t>
            </w:r>
          </w:p>
        </w:tc>
        <w:tc>
          <w:tcPr>
            <w:tcW w:w="799" w:type="dxa"/>
          </w:tcPr>
          <w:p w14:paraId="54A74851" w14:textId="77777777" w:rsidR="006B0E6A" w:rsidRPr="009E5026" w:rsidRDefault="006B0E6A" w:rsidP="002A447E">
            <w:pPr>
              <w:spacing w:line="480" w:lineRule="auto"/>
            </w:pPr>
            <w:r w:rsidRPr="009E5026">
              <w:t>36</w:t>
            </w:r>
          </w:p>
        </w:tc>
      </w:tr>
      <w:tr w:rsidR="006B0E6A" w:rsidRPr="009E5026" w14:paraId="312E3AD6" w14:textId="77777777" w:rsidTr="006B0E6A">
        <w:tc>
          <w:tcPr>
            <w:tcW w:w="1405" w:type="dxa"/>
            <w:vMerge/>
          </w:tcPr>
          <w:p w14:paraId="589A2EFA" w14:textId="6B36059D" w:rsidR="006B0E6A" w:rsidRPr="009E5026" w:rsidRDefault="006B0E6A" w:rsidP="002A447E">
            <w:pPr>
              <w:spacing w:line="480" w:lineRule="auto"/>
            </w:pPr>
          </w:p>
        </w:tc>
        <w:tc>
          <w:tcPr>
            <w:tcW w:w="1992" w:type="dxa"/>
          </w:tcPr>
          <w:p w14:paraId="71471CBE" w14:textId="6450F2F0" w:rsidR="006B0E6A" w:rsidRPr="009E5026" w:rsidRDefault="006B0E6A" w:rsidP="002A447E">
            <w:pPr>
              <w:spacing w:line="480" w:lineRule="auto"/>
            </w:pPr>
            <w:r w:rsidRPr="009E5026">
              <w:t>PCD highly likely</w:t>
            </w:r>
          </w:p>
        </w:tc>
        <w:tc>
          <w:tcPr>
            <w:tcW w:w="1123" w:type="dxa"/>
          </w:tcPr>
          <w:p w14:paraId="2E09138C" w14:textId="6C937D9F" w:rsidR="006B0E6A" w:rsidRPr="009E5026" w:rsidRDefault="006B0E6A" w:rsidP="002A447E">
            <w:pPr>
              <w:spacing w:line="480" w:lineRule="auto"/>
            </w:pPr>
            <w:r w:rsidRPr="009E5026">
              <w:t>2</w:t>
            </w:r>
          </w:p>
        </w:tc>
        <w:tc>
          <w:tcPr>
            <w:tcW w:w="1124" w:type="dxa"/>
          </w:tcPr>
          <w:p w14:paraId="2D3FBCD3" w14:textId="77777777" w:rsidR="006B0E6A" w:rsidRPr="009E5026" w:rsidRDefault="006B0E6A" w:rsidP="002A447E">
            <w:pPr>
              <w:spacing w:line="480" w:lineRule="auto"/>
            </w:pPr>
            <w:r w:rsidRPr="009E5026">
              <w:t>0</w:t>
            </w:r>
          </w:p>
        </w:tc>
        <w:tc>
          <w:tcPr>
            <w:tcW w:w="1124" w:type="dxa"/>
          </w:tcPr>
          <w:p w14:paraId="013BB1C3" w14:textId="77777777" w:rsidR="006B0E6A" w:rsidRPr="009E5026" w:rsidRDefault="006B0E6A" w:rsidP="002A447E">
            <w:pPr>
              <w:spacing w:line="480" w:lineRule="auto"/>
            </w:pPr>
            <w:r w:rsidRPr="009E5026">
              <w:t>4</w:t>
            </w:r>
          </w:p>
        </w:tc>
        <w:tc>
          <w:tcPr>
            <w:tcW w:w="1449" w:type="dxa"/>
          </w:tcPr>
          <w:p w14:paraId="6A1F47C6" w14:textId="77777777" w:rsidR="006B0E6A" w:rsidRPr="009E5026" w:rsidRDefault="006B0E6A" w:rsidP="002A447E">
            <w:pPr>
              <w:spacing w:line="480" w:lineRule="auto"/>
            </w:pPr>
            <w:r w:rsidRPr="009E5026">
              <w:t>2</w:t>
            </w:r>
          </w:p>
        </w:tc>
        <w:tc>
          <w:tcPr>
            <w:tcW w:w="799" w:type="dxa"/>
          </w:tcPr>
          <w:p w14:paraId="4D117123" w14:textId="77777777" w:rsidR="006B0E6A" w:rsidRPr="009E5026" w:rsidRDefault="006B0E6A" w:rsidP="002A447E">
            <w:pPr>
              <w:spacing w:line="480" w:lineRule="auto"/>
            </w:pPr>
            <w:r w:rsidRPr="009E5026">
              <w:t>8</w:t>
            </w:r>
          </w:p>
        </w:tc>
      </w:tr>
      <w:tr w:rsidR="006B0E6A" w:rsidRPr="009E5026" w14:paraId="6AB9A9F4" w14:textId="77777777" w:rsidTr="006B0E6A">
        <w:tc>
          <w:tcPr>
            <w:tcW w:w="1405" w:type="dxa"/>
            <w:vMerge/>
          </w:tcPr>
          <w:p w14:paraId="5593E587" w14:textId="7D038222" w:rsidR="006B0E6A" w:rsidRPr="009E5026" w:rsidRDefault="006B0E6A" w:rsidP="002A447E">
            <w:pPr>
              <w:spacing w:line="480" w:lineRule="auto"/>
            </w:pPr>
          </w:p>
        </w:tc>
        <w:tc>
          <w:tcPr>
            <w:tcW w:w="1992" w:type="dxa"/>
          </w:tcPr>
          <w:p w14:paraId="73CBC8C4" w14:textId="5D4EC8E9" w:rsidR="006B0E6A" w:rsidRPr="009E5026" w:rsidRDefault="006B0E6A" w:rsidP="002A447E">
            <w:pPr>
              <w:spacing w:line="480" w:lineRule="auto"/>
            </w:pPr>
            <w:r w:rsidRPr="009E5026">
              <w:t>Inconclusive</w:t>
            </w:r>
          </w:p>
        </w:tc>
        <w:tc>
          <w:tcPr>
            <w:tcW w:w="1123" w:type="dxa"/>
          </w:tcPr>
          <w:p w14:paraId="25D95851" w14:textId="50269916" w:rsidR="006B0E6A" w:rsidRPr="009E5026" w:rsidRDefault="006B0E6A" w:rsidP="002A447E">
            <w:pPr>
              <w:spacing w:line="480" w:lineRule="auto"/>
            </w:pPr>
            <w:r w:rsidRPr="009E5026">
              <w:t>2</w:t>
            </w:r>
          </w:p>
        </w:tc>
        <w:tc>
          <w:tcPr>
            <w:tcW w:w="1124" w:type="dxa"/>
          </w:tcPr>
          <w:p w14:paraId="1E1DE0F6" w14:textId="77777777" w:rsidR="006B0E6A" w:rsidRPr="009E5026" w:rsidRDefault="006B0E6A" w:rsidP="002A447E">
            <w:pPr>
              <w:spacing w:line="480" w:lineRule="auto"/>
            </w:pPr>
            <w:r w:rsidRPr="009E5026">
              <w:t>5</w:t>
            </w:r>
          </w:p>
        </w:tc>
        <w:tc>
          <w:tcPr>
            <w:tcW w:w="1124" w:type="dxa"/>
          </w:tcPr>
          <w:p w14:paraId="7B4C066B" w14:textId="77777777" w:rsidR="006B0E6A" w:rsidRPr="009E5026" w:rsidRDefault="006B0E6A" w:rsidP="002A447E">
            <w:pPr>
              <w:spacing w:line="480" w:lineRule="auto"/>
            </w:pPr>
            <w:r w:rsidRPr="009E5026">
              <w:t>3</w:t>
            </w:r>
          </w:p>
        </w:tc>
        <w:tc>
          <w:tcPr>
            <w:tcW w:w="1449" w:type="dxa"/>
          </w:tcPr>
          <w:p w14:paraId="2E9F3AE5" w14:textId="77777777" w:rsidR="006B0E6A" w:rsidRPr="009E5026" w:rsidRDefault="006B0E6A" w:rsidP="002A447E">
            <w:pPr>
              <w:spacing w:line="480" w:lineRule="auto"/>
            </w:pPr>
            <w:r w:rsidRPr="009E5026">
              <w:t>23</w:t>
            </w:r>
          </w:p>
        </w:tc>
        <w:tc>
          <w:tcPr>
            <w:tcW w:w="799" w:type="dxa"/>
          </w:tcPr>
          <w:p w14:paraId="2DA33F21" w14:textId="77777777" w:rsidR="006B0E6A" w:rsidRPr="009E5026" w:rsidRDefault="006B0E6A" w:rsidP="002A447E">
            <w:pPr>
              <w:spacing w:line="480" w:lineRule="auto"/>
            </w:pPr>
            <w:r w:rsidRPr="009E5026">
              <w:t>33</w:t>
            </w:r>
          </w:p>
        </w:tc>
      </w:tr>
      <w:tr w:rsidR="006B0E6A" w:rsidRPr="009E5026" w14:paraId="3726E8AB" w14:textId="77777777" w:rsidTr="006B0E6A">
        <w:tc>
          <w:tcPr>
            <w:tcW w:w="1405" w:type="dxa"/>
            <w:vMerge/>
          </w:tcPr>
          <w:p w14:paraId="6FB9F517" w14:textId="13C8E08E" w:rsidR="006B0E6A" w:rsidRPr="009E5026" w:rsidRDefault="006B0E6A" w:rsidP="002A447E">
            <w:pPr>
              <w:spacing w:line="480" w:lineRule="auto"/>
            </w:pPr>
          </w:p>
        </w:tc>
        <w:tc>
          <w:tcPr>
            <w:tcW w:w="1992" w:type="dxa"/>
          </w:tcPr>
          <w:p w14:paraId="56CD6EC6" w14:textId="24BF941D" w:rsidR="006B0E6A" w:rsidRPr="009E5026" w:rsidRDefault="006B0E6A" w:rsidP="002A447E">
            <w:pPr>
              <w:spacing w:line="480" w:lineRule="auto"/>
            </w:pPr>
            <w:r w:rsidRPr="009E5026">
              <w:t>Total</w:t>
            </w:r>
          </w:p>
        </w:tc>
        <w:tc>
          <w:tcPr>
            <w:tcW w:w="1123" w:type="dxa"/>
          </w:tcPr>
          <w:p w14:paraId="4BFC726F" w14:textId="6BE1F6FE" w:rsidR="006B0E6A" w:rsidRPr="009E5026" w:rsidRDefault="006B0E6A" w:rsidP="002A447E">
            <w:pPr>
              <w:spacing w:line="480" w:lineRule="auto"/>
            </w:pPr>
            <w:r w:rsidRPr="009E5026">
              <w:t>36</w:t>
            </w:r>
          </w:p>
        </w:tc>
        <w:tc>
          <w:tcPr>
            <w:tcW w:w="1124" w:type="dxa"/>
          </w:tcPr>
          <w:p w14:paraId="2EBEE890" w14:textId="77777777" w:rsidR="006B0E6A" w:rsidRPr="009E5026" w:rsidRDefault="006B0E6A" w:rsidP="002A447E">
            <w:pPr>
              <w:spacing w:line="480" w:lineRule="auto"/>
            </w:pPr>
            <w:r w:rsidRPr="009E5026">
              <w:t>26</w:t>
            </w:r>
          </w:p>
        </w:tc>
        <w:tc>
          <w:tcPr>
            <w:tcW w:w="1124" w:type="dxa"/>
          </w:tcPr>
          <w:p w14:paraId="6CECA6CA" w14:textId="77777777" w:rsidR="006B0E6A" w:rsidRPr="009E5026" w:rsidRDefault="006B0E6A" w:rsidP="002A447E">
            <w:pPr>
              <w:spacing w:line="480" w:lineRule="auto"/>
            </w:pPr>
            <w:r w:rsidRPr="009E5026">
              <w:t>16</w:t>
            </w:r>
          </w:p>
        </w:tc>
        <w:tc>
          <w:tcPr>
            <w:tcW w:w="1449" w:type="dxa"/>
          </w:tcPr>
          <w:p w14:paraId="4DC7825A" w14:textId="77777777" w:rsidR="006B0E6A" w:rsidRPr="009E5026" w:rsidRDefault="006B0E6A" w:rsidP="002A447E">
            <w:pPr>
              <w:spacing w:line="480" w:lineRule="auto"/>
            </w:pPr>
            <w:r w:rsidRPr="009E5026">
              <w:t>42</w:t>
            </w:r>
          </w:p>
        </w:tc>
        <w:tc>
          <w:tcPr>
            <w:tcW w:w="799" w:type="dxa"/>
          </w:tcPr>
          <w:p w14:paraId="79E090FB" w14:textId="77777777" w:rsidR="006B0E6A" w:rsidRPr="009E5026" w:rsidRDefault="006B0E6A" w:rsidP="002A447E">
            <w:pPr>
              <w:spacing w:line="480" w:lineRule="auto"/>
            </w:pPr>
            <w:r w:rsidRPr="009E5026">
              <w:t>120</w:t>
            </w:r>
          </w:p>
        </w:tc>
      </w:tr>
      <w:tr w:rsidR="006B0E6A" w:rsidRPr="009E5026" w14:paraId="7707A55E" w14:textId="77777777" w:rsidTr="006B0E6A">
        <w:tc>
          <w:tcPr>
            <w:tcW w:w="3397" w:type="dxa"/>
            <w:gridSpan w:val="2"/>
          </w:tcPr>
          <w:p w14:paraId="2FD2E419" w14:textId="2E8E6D65" w:rsidR="006B0E6A" w:rsidRPr="009E5026" w:rsidRDefault="006B0E6A" w:rsidP="002A447E">
            <w:pPr>
              <w:spacing w:line="480" w:lineRule="auto"/>
            </w:pPr>
          </w:p>
        </w:tc>
        <w:tc>
          <w:tcPr>
            <w:tcW w:w="1123" w:type="dxa"/>
          </w:tcPr>
          <w:p w14:paraId="492FF77E" w14:textId="221F8F8D" w:rsidR="006B0E6A" w:rsidRPr="009E5026" w:rsidRDefault="006B0E6A" w:rsidP="002A447E">
            <w:pPr>
              <w:spacing w:line="480" w:lineRule="auto"/>
            </w:pPr>
            <w:r w:rsidRPr="009E5026">
              <w:t>PCD positive*</w:t>
            </w:r>
          </w:p>
        </w:tc>
        <w:tc>
          <w:tcPr>
            <w:tcW w:w="1124" w:type="dxa"/>
          </w:tcPr>
          <w:p w14:paraId="503679C2" w14:textId="77777777" w:rsidR="006B0E6A" w:rsidRPr="009E5026" w:rsidRDefault="006B0E6A" w:rsidP="002A447E">
            <w:pPr>
              <w:spacing w:line="480" w:lineRule="auto"/>
            </w:pPr>
            <w:r w:rsidRPr="009E5026">
              <w:t>PCD highly unlikely</w:t>
            </w:r>
          </w:p>
        </w:tc>
        <w:tc>
          <w:tcPr>
            <w:tcW w:w="1124" w:type="dxa"/>
          </w:tcPr>
          <w:p w14:paraId="54E9F146" w14:textId="77777777" w:rsidR="006B0E6A" w:rsidRPr="009E5026" w:rsidRDefault="006B0E6A" w:rsidP="002A447E">
            <w:pPr>
              <w:spacing w:line="480" w:lineRule="auto"/>
            </w:pPr>
            <w:r w:rsidRPr="009E5026">
              <w:t>PCD highly likely</w:t>
            </w:r>
          </w:p>
        </w:tc>
        <w:tc>
          <w:tcPr>
            <w:tcW w:w="1449" w:type="dxa"/>
          </w:tcPr>
          <w:p w14:paraId="2DD9F68D" w14:textId="77777777" w:rsidR="006B0E6A" w:rsidRPr="009E5026" w:rsidRDefault="006B0E6A" w:rsidP="002A447E">
            <w:pPr>
              <w:spacing w:line="480" w:lineRule="auto"/>
            </w:pPr>
            <w:r w:rsidRPr="009E5026">
              <w:t>Inconclusive</w:t>
            </w:r>
          </w:p>
        </w:tc>
        <w:tc>
          <w:tcPr>
            <w:tcW w:w="799" w:type="dxa"/>
          </w:tcPr>
          <w:p w14:paraId="1DD45D2F" w14:textId="77777777" w:rsidR="006B0E6A" w:rsidRPr="009E5026" w:rsidRDefault="006B0E6A" w:rsidP="002A447E">
            <w:pPr>
              <w:spacing w:line="480" w:lineRule="auto"/>
            </w:pPr>
            <w:r w:rsidRPr="009E5026">
              <w:t>Total</w:t>
            </w:r>
          </w:p>
        </w:tc>
      </w:tr>
      <w:tr w:rsidR="006B0E6A" w:rsidRPr="009E5026" w14:paraId="069BB9E4" w14:textId="77777777" w:rsidTr="006B0E6A">
        <w:tc>
          <w:tcPr>
            <w:tcW w:w="1405" w:type="dxa"/>
            <w:vMerge w:val="restart"/>
            <w:textDirection w:val="btLr"/>
          </w:tcPr>
          <w:p w14:paraId="7B600A6B" w14:textId="610644C8" w:rsidR="006B0E6A" w:rsidRPr="009E5026" w:rsidRDefault="006B0E6A" w:rsidP="006B0E6A">
            <w:pPr>
              <w:spacing w:line="480" w:lineRule="auto"/>
              <w:ind w:left="113" w:right="113"/>
              <w:jc w:val="center"/>
              <w:rPr>
                <w:b/>
              </w:rPr>
            </w:pPr>
            <w:r w:rsidRPr="009E5026">
              <w:rPr>
                <w:b/>
              </w:rPr>
              <w:t>Outcomes by scientist 2</w:t>
            </w:r>
          </w:p>
        </w:tc>
        <w:tc>
          <w:tcPr>
            <w:tcW w:w="1992" w:type="dxa"/>
            <w:shd w:val="clear" w:color="auto" w:fill="D0CECE" w:themeFill="background2" w:themeFillShade="E6"/>
          </w:tcPr>
          <w:p w14:paraId="3F8E43FA" w14:textId="2B719D31" w:rsidR="006B0E6A" w:rsidRPr="009E5026" w:rsidRDefault="006B0E6A" w:rsidP="002A447E">
            <w:pPr>
              <w:spacing w:line="480" w:lineRule="auto"/>
            </w:pPr>
            <w:r w:rsidRPr="009E5026">
              <w:t>PCD positive</w:t>
            </w:r>
          </w:p>
        </w:tc>
        <w:tc>
          <w:tcPr>
            <w:tcW w:w="1123" w:type="dxa"/>
            <w:shd w:val="clear" w:color="auto" w:fill="D0CECE" w:themeFill="background2" w:themeFillShade="E6"/>
          </w:tcPr>
          <w:p w14:paraId="2E7CB411" w14:textId="48855EAF" w:rsidR="006B0E6A" w:rsidRPr="009E5026" w:rsidRDefault="006B0E6A" w:rsidP="002A447E">
            <w:pPr>
              <w:spacing w:line="480" w:lineRule="auto"/>
            </w:pPr>
            <w:r w:rsidRPr="009E5026">
              <w:t>35</w:t>
            </w:r>
          </w:p>
        </w:tc>
        <w:tc>
          <w:tcPr>
            <w:tcW w:w="1124" w:type="dxa"/>
            <w:shd w:val="clear" w:color="auto" w:fill="D0CECE" w:themeFill="background2" w:themeFillShade="E6"/>
          </w:tcPr>
          <w:p w14:paraId="0114BA22" w14:textId="77777777" w:rsidR="006B0E6A" w:rsidRPr="009E5026" w:rsidRDefault="006B0E6A" w:rsidP="002A447E">
            <w:pPr>
              <w:spacing w:line="480" w:lineRule="auto"/>
            </w:pPr>
            <w:r w:rsidRPr="009E5026">
              <w:t>2</w:t>
            </w:r>
          </w:p>
        </w:tc>
        <w:tc>
          <w:tcPr>
            <w:tcW w:w="1124" w:type="dxa"/>
          </w:tcPr>
          <w:p w14:paraId="1335688C" w14:textId="77777777" w:rsidR="006B0E6A" w:rsidRPr="009E5026" w:rsidRDefault="006B0E6A" w:rsidP="002A447E">
            <w:pPr>
              <w:spacing w:line="480" w:lineRule="auto"/>
            </w:pPr>
            <w:r w:rsidRPr="009E5026">
              <w:t>12</w:t>
            </w:r>
          </w:p>
        </w:tc>
        <w:tc>
          <w:tcPr>
            <w:tcW w:w="1449" w:type="dxa"/>
          </w:tcPr>
          <w:p w14:paraId="02F86D33" w14:textId="77777777" w:rsidR="006B0E6A" w:rsidRPr="009E5026" w:rsidRDefault="006B0E6A" w:rsidP="002A447E">
            <w:pPr>
              <w:spacing w:line="480" w:lineRule="auto"/>
            </w:pPr>
            <w:r w:rsidRPr="009E5026">
              <w:t>8</w:t>
            </w:r>
          </w:p>
        </w:tc>
        <w:tc>
          <w:tcPr>
            <w:tcW w:w="799" w:type="dxa"/>
          </w:tcPr>
          <w:p w14:paraId="0F81EE32" w14:textId="77777777" w:rsidR="006B0E6A" w:rsidRPr="009E5026" w:rsidRDefault="006B0E6A" w:rsidP="002A447E">
            <w:pPr>
              <w:spacing w:line="480" w:lineRule="auto"/>
            </w:pPr>
            <w:r w:rsidRPr="009E5026">
              <w:t>57</w:t>
            </w:r>
          </w:p>
        </w:tc>
      </w:tr>
      <w:tr w:rsidR="006B0E6A" w:rsidRPr="009E5026" w14:paraId="42BBF40E" w14:textId="77777777" w:rsidTr="006B0E6A">
        <w:tc>
          <w:tcPr>
            <w:tcW w:w="1405" w:type="dxa"/>
            <w:vMerge/>
          </w:tcPr>
          <w:p w14:paraId="1F3717C4" w14:textId="794B1116" w:rsidR="006B0E6A" w:rsidRPr="009E5026" w:rsidRDefault="006B0E6A" w:rsidP="002A447E">
            <w:pPr>
              <w:spacing w:line="480" w:lineRule="auto"/>
            </w:pPr>
          </w:p>
        </w:tc>
        <w:tc>
          <w:tcPr>
            <w:tcW w:w="1992" w:type="dxa"/>
            <w:shd w:val="clear" w:color="auto" w:fill="D0CECE" w:themeFill="background2" w:themeFillShade="E6"/>
          </w:tcPr>
          <w:p w14:paraId="61C135AF" w14:textId="48D30038" w:rsidR="006B0E6A" w:rsidRPr="009E5026" w:rsidRDefault="006B0E6A" w:rsidP="002A447E">
            <w:pPr>
              <w:spacing w:line="480" w:lineRule="auto"/>
            </w:pPr>
            <w:r w:rsidRPr="009E5026">
              <w:t>PCD highly unlikely</w:t>
            </w:r>
          </w:p>
        </w:tc>
        <w:tc>
          <w:tcPr>
            <w:tcW w:w="1123" w:type="dxa"/>
            <w:shd w:val="clear" w:color="auto" w:fill="D0CECE" w:themeFill="background2" w:themeFillShade="E6"/>
          </w:tcPr>
          <w:p w14:paraId="1F977151" w14:textId="4FD2B6F2" w:rsidR="006B0E6A" w:rsidRPr="009E5026" w:rsidRDefault="006B0E6A" w:rsidP="002A447E">
            <w:pPr>
              <w:spacing w:line="480" w:lineRule="auto"/>
            </w:pPr>
            <w:r w:rsidRPr="009E5026">
              <w:t>0</w:t>
            </w:r>
          </w:p>
        </w:tc>
        <w:tc>
          <w:tcPr>
            <w:tcW w:w="1124" w:type="dxa"/>
            <w:shd w:val="clear" w:color="auto" w:fill="D0CECE" w:themeFill="background2" w:themeFillShade="E6"/>
          </w:tcPr>
          <w:p w14:paraId="0FE2E79D" w14:textId="77777777" w:rsidR="006B0E6A" w:rsidRPr="009E5026" w:rsidRDefault="006B0E6A" w:rsidP="002A447E">
            <w:pPr>
              <w:spacing w:line="480" w:lineRule="auto"/>
            </w:pPr>
            <w:r w:rsidRPr="009E5026">
              <w:t>8</w:t>
            </w:r>
          </w:p>
        </w:tc>
        <w:tc>
          <w:tcPr>
            <w:tcW w:w="1124" w:type="dxa"/>
          </w:tcPr>
          <w:p w14:paraId="0EDC3031" w14:textId="77777777" w:rsidR="006B0E6A" w:rsidRPr="009E5026" w:rsidRDefault="006B0E6A" w:rsidP="002A447E">
            <w:pPr>
              <w:spacing w:line="480" w:lineRule="auto"/>
            </w:pPr>
            <w:r w:rsidRPr="009E5026">
              <w:t>0</w:t>
            </w:r>
          </w:p>
        </w:tc>
        <w:tc>
          <w:tcPr>
            <w:tcW w:w="1449" w:type="dxa"/>
          </w:tcPr>
          <w:p w14:paraId="303181D6" w14:textId="77777777" w:rsidR="006B0E6A" w:rsidRPr="009E5026" w:rsidRDefault="006B0E6A" w:rsidP="002A447E">
            <w:pPr>
              <w:spacing w:line="480" w:lineRule="auto"/>
            </w:pPr>
            <w:r w:rsidRPr="009E5026">
              <w:t>8</w:t>
            </w:r>
          </w:p>
        </w:tc>
        <w:tc>
          <w:tcPr>
            <w:tcW w:w="799" w:type="dxa"/>
          </w:tcPr>
          <w:p w14:paraId="764EA925" w14:textId="77777777" w:rsidR="006B0E6A" w:rsidRPr="009E5026" w:rsidRDefault="006B0E6A" w:rsidP="002A447E">
            <w:pPr>
              <w:spacing w:line="480" w:lineRule="auto"/>
            </w:pPr>
            <w:r w:rsidRPr="009E5026">
              <w:t>16</w:t>
            </w:r>
          </w:p>
        </w:tc>
      </w:tr>
      <w:tr w:rsidR="006B0E6A" w:rsidRPr="009E5026" w14:paraId="6206322C" w14:textId="77777777" w:rsidTr="006B0E6A">
        <w:tc>
          <w:tcPr>
            <w:tcW w:w="1405" w:type="dxa"/>
            <w:vMerge/>
          </w:tcPr>
          <w:p w14:paraId="3F8E85D7" w14:textId="6302E6BD" w:rsidR="006B0E6A" w:rsidRPr="009E5026" w:rsidRDefault="006B0E6A" w:rsidP="002A447E">
            <w:pPr>
              <w:spacing w:line="480" w:lineRule="auto"/>
            </w:pPr>
          </w:p>
        </w:tc>
        <w:tc>
          <w:tcPr>
            <w:tcW w:w="1992" w:type="dxa"/>
          </w:tcPr>
          <w:p w14:paraId="35617344" w14:textId="74A98952" w:rsidR="006B0E6A" w:rsidRPr="009E5026" w:rsidRDefault="006B0E6A" w:rsidP="002A447E">
            <w:pPr>
              <w:spacing w:line="480" w:lineRule="auto"/>
            </w:pPr>
            <w:r w:rsidRPr="009E5026">
              <w:t>PCD highly likely</w:t>
            </w:r>
          </w:p>
        </w:tc>
        <w:tc>
          <w:tcPr>
            <w:tcW w:w="1123" w:type="dxa"/>
          </w:tcPr>
          <w:p w14:paraId="59B17141" w14:textId="4C355743" w:rsidR="006B0E6A" w:rsidRPr="009E5026" w:rsidRDefault="006B0E6A" w:rsidP="002A447E">
            <w:pPr>
              <w:spacing w:line="480" w:lineRule="auto"/>
            </w:pPr>
            <w:r w:rsidRPr="009E5026">
              <w:t>1</w:t>
            </w:r>
          </w:p>
        </w:tc>
        <w:tc>
          <w:tcPr>
            <w:tcW w:w="1124" w:type="dxa"/>
          </w:tcPr>
          <w:p w14:paraId="0752B6E3" w14:textId="77777777" w:rsidR="006B0E6A" w:rsidRPr="009E5026" w:rsidRDefault="006B0E6A" w:rsidP="002A447E">
            <w:pPr>
              <w:spacing w:line="480" w:lineRule="auto"/>
            </w:pPr>
            <w:r w:rsidRPr="009E5026">
              <w:t>4</w:t>
            </w:r>
          </w:p>
        </w:tc>
        <w:tc>
          <w:tcPr>
            <w:tcW w:w="1124" w:type="dxa"/>
          </w:tcPr>
          <w:p w14:paraId="0B3EE800" w14:textId="77777777" w:rsidR="006B0E6A" w:rsidRPr="009E5026" w:rsidRDefault="006B0E6A" w:rsidP="002A447E">
            <w:pPr>
              <w:spacing w:line="480" w:lineRule="auto"/>
            </w:pPr>
            <w:r w:rsidRPr="009E5026">
              <w:t>2</w:t>
            </w:r>
          </w:p>
        </w:tc>
        <w:tc>
          <w:tcPr>
            <w:tcW w:w="1449" w:type="dxa"/>
          </w:tcPr>
          <w:p w14:paraId="0757110F" w14:textId="77777777" w:rsidR="006B0E6A" w:rsidRPr="009E5026" w:rsidRDefault="006B0E6A" w:rsidP="002A447E">
            <w:pPr>
              <w:spacing w:line="480" w:lineRule="auto"/>
            </w:pPr>
            <w:r w:rsidRPr="009E5026">
              <w:t>9</w:t>
            </w:r>
          </w:p>
        </w:tc>
        <w:tc>
          <w:tcPr>
            <w:tcW w:w="799" w:type="dxa"/>
          </w:tcPr>
          <w:p w14:paraId="323623BF" w14:textId="77777777" w:rsidR="006B0E6A" w:rsidRPr="009E5026" w:rsidRDefault="006B0E6A" w:rsidP="002A447E">
            <w:pPr>
              <w:spacing w:line="480" w:lineRule="auto"/>
            </w:pPr>
            <w:r w:rsidRPr="009E5026">
              <w:t>16</w:t>
            </w:r>
          </w:p>
        </w:tc>
      </w:tr>
      <w:tr w:rsidR="006B0E6A" w:rsidRPr="009E5026" w14:paraId="53EB982A" w14:textId="77777777" w:rsidTr="006B0E6A">
        <w:tc>
          <w:tcPr>
            <w:tcW w:w="1405" w:type="dxa"/>
            <w:vMerge/>
          </w:tcPr>
          <w:p w14:paraId="22BFAF62" w14:textId="2867BA33" w:rsidR="006B0E6A" w:rsidRPr="009E5026" w:rsidRDefault="006B0E6A" w:rsidP="002A447E">
            <w:pPr>
              <w:spacing w:line="480" w:lineRule="auto"/>
            </w:pPr>
          </w:p>
        </w:tc>
        <w:tc>
          <w:tcPr>
            <w:tcW w:w="1992" w:type="dxa"/>
          </w:tcPr>
          <w:p w14:paraId="05DC9961" w14:textId="39CE5EFC" w:rsidR="006B0E6A" w:rsidRPr="009E5026" w:rsidRDefault="006B0E6A" w:rsidP="002A447E">
            <w:pPr>
              <w:spacing w:line="480" w:lineRule="auto"/>
            </w:pPr>
            <w:r w:rsidRPr="009E5026">
              <w:t>Inconclusive</w:t>
            </w:r>
          </w:p>
        </w:tc>
        <w:tc>
          <w:tcPr>
            <w:tcW w:w="1123" w:type="dxa"/>
          </w:tcPr>
          <w:p w14:paraId="2EB7FD92" w14:textId="768FCDF1" w:rsidR="006B0E6A" w:rsidRPr="009E5026" w:rsidRDefault="006B0E6A" w:rsidP="002A447E">
            <w:pPr>
              <w:spacing w:line="480" w:lineRule="auto"/>
            </w:pPr>
            <w:r w:rsidRPr="009E5026">
              <w:t>0</w:t>
            </w:r>
          </w:p>
        </w:tc>
        <w:tc>
          <w:tcPr>
            <w:tcW w:w="1124" w:type="dxa"/>
          </w:tcPr>
          <w:p w14:paraId="6387A201" w14:textId="77777777" w:rsidR="006B0E6A" w:rsidRPr="009E5026" w:rsidRDefault="006B0E6A" w:rsidP="002A447E">
            <w:pPr>
              <w:spacing w:line="480" w:lineRule="auto"/>
            </w:pPr>
            <w:r w:rsidRPr="009E5026">
              <w:t>12</w:t>
            </w:r>
          </w:p>
        </w:tc>
        <w:tc>
          <w:tcPr>
            <w:tcW w:w="1124" w:type="dxa"/>
          </w:tcPr>
          <w:p w14:paraId="655EE3A4" w14:textId="77777777" w:rsidR="006B0E6A" w:rsidRPr="009E5026" w:rsidRDefault="006B0E6A" w:rsidP="002A447E">
            <w:pPr>
              <w:spacing w:line="480" w:lineRule="auto"/>
            </w:pPr>
            <w:r w:rsidRPr="009E5026">
              <w:t>2</w:t>
            </w:r>
          </w:p>
        </w:tc>
        <w:tc>
          <w:tcPr>
            <w:tcW w:w="1449" w:type="dxa"/>
          </w:tcPr>
          <w:p w14:paraId="044FFE45" w14:textId="77777777" w:rsidR="006B0E6A" w:rsidRPr="009E5026" w:rsidRDefault="006B0E6A" w:rsidP="002A447E">
            <w:pPr>
              <w:spacing w:line="480" w:lineRule="auto"/>
            </w:pPr>
            <w:r w:rsidRPr="009E5026">
              <w:t>17</w:t>
            </w:r>
          </w:p>
        </w:tc>
        <w:tc>
          <w:tcPr>
            <w:tcW w:w="799" w:type="dxa"/>
          </w:tcPr>
          <w:p w14:paraId="0BDA61EE" w14:textId="77777777" w:rsidR="006B0E6A" w:rsidRPr="009E5026" w:rsidRDefault="006B0E6A" w:rsidP="002A447E">
            <w:pPr>
              <w:spacing w:line="480" w:lineRule="auto"/>
            </w:pPr>
            <w:r w:rsidRPr="009E5026">
              <w:t>31</w:t>
            </w:r>
          </w:p>
        </w:tc>
      </w:tr>
      <w:tr w:rsidR="006B0E6A" w:rsidRPr="009E5026" w14:paraId="7FCFF4EF" w14:textId="77777777" w:rsidTr="006B0E6A">
        <w:tc>
          <w:tcPr>
            <w:tcW w:w="1405" w:type="dxa"/>
            <w:vMerge/>
          </w:tcPr>
          <w:p w14:paraId="10395FA6" w14:textId="79E73FB7" w:rsidR="006B0E6A" w:rsidRPr="009E5026" w:rsidRDefault="006B0E6A" w:rsidP="002A447E">
            <w:pPr>
              <w:spacing w:line="480" w:lineRule="auto"/>
            </w:pPr>
          </w:p>
        </w:tc>
        <w:tc>
          <w:tcPr>
            <w:tcW w:w="1992" w:type="dxa"/>
          </w:tcPr>
          <w:p w14:paraId="1DF8A153" w14:textId="7039E91A" w:rsidR="006B0E6A" w:rsidRPr="009E5026" w:rsidRDefault="006B0E6A" w:rsidP="002A447E">
            <w:pPr>
              <w:spacing w:line="480" w:lineRule="auto"/>
            </w:pPr>
            <w:r w:rsidRPr="009E5026">
              <w:t>Total</w:t>
            </w:r>
          </w:p>
        </w:tc>
        <w:tc>
          <w:tcPr>
            <w:tcW w:w="1123" w:type="dxa"/>
          </w:tcPr>
          <w:p w14:paraId="0417155C" w14:textId="7AF4D768" w:rsidR="006B0E6A" w:rsidRPr="009E5026" w:rsidRDefault="006B0E6A" w:rsidP="002A447E">
            <w:pPr>
              <w:spacing w:line="480" w:lineRule="auto"/>
            </w:pPr>
            <w:r w:rsidRPr="009E5026">
              <w:t>36</w:t>
            </w:r>
          </w:p>
        </w:tc>
        <w:tc>
          <w:tcPr>
            <w:tcW w:w="1124" w:type="dxa"/>
          </w:tcPr>
          <w:p w14:paraId="049B2ACA" w14:textId="77777777" w:rsidR="006B0E6A" w:rsidRPr="009E5026" w:rsidRDefault="006B0E6A" w:rsidP="002A447E">
            <w:pPr>
              <w:spacing w:line="480" w:lineRule="auto"/>
            </w:pPr>
            <w:r w:rsidRPr="009E5026">
              <w:t>26</w:t>
            </w:r>
          </w:p>
        </w:tc>
        <w:tc>
          <w:tcPr>
            <w:tcW w:w="1124" w:type="dxa"/>
          </w:tcPr>
          <w:p w14:paraId="4FC53BFB" w14:textId="77777777" w:rsidR="006B0E6A" w:rsidRPr="009E5026" w:rsidRDefault="006B0E6A" w:rsidP="002A447E">
            <w:pPr>
              <w:spacing w:line="480" w:lineRule="auto"/>
            </w:pPr>
            <w:r w:rsidRPr="009E5026">
              <w:t>16</w:t>
            </w:r>
          </w:p>
        </w:tc>
        <w:tc>
          <w:tcPr>
            <w:tcW w:w="1449" w:type="dxa"/>
          </w:tcPr>
          <w:p w14:paraId="5C9AF9A7" w14:textId="77777777" w:rsidR="006B0E6A" w:rsidRPr="009E5026" w:rsidRDefault="006B0E6A" w:rsidP="002A447E">
            <w:pPr>
              <w:spacing w:line="480" w:lineRule="auto"/>
            </w:pPr>
            <w:r w:rsidRPr="009E5026">
              <w:t>42</w:t>
            </w:r>
          </w:p>
        </w:tc>
        <w:tc>
          <w:tcPr>
            <w:tcW w:w="799" w:type="dxa"/>
          </w:tcPr>
          <w:p w14:paraId="406863F8" w14:textId="77777777" w:rsidR="006B0E6A" w:rsidRPr="009E5026" w:rsidRDefault="006B0E6A" w:rsidP="002A447E">
            <w:pPr>
              <w:spacing w:line="480" w:lineRule="auto"/>
            </w:pPr>
            <w:r w:rsidRPr="009E5026">
              <w:t>120</w:t>
            </w:r>
          </w:p>
        </w:tc>
      </w:tr>
      <w:tr w:rsidR="006B0E6A" w:rsidRPr="009E5026" w14:paraId="5ED5FFF9" w14:textId="77777777" w:rsidTr="006B0E6A">
        <w:tc>
          <w:tcPr>
            <w:tcW w:w="3397" w:type="dxa"/>
            <w:gridSpan w:val="2"/>
          </w:tcPr>
          <w:p w14:paraId="694EDB53" w14:textId="77777777" w:rsidR="006B0E6A" w:rsidRPr="009E5026" w:rsidRDefault="006B0E6A" w:rsidP="002A447E">
            <w:pPr>
              <w:spacing w:line="480" w:lineRule="auto"/>
            </w:pPr>
          </w:p>
        </w:tc>
        <w:tc>
          <w:tcPr>
            <w:tcW w:w="1123" w:type="dxa"/>
          </w:tcPr>
          <w:p w14:paraId="29B2EE6D" w14:textId="6651C065" w:rsidR="006B0E6A" w:rsidRPr="009E5026" w:rsidRDefault="006B0E6A" w:rsidP="002A447E">
            <w:pPr>
              <w:spacing w:line="480" w:lineRule="auto"/>
            </w:pPr>
            <w:r w:rsidRPr="009E5026">
              <w:t>PCD positive*</w:t>
            </w:r>
          </w:p>
        </w:tc>
        <w:tc>
          <w:tcPr>
            <w:tcW w:w="1124" w:type="dxa"/>
          </w:tcPr>
          <w:p w14:paraId="507189CA" w14:textId="77777777" w:rsidR="006B0E6A" w:rsidRPr="009E5026" w:rsidRDefault="006B0E6A" w:rsidP="002A447E">
            <w:pPr>
              <w:spacing w:line="480" w:lineRule="auto"/>
            </w:pPr>
            <w:r w:rsidRPr="009E5026">
              <w:t>PCD highly unlikely</w:t>
            </w:r>
          </w:p>
        </w:tc>
        <w:tc>
          <w:tcPr>
            <w:tcW w:w="1124" w:type="dxa"/>
          </w:tcPr>
          <w:p w14:paraId="2EBFDB15" w14:textId="77777777" w:rsidR="006B0E6A" w:rsidRPr="009E5026" w:rsidRDefault="006B0E6A" w:rsidP="002A447E">
            <w:pPr>
              <w:spacing w:line="480" w:lineRule="auto"/>
            </w:pPr>
            <w:r w:rsidRPr="009E5026">
              <w:t>PCD highly likely</w:t>
            </w:r>
          </w:p>
        </w:tc>
        <w:tc>
          <w:tcPr>
            <w:tcW w:w="1449" w:type="dxa"/>
          </w:tcPr>
          <w:p w14:paraId="11448029" w14:textId="77777777" w:rsidR="006B0E6A" w:rsidRPr="009E5026" w:rsidRDefault="006B0E6A" w:rsidP="002A447E">
            <w:pPr>
              <w:spacing w:line="480" w:lineRule="auto"/>
            </w:pPr>
            <w:r w:rsidRPr="009E5026">
              <w:t>Inconclusive</w:t>
            </w:r>
          </w:p>
        </w:tc>
        <w:tc>
          <w:tcPr>
            <w:tcW w:w="799" w:type="dxa"/>
          </w:tcPr>
          <w:p w14:paraId="0BF55BF8" w14:textId="77777777" w:rsidR="006B0E6A" w:rsidRPr="009E5026" w:rsidRDefault="006B0E6A" w:rsidP="002A447E">
            <w:pPr>
              <w:spacing w:line="480" w:lineRule="auto"/>
            </w:pPr>
            <w:r w:rsidRPr="009E5026">
              <w:t>Total</w:t>
            </w:r>
          </w:p>
        </w:tc>
      </w:tr>
      <w:tr w:rsidR="006B0E6A" w:rsidRPr="009E5026" w14:paraId="1DE66A40" w14:textId="77777777" w:rsidTr="006B0E6A">
        <w:tc>
          <w:tcPr>
            <w:tcW w:w="1405" w:type="dxa"/>
            <w:vMerge w:val="restart"/>
            <w:textDirection w:val="btLr"/>
          </w:tcPr>
          <w:p w14:paraId="52C9ED37" w14:textId="7D143AE8" w:rsidR="006B0E6A" w:rsidRPr="009E5026" w:rsidRDefault="006B0E6A" w:rsidP="006B0E6A">
            <w:pPr>
              <w:spacing w:line="480" w:lineRule="auto"/>
              <w:ind w:left="113" w:right="113"/>
              <w:jc w:val="center"/>
              <w:rPr>
                <w:b/>
              </w:rPr>
            </w:pPr>
            <w:r w:rsidRPr="009E5026">
              <w:rPr>
                <w:b/>
              </w:rPr>
              <w:t>Outcomes by scientist 3</w:t>
            </w:r>
          </w:p>
        </w:tc>
        <w:tc>
          <w:tcPr>
            <w:tcW w:w="1992" w:type="dxa"/>
            <w:shd w:val="clear" w:color="auto" w:fill="D0CECE" w:themeFill="background2" w:themeFillShade="E6"/>
          </w:tcPr>
          <w:p w14:paraId="025AFCB9" w14:textId="4BF9C813" w:rsidR="006B0E6A" w:rsidRPr="009E5026" w:rsidRDefault="006B0E6A" w:rsidP="002A447E">
            <w:pPr>
              <w:spacing w:line="480" w:lineRule="auto"/>
            </w:pPr>
            <w:r w:rsidRPr="009E5026">
              <w:t>PCD positive</w:t>
            </w:r>
          </w:p>
        </w:tc>
        <w:tc>
          <w:tcPr>
            <w:tcW w:w="1123" w:type="dxa"/>
            <w:shd w:val="clear" w:color="auto" w:fill="D0CECE" w:themeFill="background2" w:themeFillShade="E6"/>
          </w:tcPr>
          <w:p w14:paraId="279E3731" w14:textId="1140E9EE" w:rsidR="006B0E6A" w:rsidRPr="009E5026" w:rsidRDefault="006B0E6A" w:rsidP="002A447E">
            <w:pPr>
              <w:spacing w:line="480" w:lineRule="auto"/>
            </w:pPr>
            <w:r w:rsidRPr="009E5026">
              <w:t>27</w:t>
            </w:r>
          </w:p>
        </w:tc>
        <w:tc>
          <w:tcPr>
            <w:tcW w:w="1124" w:type="dxa"/>
            <w:shd w:val="clear" w:color="auto" w:fill="D0CECE" w:themeFill="background2" w:themeFillShade="E6"/>
          </w:tcPr>
          <w:p w14:paraId="7BB80EF7" w14:textId="77777777" w:rsidR="006B0E6A" w:rsidRPr="009E5026" w:rsidRDefault="006B0E6A" w:rsidP="002A447E">
            <w:pPr>
              <w:spacing w:line="480" w:lineRule="auto"/>
            </w:pPr>
            <w:r w:rsidRPr="009E5026">
              <w:t>0</w:t>
            </w:r>
          </w:p>
        </w:tc>
        <w:tc>
          <w:tcPr>
            <w:tcW w:w="1124" w:type="dxa"/>
          </w:tcPr>
          <w:p w14:paraId="5F231476" w14:textId="77777777" w:rsidR="006B0E6A" w:rsidRPr="009E5026" w:rsidRDefault="006B0E6A" w:rsidP="002A447E">
            <w:pPr>
              <w:spacing w:line="480" w:lineRule="auto"/>
            </w:pPr>
            <w:r w:rsidRPr="009E5026">
              <w:t>6</w:t>
            </w:r>
          </w:p>
        </w:tc>
        <w:tc>
          <w:tcPr>
            <w:tcW w:w="1449" w:type="dxa"/>
          </w:tcPr>
          <w:p w14:paraId="5FD4E116" w14:textId="77777777" w:rsidR="006B0E6A" w:rsidRPr="009E5026" w:rsidRDefault="006B0E6A" w:rsidP="002A447E">
            <w:pPr>
              <w:spacing w:line="480" w:lineRule="auto"/>
            </w:pPr>
            <w:r w:rsidRPr="009E5026">
              <w:t>1</w:t>
            </w:r>
          </w:p>
        </w:tc>
        <w:tc>
          <w:tcPr>
            <w:tcW w:w="799" w:type="dxa"/>
          </w:tcPr>
          <w:p w14:paraId="04CBEA41" w14:textId="77777777" w:rsidR="006B0E6A" w:rsidRPr="009E5026" w:rsidRDefault="006B0E6A" w:rsidP="002A447E">
            <w:pPr>
              <w:spacing w:line="480" w:lineRule="auto"/>
            </w:pPr>
            <w:r w:rsidRPr="009E5026">
              <w:t>34</w:t>
            </w:r>
          </w:p>
        </w:tc>
      </w:tr>
      <w:tr w:rsidR="006B0E6A" w:rsidRPr="009E5026" w14:paraId="133AA2DA" w14:textId="77777777" w:rsidTr="006B0E6A">
        <w:tc>
          <w:tcPr>
            <w:tcW w:w="1405" w:type="dxa"/>
            <w:vMerge/>
          </w:tcPr>
          <w:p w14:paraId="2B86DA4A" w14:textId="7E24B649" w:rsidR="006B0E6A" w:rsidRPr="009E5026" w:rsidRDefault="006B0E6A" w:rsidP="002A447E">
            <w:pPr>
              <w:spacing w:line="480" w:lineRule="auto"/>
            </w:pPr>
          </w:p>
        </w:tc>
        <w:tc>
          <w:tcPr>
            <w:tcW w:w="1992" w:type="dxa"/>
            <w:shd w:val="clear" w:color="auto" w:fill="D0CECE" w:themeFill="background2" w:themeFillShade="E6"/>
          </w:tcPr>
          <w:p w14:paraId="00B0B665" w14:textId="1D1FBFF2" w:rsidR="006B0E6A" w:rsidRPr="009E5026" w:rsidRDefault="006B0E6A" w:rsidP="002A447E">
            <w:pPr>
              <w:spacing w:line="480" w:lineRule="auto"/>
            </w:pPr>
            <w:r w:rsidRPr="009E5026">
              <w:t>PCD highly unlikely</w:t>
            </w:r>
          </w:p>
        </w:tc>
        <w:tc>
          <w:tcPr>
            <w:tcW w:w="1123" w:type="dxa"/>
            <w:shd w:val="clear" w:color="auto" w:fill="D0CECE" w:themeFill="background2" w:themeFillShade="E6"/>
          </w:tcPr>
          <w:p w14:paraId="6F7115D5" w14:textId="779DED97" w:rsidR="006B0E6A" w:rsidRPr="009E5026" w:rsidRDefault="006B0E6A" w:rsidP="002A447E">
            <w:pPr>
              <w:spacing w:line="480" w:lineRule="auto"/>
            </w:pPr>
            <w:r w:rsidRPr="009E5026">
              <w:t>0</w:t>
            </w:r>
          </w:p>
        </w:tc>
        <w:tc>
          <w:tcPr>
            <w:tcW w:w="1124" w:type="dxa"/>
            <w:shd w:val="clear" w:color="auto" w:fill="D0CECE" w:themeFill="background2" w:themeFillShade="E6"/>
          </w:tcPr>
          <w:p w14:paraId="605F7B1F" w14:textId="77777777" w:rsidR="006B0E6A" w:rsidRPr="009E5026" w:rsidRDefault="006B0E6A" w:rsidP="002A447E">
            <w:pPr>
              <w:spacing w:line="480" w:lineRule="auto"/>
            </w:pPr>
            <w:r w:rsidRPr="009E5026">
              <w:t>24</w:t>
            </w:r>
          </w:p>
        </w:tc>
        <w:tc>
          <w:tcPr>
            <w:tcW w:w="1124" w:type="dxa"/>
          </w:tcPr>
          <w:p w14:paraId="4A034015" w14:textId="77777777" w:rsidR="006B0E6A" w:rsidRPr="009E5026" w:rsidRDefault="006B0E6A" w:rsidP="002A447E">
            <w:pPr>
              <w:spacing w:line="480" w:lineRule="auto"/>
            </w:pPr>
            <w:r w:rsidRPr="009E5026">
              <w:t>2</w:t>
            </w:r>
          </w:p>
        </w:tc>
        <w:tc>
          <w:tcPr>
            <w:tcW w:w="1449" w:type="dxa"/>
          </w:tcPr>
          <w:p w14:paraId="79BE4E13" w14:textId="77777777" w:rsidR="006B0E6A" w:rsidRPr="009E5026" w:rsidRDefault="006B0E6A" w:rsidP="002A447E">
            <w:pPr>
              <w:spacing w:line="480" w:lineRule="auto"/>
            </w:pPr>
            <w:r w:rsidRPr="009E5026">
              <w:t>21</w:t>
            </w:r>
          </w:p>
        </w:tc>
        <w:tc>
          <w:tcPr>
            <w:tcW w:w="799" w:type="dxa"/>
          </w:tcPr>
          <w:p w14:paraId="14C6370D" w14:textId="77777777" w:rsidR="006B0E6A" w:rsidRPr="009E5026" w:rsidRDefault="006B0E6A" w:rsidP="002A447E">
            <w:pPr>
              <w:spacing w:line="480" w:lineRule="auto"/>
            </w:pPr>
            <w:r w:rsidRPr="009E5026">
              <w:t>47</w:t>
            </w:r>
          </w:p>
        </w:tc>
      </w:tr>
      <w:tr w:rsidR="006B0E6A" w:rsidRPr="009E5026" w14:paraId="43EFA061" w14:textId="77777777" w:rsidTr="006B0E6A">
        <w:tc>
          <w:tcPr>
            <w:tcW w:w="1405" w:type="dxa"/>
            <w:vMerge/>
          </w:tcPr>
          <w:p w14:paraId="4B86305B" w14:textId="617E0BB6" w:rsidR="006B0E6A" w:rsidRPr="009E5026" w:rsidRDefault="006B0E6A" w:rsidP="002A447E">
            <w:pPr>
              <w:spacing w:line="480" w:lineRule="auto"/>
            </w:pPr>
          </w:p>
        </w:tc>
        <w:tc>
          <w:tcPr>
            <w:tcW w:w="1992" w:type="dxa"/>
          </w:tcPr>
          <w:p w14:paraId="5E1FC92D" w14:textId="2EC0FAAC" w:rsidR="006B0E6A" w:rsidRPr="009E5026" w:rsidRDefault="006B0E6A" w:rsidP="002A447E">
            <w:pPr>
              <w:spacing w:line="480" w:lineRule="auto"/>
            </w:pPr>
            <w:r w:rsidRPr="009E5026">
              <w:t>PCD highly likely</w:t>
            </w:r>
          </w:p>
        </w:tc>
        <w:tc>
          <w:tcPr>
            <w:tcW w:w="1123" w:type="dxa"/>
          </w:tcPr>
          <w:p w14:paraId="75F9DE82" w14:textId="1651E08A" w:rsidR="006B0E6A" w:rsidRPr="009E5026" w:rsidRDefault="006B0E6A" w:rsidP="002A447E">
            <w:pPr>
              <w:spacing w:line="480" w:lineRule="auto"/>
            </w:pPr>
            <w:r w:rsidRPr="009E5026">
              <w:t>7</w:t>
            </w:r>
          </w:p>
        </w:tc>
        <w:tc>
          <w:tcPr>
            <w:tcW w:w="1124" w:type="dxa"/>
          </w:tcPr>
          <w:p w14:paraId="0DDA1E0F" w14:textId="77777777" w:rsidR="006B0E6A" w:rsidRPr="009E5026" w:rsidRDefault="006B0E6A" w:rsidP="002A447E">
            <w:pPr>
              <w:spacing w:line="480" w:lineRule="auto"/>
            </w:pPr>
            <w:r w:rsidRPr="009E5026">
              <w:t>0</w:t>
            </w:r>
          </w:p>
        </w:tc>
        <w:tc>
          <w:tcPr>
            <w:tcW w:w="1124" w:type="dxa"/>
          </w:tcPr>
          <w:p w14:paraId="03BFF09B" w14:textId="77777777" w:rsidR="006B0E6A" w:rsidRPr="009E5026" w:rsidRDefault="006B0E6A" w:rsidP="002A447E">
            <w:pPr>
              <w:spacing w:line="480" w:lineRule="auto"/>
            </w:pPr>
            <w:r w:rsidRPr="009E5026">
              <w:t>5</w:t>
            </w:r>
          </w:p>
        </w:tc>
        <w:tc>
          <w:tcPr>
            <w:tcW w:w="1449" w:type="dxa"/>
          </w:tcPr>
          <w:p w14:paraId="757E24E6" w14:textId="77777777" w:rsidR="006B0E6A" w:rsidRPr="009E5026" w:rsidRDefault="006B0E6A" w:rsidP="002A447E">
            <w:pPr>
              <w:spacing w:line="480" w:lineRule="auto"/>
            </w:pPr>
            <w:r w:rsidRPr="009E5026">
              <w:t>6</w:t>
            </w:r>
          </w:p>
        </w:tc>
        <w:tc>
          <w:tcPr>
            <w:tcW w:w="799" w:type="dxa"/>
          </w:tcPr>
          <w:p w14:paraId="035A8D69" w14:textId="77777777" w:rsidR="006B0E6A" w:rsidRPr="009E5026" w:rsidRDefault="006B0E6A" w:rsidP="002A447E">
            <w:pPr>
              <w:spacing w:line="480" w:lineRule="auto"/>
            </w:pPr>
            <w:r w:rsidRPr="009E5026">
              <w:t>18</w:t>
            </w:r>
          </w:p>
        </w:tc>
      </w:tr>
      <w:tr w:rsidR="006B0E6A" w:rsidRPr="009E5026" w14:paraId="6765C5E8" w14:textId="77777777" w:rsidTr="006B0E6A">
        <w:tc>
          <w:tcPr>
            <w:tcW w:w="1405" w:type="dxa"/>
            <w:vMerge/>
          </w:tcPr>
          <w:p w14:paraId="5AE87BA8" w14:textId="30AF0EE8" w:rsidR="006B0E6A" w:rsidRPr="009E5026" w:rsidRDefault="006B0E6A" w:rsidP="002A447E">
            <w:pPr>
              <w:spacing w:line="480" w:lineRule="auto"/>
            </w:pPr>
          </w:p>
        </w:tc>
        <w:tc>
          <w:tcPr>
            <w:tcW w:w="1992" w:type="dxa"/>
          </w:tcPr>
          <w:p w14:paraId="3198BF81" w14:textId="5622F6CF" w:rsidR="006B0E6A" w:rsidRPr="009E5026" w:rsidRDefault="006B0E6A" w:rsidP="002A447E">
            <w:pPr>
              <w:spacing w:line="480" w:lineRule="auto"/>
            </w:pPr>
            <w:r w:rsidRPr="009E5026">
              <w:t>Inconclusive</w:t>
            </w:r>
          </w:p>
        </w:tc>
        <w:tc>
          <w:tcPr>
            <w:tcW w:w="1123" w:type="dxa"/>
          </w:tcPr>
          <w:p w14:paraId="23DCD4BE" w14:textId="0475ADCA" w:rsidR="006B0E6A" w:rsidRPr="009E5026" w:rsidRDefault="006B0E6A" w:rsidP="002A447E">
            <w:pPr>
              <w:spacing w:line="480" w:lineRule="auto"/>
            </w:pPr>
            <w:r w:rsidRPr="009E5026">
              <w:t>2</w:t>
            </w:r>
          </w:p>
        </w:tc>
        <w:tc>
          <w:tcPr>
            <w:tcW w:w="1124" w:type="dxa"/>
          </w:tcPr>
          <w:p w14:paraId="69DA4866" w14:textId="77777777" w:rsidR="006B0E6A" w:rsidRPr="009E5026" w:rsidRDefault="006B0E6A" w:rsidP="002A447E">
            <w:pPr>
              <w:spacing w:line="480" w:lineRule="auto"/>
            </w:pPr>
            <w:r w:rsidRPr="009E5026">
              <w:t>2</w:t>
            </w:r>
          </w:p>
        </w:tc>
        <w:tc>
          <w:tcPr>
            <w:tcW w:w="1124" w:type="dxa"/>
          </w:tcPr>
          <w:p w14:paraId="761866EA" w14:textId="77777777" w:rsidR="006B0E6A" w:rsidRPr="009E5026" w:rsidRDefault="006B0E6A" w:rsidP="002A447E">
            <w:pPr>
              <w:spacing w:line="480" w:lineRule="auto"/>
            </w:pPr>
            <w:r w:rsidRPr="009E5026">
              <w:t>3</w:t>
            </w:r>
          </w:p>
        </w:tc>
        <w:tc>
          <w:tcPr>
            <w:tcW w:w="1449" w:type="dxa"/>
          </w:tcPr>
          <w:p w14:paraId="2131147F" w14:textId="77777777" w:rsidR="006B0E6A" w:rsidRPr="009E5026" w:rsidRDefault="006B0E6A" w:rsidP="002A447E">
            <w:pPr>
              <w:spacing w:line="480" w:lineRule="auto"/>
            </w:pPr>
            <w:r w:rsidRPr="009E5026">
              <w:t>14</w:t>
            </w:r>
          </w:p>
        </w:tc>
        <w:tc>
          <w:tcPr>
            <w:tcW w:w="799" w:type="dxa"/>
          </w:tcPr>
          <w:p w14:paraId="72EC1EC8" w14:textId="77777777" w:rsidR="006B0E6A" w:rsidRPr="009E5026" w:rsidRDefault="006B0E6A" w:rsidP="002A447E">
            <w:pPr>
              <w:spacing w:line="480" w:lineRule="auto"/>
            </w:pPr>
            <w:r w:rsidRPr="009E5026">
              <w:t>21</w:t>
            </w:r>
          </w:p>
        </w:tc>
      </w:tr>
      <w:tr w:rsidR="006B0E6A" w:rsidRPr="009E5026" w14:paraId="454962AA" w14:textId="77777777" w:rsidTr="006B0E6A">
        <w:tc>
          <w:tcPr>
            <w:tcW w:w="1405" w:type="dxa"/>
            <w:vMerge/>
          </w:tcPr>
          <w:p w14:paraId="46663ACF" w14:textId="086E2C63" w:rsidR="006B0E6A" w:rsidRPr="009E5026" w:rsidRDefault="006B0E6A" w:rsidP="002A447E">
            <w:pPr>
              <w:spacing w:line="480" w:lineRule="auto"/>
            </w:pPr>
          </w:p>
        </w:tc>
        <w:tc>
          <w:tcPr>
            <w:tcW w:w="1992" w:type="dxa"/>
          </w:tcPr>
          <w:p w14:paraId="6F816765" w14:textId="5E283A6A" w:rsidR="006B0E6A" w:rsidRPr="009E5026" w:rsidRDefault="006B0E6A" w:rsidP="002A447E">
            <w:pPr>
              <w:spacing w:line="480" w:lineRule="auto"/>
            </w:pPr>
            <w:r w:rsidRPr="009E5026">
              <w:t>Total</w:t>
            </w:r>
          </w:p>
        </w:tc>
        <w:tc>
          <w:tcPr>
            <w:tcW w:w="1123" w:type="dxa"/>
          </w:tcPr>
          <w:p w14:paraId="5AEAF5C2" w14:textId="4BF77647" w:rsidR="006B0E6A" w:rsidRPr="009E5026" w:rsidRDefault="006B0E6A" w:rsidP="002A447E">
            <w:pPr>
              <w:spacing w:line="480" w:lineRule="auto"/>
            </w:pPr>
            <w:r w:rsidRPr="009E5026">
              <w:t>36</w:t>
            </w:r>
          </w:p>
        </w:tc>
        <w:tc>
          <w:tcPr>
            <w:tcW w:w="1124" w:type="dxa"/>
          </w:tcPr>
          <w:p w14:paraId="02E2F629" w14:textId="77777777" w:rsidR="006B0E6A" w:rsidRPr="009E5026" w:rsidRDefault="006B0E6A" w:rsidP="002A447E">
            <w:pPr>
              <w:spacing w:line="480" w:lineRule="auto"/>
            </w:pPr>
            <w:r w:rsidRPr="009E5026">
              <w:t>26</w:t>
            </w:r>
          </w:p>
        </w:tc>
        <w:tc>
          <w:tcPr>
            <w:tcW w:w="1124" w:type="dxa"/>
          </w:tcPr>
          <w:p w14:paraId="580A3ED6" w14:textId="77777777" w:rsidR="006B0E6A" w:rsidRPr="009E5026" w:rsidRDefault="006B0E6A" w:rsidP="002A447E">
            <w:pPr>
              <w:spacing w:line="480" w:lineRule="auto"/>
            </w:pPr>
            <w:r w:rsidRPr="009E5026">
              <w:t>16</w:t>
            </w:r>
          </w:p>
        </w:tc>
        <w:tc>
          <w:tcPr>
            <w:tcW w:w="1449" w:type="dxa"/>
          </w:tcPr>
          <w:p w14:paraId="1C197D93" w14:textId="77777777" w:rsidR="006B0E6A" w:rsidRPr="009E5026" w:rsidRDefault="006B0E6A" w:rsidP="002A447E">
            <w:pPr>
              <w:spacing w:line="480" w:lineRule="auto"/>
            </w:pPr>
            <w:r w:rsidRPr="009E5026">
              <w:t>42</w:t>
            </w:r>
          </w:p>
        </w:tc>
        <w:tc>
          <w:tcPr>
            <w:tcW w:w="799" w:type="dxa"/>
          </w:tcPr>
          <w:p w14:paraId="18F3351D" w14:textId="77777777" w:rsidR="006B0E6A" w:rsidRPr="009E5026" w:rsidRDefault="006B0E6A" w:rsidP="002A447E">
            <w:pPr>
              <w:spacing w:line="480" w:lineRule="auto"/>
            </w:pPr>
            <w:r w:rsidRPr="009E5026">
              <w:t>120</w:t>
            </w:r>
          </w:p>
        </w:tc>
      </w:tr>
    </w:tbl>
    <w:p w14:paraId="2B5AF863" w14:textId="77777777" w:rsidR="0028613C" w:rsidRPr="009E5026" w:rsidRDefault="0028613C" w:rsidP="0028613C">
      <w:pPr>
        <w:spacing w:line="480" w:lineRule="auto"/>
      </w:pPr>
    </w:p>
    <w:p w14:paraId="17F173C0" w14:textId="64354FCC" w:rsidR="0028613C" w:rsidRPr="009E5026" w:rsidRDefault="00D526DD" w:rsidP="0028613C">
      <w:pPr>
        <w:spacing w:line="480" w:lineRule="auto"/>
      </w:pPr>
      <w:r w:rsidRPr="009E5026">
        <w:rPr>
          <w:b/>
        </w:rPr>
        <w:t>Supplementary t</w:t>
      </w:r>
      <w:r w:rsidR="0028613C" w:rsidRPr="009E5026">
        <w:rPr>
          <w:b/>
        </w:rPr>
        <w:t xml:space="preserve">able </w:t>
      </w:r>
      <w:r w:rsidRPr="009E5026">
        <w:rPr>
          <w:b/>
        </w:rPr>
        <w:t>S</w:t>
      </w:r>
      <w:r w:rsidR="0028613C" w:rsidRPr="009E5026">
        <w:rPr>
          <w:b/>
        </w:rPr>
        <w:t>3.</w:t>
      </w:r>
      <w:r w:rsidR="0028613C" w:rsidRPr="009E5026">
        <w:t xml:space="preserve"> Diagnostic outcomes decisions made by each of the three HSVA scientists (i.e. scientist 1-3, n=120 for each) compared to the original diagnostic decision made by the MDT. </w:t>
      </w:r>
    </w:p>
    <w:tbl>
      <w:tblPr>
        <w:tblStyle w:val="TableGrid"/>
        <w:tblW w:w="0" w:type="auto"/>
        <w:tblLook w:val="04A0" w:firstRow="1" w:lastRow="0" w:firstColumn="1" w:lastColumn="0" w:noHBand="0" w:noVBand="1"/>
      </w:tblPr>
      <w:tblGrid>
        <w:gridCol w:w="1478"/>
        <w:gridCol w:w="1636"/>
        <w:gridCol w:w="1475"/>
        <w:gridCol w:w="1476"/>
        <w:gridCol w:w="1475"/>
        <w:gridCol w:w="1476"/>
      </w:tblGrid>
      <w:tr w:rsidR="00FA5D5B" w:rsidRPr="009E5026" w14:paraId="2E89C30C" w14:textId="77777777" w:rsidTr="00FA5D5B">
        <w:tc>
          <w:tcPr>
            <w:tcW w:w="3114" w:type="dxa"/>
            <w:gridSpan w:val="2"/>
            <w:vMerge w:val="restart"/>
          </w:tcPr>
          <w:p w14:paraId="6E5742DA" w14:textId="77777777" w:rsidR="00FA5D5B" w:rsidRPr="009E5026" w:rsidRDefault="00FA5D5B" w:rsidP="002A447E">
            <w:pPr>
              <w:spacing w:line="480" w:lineRule="auto"/>
              <w:jc w:val="center"/>
              <w:rPr>
                <w:b/>
              </w:rPr>
            </w:pPr>
          </w:p>
        </w:tc>
        <w:tc>
          <w:tcPr>
            <w:tcW w:w="5902" w:type="dxa"/>
            <w:gridSpan w:val="4"/>
          </w:tcPr>
          <w:p w14:paraId="7F31A4BC" w14:textId="3B4C048C" w:rsidR="00FA5D5B" w:rsidRPr="009E5026" w:rsidRDefault="00FA5D5B" w:rsidP="002A447E">
            <w:pPr>
              <w:spacing w:line="480" w:lineRule="auto"/>
              <w:jc w:val="center"/>
              <w:rPr>
                <w:b/>
              </w:rPr>
            </w:pPr>
            <w:r w:rsidRPr="009E5026">
              <w:rPr>
                <w:b/>
              </w:rPr>
              <w:t>Outcomes based on the expert MDT decision</w:t>
            </w:r>
          </w:p>
        </w:tc>
      </w:tr>
      <w:tr w:rsidR="00FA5D5B" w:rsidRPr="009E5026" w14:paraId="47569CE7" w14:textId="77777777" w:rsidTr="00FA5D5B">
        <w:tc>
          <w:tcPr>
            <w:tcW w:w="3114" w:type="dxa"/>
            <w:gridSpan w:val="2"/>
            <w:vMerge/>
          </w:tcPr>
          <w:p w14:paraId="0C2184F3" w14:textId="77777777" w:rsidR="00FA5D5B" w:rsidRPr="009E5026" w:rsidRDefault="00FA5D5B" w:rsidP="002A447E">
            <w:pPr>
              <w:spacing w:line="480" w:lineRule="auto"/>
            </w:pPr>
          </w:p>
        </w:tc>
        <w:tc>
          <w:tcPr>
            <w:tcW w:w="1475" w:type="dxa"/>
          </w:tcPr>
          <w:p w14:paraId="57F82187" w14:textId="24AC96CA" w:rsidR="00FA5D5B" w:rsidRPr="009E5026" w:rsidRDefault="00FA5D5B" w:rsidP="002A447E">
            <w:pPr>
              <w:spacing w:line="480" w:lineRule="auto"/>
            </w:pPr>
            <w:r w:rsidRPr="009E5026">
              <w:t>PCD positive*</w:t>
            </w:r>
          </w:p>
        </w:tc>
        <w:tc>
          <w:tcPr>
            <w:tcW w:w="1476" w:type="dxa"/>
          </w:tcPr>
          <w:p w14:paraId="652B0EE2" w14:textId="77777777" w:rsidR="00FA5D5B" w:rsidRPr="009E5026" w:rsidRDefault="00FA5D5B" w:rsidP="002A447E">
            <w:pPr>
              <w:spacing w:line="480" w:lineRule="auto"/>
            </w:pPr>
            <w:r w:rsidRPr="009E5026">
              <w:t>PCD highly unlikely</w:t>
            </w:r>
          </w:p>
        </w:tc>
        <w:tc>
          <w:tcPr>
            <w:tcW w:w="1475" w:type="dxa"/>
          </w:tcPr>
          <w:p w14:paraId="3FE6E1F2" w14:textId="77777777" w:rsidR="00FA5D5B" w:rsidRPr="009E5026" w:rsidRDefault="00FA5D5B" w:rsidP="002A447E">
            <w:pPr>
              <w:spacing w:line="480" w:lineRule="auto"/>
            </w:pPr>
            <w:r w:rsidRPr="009E5026">
              <w:t>Inconclusive</w:t>
            </w:r>
          </w:p>
        </w:tc>
        <w:tc>
          <w:tcPr>
            <w:tcW w:w="1476" w:type="dxa"/>
          </w:tcPr>
          <w:p w14:paraId="1776E5B2" w14:textId="77777777" w:rsidR="00FA5D5B" w:rsidRPr="009E5026" w:rsidRDefault="00FA5D5B" w:rsidP="002A447E">
            <w:pPr>
              <w:spacing w:line="480" w:lineRule="auto"/>
            </w:pPr>
            <w:r w:rsidRPr="009E5026">
              <w:t>Total</w:t>
            </w:r>
          </w:p>
        </w:tc>
      </w:tr>
      <w:tr w:rsidR="00FA5D5B" w:rsidRPr="009E5026" w14:paraId="0CA24D04" w14:textId="77777777" w:rsidTr="00FA5D5B">
        <w:tc>
          <w:tcPr>
            <w:tcW w:w="1478" w:type="dxa"/>
            <w:vMerge w:val="restart"/>
            <w:textDirection w:val="btLr"/>
          </w:tcPr>
          <w:p w14:paraId="60CE2F72" w14:textId="35DEF797" w:rsidR="00FA5D5B" w:rsidRPr="009E5026" w:rsidRDefault="00FA5D5B" w:rsidP="00FA5D5B">
            <w:pPr>
              <w:spacing w:line="480" w:lineRule="auto"/>
              <w:ind w:left="113" w:right="113"/>
              <w:jc w:val="center"/>
              <w:rPr>
                <w:b/>
              </w:rPr>
            </w:pPr>
            <w:r w:rsidRPr="009E5026">
              <w:rPr>
                <w:b/>
              </w:rPr>
              <w:t>Outcomes by scientist 1</w:t>
            </w:r>
          </w:p>
        </w:tc>
        <w:tc>
          <w:tcPr>
            <w:tcW w:w="1636" w:type="dxa"/>
            <w:shd w:val="clear" w:color="auto" w:fill="auto"/>
          </w:tcPr>
          <w:p w14:paraId="06B50F0F" w14:textId="11DAC2EE" w:rsidR="00FA5D5B" w:rsidRPr="009E5026" w:rsidRDefault="00FA5D5B" w:rsidP="002A447E">
            <w:pPr>
              <w:spacing w:line="480" w:lineRule="auto"/>
            </w:pPr>
            <w:r w:rsidRPr="009E5026">
              <w:t>Positive*</w:t>
            </w:r>
          </w:p>
        </w:tc>
        <w:tc>
          <w:tcPr>
            <w:tcW w:w="1475" w:type="dxa"/>
            <w:shd w:val="clear" w:color="auto" w:fill="D0CECE" w:themeFill="background2" w:themeFillShade="E6"/>
          </w:tcPr>
          <w:p w14:paraId="60FF06F9" w14:textId="7CF60F47" w:rsidR="00FA5D5B" w:rsidRPr="009E5026" w:rsidRDefault="00FA5D5B" w:rsidP="002A447E">
            <w:pPr>
              <w:spacing w:line="480" w:lineRule="auto"/>
            </w:pPr>
            <w:r w:rsidRPr="009E5026">
              <w:t>49</w:t>
            </w:r>
          </w:p>
        </w:tc>
        <w:tc>
          <w:tcPr>
            <w:tcW w:w="1476" w:type="dxa"/>
            <w:shd w:val="clear" w:color="auto" w:fill="D0CECE" w:themeFill="background2" w:themeFillShade="E6"/>
          </w:tcPr>
          <w:p w14:paraId="32BB6124" w14:textId="77777777" w:rsidR="00FA5D5B" w:rsidRPr="009E5026" w:rsidRDefault="00FA5D5B" w:rsidP="002A447E">
            <w:pPr>
              <w:spacing w:line="480" w:lineRule="auto"/>
            </w:pPr>
            <w:r w:rsidRPr="009E5026">
              <w:t>0</w:t>
            </w:r>
          </w:p>
        </w:tc>
        <w:tc>
          <w:tcPr>
            <w:tcW w:w="1475" w:type="dxa"/>
          </w:tcPr>
          <w:p w14:paraId="598A5E05" w14:textId="77777777" w:rsidR="00FA5D5B" w:rsidRPr="009E5026" w:rsidRDefault="00FA5D5B" w:rsidP="002A447E">
            <w:pPr>
              <w:spacing w:line="480" w:lineRule="auto"/>
            </w:pPr>
            <w:r w:rsidRPr="009E5026">
              <w:t>2</w:t>
            </w:r>
          </w:p>
        </w:tc>
        <w:tc>
          <w:tcPr>
            <w:tcW w:w="1476" w:type="dxa"/>
          </w:tcPr>
          <w:p w14:paraId="2C45CBA5" w14:textId="77777777" w:rsidR="00FA5D5B" w:rsidRPr="009E5026" w:rsidRDefault="00FA5D5B" w:rsidP="002A447E">
            <w:pPr>
              <w:spacing w:line="480" w:lineRule="auto"/>
            </w:pPr>
            <w:r w:rsidRPr="009E5026">
              <w:t>51</w:t>
            </w:r>
          </w:p>
        </w:tc>
      </w:tr>
      <w:tr w:rsidR="00FA5D5B" w:rsidRPr="009E5026" w14:paraId="2799E8E3" w14:textId="77777777" w:rsidTr="00FA5D5B">
        <w:tc>
          <w:tcPr>
            <w:tcW w:w="1478" w:type="dxa"/>
            <w:vMerge/>
          </w:tcPr>
          <w:p w14:paraId="49713E49" w14:textId="019F6696" w:rsidR="00FA5D5B" w:rsidRPr="009E5026" w:rsidRDefault="00FA5D5B" w:rsidP="002A447E">
            <w:pPr>
              <w:spacing w:line="480" w:lineRule="auto"/>
            </w:pPr>
          </w:p>
        </w:tc>
        <w:tc>
          <w:tcPr>
            <w:tcW w:w="1636" w:type="dxa"/>
            <w:shd w:val="clear" w:color="auto" w:fill="auto"/>
          </w:tcPr>
          <w:p w14:paraId="4619E58D" w14:textId="55F451C5" w:rsidR="00FA5D5B" w:rsidRPr="009E5026" w:rsidRDefault="00FA5D5B" w:rsidP="002A447E">
            <w:pPr>
              <w:spacing w:line="480" w:lineRule="auto"/>
            </w:pPr>
            <w:r w:rsidRPr="009E5026">
              <w:t>Highly unlikely</w:t>
            </w:r>
          </w:p>
        </w:tc>
        <w:tc>
          <w:tcPr>
            <w:tcW w:w="1475" w:type="dxa"/>
            <w:shd w:val="clear" w:color="auto" w:fill="D0CECE" w:themeFill="background2" w:themeFillShade="E6"/>
          </w:tcPr>
          <w:p w14:paraId="186F5A54" w14:textId="6B0F5417" w:rsidR="00FA5D5B" w:rsidRPr="009E5026" w:rsidRDefault="00FA5D5B" w:rsidP="002A447E">
            <w:pPr>
              <w:spacing w:line="480" w:lineRule="auto"/>
            </w:pPr>
            <w:r w:rsidRPr="009E5026">
              <w:t>2</w:t>
            </w:r>
          </w:p>
        </w:tc>
        <w:tc>
          <w:tcPr>
            <w:tcW w:w="1476" w:type="dxa"/>
            <w:shd w:val="clear" w:color="auto" w:fill="D0CECE" w:themeFill="background2" w:themeFillShade="E6"/>
          </w:tcPr>
          <w:p w14:paraId="02E8F9E6" w14:textId="77777777" w:rsidR="00FA5D5B" w:rsidRPr="009E5026" w:rsidRDefault="00FA5D5B" w:rsidP="002A447E">
            <w:pPr>
              <w:spacing w:line="480" w:lineRule="auto"/>
            </w:pPr>
            <w:r w:rsidRPr="009E5026">
              <w:t>26</w:t>
            </w:r>
          </w:p>
        </w:tc>
        <w:tc>
          <w:tcPr>
            <w:tcW w:w="1475" w:type="dxa"/>
          </w:tcPr>
          <w:p w14:paraId="3EC79491" w14:textId="77777777" w:rsidR="00FA5D5B" w:rsidRPr="009E5026" w:rsidRDefault="00FA5D5B" w:rsidP="002A447E">
            <w:pPr>
              <w:spacing w:line="480" w:lineRule="auto"/>
            </w:pPr>
            <w:r w:rsidRPr="009E5026">
              <w:t>8</w:t>
            </w:r>
          </w:p>
        </w:tc>
        <w:tc>
          <w:tcPr>
            <w:tcW w:w="1476" w:type="dxa"/>
          </w:tcPr>
          <w:p w14:paraId="099B585F" w14:textId="77777777" w:rsidR="00FA5D5B" w:rsidRPr="009E5026" w:rsidRDefault="00FA5D5B" w:rsidP="002A447E">
            <w:pPr>
              <w:spacing w:line="480" w:lineRule="auto"/>
            </w:pPr>
            <w:r w:rsidRPr="009E5026">
              <w:t>36</w:t>
            </w:r>
          </w:p>
        </w:tc>
      </w:tr>
      <w:tr w:rsidR="00FA5D5B" w:rsidRPr="009E5026" w14:paraId="7DC241CD" w14:textId="77777777" w:rsidTr="00FA5D5B">
        <w:tc>
          <w:tcPr>
            <w:tcW w:w="1478" w:type="dxa"/>
            <w:vMerge/>
          </w:tcPr>
          <w:p w14:paraId="56882507" w14:textId="248CA312" w:rsidR="00FA5D5B" w:rsidRPr="009E5026" w:rsidRDefault="00FA5D5B" w:rsidP="002A447E">
            <w:pPr>
              <w:spacing w:line="480" w:lineRule="auto"/>
            </w:pPr>
          </w:p>
        </w:tc>
        <w:tc>
          <w:tcPr>
            <w:tcW w:w="1636" w:type="dxa"/>
          </w:tcPr>
          <w:p w14:paraId="027FD0FA" w14:textId="4C1A144A" w:rsidR="00FA5D5B" w:rsidRPr="009E5026" w:rsidRDefault="00FA5D5B" w:rsidP="002A447E">
            <w:pPr>
              <w:spacing w:line="480" w:lineRule="auto"/>
            </w:pPr>
            <w:r w:rsidRPr="009E5026">
              <w:t>Inconclusive</w:t>
            </w:r>
          </w:p>
        </w:tc>
        <w:tc>
          <w:tcPr>
            <w:tcW w:w="1475" w:type="dxa"/>
          </w:tcPr>
          <w:p w14:paraId="40017235" w14:textId="6A881AFA" w:rsidR="00FA5D5B" w:rsidRPr="009E5026" w:rsidRDefault="00FA5D5B" w:rsidP="002A447E">
            <w:pPr>
              <w:spacing w:line="480" w:lineRule="auto"/>
            </w:pPr>
            <w:r w:rsidRPr="009E5026">
              <w:t>8</w:t>
            </w:r>
          </w:p>
        </w:tc>
        <w:tc>
          <w:tcPr>
            <w:tcW w:w="1476" w:type="dxa"/>
          </w:tcPr>
          <w:p w14:paraId="12872DFA" w14:textId="77777777" w:rsidR="00FA5D5B" w:rsidRPr="009E5026" w:rsidRDefault="00FA5D5B" w:rsidP="002A447E">
            <w:pPr>
              <w:spacing w:line="480" w:lineRule="auto"/>
            </w:pPr>
            <w:r w:rsidRPr="009E5026">
              <w:t>10</w:t>
            </w:r>
          </w:p>
        </w:tc>
        <w:tc>
          <w:tcPr>
            <w:tcW w:w="1475" w:type="dxa"/>
          </w:tcPr>
          <w:p w14:paraId="66FB97AD" w14:textId="77777777" w:rsidR="00FA5D5B" w:rsidRPr="009E5026" w:rsidRDefault="00FA5D5B" w:rsidP="002A447E">
            <w:pPr>
              <w:spacing w:line="480" w:lineRule="auto"/>
            </w:pPr>
            <w:r w:rsidRPr="009E5026">
              <w:t>15</w:t>
            </w:r>
          </w:p>
        </w:tc>
        <w:tc>
          <w:tcPr>
            <w:tcW w:w="1476" w:type="dxa"/>
          </w:tcPr>
          <w:p w14:paraId="5CF6A91A" w14:textId="77777777" w:rsidR="00FA5D5B" w:rsidRPr="009E5026" w:rsidRDefault="00FA5D5B" w:rsidP="002A447E">
            <w:pPr>
              <w:spacing w:line="480" w:lineRule="auto"/>
            </w:pPr>
            <w:r w:rsidRPr="009E5026">
              <w:t>33</w:t>
            </w:r>
          </w:p>
        </w:tc>
      </w:tr>
      <w:tr w:rsidR="00FA5D5B" w:rsidRPr="009E5026" w14:paraId="2520A03C" w14:textId="77777777" w:rsidTr="00FA5D5B">
        <w:tc>
          <w:tcPr>
            <w:tcW w:w="1478" w:type="dxa"/>
            <w:vMerge/>
          </w:tcPr>
          <w:p w14:paraId="2063633D" w14:textId="7D1909F6" w:rsidR="00FA5D5B" w:rsidRPr="009E5026" w:rsidRDefault="00FA5D5B" w:rsidP="002A447E">
            <w:pPr>
              <w:spacing w:line="480" w:lineRule="auto"/>
            </w:pPr>
          </w:p>
        </w:tc>
        <w:tc>
          <w:tcPr>
            <w:tcW w:w="1636" w:type="dxa"/>
          </w:tcPr>
          <w:p w14:paraId="6E7B29AF" w14:textId="4A9FDB16" w:rsidR="00FA5D5B" w:rsidRPr="009E5026" w:rsidRDefault="00FA5D5B" w:rsidP="002A447E">
            <w:pPr>
              <w:spacing w:line="480" w:lineRule="auto"/>
            </w:pPr>
            <w:r w:rsidRPr="009E5026">
              <w:t>Total</w:t>
            </w:r>
          </w:p>
        </w:tc>
        <w:tc>
          <w:tcPr>
            <w:tcW w:w="1475" w:type="dxa"/>
          </w:tcPr>
          <w:p w14:paraId="1FE2E81D" w14:textId="7C80A65D" w:rsidR="00FA5D5B" w:rsidRPr="009E5026" w:rsidRDefault="00FA5D5B" w:rsidP="002A447E">
            <w:pPr>
              <w:spacing w:line="480" w:lineRule="auto"/>
            </w:pPr>
            <w:r w:rsidRPr="009E5026">
              <w:t>59</w:t>
            </w:r>
          </w:p>
        </w:tc>
        <w:tc>
          <w:tcPr>
            <w:tcW w:w="1476" w:type="dxa"/>
          </w:tcPr>
          <w:p w14:paraId="5EEF68EA" w14:textId="77777777" w:rsidR="00FA5D5B" w:rsidRPr="009E5026" w:rsidRDefault="00FA5D5B" w:rsidP="002A447E">
            <w:pPr>
              <w:spacing w:line="480" w:lineRule="auto"/>
            </w:pPr>
            <w:r w:rsidRPr="009E5026">
              <w:t>36</w:t>
            </w:r>
          </w:p>
        </w:tc>
        <w:tc>
          <w:tcPr>
            <w:tcW w:w="1475" w:type="dxa"/>
          </w:tcPr>
          <w:p w14:paraId="2198C4AF" w14:textId="77777777" w:rsidR="00FA5D5B" w:rsidRPr="009E5026" w:rsidRDefault="00FA5D5B" w:rsidP="002A447E">
            <w:pPr>
              <w:spacing w:line="480" w:lineRule="auto"/>
            </w:pPr>
            <w:r w:rsidRPr="009E5026">
              <w:t>25</w:t>
            </w:r>
          </w:p>
        </w:tc>
        <w:tc>
          <w:tcPr>
            <w:tcW w:w="1476" w:type="dxa"/>
          </w:tcPr>
          <w:p w14:paraId="7CBE21B9" w14:textId="77777777" w:rsidR="00FA5D5B" w:rsidRPr="009E5026" w:rsidRDefault="00FA5D5B" w:rsidP="002A447E">
            <w:pPr>
              <w:spacing w:line="480" w:lineRule="auto"/>
            </w:pPr>
            <w:r w:rsidRPr="009E5026">
              <w:t>120</w:t>
            </w:r>
          </w:p>
        </w:tc>
      </w:tr>
      <w:tr w:rsidR="00FA5D5B" w:rsidRPr="009E5026" w14:paraId="4FC7E98E" w14:textId="77777777" w:rsidTr="006B0E6A">
        <w:tc>
          <w:tcPr>
            <w:tcW w:w="3114" w:type="dxa"/>
            <w:gridSpan w:val="2"/>
          </w:tcPr>
          <w:p w14:paraId="090A4165" w14:textId="77777777" w:rsidR="00FA5D5B" w:rsidRPr="009E5026" w:rsidRDefault="00FA5D5B" w:rsidP="002A447E">
            <w:pPr>
              <w:spacing w:line="480" w:lineRule="auto"/>
            </w:pPr>
          </w:p>
        </w:tc>
        <w:tc>
          <w:tcPr>
            <w:tcW w:w="1475" w:type="dxa"/>
          </w:tcPr>
          <w:p w14:paraId="471EBA8D" w14:textId="05FAFEB6" w:rsidR="00FA5D5B" w:rsidRPr="009E5026" w:rsidRDefault="00FA5D5B" w:rsidP="002A447E">
            <w:pPr>
              <w:spacing w:line="480" w:lineRule="auto"/>
            </w:pPr>
            <w:r w:rsidRPr="009E5026">
              <w:t>PCD positive*</w:t>
            </w:r>
          </w:p>
        </w:tc>
        <w:tc>
          <w:tcPr>
            <w:tcW w:w="1476" w:type="dxa"/>
          </w:tcPr>
          <w:p w14:paraId="00E781AD" w14:textId="77777777" w:rsidR="00FA5D5B" w:rsidRPr="009E5026" w:rsidRDefault="00FA5D5B" w:rsidP="002A447E">
            <w:pPr>
              <w:spacing w:line="480" w:lineRule="auto"/>
            </w:pPr>
            <w:r w:rsidRPr="009E5026">
              <w:t>PCD highly unlikely</w:t>
            </w:r>
          </w:p>
        </w:tc>
        <w:tc>
          <w:tcPr>
            <w:tcW w:w="1475" w:type="dxa"/>
          </w:tcPr>
          <w:p w14:paraId="4C668424" w14:textId="77777777" w:rsidR="00FA5D5B" w:rsidRPr="009E5026" w:rsidRDefault="00FA5D5B" w:rsidP="002A447E">
            <w:pPr>
              <w:spacing w:line="480" w:lineRule="auto"/>
            </w:pPr>
            <w:r w:rsidRPr="009E5026">
              <w:t>Inconclusive</w:t>
            </w:r>
          </w:p>
        </w:tc>
        <w:tc>
          <w:tcPr>
            <w:tcW w:w="1476" w:type="dxa"/>
          </w:tcPr>
          <w:p w14:paraId="13E83F0F" w14:textId="77777777" w:rsidR="00FA5D5B" w:rsidRPr="009E5026" w:rsidRDefault="00FA5D5B" w:rsidP="002A447E">
            <w:pPr>
              <w:spacing w:line="480" w:lineRule="auto"/>
            </w:pPr>
            <w:r w:rsidRPr="009E5026">
              <w:t>Total</w:t>
            </w:r>
          </w:p>
        </w:tc>
      </w:tr>
      <w:tr w:rsidR="00FA5D5B" w:rsidRPr="009E5026" w14:paraId="4B8524DC" w14:textId="77777777" w:rsidTr="00FA5D5B">
        <w:tc>
          <w:tcPr>
            <w:tcW w:w="1478" w:type="dxa"/>
            <w:vMerge w:val="restart"/>
            <w:textDirection w:val="btLr"/>
          </w:tcPr>
          <w:p w14:paraId="4357D4E3" w14:textId="7EC48A22" w:rsidR="00FA5D5B" w:rsidRPr="009E5026" w:rsidRDefault="00FA5D5B" w:rsidP="00FA5D5B">
            <w:pPr>
              <w:spacing w:line="480" w:lineRule="auto"/>
              <w:ind w:left="113" w:right="113"/>
              <w:jc w:val="center"/>
              <w:rPr>
                <w:b/>
              </w:rPr>
            </w:pPr>
            <w:r w:rsidRPr="009E5026">
              <w:rPr>
                <w:b/>
              </w:rPr>
              <w:t>Outcomes by scientist 2</w:t>
            </w:r>
          </w:p>
        </w:tc>
        <w:tc>
          <w:tcPr>
            <w:tcW w:w="1636" w:type="dxa"/>
            <w:shd w:val="clear" w:color="auto" w:fill="auto"/>
          </w:tcPr>
          <w:p w14:paraId="40D5A098" w14:textId="2C0AC093" w:rsidR="00FA5D5B" w:rsidRPr="009E5026" w:rsidRDefault="00FA5D5B" w:rsidP="002A447E">
            <w:pPr>
              <w:spacing w:line="480" w:lineRule="auto"/>
            </w:pPr>
            <w:r w:rsidRPr="009E5026">
              <w:t>Positive*</w:t>
            </w:r>
          </w:p>
        </w:tc>
        <w:tc>
          <w:tcPr>
            <w:tcW w:w="1475" w:type="dxa"/>
            <w:shd w:val="clear" w:color="auto" w:fill="D0CECE" w:themeFill="background2" w:themeFillShade="E6"/>
          </w:tcPr>
          <w:p w14:paraId="1B8EDC50" w14:textId="697B78C9" w:rsidR="00FA5D5B" w:rsidRPr="009E5026" w:rsidRDefault="00FA5D5B" w:rsidP="002A447E">
            <w:pPr>
              <w:spacing w:line="480" w:lineRule="auto"/>
            </w:pPr>
            <w:r w:rsidRPr="009E5026">
              <w:t>55</w:t>
            </w:r>
          </w:p>
        </w:tc>
        <w:tc>
          <w:tcPr>
            <w:tcW w:w="1476" w:type="dxa"/>
            <w:shd w:val="clear" w:color="auto" w:fill="D0CECE" w:themeFill="background2" w:themeFillShade="E6"/>
          </w:tcPr>
          <w:p w14:paraId="52A6A65A" w14:textId="77777777" w:rsidR="00FA5D5B" w:rsidRPr="009E5026" w:rsidRDefault="00FA5D5B" w:rsidP="002A447E">
            <w:pPr>
              <w:spacing w:line="480" w:lineRule="auto"/>
            </w:pPr>
            <w:r w:rsidRPr="009E5026">
              <w:t>7</w:t>
            </w:r>
          </w:p>
        </w:tc>
        <w:tc>
          <w:tcPr>
            <w:tcW w:w="1475" w:type="dxa"/>
          </w:tcPr>
          <w:p w14:paraId="5E48BADD" w14:textId="77777777" w:rsidR="00FA5D5B" w:rsidRPr="009E5026" w:rsidRDefault="00FA5D5B" w:rsidP="002A447E">
            <w:pPr>
              <w:spacing w:line="480" w:lineRule="auto"/>
            </w:pPr>
            <w:r w:rsidRPr="009E5026">
              <w:t>11</w:t>
            </w:r>
          </w:p>
        </w:tc>
        <w:tc>
          <w:tcPr>
            <w:tcW w:w="1476" w:type="dxa"/>
          </w:tcPr>
          <w:p w14:paraId="273586E7" w14:textId="77777777" w:rsidR="00FA5D5B" w:rsidRPr="009E5026" w:rsidRDefault="00FA5D5B" w:rsidP="002A447E">
            <w:pPr>
              <w:spacing w:line="480" w:lineRule="auto"/>
            </w:pPr>
            <w:r w:rsidRPr="009E5026">
              <w:t>73</w:t>
            </w:r>
          </w:p>
        </w:tc>
      </w:tr>
      <w:tr w:rsidR="00FA5D5B" w:rsidRPr="009E5026" w14:paraId="2B525657" w14:textId="77777777" w:rsidTr="00FA5D5B">
        <w:tc>
          <w:tcPr>
            <w:tcW w:w="1478" w:type="dxa"/>
            <w:vMerge/>
          </w:tcPr>
          <w:p w14:paraId="4DE3D6B3" w14:textId="7B132FC5" w:rsidR="00FA5D5B" w:rsidRPr="009E5026" w:rsidRDefault="00FA5D5B" w:rsidP="002A447E">
            <w:pPr>
              <w:spacing w:line="480" w:lineRule="auto"/>
            </w:pPr>
          </w:p>
        </w:tc>
        <w:tc>
          <w:tcPr>
            <w:tcW w:w="1636" w:type="dxa"/>
            <w:shd w:val="clear" w:color="auto" w:fill="auto"/>
          </w:tcPr>
          <w:p w14:paraId="3F5C92A6" w14:textId="58A2ACD3" w:rsidR="00FA5D5B" w:rsidRPr="009E5026" w:rsidRDefault="00FA5D5B" w:rsidP="002A447E">
            <w:pPr>
              <w:spacing w:line="480" w:lineRule="auto"/>
            </w:pPr>
            <w:r w:rsidRPr="009E5026">
              <w:t>Highly unlikely</w:t>
            </w:r>
          </w:p>
        </w:tc>
        <w:tc>
          <w:tcPr>
            <w:tcW w:w="1475" w:type="dxa"/>
            <w:shd w:val="clear" w:color="auto" w:fill="D0CECE" w:themeFill="background2" w:themeFillShade="E6"/>
          </w:tcPr>
          <w:p w14:paraId="38B07582" w14:textId="5E7EBE6F" w:rsidR="00FA5D5B" w:rsidRPr="009E5026" w:rsidRDefault="00FA5D5B" w:rsidP="002A447E">
            <w:pPr>
              <w:spacing w:line="480" w:lineRule="auto"/>
            </w:pPr>
            <w:r w:rsidRPr="009E5026">
              <w:t>0</w:t>
            </w:r>
          </w:p>
        </w:tc>
        <w:tc>
          <w:tcPr>
            <w:tcW w:w="1476" w:type="dxa"/>
            <w:shd w:val="clear" w:color="auto" w:fill="D0CECE" w:themeFill="background2" w:themeFillShade="E6"/>
          </w:tcPr>
          <w:p w14:paraId="6498C5F4" w14:textId="77777777" w:rsidR="00FA5D5B" w:rsidRPr="009E5026" w:rsidRDefault="00FA5D5B" w:rsidP="002A447E">
            <w:pPr>
              <w:spacing w:line="480" w:lineRule="auto"/>
            </w:pPr>
            <w:r w:rsidRPr="009E5026">
              <w:t>14</w:t>
            </w:r>
          </w:p>
        </w:tc>
        <w:tc>
          <w:tcPr>
            <w:tcW w:w="1475" w:type="dxa"/>
          </w:tcPr>
          <w:p w14:paraId="53EF17A7" w14:textId="77777777" w:rsidR="00FA5D5B" w:rsidRPr="009E5026" w:rsidRDefault="00FA5D5B" w:rsidP="002A447E">
            <w:pPr>
              <w:spacing w:line="480" w:lineRule="auto"/>
            </w:pPr>
            <w:r w:rsidRPr="009E5026">
              <w:t>2</w:t>
            </w:r>
          </w:p>
        </w:tc>
        <w:tc>
          <w:tcPr>
            <w:tcW w:w="1476" w:type="dxa"/>
          </w:tcPr>
          <w:p w14:paraId="166B3EBB" w14:textId="77777777" w:rsidR="00FA5D5B" w:rsidRPr="009E5026" w:rsidRDefault="00FA5D5B" w:rsidP="002A447E">
            <w:pPr>
              <w:spacing w:line="480" w:lineRule="auto"/>
            </w:pPr>
            <w:r w:rsidRPr="009E5026">
              <w:t>16</w:t>
            </w:r>
          </w:p>
        </w:tc>
      </w:tr>
      <w:tr w:rsidR="00FA5D5B" w:rsidRPr="009E5026" w14:paraId="76BB38C3" w14:textId="77777777" w:rsidTr="00FA5D5B">
        <w:tc>
          <w:tcPr>
            <w:tcW w:w="1478" w:type="dxa"/>
            <w:vMerge/>
          </w:tcPr>
          <w:p w14:paraId="10C7093F" w14:textId="5FCC9255" w:rsidR="00FA5D5B" w:rsidRPr="009E5026" w:rsidRDefault="00FA5D5B" w:rsidP="002A447E">
            <w:pPr>
              <w:spacing w:line="480" w:lineRule="auto"/>
            </w:pPr>
          </w:p>
        </w:tc>
        <w:tc>
          <w:tcPr>
            <w:tcW w:w="1636" w:type="dxa"/>
          </w:tcPr>
          <w:p w14:paraId="1568C1CD" w14:textId="1EF0B035" w:rsidR="00FA5D5B" w:rsidRPr="009E5026" w:rsidRDefault="00FA5D5B" w:rsidP="002A447E">
            <w:pPr>
              <w:spacing w:line="480" w:lineRule="auto"/>
            </w:pPr>
            <w:r w:rsidRPr="009E5026">
              <w:t>Inconclusive</w:t>
            </w:r>
          </w:p>
        </w:tc>
        <w:tc>
          <w:tcPr>
            <w:tcW w:w="1475" w:type="dxa"/>
          </w:tcPr>
          <w:p w14:paraId="3EBA6DDC" w14:textId="5D72BA7A" w:rsidR="00FA5D5B" w:rsidRPr="009E5026" w:rsidRDefault="00FA5D5B" w:rsidP="002A447E">
            <w:pPr>
              <w:spacing w:line="480" w:lineRule="auto"/>
            </w:pPr>
            <w:r w:rsidRPr="009E5026">
              <w:t>4</w:t>
            </w:r>
          </w:p>
        </w:tc>
        <w:tc>
          <w:tcPr>
            <w:tcW w:w="1476" w:type="dxa"/>
          </w:tcPr>
          <w:p w14:paraId="11155EB3" w14:textId="77777777" w:rsidR="00FA5D5B" w:rsidRPr="009E5026" w:rsidRDefault="00FA5D5B" w:rsidP="002A447E">
            <w:pPr>
              <w:spacing w:line="480" w:lineRule="auto"/>
            </w:pPr>
            <w:r w:rsidRPr="009E5026">
              <w:t>15</w:t>
            </w:r>
          </w:p>
        </w:tc>
        <w:tc>
          <w:tcPr>
            <w:tcW w:w="1475" w:type="dxa"/>
          </w:tcPr>
          <w:p w14:paraId="7BDEC154" w14:textId="77777777" w:rsidR="00FA5D5B" w:rsidRPr="009E5026" w:rsidRDefault="00FA5D5B" w:rsidP="002A447E">
            <w:pPr>
              <w:spacing w:line="480" w:lineRule="auto"/>
            </w:pPr>
            <w:r w:rsidRPr="009E5026">
              <w:t>12</w:t>
            </w:r>
          </w:p>
        </w:tc>
        <w:tc>
          <w:tcPr>
            <w:tcW w:w="1476" w:type="dxa"/>
          </w:tcPr>
          <w:p w14:paraId="2BABBE96" w14:textId="77777777" w:rsidR="00FA5D5B" w:rsidRPr="009E5026" w:rsidRDefault="00FA5D5B" w:rsidP="002A447E">
            <w:pPr>
              <w:spacing w:line="480" w:lineRule="auto"/>
            </w:pPr>
            <w:r w:rsidRPr="009E5026">
              <w:t>31</w:t>
            </w:r>
          </w:p>
        </w:tc>
      </w:tr>
      <w:tr w:rsidR="00FA5D5B" w:rsidRPr="009E5026" w14:paraId="2D2B27DF" w14:textId="77777777" w:rsidTr="00FA5D5B">
        <w:tc>
          <w:tcPr>
            <w:tcW w:w="1478" w:type="dxa"/>
            <w:vMerge/>
          </w:tcPr>
          <w:p w14:paraId="077D7A7E" w14:textId="1E25D813" w:rsidR="00FA5D5B" w:rsidRPr="009E5026" w:rsidRDefault="00FA5D5B" w:rsidP="002A447E">
            <w:pPr>
              <w:spacing w:line="480" w:lineRule="auto"/>
            </w:pPr>
          </w:p>
        </w:tc>
        <w:tc>
          <w:tcPr>
            <w:tcW w:w="1636" w:type="dxa"/>
          </w:tcPr>
          <w:p w14:paraId="0FB28E2B" w14:textId="3C94F5A7" w:rsidR="00FA5D5B" w:rsidRPr="009E5026" w:rsidRDefault="00FA5D5B" w:rsidP="002A447E">
            <w:pPr>
              <w:spacing w:line="480" w:lineRule="auto"/>
            </w:pPr>
            <w:r w:rsidRPr="009E5026">
              <w:t>Total</w:t>
            </w:r>
          </w:p>
        </w:tc>
        <w:tc>
          <w:tcPr>
            <w:tcW w:w="1475" w:type="dxa"/>
          </w:tcPr>
          <w:p w14:paraId="73D0EBBE" w14:textId="6EDF8307" w:rsidR="00FA5D5B" w:rsidRPr="009E5026" w:rsidRDefault="00FA5D5B" w:rsidP="002A447E">
            <w:pPr>
              <w:spacing w:line="480" w:lineRule="auto"/>
            </w:pPr>
            <w:r w:rsidRPr="009E5026">
              <w:t>59</w:t>
            </w:r>
          </w:p>
        </w:tc>
        <w:tc>
          <w:tcPr>
            <w:tcW w:w="1476" w:type="dxa"/>
          </w:tcPr>
          <w:p w14:paraId="30F0CC2A" w14:textId="77777777" w:rsidR="00FA5D5B" w:rsidRPr="009E5026" w:rsidRDefault="00FA5D5B" w:rsidP="002A447E">
            <w:pPr>
              <w:spacing w:line="480" w:lineRule="auto"/>
            </w:pPr>
            <w:r w:rsidRPr="009E5026">
              <w:t>36</w:t>
            </w:r>
          </w:p>
        </w:tc>
        <w:tc>
          <w:tcPr>
            <w:tcW w:w="1475" w:type="dxa"/>
          </w:tcPr>
          <w:p w14:paraId="20D52FB7" w14:textId="77777777" w:rsidR="00FA5D5B" w:rsidRPr="009E5026" w:rsidRDefault="00FA5D5B" w:rsidP="002A447E">
            <w:pPr>
              <w:spacing w:line="480" w:lineRule="auto"/>
            </w:pPr>
            <w:r w:rsidRPr="009E5026">
              <w:t>25</w:t>
            </w:r>
          </w:p>
        </w:tc>
        <w:tc>
          <w:tcPr>
            <w:tcW w:w="1476" w:type="dxa"/>
          </w:tcPr>
          <w:p w14:paraId="2D944BC2" w14:textId="77777777" w:rsidR="00FA5D5B" w:rsidRPr="009E5026" w:rsidRDefault="00FA5D5B" w:rsidP="002A447E">
            <w:pPr>
              <w:spacing w:line="480" w:lineRule="auto"/>
            </w:pPr>
            <w:r w:rsidRPr="009E5026">
              <w:t>120</w:t>
            </w:r>
          </w:p>
        </w:tc>
      </w:tr>
      <w:tr w:rsidR="00FA5D5B" w:rsidRPr="009E5026" w14:paraId="1AE2DC42" w14:textId="77777777" w:rsidTr="006B0E6A">
        <w:tc>
          <w:tcPr>
            <w:tcW w:w="3114" w:type="dxa"/>
            <w:gridSpan w:val="2"/>
          </w:tcPr>
          <w:p w14:paraId="6347E032" w14:textId="77777777" w:rsidR="00FA5D5B" w:rsidRPr="009E5026" w:rsidRDefault="00FA5D5B" w:rsidP="002A447E">
            <w:pPr>
              <w:spacing w:line="480" w:lineRule="auto"/>
            </w:pPr>
          </w:p>
        </w:tc>
        <w:tc>
          <w:tcPr>
            <w:tcW w:w="1475" w:type="dxa"/>
          </w:tcPr>
          <w:p w14:paraId="417C5580" w14:textId="5004CD61" w:rsidR="00FA5D5B" w:rsidRPr="009E5026" w:rsidRDefault="00FA5D5B" w:rsidP="002A447E">
            <w:pPr>
              <w:spacing w:line="480" w:lineRule="auto"/>
            </w:pPr>
            <w:r w:rsidRPr="009E5026">
              <w:t>PCD positive*</w:t>
            </w:r>
          </w:p>
        </w:tc>
        <w:tc>
          <w:tcPr>
            <w:tcW w:w="1476" w:type="dxa"/>
          </w:tcPr>
          <w:p w14:paraId="59E8F2EE" w14:textId="77777777" w:rsidR="00FA5D5B" w:rsidRPr="009E5026" w:rsidRDefault="00FA5D5B" w:rsidP="002A447E">
            <w:pPr>
              <w:spacing w:line="480" w:lineRule="auto"/>
            </w:pPr>
            <w:r w:rsidRPr="009E5026">
              <w:t>PCD highly unlikely</w:t>
            </w:r>
          </w:p>
        </w:tc>
        <w:tc>
          <w:tcPr>
            <w:tcW w:w="1475" w:type="dxa"/>
          </w:tcPr>
          <w:p w14:paraId="58BC6FB9" w14:textId="77777777" w:rsidR="00FA5D5B" w:rsidRPr="009E5026" w:rsidRDefault="00FA5D5B" w:rsidP="002A447E">
            <w:pPr>
              <w:spacing w:line="480" w:lineRule="auto"/>
            </w:pPr>
            <w:r w:rsidRPr="009E5026">
              <w:t>Inconclusive</w:t>
            </w:r>
          </w:p>
        </w:tc>
        <w:tc>
          <w:tcPr>
            <w:tcW w:w="1476" w:type="dxa"/>
          </w:tcPr>
          <w:p w14:paraId="5016EF30" w14:textId="77777777" w:rsidR="00FA5D5B" w:rsidRPr="009E5026" w:rsidRDefault="00FA5D5B" w:rsidP="002A447E">
            <w:pPr>
              <w:spacing w:line="480" w:lineRule="auto"/>
            </w:pPr>
            <w:r w:rsidRPr="009E5026">
              <w:t>Total</w:t>
            </w:r>
          </w:p>
        </w:tc>
      </w:tr>
      <w:tr w:rsidR="00FA5D5B" w:rsidRPr="009E5026" w14:paraId="34472903" w14:textId="77777777" w:rsidTr="00FA5D5B">
        <w:tc>
          <w:tcPr>
            <w:tcW w:w="1478" w:type="dxa"/>
            <w:vMerge w:val="restart"/>
            <w:textDirection w:val="btLr"/>
          </w:tcPr>
          <w:p w14:paraId="0C287EF6" w14:textId="1ACD00CB" w:rsidR="00FA5D5B" w:rsidRPr="009E5026" w:rsidRDefault="00FA5D5B" w:rsidP="00FA5D5B">
            <w:pPr>
              <w:spacing w:line="480" w:lineRule="auto"/>
              <w:ind w:left="113" w:right="113"/>
              <w:jc w:val="center"/>
              <w:rPr>
                <w:b/>
              </w:rPr>
            </w:pPr>
            <w:r w:rsidRPr="009E5026">
              <w:rPr>
                <w:b/>
              </w:rPr>
              <w:t>Outcomes by scientist 3</w:t>
            </w:r>
          </w:p>
        </w:tc>
        <w:tc>
          <w:tcPr>
            <w:tcW w:w="1636" w:type="dxa"/>
            <w:shd w:val="clear" w:color="auto" w:fill="D0CECE" w:themeFill="background2" w:themeFillShade="E6"/>
          </w:tcPr>
          <w:p w14:paraId="1EC7DC91" w14:textId="0F25B23A" w:rsidR="00FA5D5B" w:rsidRPr="009E5026" w:rsidRDefault="00FA5D5B" w:rsidP="002A447E">
            <w:pPr>
              <w:spacing w:line="480" w:lineRule="auto"/>
            </w:pPr>
            <w:r w:rsidRPr="009E5026">
              <w:t>Positive*</w:t>
            </w:r>
          </w:p>
        </w:tc>
        <w:tc>
          <w:tcPr>
            <w:tcW w:w="1475" w:type="dxa"/>
            <w:shd w:val="clear" w:color="auto" w:fill="D0CECE" w:themeFill="background2" w:themeFillShade="E6"/>
          </w:tcPr>
          <w:p w14:paraId="089B5293" w14:textId="5770D5D3" w:rsidR="00FA5D5B" w:rsidRPr="009E5026" w:rsidRDefault="00FA5D5B" w:rsidP="002A447E">
            <w:pPr>
              <w:spacing w:line="480" w:lineRule="auto"/>
            </w:pPr>
            <w:r w:rsidRPr="009E5026">
              <w:t>47</w:t>
            </w:r>
          </w:p>
        </w:tc>
        <w:tc>
          <w:tcPr>
            <w:tcW w:w="1476" w:type="dxa"/>
            <w:shd w:val="clear" w:color="auto" w:fill="D0CECE" w:themeFill="background2" w:themeFillShade="E6"/>
          </w:tcPr>
          <w:p w14:paraId="49BB9583" w14:textId="77777777" w:rsidR="00FA5D5B" w:rsidRPr="009E5026" w:rsidRDefault="00FA5D5B" w:rsidP="002A447E">
            <w:pPr>
              <w:spacing w:line="480" w:lineRule="auto"/>
            </w:pPr>
            <w:r w:rsidRPr="009E5026">
              <w:t>0</w:t>
            </w:r>
          </w:p>
        </w:tc>
        <w:tc>
          <w:tcPr>
            <w:tcW w:w="1475" w:type="dxa"/>
          </w:tcPr>
          <w:p w14:paraId="3C63A0B3" w14:textId="77777777" w:rsidR="00FA5D5B" w:rsidRPr="009E5026" w:rsidRDefault="00FA5D5B" w:rsidP="002A447E">
            <w:pPr>
              <w:spacing w:line="480" w:lineRule="auto"/>
            </w:pPr>
            <w:r w:rsidRPr="009E5026">
              <w:t>5</w:t>
            </w:r>
          </w:p>
        </w:tc>
        <w:tc>
          <w:tcPr>
            <w:tcW w:w="1476" w:type="dxa"/>
          </w:tcPr>
          <w:p w14:paraId="5518D243" w14:textId="77777777" w:rsidR="00FA5D5B" w:rsidRPr="009E5026" w:rsidRDefault="00FA5D5B" w:rsidP="002A447E">
            <w:pPr>
              <w:spacing w:line="480" w:lineRule="auto"/>
            </w:pPr>
            <w:r w:rsidRPr="009E5026">
              <w:t>52</w:t>
            </w:r>
          </w:p>
        </w:tc>
      </w:tr>
      <w:tr w:rsidR="00FA5D5B" w:rsidRPr="009E5026" w14:paraId="159A2015" w14:textId="77777777" w:rsidTr="00FA5D5B">
        <w:tc>
          <w:tcPr>
            <w:tcW w:w="1478" w:type="dxa"/>
            <w:vMerge/>
          </w:tcPr>
          <w:p w14:paraId="28FD154F" w14:textId="45B0E7FB" w:rsidR="00FA5D5B" w:rsidRPr="009E5026" w:rsidRDefault="00FA5D5B" w:rsidP="002A447E">
            <w:pPr>
              <w:spacing w:line="480" w:lineRule="auto"/>
            </w:pPr>
          </w:p>
        </w:tc>
        <w:tc>
          <w:tcPr>
            <w:tcW w:w="1636" w:type="dxa"/>
            <w:shd w:val="clear" w:color="auto" w:fill="D0CECE" w:themeFill="background2" w:themeFillShade="E6"/>
          </w:tcPr>
          <w:p w14:paraId="70994C51" w14:textId="37819FD9" w:rsidR="00FA5D5B" w:rsidRPr="009E5026" w:rsidRDefault="00FA5D5B" w:rsidP="002A447E">
            <w:pPr>
              <w:spacing w:line="480" w:lineRule="auto"/>
            </w:pPr>
            <w:r w:rsidRPr="009E5026">
              <w:t>Highly unlikely</w:t>
            </w:r>
          </w:p>
        </w:tc>
        <w:tc>
          <w:tcPr>
            <w:tcW w:w="1475" w:type="dxa"/>
            <w:shd w:val="clear" w:color="auto" w:fill="D0CECE" w:themeFill="background2" w:themeFillShade="E6"/>
          </w:tcPr>
          <w:p w14:paraId="10273A8A" w14:textId="74656324" w:rsidR="00FA5D5B" w:rsidRPr="009E5026" w:rsidRDefault="00FA5D5B" w:rsidP="002A447E">
            <w:pPr>
              <w:spacing w:line="480" w:lineRule="auto"/>
            </w:pPr>
            <w:r w:rsidRPr="009E5026">
              <w:t>2</w:t>
            </w:r>
          </w:p>
        </w:tc>
        <w:tc>
          <w:tcPr>
            <w:tcW w:w="1476" w:type="dxa"/>
            <w:shd w:val="clear" w:color="auto" w:fill="D0CECE" w:themeFill="background2" w:themeFillShade="E6"/>
          </w:tcPr>
          <w:p w14:paraId="4BFD7482" w14:textId="77777777" w:rsidR="00FA5D5B" w:rsidRPr="009E5026" w:rsidRDefault="00FA5D5B" w:rsidP="002A447E">
            <w:pPr>
              <w:spacing w:line="480" w:lineRule="auto"/>
            </w:pPr>
            <w:r w:rsidRPr="009E5026">
              <w:t>33</w:t>
            </w:r>
          </w:p>
        </w:tc>
        <w:tc>
          <w:tcPr>
            <w:tcW w:w="1475" w:type="dxa"/>
          </w:tcPr>
          <w:p w14:paraId="556B77CA" w14:textId="77777777" w:rsidR="00FA5D5B" w:rsidRPr="009E5026" w:rsidRDefault="00FA5D5B" w:rsidP="002A447E">
            <w:pPr>
              <w:spacing w:line="480" w:lineRule="auto"/>
            </w:pPr>
            <w:r w:rsidRPr="009E5026">
              <w:t>12</w:t>
            </w:r>
          </w:p>
        </w:tc>
        <w:tc>
          <w:tcPr>
            <w:tcW w:w="1476" w:type="dxa"/>
          </w:tcPr>
          <w:p w14:paraId="16DF750D" w14:textId="77777777" w:rsidR="00FA5D5B" w:rsidRPr="009E5026" w:rsidRDefault="00FA5D5B" w:rsidP="002A447E">
            <w:pPr>
              <w:spacing w:line="480" w:lineRule="auto"/>
            </w:pPr>
            <w:r w:rsidRPr="009E5026">
              <w:t>47</w:t>
            </w:r>
          </w:p>
        </w:tc>
      </w:tr>
      <w:tr w:rsidR="00FA5D5B" w:rsidRPr="009E5026" w14:paraId="4ACC6771" w14:textId="77777777" w:rsidTr="00FA5D5B">
        <w:tc>
          <w:tcPr>
            <w:tcW w:w="1478" w:type="dxa"/>
            <w:vMerge/>
          </w:tcPr>
          <w:p w14:paraId="54CD8D7C" w14:textId="69B2A578" w:rsidR="00FA5D5B" w:rsidRPr="009E5026" w:rsidRDefault="00FA5D5B" w:rsidP="002A447E">
            <w:pPr>
              <w:spacing w:line="480" w:lineRule="auto"/>
            </w:pPr>
          </w:p>
        </w:tc>
        <w:tc>
          <w:tcPr>
            <w:tcW w:w="1636" w:type="dxa"/>
          </w:tcPr>
          <w:p w14:paraId="7886CE82" w14:textId="47C33BB4" w:rsidR="00FA5D5B" w:rsidRPr="009E5026" w:rsidRDefault="00FA5D5B" w:rsidP="002A447E">
            <w:pPr>
              <w:spacing w:line="480" w:lineRule="auto"/>
            </w:pPr>
            <w:r w:rsidRPr="009E5026">
              <w:t>Inconclusive</w:t>
            </w:r>
          </w:p>
        </w:tc>
        <w:tc>
          <w:tcPr>
            <w:tcW w:w="1475" w:type="dxa"/>
          </w:tcPr>
          <w:p w14:paraId="6CB9AF4D" w14:textId="4411C386" w:rsidR="00FA5D5B" w:rsidRPr="009E5026" w:rsidRDefault="00FA5D5B" w:rsidP="002A447E">
            <w:pPr>
              <w:spacing w:line="480" w:lineRule="auto"/>
            </w:pPr>
            <w:r w:rsidRPr="009E5026">
              <w:t>10</w:t>
            </w:r>
          </w:p>
        </w:tc>
        <w:tc>
          <w:tcPr>
            <w:tcW w:w="1476" w:type="dxa"/>
          </w:tcPr>
          <w:p w14:paraId="2A871456" w14:textId="77777777" w:rsidR="00FA5D5B" w:rsidRPr="009E5026" w:rsidRDefault="00FA5D5B" w:rsidP="002A447E">
            <w:pPr>
              <w:spacing w:line="480" w:lineRule="auto"/>
            </w:pPr>
            <w:r w:rsidRPr="009E5026">
              <w:t>3</w:t>
            </w:r>
          </w:p>
        </w:tc>
        <w:tc>
          <w:tcPr>
            <w:tcW w:w="1475" w:type="dxa"/>
          </w:tcPr>
          <w:p w14:paraId="1B23E85C" w14:textId="77777777" w:rsidR="00FA5D5B" w:rsidRPr="009E5026" w:rsidRDefault="00FA5D5B" w:rsidP="002A447E">
            <w:pPr>
              <w:spacing w:line="480" w:lineRule="auto"/>
            </w:pPr>
            <w:r w:rsidRPr="009E5026">
              <w:t>8</w:t>
            </w:r>
          </w:p>
        </w:tc>
        <w:tc>
          <w:tcPr>
            <w:tcW w:w="1476" w:type="dxa"/>
          </w:tcPr>
          <w:p w14:paraId="4B95BEFA" w14:textId="77777777" w:rsidR="00FA5D5B" w:rsidRPr="009E5026" w:rsidRDefault="00FA5D5B" w:rsidP="002A447E">
            <w:pPr>
              <w:spacing w:line="480" w:lineRule="auto"/>
            </w:pPr>
            <w:r w:rsidRPr="009E5026">
              <w:t>21</w:t>
            </w:r>
          </w:p>
        </w:tc>
      </w:tr>
      <w:tr w:rsidR="00FA5D5B" w:rsidRPr="009E5026" w14:paraId="6425F159" w14:textId="77777777" w:rsidTr="00FA5D5B">
        <w:tc>
          <w:tcPr>
            <w:tcW w:w="1478" w:type="dxa"/>
            <w:vMerge/>
          </w:tcPr>
          <w:p w14:paraId="1EA9461A" w14:textId="526E8BF9" w:rsidR="00FA5D5B" w:rsidRPr="009E5026" w:rsidRDefault="00FA5D5B" w:rsidP="002A447E">
            <w:pPr>
              <w:spacing w:line="480" w:lineRule="auto"/>
            </w:pPr>
          </w:p>
        </w:tc>
        <w:tc>
          <w:tcPr>
            <w:tcW w:w="1636" w:type="dxa"/>
          </w:tcPr>
          <w:p w14:paraId="1FB57655" w14:textId="3B146649" w:rsidR="00FA5D5B" w:rsidRPr="009E5026" w:rsidRDefault="00FA5D5B" w:rsidP="002A447E">
            <w:pPr>
              <w:spacing w:line="480" w:lineRule="auto"/>
            </w:pPr>
            <w:r w:rsidRPr="009E5026">
              <w:t>Total</w:t>
            </w:r>
          </w:p>
        </w:tc>
        <w:tc>
          <w:tcPr>
            <w:tcW w:w="1475" w:type="dxa"/>
          </w:tcPr>
          <w:p w14:paraId="5EF30412" w14:textId="66AD4178" w:rsidR="00FA5D5B" w:rsidRPr="009E5026" w:rsidRDefault="00FA5D5B" w:rsidP="002A447E">
            <w:pPr>
              <w:spacing w:line="480" w:lineRule="auto"/>
            </w:pPr>
            <w:r w:rsidRPr="009E5026">
              <w:t>59</w:t>
            </w:r>
          </w:p>
        </w:tc>
        <w:tc>
          <w:tcPr>
            <w:tcW w:w="1476" w:type="dxa"/>
          </w:tcPr>
          <w:p w14:paraId="2BF02252" w14:textId="77777777" w:rsidR="00FA5D5B" w:rsidRPr="009E5026" w:rsidRDefault="00FA5D5B" w:rsidP="002A447E">
            <w:pPr>
              <w:spacing w:line="480" w:lineRule="auto"/>
            </w:pPr>
            <w:r w:rsidRPr="009E5026">
              <w:t>36</w:t>
            </w:r>
          </w:p>
        </w:tc>
        <w:tc>
          <w:tcPr>
            <w:tcW w:w="1475" w:type="dxa"/>
          </w:tcPr>
          <w:p w14:paraId="36618054" w14:textId="77777777" w:rsidR="00FA5D5B" w:rsidRPr="009E5026" w:rsidRDefault="00FA5D5B" w:rsidP="002A447E">
            <w:pPr>
              <w:spacing w:line="480" w:lineRule="auto"/>
            </w:pPr>
            <w:r w:rsidRPr="009E5026">
              <w:t>25</w:t>
            </w:r>
          </w:p>
        </w:tc>
        <w:tc>
          <w:tcPr>
            <w:tcW w:w="1476" w:type="dxa"/>
          </w:tcPr>
          <w:p w14:paraId="5584D681" w14:textId="77777777" w:rsidR="00FA5D5B" w:rsidRPr="009E5026" w:rsidRDefault="00FA5D5B" w:rsidP="002A447E">
            <w:pPr>
              <w:spacing w:line="480" w:lineRule="auto"/>
            </w:pPr>
            <w:r w:rsidRPr="009E5026">
              <w:t>120</w:t>
            </w:r>
          </w:p>
        </w:tc>
      </w:tr>
    </w:tbl>
    <w:p w14:paraId="1EA8BF0C" w14:textId="77777777" w:rsidR="0028613C" w:rsidRPr="009E5026" w:rsidRDefault="0028613C" w:rsidP="0028613C">
      <w:pPr>
        <w:spacing w:line="480" w:lineRule="auto"/>
      </w:pPr>
    </w:p>
    <w:p w14:paraId="5D3625BB" w14:textId="4BCFF5C2" w:rsidR="002D0D36" w:rsidRPr="009E5026" w:rsidRDefault="002D0D36" w:rsidP="002D0D36">
      <w:pPr>
        <w:spacing w:line="480" w:lineRule="auto"/>
      </w:pPr>
      <w:r w:rsidRPr="009E5026">
        <w:rPr>
          <w:b/>
        </w:rPr>
        <w:t>Supplementary table S</w:t>
      </w:r>
      <w:r w:rsidR="006F7D00" w:rsidRPr="009E5026">
        <w:rPr>
          <w:b/>
        </w:rPr>
        <w:t>4</w:t>
      </w:r>
      <w:r w:rsidRPr="009E5026">
        <w:rPr>
          <w:b/>
        </w:rPr>
        <w:t>.</w:t>
      </w:r>
      <w:r w:rsidRPr="009E5026">
        <w:t xml:space="preserve"> Diagnostic outcomes decisions</w:t>
      </w:r>
      <w:r w:rsidR="00825358" w:rsidRPr="009E5026">
        <w:t xml:space="preserve"> </w:t>
      </w:r>
      <w:r w:rsidRPr="009E5026">
        <w:t>from a random subset of patient-samples (</w:t>
      </w:r>
      <w:r w:rsidRPr="009E5026">
        <w:rPr>
          <w:i/>
        </w:rPr>
        <w:t>n</w:t>
      </w:r>
      <w:r w:rsidRPr="009E5026">
        <w:t>=20) by each of the three scientists (i.e. scientist 1-3)</w:t>
      </w:r>
      <w:r w:rsidR="00825358" w:rsidRPr="009E5026">
        <w:t xml:space="preserve"> using high-speed video microscopy analysis</w:t>
      </w:r>
      <w:r w:rsidRPr="009E5026">
        <w:t xml:space="preserve"> at two different time points (i.e. original study analysis and re-analysis after 1 year from study completion), for calculation of intra-observer agreement. </w:t>
      </w:r>
    </w:p>
    <w:tbl>
      <w:tblPr>
        <w:tblStyle w:val="TableGrid"/>
        <w:tblW w:w="0" w:type="auto"/>
        <w:tblLook w:val="04A0" w:firstRow="1" w:lastRow="0" w:firstColumn="1" w:lastColumn="0" w:noHBand="0" w:noVBand="1"/>
      </w:tblPr>
      <w:tblGrid>
        <w:gridCol w:w="1129"/>
        <w:gridCol w:w="1843"/>
        <w:gridCol w:w="1511"/>
        <w:gridCol w:w="1511"/>
        <w:gridCol w:w="1511"/>
        <w:gridCol w:w="1511"/>
      </w:tblGrid>
      <w:tr w:rsidR="00BC6B23" w:rsidRPr="009E5026" w14:paraId="19F29537" w14:textId="77777777" w:rsidTr="0027163A">
        <w:tc>
          <w:tcPr>
            <w:tcW w:w="2972" w:type="dxa"/>
            <w:gridSpan w:val="2"/>
            <w:vMerge w:val="restart"/>
          </w:tcPr>
          <w:p w14:paraId="76CE92D6" w14:textId="0B147C60" w:rsidR="00BC6B23" w:rsidRPr="009E5026" w:rsidRDefault="00BC6B23" w:rsidP="0048377F">
            <w:pPr>
              <w:spacing w:line="480" w:lineRule="auto"/>
              <w:jc w:val="center"/>
              <w:rPr>
                <w:b/>
              </w:rPr>
            </w:pPr>
          </w:p>
        </w:tc>
        <w:tc>
          <w:tcPr>
            <w:tcW w:w="6044" w:type="dxa"/>
            <w:gridSpan w:val="4"/>
          </w:tcPr>
          <w:p w14:paraId="50A66161" w14:textId="758542B2" w:rsidR="00BC6B23" w:rsidRPr="009E5026" w:rsidRDefault="00A75C0B" w:rsidP="00A75C0B">
            <w:pPr>
              <w:spacing w:line="480" w:lineRule="auto"/>
              <w:jc w:val="center"/>
              <w:rPr>
                <w:b/>
              </w:rPr>
            </w:pPr>
            <w:r w:rsidRPr="009E5026">
              <w:rPr>
                <w:b/>
              </w:rPr>
              <w:t>Outcomes after r</w:t>
            </w:r>
            <w:r w:rsidR="00BC6B23" w:rsidRPr="009E5026">
              <w:rPr>
                <w:b/>
              </w:rPr>
              <w:t xml:space="preserve">e-assessment of </w:t>
            </w:r>
            <w:r w:rsidRPr="009E5026">
              <w:rPr>
                <w:b/>
              </w:rPr>
              <w:t>samples</w:t>
            </w:r>
            <w:r w:rsidR="00BC6B23" w:rsidRPr="009E5026">
              <w:rPr>
                <w:b/>
              </w:rPr>
              <w:t xml:space="preserve"> by scientist 1</w:t>
            </w:r>
          </w:p>
        </w:tc>
      </w:tr>
      <w:tr w:rsidR="00BC6B23" w:rsidRPr="009E5026" w14:paraId="3A3813CE" w14:textId="77777777" w:rsidTr="0027163A">
        <w:tc>
          <w:tcPr>
            <w:tcW w:w="2972" w:type="dxa"/>
            <w:gridSpan w:val="2"/>
            <w:vMerge/>
          </w:tcPr>
          <w:p w14:paraId="1E7A0E4D" w14:textId="626499E7" w:rsidR="00BC6B23" w:rsidRPr="009E5026" w:rsidRDefault="00BC6B23" w:rsidP="00BB38B6">
            <w:pPr>
              <w:spacing w:line="480" w:lineRule="auto"/>
            </w:pPr>
          </w:p>
        </w:tc>
        <w:tc>
          <w:tcPr>
            <w:tcW w:w="1511" w:type="dxa"/>
          </w:tcPr>
          <w:p w14:paraId="328D066F" w14:textId="7870E7D0" w:rsidR="00BC6B23" w:rsidRPr="009E5026" w:rsidRDefault="00BC6B23" w:rsidP="00BB38B6">
            <w:pPr>
              <w:spacing w:line="480" w:lineRule="auto"/>
            </w:pPr>
            <w:r w:rsidRPr="009E5026">
              <w:t>PCD positive*</w:t>
            </w:r>
          </w:p>
        </w:tc>
        <w:tc>
          <w:tcPr>
            <w:tcW w:w="1511" w:type="dxa"/>
          </w:tcPr>
          <w:p w14:paraId="673C8E96" w14:textId="77777777" w:rsidR="00BC6B23" w:rsidRPr="009E5026" w:rsidRDefault="00BC6B23" w:rsidP="00BB38B6">
            <w:pPr>
              <w:spacing w:line="480" w:lineRule="auto"/>
            </w:pPr>
            <w:r w:rsidRPr="009E5026">
              <w:t>PCD highly unlikely</w:t>
            </w:r>
          </w:p>
        </w:tc>
        <w:tc>
          <w:tcPr>
            <w:tcW w:w="1511" w:type="dxa"/>
          </w:tcPr>
          <w:p w14:paraId="19370E86" w14:textId="77777777" w:rsidR="00BC6B23" w:rsidRPr="009E5026" w:rsidRDefault="00BC6B23" w:rsidP="00BB38B6">
            <w:pPr>
              <w:spacing w:line="480" w:lineRule="auto"/>
            </w:pPr>
            <w:r w:rsidRPr="009E5026">
              <w:t>Inconclusive</w:t>
            </w:r>
          </w:p>
        </w:tc>
        <w:tc>
          <w:tcPr>
            <w:tcW w:w="1511" w:type="dxa"/>
          </w:tcPr>
          <w:p w14:paraId="7034F215" w14:textId="77777777" w:rsidR="00BC6B23" w:rsidRPr="009E5026" w:rsidRDefault="00BC6B23" w:rsidP="00BB38B6">
            <w:pPr>
              <w:spacing w:line="480" w:lineRule="auto"/>
            </w:pPr>
            <w:r w:rsidRPr="009E5026">
              <w:t>Total</w:t>
            </w:r>
          </w:p>
        </w:tc>
      </w:tr>
      <w:tr w:rsidR="00BC6B23" w:rsidRPr="009E5026" w14:paraId="591E6C4E" w14:textId="77777777" w:rsidTr="00BC6B23">
        <w:tc>
          <w:tcPr>
            <w:tcW w:w="1129" w:type="dxa"/>
            <w:vMerge w:val="restart"/>
            <w:textDirection w:val="btLr"/>
          </w:tcPr>
          <w:p w14:paraId="145C8933" w14:textId="52408C85" w:rsidR="00BF4B5E" w:rsidRPr="009E5026" w:rsidRDefault="00BF4B5E" w:rsidP="00FF5A4B">
            <w:pPr>
              <w:spacing w:line="480" w:lineRule="auto"/>
              <w:ind w:left="113" w:right="113"/>
              <w:jc w:val="center"/>
              <w:rPr>
                <w:b/>
              </w:rPr>
            </w:pPr>
            <w:r w:rsidRPr="009E5026">
              <w:rPr>
                <w:b/>
              </w:rPr>
              <w:t>Original outcomes by scientist 1</w:t>
            </w:r>
          </w:p>
        </w:tc>
        <w:tc>
          <w:tcPr>
            <w:tcW w:w="1843" w:type="dxa"/>
            <w:shd w:val="clear" w:color="auto" w:fill="auto"/>
          </w:tcPr>
          <w:p w14:paraId="09AC22DD" w14:textId="5D6B064C" w:rsidR="00BF4B5E" w:rsidRPr="009E5026" w:rsidRDefault="00BF4B5E" w:rsidP="00BB38B6">
            <w:pPr>
              <w:spacing w:line="480" w:lineRule="auto"/>
            </w:pPr>
            <w:r w:rsidRPr="009E5026">
              <w:t>Positive*</w:t>
            </w:r>
          </w:p>
        </w:tc>
        <w:tc>
          <w:tcPr>
            <w:tcW w:w="1511" w:type="dxa"/>
            <w:shd w:val="clear" w:color="auto" w:fill="auto"/>
          </w:tcPr>
          <w:p w14:paraId="3D082851" w14:textId="4B835DA3" w:rsidR="00BF4B5E" w:rsidRPr="009E5026" w:rsidRDefault="00BF4B5E" w:rsidP="00BB38B6">
            <w:pPr>
              <w:spacing w:line="480" w:lineRule="auto"/>
            </w:pPr>
            <w:r w:rsidRPr="009E5026">
              <w:t>7</w:t>
            </w:r>
          </w:p>
        </w:tc>
        <w:tc>
          <w:tcPr>
            <w:tcW w:w="1511" w:type="dxa"/>
            <w:shd w:val="clear" w:color="auto" w:fill="auto"/>
          </w:tcPr>
          <w:p w14:paraId="7CFF8D81" w14:textId="7F360138" w:rsidR="00BF4B5E" w:rsidRPr="009E5026" w:rsidRDefault="00BF4B5E" w:rsidP="00BB38B6">
            <w:pPr>
              <w:spacing w:line="480" w:lineRule="auto"/>
            </w:pPr>
            <w:r w:rsidRPr="009E5026">
              <w:t>0</w:t>
            </w:r>
          </w:p>
        </w:tc>
        <w:tc>
          <w:tcPr>
            <w:tcW w:w="1511" w:type="dxa"/>
            <w:shd w:val="clear" w:color="auto" w:fill="auto"/>
          </w:tcPr>
          <w:p w14:paraId="72E48525" w14:textId="39446408" w:rsidR="00BF4B5E" w:rsidRPr="009E5026" w:rsidRDefault="00BF4B5E" w:rsidP="00BB38B6">
            <w:pPr>
              <w:spacing w:line="480" w:lineRule="auto"/>
            </w:pPr>
            <w:r w:rsidRPr="009E5026">
              <w:t>0</w:t>
            </w:r>
          </w:p>
        </w:tc>
        <w:tc>
          <w:tcPr>
            <w:tcW w:w="1511" w:type="dxa"/>
          </w:tcPr>
          <w:p w14:paraId="43D4E33D" w14:textId="1EE9D12A" w:rsidR="00BF4B5E" w:rsidRPr="009E5026" w:rsidRDefault="00BF4B5E" w:rsidP="00BB38B6">
            <w:pPr>
              <w:spacing w:line="480" w:lineRule="auto"/>
            </w:pPr>
            <w:r w:rsidRPr="009E5026">
              <w:t>7</w:t>
            </w:r>
          </w:p>
        </w:tc>
      </w:tr>
      <w:tr w:rsidR="00BF4B5E" w:rsidRPr="009E5026" w14:paraId="25C1B389" w14:textId="77777777" w:rsidTr="00FF5A4B">
        <w:tc>
          <w:tcPr>
            <w:tcW w:w="1129" w:type="dxa"/>
            <w:vMerge/>
          </w:tcPr>
          <w:p w14:paraId="7F2DE1AC" w14:textId="63575A2B" w:rsidR="00BF4B5E" w:rsidRPr="009E5026" w:rsidRDefault="00BF4B5E" w:rsidP="00BB38B6">
            <w:pPr>
              <w:spacing w:line="480" w:lineRule="auto"/>
            </w:pPr>
          </w:p>
        </w:tc>
        <w:tc>
          <w:tcPr>
            <w:tcW w:w="1843" w:type="dxa"/>
            <w:shd w:val="clear" w:color="auto" w:fill="auto"/>
          </w:tcPr>
          <w:p w14:paraId="5543506C" w14:textId="0186E336" w:rsidR="00BF4B5E" w:rsidRPr="009E5026" w:rsidRDefault="00BF4B5E" w:rsidP="00BB38B6">
            <w:pPr>
              <w:spacing w:line="480" w:lineRule="auto"/>
            </w:pPr>
            <w:r w:rsidRPr="009E5026">
              <w:t>Highly unlikely</w:t>
            </w:r>
          </w:p>
        </w:tc>
        <w:tc>
          <w:tcPr>
            <w:tcW w:w="1511" w:type="dxa"/>
            <w:shd w:val="clear" w:color="auto" w:fill="auto"/>
          </w:tcPr>
          <w:p w14:paraId="1E376E8F" w14:textId="2BC23A4C" w:rsidR="00BF4B5E" w:rsidRPr="009E5026" w:rsidRDefault="00BF4B5E" w:rsidP="00BB38B6">
            <w:pPr>
              <w:spacing w:line="480" w:lineRule="auto"/>
            </w:pPr>
            <w:r w:rsidRPr="009E5026">
              <w:t>0</w:t>
            </w:r>
          </w:p>
        </w:tc>
        <w:tc>
          <w:tcPr>
            <w:tcW w:w="1511" w:type="dxa"/>
            <w:shd w:val="clear" w:color="auto" w:fill="auto"/>
          </w:tcPr>
          <w:p w14:paraId="4F992D27" w14:textId="6093E014" w:rsidR="00BF4B5E" w:rsidRPr="009E5026" w:rsidRDefault="00BF4B5E" w:rsidP="00BB38B6">
            <w:pPr>
              <w:spacing w:line="480" w:lineRule="auto"/>
            </w:pPr>
            <w:r w:rsidRPr="009E5026">
              <w:t>4</w:t>
            </w:r>
          </w:p>
        </w:tc>
        <w:tc>
          <w:tcPr>
            <w:tcW w:w="1511" w:type="dxa"/>
            <w:shd w:val="clear" w:color="auto" w:fill="auto"/>
          </w:tcPr>
          <w:p w14:paraId="42661CC4" w14:textId="6F22A91A" w:rsidR="00BF4B5E" w:rsidRPr="009E5026" w:rsidRDefault="00BF4B5E" w:rsidP="00BB38B6">
            <w:pPr>
              <w:spacing w:line="480" w:lineRule="auto"/>
            </w:pPr>
            <w:r w:rsidRPr="009E5026">
              <w:t>3</w:t>
            </w:r>
          </w:p>
        </w:tc>
        <w:tc>
          <w:tcPr>
            <w:tcW w:w="1511" w:type="dxa"/>
          </w:tcPr>
          <w:p w14:paraId="626A5EBF" w14:textId="18AB1FD2" w:rsidR="00BF4B5E" w:rsidRPr="009E5026" w:rsidRDefault="00BF4B5E" w:rsidP="002D0D36">
            <w:pPr>
              <w:spacing w:line="480" w:lineRule="auto"/>
            </w:pPr>
            <w:r w:rsidRPr="009E5026">
              <w:t>7</w:t>
            </w:r>
          </w:p>
        </w:tc>
      </w:tr>
      <w:tr w:rsidR="00BF4B5E" w:rsidRPr="009E5026" w14:paraId="69341EC4" w14:textId="77777777" w:rsidTr="00FF5A4B">
        <w:tc>
          <w:tcPr>
            <w:tcW w:w="1129" w:type="dxa"/>
            <w:vMerge/>
          </w:tcPr>
          <w:p w14:paraId="131142B3" w14:textId="6267E091" w:rsidR="00BF4B5E" w:rsidRPr="009E5026" w:rsidRDefault="00BF4B5E" w:rsidP="00BB38B6">
            <w:pPr>
              <w:spacing w:line="480" w:lineRule="auto"/>
            </w:pPr>
          </w:p>
        </w:tc>
        <w:tc>
          <w:tcPr>
            <w:tcW w:w="1843" w:type="dxa"/>
            <w:shd w:val="clear" w:color="auto" w:fill="auto"/>
          </w:tcPr>
          <w:p w14:paraId="18B635C0" w14:textId="286E235E" w:rsidR="00BF4B5E" w:rsidRPr="009E5026" w:rsidRDefault="00BF4B5E" w:rsidP="00BB38B6">
            <w:pPr>
              <w:spacing w:line="480" w:lineRule="auto"/>
            </w:pPr>
            <w:r w:rsidRPr="009E5026">
              <w:t>Inconclusive</w:t>
            </w:r>
          </w:p>
        </w:tc>
        <w:tc>
          <w:tcPr>
            <w:tcW w:w="1511" w:type="dxa"/>
            <w:shd w:val="clear" w:color="auto" w:fill="auto"/>
          </w:tcPr>
          <w:p w14:paraId="18387BC9" w14:textId="12711EC5" w:rsidR="00BF4B5E" w:rsidRPr="009E5026" w:rsidRDefault="00BF4B5E" w:rsidP="00BB38B6">
            <w:pPr>
              <w:spacing w:line="480" w:lineRule="auto"/>
            </w:pPr>
            <w:r w:rsidRPr="009E5026">
              <w:t>1</w:t>
            </w:r>
          </w:p>
        </w:tc>
        <w:tc>
          <w:tcPr>
            <w:tcW w:w="1511" w:type="dxa"/>
            <w:shd w:val="clear" w:color="auto" w:fill="auto"/>
          </w:tcPr>
          <w:p w14:paraId="49F18EAF" w14:textId="4083D167" w:rsidR="00BF4B5E" w:rsidRPr="009E5026" w:rsidRDefault="00BF4B5E" w:rsidP="00BB38B6">
            <w:pPr>
              <w:spacing w:line="480" w:lineRule="auto"/>
            </w:pPr>
            <w:r w:rsidRPr="009E5026">
              <w:t>0</w:t>
            </w:r>
          </w:p>
        </w:tc>
        <w:tc>
          <w:tcPr>
            <w:tcW w:w="1511" w:type="dxa"/>
            <w:shd w:val="clear" w:color="auto" w:fill="auto"/>
          </w:tcPr>
          <w:p w14:paraId="52FBA00C" w14:textId="7300E477" w:rsidR="00BF4B5E" w:rsidRPr="009E5026" w:rsidRDefault="00BF4B5E" w:rsidP="00BB38B6">
            <w:pPr>
              <w:spacing w:line="480" w:lineRule="auto"/>
            </w:pPr>
            <w:r w:rsidRPr="009E5026">
              <w:t>5</w:t>
            </w:r>
          </w:p>
        </w:tc>
        <w:tc>
          <w:tcPr>
            <w:tcW w:w="1511" w:type="dxa"/>
          </w:tcPr>
          <w:p w14:paraId="1A37C959" w14:textId="1F1C9071" w:rsidR="00BF4B5E" w:rsidRPr="009E5026" w:rsidRDefault="00BF4B5E" w:rsidP="00BB38B6">
            <w:pPr>
              <w:spacing w:line="480" w:lineRule="auto"/>
            </w:pPr>
            <w:r w:rsidRPr="009E5026">
              <w:t>6</w:t>
            </w:r>
          </w:p>
        </w:tc>
      </w:tr>
      <w:tr w:rsidR="00BF4B5E" w:rsidRPr="009E5026" w14:paraId="4BBF8B5C" w14:textId="77777777" w:rsidTr="00FF5A4B">
        <w:tc>
          <w:tcPr>
            <w:tcW w:w="1129" w:type="dxa"/>
            <w:vMerge/>
          </w:tcPr>
          <w:p w14:paraId="0F8D3154" w14:textId="0417A000" w:rsidR="00BF4B5E" w:rsidRPr="009E5026" w:rsidRDefault="00BF4B5E" w:rsidP="00BB38B6">
            <w:pPr>
              <w:spacing w:line="480" w:lineRule="auto"/>
            </w:pPr>
          </w:p>
        </w:tc>
        <w:tc>
          <w:tcPr>
            <w:tcW w:w="1843" w:type="dxa"/>
            <w:shd w:val="clear" w:color="auto" w:fill="auto"/>
          </w:tcPr>
          <w:p w14:paraId="174A6062" w14:textId="69281CD0" w:rsidR="00BF4B5E" w:rsidRPr="009E5026" w:rsidRDefault="00BF4B5E" w:rsidP="00BB38B6">
            <w:pPr>
              <w:spacing w:line="480" w:lineRule="auto"/>
            </w:pPr>
            <w:r w:rsidRPr="009E5026">
              <w:t>Total</w:t>
            </w:r>
          </w:p>
        </w:tc>
        <w:tc>
          <w:tcPr>
            <w:tcW w:w="1511" w:type="dxa"/>
            <w:shd w:val="clear" w:color="auto" w:fill="auto"/>
          </w:tcPr>
          <w:p w14:paraId="36AA1B1D" w14:textId="2138B37C" w:rsidR="00BF4B5E" w:rsidRPr="009E5026" w:rsidRDefault="00BF4B5E" w:rsidP="00BB38B6">
            <w:pPr>
              <w:spacing w:line="480" w:lineRule="auto"/>
            </w:pPr>
            <w:r w:rsidRPr="009E5026">
              <w:t>8</w:t>
            </w:r>
          </w:p>
        </w:tc>
        <w:tc>
          <w:tcPr>
            <w:tcW w:w="1511" w:type="dxa"/>
            <w:shd w:val="clear" w:color="auto" w:fill="auto"/>
          </w:tcPr>
          <w:p w14:paraId="36DEF8D5" w14:textId="4E6DA3DC" w:rsidR="00BF4B5E" w:rsidRPr="009E5026" w:rsidRDefault="00BF4B5E" w:rsidP="00BB38B6">
            <w:pPr>
              <w:spacing w:line="480" w:lineRule="auto"/>
            </w:pPr>
            <w:r w:rsidRPr="009E5026">
              <w:t>4</w:t>
            </w:r>
          </w:p>
        </w:tc>
        <w:tc>
          <w:tcPr>
            <w:tcW w:w="1511" w:type="dxa"/>
            <w:shd w:val="clear" w:color="auto" w:fill="auto"/>
          </w:tcPr>
          <w:p w14:paraId="22FCE04B" w14:textId="793BFF5E" w:rsidR="00BF4B5E" w:rsidRPr="009E5026" w:rsidRDefault="00BF4B5E" w:rsidP="00BB38B6">
            <w:pPr>
              <w:spacing w:line="480" w:lineRule="auto"/>
            </w:pPr>
            <w:r w:rsidRPr="009E5026">
              <w:t>8</w:t>
            </w:r>
          </w:p>
        </w:tc>
        <w:tc>
          <w:tcPr>
            <w:tcW w:w="1511" w:type="dxa"/>
          </w:tcPr>
          <w:p w14:paraId="5A3559B6" w14:textId="7EC57ED0" w:rsidR="00BF4B5E" w:rsidRPr="009E5026" w:rsidRDefault="00BF4B5E" w:rsidP="002D0D36">
            <w:pPr>
              <w:spacing w:line="480" w:lineRule="auto"/>
            </w:pPr>
            <w:r w:rsidRPr="009E5026">
              <w:t>20</w:t>
            </w:r>
          </w:p>
        </w:tc>
      </w:tr>
      <w:tr w:rsidR="000723B0" w:rsidRPr="009E5026" w14:paraId="3E8EC937" w14:textId="77777777" w:rsidTr="00FF5A4B">
        <w:tc>
          <w:tcPr>
            <w:tcW w:w="2972" w:type="dxa"/>
            <w:gridSpan w:val="2"/>
            <w:vMerge w:val="restart"/>
            <w:shd w:val="clear" w:color="auto" w:fill="auto"/>
          </w:tcPr>
          <w:p w14:paraId="5ABFFC7C" w14:textId="77777777" w:rsidR="000723B0" w:rsidRPr="009E5026" w:rsidRDefault="000723B0" w:rsidP="002D0D36">
            <w:pPr>
              <w:spacing w:line="480" w:lineRule="auto"/>
              <w:jc w:val="center"/>
              <w:rPr>
                <w:b/>
              </w:rPr>
            </w:pPr>
          </w:p>
        </w:tc>
        <w:tc>
          <w:tcPr>
            <w:tcW w:w="6044" w:type="dxa"/>
            <w:gridSpan w:val="4"/>
            <w:shd w:val="clear" w:color="auto" w:fill="auto"/>
          </w:tcPr>
          <w:p w14:paraId="16D9DA0C" w14:textId="79B4529E" w:rsidR="000723B0" w:rsidRPr="009E5026" w:rsidRDefault="00A75C0B" w:rsidP="002D0D36">
            <w:pPr>
              <w:spacing w:line="480" w:lineRule="auto"/>
              <w:jc w:val="center"/>
            </w:pPr>
            <w:r w:rsidRPr="009E5026">
              <w:rPr>
                <w:b/>
              </w:rPr>
              <w:t>Outcomes after re-assessment of samples by scientist 2</w:t>
            </w:r>
          </w:p>
        </w:tc>
      </w:tr>
      <w:tr w:rsidR="000723B0" w:rsidRPr="009E5026" w14:paraId="62CB2E8A" w14:textId="77777777" w:rsidTr="00FF5A4B">
        <w:tc>
          <w:tcPr>
            <w:tcW w:w="2972" w:type="dxa"/>
            <w:gridSpan w:val="2"/>
            <w:vMerge/>
            <w:shd w:val="clear" w:color="auto" w:fill="auto"/>
          </w:tcPr>
          <w:p w14:paraId="211B6F1F" w14:textId="77777777" w:rsidR="000723B0" w:rsidRPr="009E5026" w:rsidRDefault="000723B0" w:rsidP="00BB38B6">
            <w:pPr>
              <w:spacing w:line="480" w:lineRule="auto"/>
            </w:pPr>
          </w:p>
        </w:tc>
        <w:tc>
          <w:tcPr>
            <w:tcW w:w="1511" w:type="dxa"/>
            <w:shd w:val="clear" w:color="auto" w:fill="auto"/>
          </w:tcPr>
          <w:p w14:paraId="0088EF8D" w14:textId="1245F6D8" w:rsidR="000723B0" w:rsidRPr="009E5026" w:rsidRDefault="000723B0" w:rsidP="00BB38B6">
            <w:pPr>
              <w:spacing w:line="480" w:lineRule="auto"/>
            </w:pPr>
            <w:r w:rsidRPr="009E5026">
              <w:t>PCD positive*</w:t>
            </w:r>
          </w:p>
        </w:tc>
        <w:tc>
          <w:tcPr>
            <w:tcW w:w="1511" w:type="dxa"/>
            <w:shd w:val="clear" w:color="auto" w:fill="auto"/>
          </w:tcPr>
          <w:p w14:paraId="205A9904" w14:textId="77777777" w:rsidR="000723B0" w:rsidRPr="009E5026" w:rsidRDefault="000723B0" w:rsidP="00BB38B6">
            <w:pPr>
              <w:spacing w:line="480" w:lineRule="auto"/>
            </w:pPr>
            <w:r w:rsidRPr="009E5026">
              <w:t>PCD highly unlikely</w:t>
            </w:r>
          </w:p>
        </w:tc>
        <w:tc>
          <w:tcPr>
            <w:tcW w:w="1511" w:type="dxa"/>
            <w:shd w:val="clear" w:color="auto" w:fill="auto"/>
          </w:tcPr>
          <w:p w14:paraId="4EACE90C" w14:textId="77777777" w:rsidR="000723B0" w:rsidRPr="009E5026" w:rsidRDefault="000723B0" w:rsidP="00BB38B6">
            <w:pPr>
              <w:spacing w:line="480" w:lineRule="auto"/>
            </w:pPr>
            <w:r w:rsidRPr="009E5026">
              <w:t>Inconclusive</w:t>
            </w:r>
          </w:p>
        </w:tc>
        <w:tc>
          <w:tcPr>
            <w:tcW w:w="1511" w:type="dxa"/>
          </w:tcPr>
          <w:p w14:paraId="5A755859" w14:textId="77777777" w:rsidR="000723B0" w:rsidRPr="009E5026" w:rsidRDefault="000723B0" w:rsidP="00BB38B6">
            <w:pPr>
              <w:spacing w:line="480" w:lineRule="auto"/>
            </w:pPr>
            <w:r w:rsidRPr="009E5026">
              <w:t>Total</w:t>
            </w:r>
          </w:p>
        </w:tc>
      </w:tr>
      <w:tr w:rsidR="000723B0" w:rsidRPr="009E5026" w14:paraId="2F0D81BF" w14:textId="77777777" w:rsidTr="00FF5A4B">
        <w:tc>
          <w:tcPr>
            <w:tcW w:w="1129" w:type="dxa"/>
            <w:vMerge w:val="restart"/>
            <w:textDirection w:val="btLr"/>
          </w:tcPr>
          <w:p w14:paraId="27C546AA" w14:textId="6D585269" w:rsidR="000723B0" w:rsidRPr="009E5026" w:rsidRDefault="000723B0" w:rsidP="00FF5A4B">
            <w:pPr>
              <w:spacing w:line="480" w:lineRule="auto"/>
              <w:ind w:left="113" w:right="113"/>
              <w:jc w:val="center"/>
              <w:rPr>
                <w:b/>
              </w:rPr>
            </w:pPr>
            <w:r w:rsidRPr="009E5026">
              <w:rPr>
                <w:b/>
              </w:rPr>
              <w:t>Original outcomes by scientist 2</w:t>
            </w:r>
          </w:p>
        </w:tc>
        <w:tc>
          <w:tcPr>
            <w:tcW w:w="1843" w:type="dxa"/>
            <w:shd w:val="clear" w:color="auto" w:fill="auto"/>
          </w:tcPr>
          <w:p w14:paraId="188C8F16" w14:textId="6B9F34E4" w:rsidR="000723B0" w:rsidRPr="009E5026" w:rsidRDefault="000723B0" w:rsidP="00BB38B6">
            <w:pPr>
              <w:spacing w:line="480" w:lineRule="auto"/>
            </w:pPr>
            <w:r w:rsidRPr="009E5026">
              <w:t>Positive*</w:t>
            </w:r>
          </w:p>
        </w:tc>
        <w:tc>
          <w:tcPr>
            <w:tcW w:w="1511" w:type="dxa"/>
            <w:shd w:val="clear" w:color="auto" w:fill="auto"/>
          </w:tcPr>
          <w:p w14:paraId="5634BC20" w14:textId="3482CA02" w:rsidR="000723B0" w:rsidRPr="009E5026" w:rsidRDefault="000723B0" w:rsidP="00BB38B6">
            <w:pPr>
              <w:spacing w:line="480" w:lineRule="auto"/>
            </w:pPr>
            <w:r w:rsidRPr="009E5026">
              <w:t>10</w:t>
            </w:r>
          </w:p>
        </w:tc>
        <w:tc>
          <w:tcPr>
            <w:tcW w:w="1511" w:type="dxa"/>
            <w:shd w:val="clear" w:color="auto" w:fill="auto"/>
          </w:tcPr>
          <w:p w14:paraId="402205B2" w14:textId="23E6CE5D" w:rsidR="000723B0" w:rsidRPr="009E5026" w:rsidRDefault="000723B0" w:rsidP="00BB38B6">
            <w:pPr>
              <w:spacing w:line="480" w:lineRule="auto"/>
            </w:pPr>
            <w:r w:rsidRPr="009E5026">
              <w:t>0</w:t>
            </w:r>
          </w:p>
        </w:tc>
        <w:tc>
          <w:tcPr>
            <w:tcW w:w="1511" w:type="dxa"/>
            <w:shd w:val="clear" w:color="auto" w:fill="auto"/>
          </w:tcPr>
          <w:p w14:paraId="744150FB" w14:textId="7CBD8440" w:rsidR="000723B0" w:rsidRPr="009E5026" w:rsidRDefault="000723B0" w:rsidP="00BB38B6">
            <w:pPr>
              <w:spacing w:line="480" w:lineRule="auto"/>
            </w:pPr>
            <w:r w:rsidRPr="009E5026">
              <w:t>0</w:t>
            </w:r>
          </w:p>
        </w:tc>
        <w:tc>
          <w:tcPr>
            <w:tcW w:w="1511" w:type="dxa"/>
          </w:tcPr>
          <w:p w14:paraId="08CCACCA" w14:textId="199D7148" w:rsidR="000723B0" w:rsidRPr="009E5026" w:rsidRDefault="000723B0" w:rsidP="00BB38B6">
            <w:pPr>
              <w:spacing w:line="480" w:lineRule="auto"/>
            </w:pPr>
            <w:r w:rsidRPr="009E5026">
              <w:t>10</w:t>
            </w:r>
          </w:p>
        </w:tc>
      </w:tr>
      <w:tr w:rsidR="000723B0" w:rsidRPr="009E5026" w14:paraId="6B534C4B" w14:textId="77777777" w:rsidTr="00FF5A4B">
        <w:tc>
          <w:tcPr>
            <w:tcW w:w="1129" w:type="dxa"/>
            <w:vMerge/>
          </w:tcPr>
          <w:p w14:paraId="3437575A" w14:textId="166CC9EA" w:rsidR="000723B0" w:rsidRPr="009E5026" w:rsidRDefault="000723B0" w:rsidP="00BB38B6">
            <w:pPr>
              <w:spacing w:line="480" w:lineRule="auto"/>
            </w:pPr>
          </w:p>
        </w:tc>
        <w:tc>
          <w:tcPr>
            <w:tcW w:w="1843" w:type="dxa"/>
            <w:shd w:val="clear" w:color="auto" w:fill="auto"/>
          </w:tcPr>
          <w:p w14:paraId="101BD036" w14:textId="2B57876B" w:rsidR="000723B0" w:rsidRPr="009E5026" w:rsidRDefault="000723B0" w:rsidP="00BB38B6">
            <w:pPr>
              <w:spacing w:line="480" w:lineRule="auto"/>
            </w:pPr>
            <w:r w:rsidRPr="009E5026">
              <w:t>Highly unlikely</w:t>
            </w:r>
          </w:p>
        </w:tc>
        <w:tc>
          <w:tcPr>
            <w:tcW w:w="1511" w:type="dxa"/>
            <w:shd w:val="clear" w:color="auto" w:fill="auto"/>
          </w:tcPr>
          <w:p w14:paraId="4A1EDECD" w14:textId="635A0918" w:rsidR="000723B0" w:rsidRPr="009E5026" w:rsidRDefault="000723B0" w:rsidP="00BB38B6">
            <w:pPr>
              <w:spacing w:line="480" w:lineRule="auto"/>
            </w:pPr>
            <w:r w:rsidRPr="009E5026">
              <w:t>0</w:t>
            </w:r>
          </w:p>
        </w:tc>
        <w:tc>
          <w:tcPr>
            <w:tcW w:w="1511" w:type="dxa"/>
            <w:shd w:val="clear" w:color="auto" w:fill="auto"/>
          </w:tcPr>
          <w:p w14:paraId="1D5646C6" w14:textId="55B3104A" w:rsidR="000723B0" w:rsidRPr="009E5026" w:rsidRDefault="000723B0" w:rsidP="00BB38B6">
            <w:pPr>
              <w:spacing w:line="480" w:lineRule="auto"/>
            </w:pPr>
            <w:r w:rsidRPr="009E5026">
              <w:t>2</w:t>
            </w:r>
          </w:p>
        </w:tc>
        <w:tc>
          <w:tcPr>
            <w:tcW w:w="1511" w:type="dxa"/>
            <w:shd w:val="clear" w:color="auto" w:fill="auto"/>
          </w:tcPr>
          <w:p w14:paraId="11E5EDC7" w14:textId="4EBA14A6" w:rsidR="000723B0" w:rsidRPr="009E5026" w:rsidRDefault="000723B0" w:rsidP="00BB38B6">
            <w:pPr>
              <w:spacing w:line="480" w:lineRule="auto"/>
            </w:pPr>
            <w:r w:rsidRPr="009E5026">
              <w:t>1</w:t>
            </w:r>
          </w:p>
        </w:tc>
        <w:tc>
          <w:tcPr>
            <w:tcW w:w="1511" w:type="dxa"/>
          </w:tcPr>
          <w:p w14:paraId="3CDFA896" w14:textId="46D2BF64" w:rsidR="000723B0" w:rsidRPr="009E5026" w:rsidRDefault="000723B0" w:rsidP="00BB38B6">
            <w:pPr>
              <w:spacing w:line="480" w:lineRule="auto"/>
            </w:pPr>
            <w:r w:rsidRPr="009E5026">
              <w:t>3</w:t>
            </w:r>
          </w:p>
        </w:tc>
      </w:tr>
      <w:tr w:rsidR="000723B0" w:rsidRPr="009E5026" w14:paraId="398B43FE" w14:textId="77777777" w:rsidTr="00FF5A4B">
        <w:tc>
          <w:tcPr>
            <w:tcW w:w="1129" w:type="dxa"/>
            <w:vMerge/>
          </w:tcPr>
          <w:p w14:paraId="75A2D639" w14:textId="43A47422" w:rsidR="000723B0" w:rsidRPr="009E5026" w:rsidRDefault="000723B0" w:rsidP="00BB38B6">
            <w:pPr>
              <w:spacing w:line="480" w:lineRule="auto"/>
            </w:pPr>
          </w:p>
        </w:tc>
        <w:tc>
          <w:tcPr>
            <w:tcW w:w="1843" w:type="dxa"/>
            <w:shd w:val="clear" w:color="auto" w:fill="auto"/>
          </w:tcPr>
          <w:p w14:paraId="694B552D" w14:textId="71F27F46" w:rsidR="000723B0" w:rsidRPr="009E5026" w:rsidRDefault="000723B0" w:rsidP="00BB38B6">
            <w:pPr>
              <w:spacing w:line="480" w:lineRule="auto"/>
            </w:pPr>
            <w:r w:rsidRPr="009E5026">
              <w:t>Inconclusive</w:t>
            </w:r>
          </w:p>
        </w:tc>
        <w:tc>
          <w:tcPr>
            <w:tcW w:w="1511" w:type="dxa"/>
            <w:shd w:val="clear" w:color="auto" w:fill="auto"/>
          </w:tcPr>
          <w:p w14:paraId="03014804" w14:textId="160F7013" w:rsidR="000723B0" w:rsidRPr="009E5026" w:rsidRDefault="000723B0" w:rsidP="00BB38B6">
            <w:pPr>
              <w:spacing w:line="480" w:lineRule="auto"/>
            </w:pPr>
            <w:r w:rsidRPr="009E5026">
              <w:t>2</w:t>
            </w:r>
          </w:p>
        </w:tc>
        <w:tc>
          <w:tcPr>
            <w:tcW w:w="1511" w:type="dxa"/>
            <w:shd w:val="clear" w:color="auto" w:fill="auto"/>
          </w:tcPr>
          <w:p w14:paraId="633465F1" w14:textId="21218AE1" w:rsidR="000723B0" w:rsidRPr="009E5026" w:rsidRDefault="000723B0" w:rsidP="002D0D36">
            <w:pPr>
              <w:spacing w:line="480" w:lineRule="auto"/>
            </w:pPr>
            <w:r w:rsidRPr="009E5026">
              <w:t>1</w:t>
            </w:r>
          </w:p>
        </w:tc>
        <w:tc>
          <w:tcPr>
            <w:tcW w:w="1511" w:type="dxa"/>
            <w:shd w:val="clear" w:color="auto" w:fill="auto"/>
          </w:tcPr>
          <w:p w14:paraId="6C37B9FF" w14:textId="1523C2D6" w:rsidR="000723B0" w:rsidRPr="009E5026" w:rsidRDefault="000723B0" w:rsidP="00BB38B6">
            <w:pPr>
              <w:spacing w:line="480" w:lineRule="auto"/>
            </w:pPr>
            <w:r w:rsidRPr="009E5026">
              <w:t>4</w:t>
            </w:r>
          </w:p>
        </w:tc>
        <w:tc>
          <w:tcPr>
            <w:tcW w:w="1511" w:type="dxa"/>
          </w:tcPr>
          <w:p w14:paraId="30E76E9D" w14:textId="49870393" w:rsidR="000723B0" w:rsidRPr="009E5026" w:rsidRDefault="000723B0" w:rsidP="00BB38B6">
            <w:pPr>
              <w:spacing w:line="480" w:lineRule="auto"/>
            </w:pPr>
            <w:r w:rsidRPr="009E5026">
              <w:t>7</w:t>
            </w:r>
          </w:p>
        </w:tc>
      </w:tr>
      <w:tr w:rsidR="000723B0" w:rsidRPr="009E5026" w14:paraId="7AF75D58" w14:textId="77777777" w:rsidTr="00FF5A4B">
        <w:tc>
          <w:tcPr>
            <w:tcW w:w="1129" w:type="dxa"/>
            <w:vMerge/>
          </w:tcPr>
          <w:p w14:paraId="2EBC41A3" w14:textId="4A55F5E6" w:rsidR="000723B0" w:rsidRPr="009E5026" w:rsidRDefault="000723B0" w:rsidP="00BB38B6">
            <w:pPr>
              <w:spacing w:line="480" w:lineRule="auto"/>
            </w:pPr>
          </w:p>
        </w:tc>
        <w:tc>
          <w:tcPr>
            <w:tcW w:w="1843" w:type="dxa"/>
            <w:shd w:val="clear" w:color="auto" w:fill="auto"/>
          </w:tcPr>
          <w:p w14:paraId="13E47BD9" w14:textId="5C9B6764" w:rsidR="000723B0" w:rsidRPr="009E5026" w:rsidRDefault="000723B0" w:rsidP="00BB38B6">
            <w:pPr>
              <w:spacing w:line="480" w:lineRule="auto"/>
            </w:pPr>
            <w:r w:rsidRPr="009E5026">
              <w:t>Total</w:t>
            </w:r>
          </w:p>
        </w:tc>
        <w:tc>
          <w:tcPr>
            <w:tcW w:w="1511" w:type="dxa"/>
            <w:shd w:val="clear" w:color="auto" w:fill="auto"/>
          </w:tcPr>
          <w:p w14:paraId="072EE64E" w14:textId="0A0F9C1B" w:rsidR="000723B0" w:rsidRPr="009E5026" w:rsidRDefault="000723B0" w:rsidP="00BB38B6">
            <w:pPr>
              <w:spacing w:line="480" w:lineRule="auto"/>
            </w:pPr>
            <w:r w:rsidRPr="009E5026">
              <w:t>12</w:t>
            </w:r>
          </w:p>
        </w:tc>
        <w:tc>
          <w:tcPr>
            <w:tcW w:w="1511" w:type="dxa"/>
            <w:shd w:val="clear" w:color="auto" w:fill="auto"/>
          </w:tcPr>
          <w:p w14:paraId="2D45FAE1" w14:textId="11988AE3" w:rsidR="000723B0" w:rsidRPr="009E5026" w:rsidRDefault="000723B0" w:rsidP="00BB38B6">
            <w:pPr>
              <w:spacing w:line="480" w:lineRule="auto"/>
            </w:pPr>
            <w:r w:rsidRPr="009E5026">
              <w:t>3</w:t>
            </w:r>
          </w:p>
        </w:tc>
        <w:tc>
          <w:tcPr>
            <w:tcW w:w="1511" w:type="dxa"/>
            <w:shd w:val="clear" w:color="auto" w:fill="auto"/>
          </w:tcPr>
          <w:p w14:paraId="70B65A95" w14:textId="0827FAB9" w:rsidR="000723B0" w:rsidRPr="009E5026" w:rsidRDefault="000723B0" w:rsidP="00BB38B6">
            <w:pPr>
              <w:spacing w:line="480" w:lineRule="auto"/>
            </w:pPr>
            <w:r w:rsidRPr="009E5026">
              <w:t>5</w:t>
            </w:r>
          </w:p>
        </w:tc>
        <w:tc>
          <w:tcPr>
            <w:tcW w:w="1511" w:type="dxa"/>
          </w:tcPr>
          <w:p w14:paraId="1EBE05F5" w14:textId="1A43258E" w:rsidR="000723B0" w:rsidRPr="009E5026" w:rsidRDefault="000723B0" w:rsidP="00BB38B6">
            <w:pPr>
              <w:spacing w:line="480" w:lineRule="auto"/>
            </w:pPr>
            <w:r w:rsidRPr="009E5026">
              <w:t>20</w:t>
            </w:r>
          </w:p>
        </w:tc>
      </w:tr>
      <w:tr w:rsidR="000723B0" w:rsidRPr="009E5026" w14:paraId="522F567C" w14:textId="77777777" w:rsidTr="00FF5A4B">
        <w:tc>
          <w:tcPr>
            <w:tcW w:w="2972" w:type="dxa"/>
            <w:gridSpan w:val="2"/>
            <w:vMerge w:val="restart"/>
            <w:shd w:val="clear" w:color="auto" w:fill="auto"/>
          </w:tcPr>
          <w:p w14:paraId="42A21807" w14:textId="77777777" w:rsidR="000723B0" w:rsidRPr="009E5026" w:rsidRDefault="000723B0" w:rsidP="002D0D36">
            <w:pPr>
              <w:spacing w:line="480" w:lineRule="auto"/>
              <w:jc w:val="center"/>
              <w:rPr>
                <w:b/>
              </w:rPr>
            </w:pPr>
          </w:p>
        </w:tc>
        <w:tc>
          <w:tcPr>
            <w:tcW w:w="6044" w:type="dxa"/>
            <w:gridSpan w:val="4"/>
            <w:shd w:val="clear" w:color="auto" w:fill="auto"/>
          </w:tcPr>
          <w:p w14:paraId="43A2A8B7" w14:textId="5EE965B5" w:rsidR="000723B0" w:rsidRPr="009E5026" w:rsidRDefault="00A75C0B" w:rsidP="0048377F">
            <w:pPr>
              <w:spacing w:line="480" w:lineRule="auto"/>
              <w:jc w:val="center"/>
            </w:pPr>
            <w:r w:rsidRPr="009E5026">
              <w:rPr>
                <w:b/>
              </w:rPr>
              <w:t>Outcomes after re-assessment of samples by scientist 3</w:t>
            </w:r>
          </w:p>
        </w:tc>
      </w:tr>
      <w:tr w:rsidR="000723B0" w:rsidRPr="009E5026" w14:paraId="5A64177A" w14:textId="77777777" w:rsidTr="00FF5A4B">
        <w:tc>
          <w:tcPr>
            <w:tcW w:w="2972" w:type="dxa"/>
            <w:gridSpan w:val="2"/>
            <w:vMerge/>
            <w:shd w:val="clear" w:color="auto" w:fill="auto"/>
          </w:tcPr>
          <w:p w14:paraId="637430D7" w14:textId="77777777" w:rsidR="000723B0" w:rsidRPr="009E5026" w:rsidRDefault="000723B0" w:rsidP="002D0D36">
            <w:pPr>
              <w:spacing w:line="480" w:lineRule="auto"/>
            </w:pPr>
          </w:p>
        </w:tc>
        <w:tc>
          <w:tcPr>
            <w:tcW w:w="1511" w:type="dxa"/>
            <w:shd w:val="clear" w:color="auto" w:fill="auto"/>
          </w:tcPr>
          <w:p w14:paraId="64F4062D" w14:textId="5F8098D6" w:rsidR="000723B0" w:rsidRPr="009E5026" w:rsidRDefault="000723B0" w:rsidP="002D0D36">
            <w:pPr>
              <w:spacing w:line="480" w:lineRule="auto"/>
            </w:pPr>
            <w:r w:rsidRPr="009E5026">
              <w:t>PCD positive*</w:t>
            </w:r>
          </w:p>
        </w:tc>
        <w:tc>
          <w:tcPr>
            <w:tcW w:w="1511" w:type="dxa"/>
            <w:shd w:val="clear" w:color="auto" w:fill="auto"/>
          </w:tcPr>
          <w:p w14:paraId="009DD879" w14:textId="77777777" w:rsidR="000723B0" w:rsidRPr="009E5026" w:rsidRDefault="000723B0" w:rsidP="002D0D36">
            <w:pPr>
              <w:spacing w:line="480" w:lineRule="auto"/>
            </w:pPr>
            <w:r w:rsidRPr="009E5026">
              <w:t>PCD highly unlikely</w:t>
            </w:r>
          </w:p>
        </w:tc>
        <w:tc>
          <w:tcPr>
            <w:tcW w:w="1511" w:type="dxa"/>
            <w:shd w:val="clear" w:color="auto" w:fill="auto"/>
          </w:tcPr>
          <w:p w14:paraId="4286518E" w14:textId="77777777" w:rsidR="000723B0" w:rsidRPr="009E5026" w:rsidRDefault="000723B0" w:rsidP="002D0D36">
            <w:pPr>
              <w:spacing w:line="480" w:lineRule="auto"/>
            </w:pPr>
            <w:r w:rsidRPr="009E5026">
              <w:t>Inconclusive</w:t>
            </w:r>
          </w:p>
        </w:tc>
        <w:tc>
          <w:tcPr>
            <w:tcW w:w="1511" w:type="dxa"/>
          </w:tcPr>
          <w:p w14:paraId="35F385E3" w14:textId="77777777" w:rsidR="000723B0" w:rsidRPr="009E5026" w:rsidRDefault="000723B0" w:rsidP="002D0D36">
            <w:pPr>
              <w:spacing w:line="480" w:lineRule="auto"/>
            </w:pPr>
            <w:r w:rsidRPr="009E5026">
              <w:t>Total</w:t>
            </w:r>
          </w:p>
        </w:tc>
      </w:tr>
      <w:tr w:rsidR="000723B0" w:rsidRPr="009E5026" w14:paraId="3DCD359E" w14:textId="77777777" w:rsidTr="00FF5A4B">
        <w:tc>
          <w:tcPr>
            <w:tcW w:w="1129" w:type="dxa"/>
            <w:vMerge w:val="restart"/>
            <w:textDirection w:val="btLr"/>
          </w:tcPr>
          <w:p w14:paraId="4CE57E22" w14:textId="2BC079F6" w:rsidR="000723B0" w:rsidRPr="009E5026" w:rsidRDefault="000723B0" w:rsidP="00FF5A4B">
            <w:pPr>
              <w:spacing w:line="480" w:lineRule="auto"/>
              <w:ind w:left="113" w:right="113"/>
              <w:jc w:val="center"/>
              <w:rPr>
                <w:b/>
              </w:rPr>
            </w:pPr>
            <w:r w:rsidRPr="009E5026">
              <w:rPr>
                <w:b/>
              </w:rPr>
              <w:t>Original outcomes by scientist 3</w:t>
            </w:r>
          </w:p>
        </w:tc>
        <w:tc>
          <w:tcPr>
            <w:tcW w:w="1843" w:type="dxa"/>
            <w:shd w:val="clear" w:color="auto" w:fill="auto"/>
          </w:tcPr>
          <w:p w14:paraId="5E23B482" w14:textId="4E8A9F48" w:rsidR="000723B0" w:rsidRPr="009E5026" w:rsidRDefault="000723B0" w:rsidP="002D0D36">
            <w:pPr>
              <w:spacing w:line="480" w:lineRule="auto"/>
            </w:pPr>
            <w:r w:rsidRPr="009E5026">
              <w:t>Positive*</w:t>
            </w:r>
          </w:p>
        </w:tc>
        <w:tc>
          <w:tcPr>
            <w:tcW w:w="1511" w:type="dxa"/>
            <w:shd w:val="clear" w:color="auto" w:fill="auto"/>
          </w:tcPr>
          <w:p w14:paraId="1B24BDE3" w14:textId="7B82A5E8" w:rsidR="000723B0" w:rsidRPr="009E5026" w:rsidRDefault="000723B0" w:rsidP="002D0D36">
            <w:pPr>
              <w:spacing w:line="480" w:lineRule="auto"/>
            </w:pPr>
            <w:r w:rsidRPr="009E5026">
              <w:t>6</w:t>
            </w:r>
          </w:p>
        </w:tc>
        <w:tc>
          <w:tcPr>
            <w:tcW w:w="1511" w:type="dxa"/>
            <w:shd w:val="clear" w:color="auto" w:fill="auto"/>
          </w:tcPr>
          <w:p w14:paraId="6B9577A4" w14:textId="77777777" w:rsidR="000723B0" w:rsidRPr="009E5026" w:rsidRDefault="000723B0" w:rsidP="002D0D36">
            <w:pPr>
              <w:spacing w:line="480" w:lineRule="auto"/>
            </w:pPr>
            <w:r w:rsidRPr="009E5026">
              <w:t>0</w:t>
            </w:r>
          </w:p>
        </w:tc>
        <w:tc>
          <w:tcPr>
            <w:tcW w:w="1511" w:type="dxa"/>
            <w:shd w:val="clear" w:color="auto" w:fill="auto"/>
          </w:tcPr>
          <w:p w14:paraId="601BC809" w14:textId="310EA524" w:rsidR="000723B0" w:rsidRPr="009E5026" w:rsidRDefault="000723B0" w:rsidP="002D0D36">
            <w:pPr>
              <w:spacing w:line="480" w:lineRule="auto"/>
            </w:pPr>
            <w:r w:rsidRPr="009E5026">
              <w:t>0</w:t>
            </w:r>
          </w:p>
        </w:tc>
        <w:tc>
          <w:tcPr>
            <w:tcW w:w="1511" w:type="dxa"/>
          </w:tcPr>
          <w:p w14:paraId="24D5EC0B" w14:textId="43443F1B" w:rsidR="000723B0" w:rsidRPr="009E5026" w:rsidRDefault="000723B0" w:rsidP="002D0D36">
            <w:pPr>
              <w:spacing w:line="480" w:lineRule="auto"/>
            </w:pPr>
            <w:r w:rsidRPr="009E5026">
              <w:t>6</w:t>
            </w:r>
          </w:p>
        </w:tc>
      </w:tr>
      <w:tr w:rsidR="000723B0" w:rsidRPr="009E5026" w14:paraId="1A35DD38" w14:textId="77777777" w:rsidTr="00FF5A4B">
        <w:tc>
          <w:tcPr>
            <w:tcW w:w="1129" w:type="dxa"/>
            <w:vMerge/>
          </w:tcPr>
          <w:p w14:paraId="048EBD27" w14:textId="5E1CAE75" w:rsidR="000723B0" w:rsidRPr="009E5026" w:rsidRDefault="000723B0" w:rsidP="002D0D36">
            <w:pPr>
              <w:spacing w:line="480" w:lineRule="auto"/>
            </w:pPr>
          </w:p>
        </w:tc>
        <w:tc>
          <w:tcPr>
            <w:tcW w:w="1843" w:type="dxa"/>
            <w:shd w:val="clear" w:color="auto" w:fill="auto"/>
          </w:tcPr>
          <w:p w14:paraId="56D0F665" w14:textId="46DC0485" w:rsidR="000723B0" w:rsidRPr="009E5026" w:rsidRDefault="000723B0" w:rsidP="002D0D36">
            <w:pPr>
              <w:spacing w:line="480" w:lineRule="auto"/>
            </w:pPr>
            <w:r w:rsidRPr="009E5026">
              <w:t>Highly unlikely</w:t>
            </w:r>
          </w:p>
        </w:tc>
        <w:tc>
          <w:tcPr>
            <w:tcW w:w="1511" w:type="dxa"/>
            <w:shd w:val="clear" w:color="auto" w:fill="auto"/>
          </w:tcPr>
          <w:p w14:paraId="72FB30F8" w14:textId="1AD0C98D" w:rsidR="000723B0" w:rsidRPr="009E5026" w:rsidRDefault="000723B0" w:rsidP="002D0D36">
            <w:pPr>
              <w:spacing w:line="480" w:lineRule="auto"/>
            </w:pPr>
            <w:r w:rsidRPr="009E5026">
              <w:t>0</w:t>
            </w:r>
          </w:p>
        </w:tc>
        <w:tc>
          <w:tcPr>
            <w:tcW w:w="1511" w:type="dxa"/>
            <w:shd w:val="clear" w:color="auto" w:fill="auto"/>
          </w:tcPr>
          <w:p w14:paraId="299295F4" w14:textId="0EB80A79" w:rsidR="000723B0" w:rsidRPr="009E5026" w:rsidRDefault="000723B0" w:rsidP="002D0D36">
            <w:pPr>
              <w:spacing w:line="480" w:lineRule="auto"/>
            </w:pPr>
            <w:r w:rsidRPr="009E5026">
              <w:t>5</w:t>
            </w:r>
          </w:p>
        </w:tc>
        <w:tc>
          <w:tcPr>
            <w:tcW w:w="1511" w:type="dxa"/>
            <w:shd w:val="clear" w:color="auto" w:fill="auto"/>
          </w:tcPr>
          <w:p w14:paraId="778F6EDB" w14:textId="52620A51" w:rsidR="000723B0" w:rsidRPr="009E5026" w:rsidRDefault="000723B0" w:rsidP="002D0D36">
            <w:pPr>
              <w:spacing w:line="480" w:lineRule="auto"/>
            </w:pPr>
            <w:r w:rsidRPr="009E5026">
              <w:t>2</w:t>
            </w:r>
          </w:p>
        </w:tc>
        <w:tc>
          <w:tcPr>
            <w:tcW w:w="1511" w:type="dxa"/>
          </w:tcPr>
          <w:p w14:paraId="549CB0C2" w14:textId="073F2900" w:rsidR="000723B0" w:rsidRPr="009E5026" w:rsidRDefault="000723B0" w:rsidP="002D0D36">
            <w:pPr>
              <w:spacing w:line="480" w:lineRule="auto"/>
            </w:pPr>
            <w:r w:rsidRPr="009E5026">
              <w:t>7</w:t>
            </w:r>
          </w:p>
        </w:tc>
      </w:tr>
      <w:tr w:rsidR="000723B0" w:rsidRPr="009E5026" w14:paraId="45283DE1" w14:textId="77777777" w:rsidTr="00FF5A4B">
        <w:tc>
          <w:tcPr>
            <w:tcW w:w="1129" w:type="dxa"/>
            <w:vMerge/>
          </w:tcPr>
          <w:p w14:paraId="1F745F8C" w14:textId="5F1C2949" w:rsidR="000723B0" w:rsidRPr="009E5026" w:rsidRDefault="000723B0" w:rsidP="002D0D36">
            <w:pPr>
              <w:spacing w:line="480" w:lineRule="auto"/>
            </w:pPr>
          </w:p>
        </w:tc>
        <w:tc>
          <w:tcPr>
            <w:tcW w:w="1843" w:type="dxa"/>
            <w:shd w:val="clear" w:color="auto" w:fill="auto"/>
          </w:tcPr>
          <w:p w14:paraId="176E0D8B" w14:textId="43BBC086" w:rsidR="000723B0" w:rsidRPr="009E5026" w:rsidRDefault="000723B0" w:rsidP="002D0D36">
            <w:pPr>
              <w:spacing w:line="480" w:lineRule="auto"/>
            </w:pPr>
            <w:r w:rsidRPr="009E5026">
              <w:t>Inconclusive</w:t>
            </w:r>
          </w:p>
        </w:tc>
        <w:tc>
          <w:tcPr>
            <w:tcW w:w="1511" w:type="dxa"/>
            <w:shd w:val="clear" w:color="auto" w:fill="auto"/>
          </w:tcPr>
          <w:p w14:paraId="4E824C29" w14:textId="2989682B" w:rsidR="000723B0" w:rsidRPr="009E5026" w:rsidRDefault="000723B0" w:rsidP="002D0D36">
            <w:pPr>
              <w:spacing w:line="480" w:lineRule="auto"/>
            </w:pPr>
            <w:r w:rsidRPr="009E5026">
              <w:t>1</w:t>
            </w:r>
          </w:p>
        </w:tc>
        <w:tc>
          <w:tcPr>
            <w:tcW w:w="1511" w:type="dxa"/>
            <w:shd w:val="clear" w:color="auto" w:fill="auto"/>
          </w:tcPr>
          <w:p w14:paraId="77B0939D" w14:textId="2486C815" w:rsidR="000723B0" w:rsidRPr="009E5026" w:rsidRDefault="000723B0" w:rsidP="002D0D36">
            <w:pPr>
              <w:spacing w:line="480" w:lineRule="auto"/>
            </w:pPr>
            <w:r w:rsidRPr="009E5026">
              <w:t>0</w:t>
            </w:r>
          </w:p>
        </w:tc>
        <w:tc>
          <w:tcPr>
            <w:tcW w:w="1511" w:type="dxa"/>
            <w:shd w:val="clear" w:color="auto" w:fill="auto"/>
          </w:tcPr>
          <w:p w14:paraId="4C1BDC41" w14:textId="136AF205" w:rsidR="000723B0" w:rsidRPr="009E5026" w:rsidRDefault="000723B0" w:rsidP="002D0D36">
            <w:pPr>
              <w:spacing w:line="480" w:lineRule="auto"/>
            </w:pPr>
            <w:r w:rsidRPr="009E5026">
              <w:t>6</w:t>
            </w:r>
          </w:p>
        </w:tc>
        <w:tc>
          <w:tcPr>
            <w:tcW w:w="1511" w:type="dxa"/>
          </w:tcPr>
          <w:p w14:paraId="63DD8AF1" w14:textId="264A67AB" w:rsidR="000723B0" w:rsidRPr="009E5026" w:rsidRDefault="000723B0" w:rsidP="002D0D36">
            <w:pPr>
              <w:spacing w:line="480" w:lineRule="auto"/>
            </w:pPr>
            <w:r w:rsidRPr="009E5026">
              <w:t>7</w:t>
            </w:r>
          </w:p>
        </w:tc>
      </w:tr>
      <w:tr w:rsidR="000723B0" w:rsidRPr="009E5026" w14:paraId="06CC4E3C" w14:textId="77777777" w:rsidTr="00FF5A4B">
        <w:tc>
          <w:tcPr>
            <w:tcW w:w="1129" w:type="dxa"/>
            <w:vMerge/>
          </w:tcPr>
          <w:p w14:paraId="33DAC405" w14:textId="6E40B887" w:rsidR="000723B0" w:rsidRPr="009E5026" w:rsidRDefault="000723B0" w:rsidP="002D0D36">
            <w:pPr>
              <w:spacing w:line="480" w:lineRule="auto"/>
            </w:pPr>
          </w:p>
        </w:tc>
        <w:tc>
          <w:tcPr>
            <w:tcW w:w="1843" w:type="dxa"/>
            <w:shd w:val="clear" w:color="auto" w:fill="auto"/>
          </w:tcPr>
          <w:p w14:paraId="4AEF4529" w14:textId="2BFC2BDC" w:rsidR="000723B0" w:rsidRPr="009E5026" w:rsidRDefault="000723B0" w:rsidP="002D0D36">
            <w:pPr>
              <w:spacing w:line="480" w:lineRule="auto"/>
            </w:pPr>
            <w:r w:rsidRPr="009E5026">
              <w:t>Total</w:t>
            </w:r>
          </w:p>
        </w:tc>
        <w:tc>
          <w:tcPr>
            <w:tcW w:w="1511" w:type="dxa"/>
            <w:shd w:val="clear" w:color="auto" w:fill="auto"/>
          </w:tcPr>
          <w:p w14:paraId="6A9EC124" w14:textId="740A51C1" w:rsidR="000723B0" w:rsidRPr="009E5026" w:rsidRDefault="000723B0" w:rsidP="002D0D36">
            <w:pPr>
              <w:spacing w:line="480" w:lineRule="auto"/>
            </w:pPr>
            <w:r w:rsidRPr="009E5026">
              <w:t>7</w:t>
            </w:r>
          </w:p>
        </w:tc>
        <w:tc>
          <w:tcPr>
            <w:tcW w:w="1511" w:type="dxa"/>
            <w:shd w:val="clear" w:color="auto" w:fill="auto"/>
          </w:tcPr>
          <w:p w14:paraId="67646D4C" w14:textId="75D2589B" w:rsidR="000723B0" w:rsidRPr="009E5026" w:rsidRDefault="000723B0" w:rsidP="002D0D36">
            <w:pPr>
              <w:spacing w:line="480" w:lineRule="auto"/>
            </w:pPr>
            <w:r w:rsidRPr="009E5026">
              <w:t>5</w:t>
            </w:r>
          </w:p>
        </w:tc>
        <w:tc>
          <w:tcPr>
            <w:tcW w:w="1511" w:type="dxa"/>
            <w:shd w:val="clear" w:color="auto" w:fill="auto"/>
          </w:tcPr>
          <w:p w14:paraId="12C1FA0B" w14:textId="29445571" w:rsidR="000723B0" w:rsidRPr="009E5026" w:rsidRDefault="000723B0" w:rsidP="002D0D36">
            <w:pPr>
              <w:spacing w:line="480" w:lineRule="auto"/>
            </w:pPr>
            <w:r w:rsidRPr="009E5026">
              <w:t>8</w:t>
            </w:r>
          </w:p>
        </w:tc>
        <w:tc>
          <w:tcPr>
            <w:tcW w:w="1511" w:type="dxa"/>
          </w:tcPr>
          <w:p w14:paraId="36A22E05" w14:textId="2855B2D8" w:rsidR="000723B0" w:rsidRPr="009E5026" w:rsidRDefault="000723B0" w:rsidP="002D0D36">
            <w:pPr>
              <w:spacing w:line="480" w:lineRule="auto"/>
            </w:pPr>
            <w:r w:rsidRPr="009E5026">
              <w:t>20</w:t>
            </w:r>
          </w:p>
        </w:tc>
      </w:tr>
    </w:tbl>
    <w:p w14:paraId="16F48B5B" w14:textId="77777777" w:rsidR="002D0D36" w:rsidRPr="009E5026" w:rsidRDefault="002D0D36" w:rsidP="0013158B">
      <w:pPr>
        <w:spacing w:line="480" w:lineRule="auto"/>
        <w:sectPr w:rsidR="002D0D36" w:rsidRPr="009E5026">
          <w:pgSz w:w="11906" w:h="16838"/>
          <w:pgMar w:top="1440" w:right="1440" w:bottom="1440" w:left="1440" w:header="708" w:footer="708" w:gutter="0"/>
          <w:cols w:space="708"/>
          <w:docGrid w:linePitch="360"/>
        </w:sectPr>
      </w:pPr>
    </w:p>
    <w:p w14:paraId="2B95FA3E" w14:textId="5FB212FA" w:rsidR="00CA6B04" w:rsidRPr="009E5026" w:rsidRDefault="00494C7B" w:rsidP="00FF5A4B">
      <w:pPr>
        <w:pStyle w:val="Heading1"/>
      </w:pPr>
      <w:r w:rsidRPr="009E5026">
        <w:lastRenderedPageBreak/>
        <w:t>References</w:t>
      </w:r>
    </w:p>
    <w:p w14:paraId="0912F22C" w14:textId="048E8A62" w:rsidR="00931FCF" w:rsidRPr="009E5026" w:rsidRDefault="00931FCF" w:rsidP="00931FCF">
      <w:pPr>
        <w:pStyle w:val="EndNoteBibliography"/>
        <w:spacing w:after="0"/>
      </w:pPr>
      <w:r w:rsidRPr="009E5026">
        <w:t>1.</w:t>
      </w:r>
      <w:r w:rsidRPr="009E5026">
        <w:tab/>
      </w:r>
      <w:r w:rsidR="004201EF" w:rsidRPr="009E5026">
        <w:rPr>
          <w:lang w:val="de-CH"/>
        </w:rPr>
        <w:t>Lucas JS, Alanin MC, Collins S, Harris A, Johansen HK, Nielsen KG, Papon JF, Robinson P, Walker WT. Clinical care of children with primary ciliary dyskinesia. Expert Rev Respir Med 2017;11:779-90.</w:t>
      </w:r>
    </w:p>
    <w:p w14:paraId="5014A177" w14:textId="53367247" w:rsidR="004201EF" w:rsidRPr="009E5026" w:rsidRDefault="004201EF" w:rsidP="00931FCF">
      <w:pPr>
        <w:pStyle w:val="EndNoteBibliography"/>
        <w:spacing w:after="0"/>
      </w:pPr>
      <w:r w:rsidRPr="009E5026">
        <w:t>2.</w:t>
      </w:r>
      <w:r w:rsidRPr="009E5026">
        <w:tab/>
      </w:r>
      <w:r w:rsidRPr="009E5026">
        <w:rPr>
          <w:lang w:val="en-GB"/>
        </w:rPr>
        <w:t xml:space="preserve">Lucas JS, Barbato A, Collins SA, Goutaki M, Behan L, Caudri D, </w:t>
      </w:r>
      <w:r w:rsidR="00931FCF" w:rsidRPr="009E5026">
        <w:rPr>
          <w:lang w:val="en-GB"/>
        </w:rPr>
        <w:t>Dell S, Eber E, Escudier E, Hirst RA, Hogg C, Jorissen M, Latzin P, Legendre M, Leigh MW, Midulla F, Nielsen KG, Omran H, Papon JF, Pohunek P, Redfern B, Rigau D, Rindlisbacher B, Santamaria F, Shoemark A, Snijders D, Tonia T, Titieni A, Walker WT, Werner C, Bush A, Kuehni CE.</w:t>
      </w:r>
      <w:r w:rsidRPr="009E5026">
        <w:rPr>
          <w:lang w:val="en-GB"/>
        </w:rPr>
        <w:t>. European Respiratory Society guidelines for the diagnosis of primary ciliary dyskinesia. Eur Respir J. 2017 Jan 4;49(1): 1601090</w:t>
      </w:r>
    </w:p>
    <w:p w14:paraId="20033BF0" w14:textId="0388DF55" w:rsidR="00931FCF" w:rsidRPr="009E5026" w:rsidRDefault="00931FCF" w:rsidP="00931FCF">
      <w:pPr>
        <w:pStyle w:val="EndNoteBibliography"/>
        <w:spacing w:after="0"/>
      </w:pPr>
      <w:r w:rsidRPr="009E5026">
        <w:t>3.</w:t>
      </w:r>
      <w:r w:rsidRPr="009E5026">
        <w:tab/>
        <w:t xml:space="preserve">Shapiro AJ, Davis SD, Polineni D, Manion M, Rosenfeld M, Dell SD, Chilvers MA, Ferkol TW, Zariwala MA, Sagel SD, Josephson M, Morgan L, Yilmaz O, Olivier KN, Milla C, Pittman JE, Daniels MLA, Jones MH, Janahi IA, Ware SM, Daniel SJ, Cooper ML, Nogee LM, Anton B, Eastvold T, Ehrne L, Guadagno E, Knowles MR, Leigh MW, Lavergne V. Diagnosis of Primary Ciliary Dyskinesia. An Official American Thoracic Society Clinical Practice Guideline. </w:t>
      </w:r>
      <w:r w:rsidR="004201EF" w:rsidRPr="009E5026">
        <w:t>Am J Respir Crit C</w:t>
      </w:r>
      <w:r w:rsidRPr="009E5026">
        <w:t>a</w:t>
      </w:r>
      <w:r w:rsidR="004201EF" w:rsidRPr="009E5026">
        <w:t>re Med</w:t>
      </w:r>
      <w:r w:rsidRPr="009E5026">
        <w:rPr>
          <w:i/>
        </w:rPr>
        <w:t xml:space="preserve"> </w:t>
      </w:r>
      <w:r w:rsidRPr="009E5026">
        <w:t>2018: 197(12): e24-e39.</w:t>
      </w:r>
    </w:p>
    <w:p w14:paraId="7F4185A5" w14:textId="70FF3336" w:rsidR="00931FCF" w:rsidRPr="009E5026" w:rsidRDefault="00931FCF" w:rsidP="00931FCF">
      <w:pPr>
        <w:pStyle w:val="EndNoteBibliography"/>
        <w:spacing w:after="0"/>
      </w:pPr>
      <w:r w:rsidRPr="009E5026">
        <w:t>4.</w:t>
      </w:r>
      <w:r w:rsidRPr="009E5026">
        <w:tab/>
      </w:r>
      <w:r w:rsidR="004201EF" w:rsidRPr="009E5026">
        <w:rPr>
          <w:lang w:val="en-GB"/>
        </w:rPr>
        <w:t>Lucas JS, Burgess A, Mitchison HM, Moya E, Williamson M, Hogg C. Diagnosis and management of primary ciliary dyskinesia. Arch Dis Child. 2014 Sep 1;99(9):850.</w:t>
      </w:r>
    </w:p>
    <w:p w14:paraId="672AF239" w14:textId="32418519" w:rsidR="00931FCF" w:rsidRPr="009E5026" w:rsidRDefault="00931FCF" w:rsidP="00931FCF">
      <w:pPr>
        <w:pStyle w:val="EndNoteBibliography"/>
        <w:spacing w:after="0"/>
      </w:pPr>
      <w:r w:rsidRPr="009E5026">
        <w:t>5.</w:t>
      </w:r>
      <w:r w:rsidRPr="009E5026">
        <w:tab/>
      </w:r>
      <w:r w:rsidR="004201EF" w:rsidRPr="009E5026">
        <w:rPr>
          <w:lang w:val="en-GB"/>
        </w:rPr>
        <w:t>Kuehni CE, Lucas JS. Diagnosis of primary ciliary dyskinesia: summary of the ERS Task Force report. Breathe (Sheff). 2017 Sep;13(3):166–78.</w:t>
      </w:r>
    </w:p>
    <w:p w14:paraId="04EBD898" w14:textId="77777777" w:rsidR="004201EF" w:rsidRPr="009E5026" w:rsidRDefault="00931FCF" w:rsidP="00931FCF">
      <w:pPr>
        <w:pStyle w:val="EndNoteBibliography"/>
        <w:spacing w:after="0"/>
        <w:rPr>
          <w:lang w:val="en-GB"/>
        </w:rPr>
      </w:pPr>
      <w:r w:rsidRPr="009E5026">
        <w:t>6.</w:t>
      </w:r>
      <w:r w:rsidRPr="009E5026">
        <w:tab/>
      </w:r>
      <w:r w:rsidR="004201EF" w:rsidRPr="009E5026">
        <w:rPr>
          <w:lang w:val="en-GB"/>
        </w:rPr>
        <w:t xml:space="preserve">Schwabe Georg C., Hoffmann Katrin, Loges Niki Tomas, Birker Daniel, Rossier Colette, de Santi Margherita M., et al. Primary ciliary dyskinesia associated with normal axoneme ultrastructure is caused by DNAH11 mutations. Hum Mutat. 2008 Jan 14;29(2):289–98. </w:t>
      </w:r>
    </w:p>
    <w:p w14:paraId="155D482F" w14:textId="57E67076" w:rsidR="00931FCF" w:rsidRPr="009E5026" w:rsidRDefault="00931FCF" w:rsidP="00931FCF">
      <w:pPr>
        <w:pStyle w:val="EndNoteBibliography"/>
        <w:spacing w:after="0"/>
      </w:pPr>
      <w:r w:rsidRPr="009E5026">
        <w:t>7.</w:t>
      </w:r>
      <w:r w:rsidRPr="009E5026">
        <w:tab/>
        <w:t xml:space="preserve">Davis SD, Ferkol TW, Rosenfeld M, Lee HS, Dell SD, Sagel SD, Milla C, Zariwala MA, Pittman JE, Shapiro AJ, Carson JL, Krischer JP, Hazucha MJ, Cooper ML, Knowles MR, Leigh MW. Clinical features of childhood primary ciliary dyskinesia by genotype and ultrastructural phenotype. </w:t>
      </w:r>
      <w:r w:rsidR="00132B91" w:rsidRPr="009E5026">
        <w:t xml:space="preserve">Am J Respir Crit Care Med </w:t>
      </w:r>
      <w:r w:rsidRPr="009E5026">
        <w:t>2015: 191(3): 316-324.</w:t>
      </w:r>
    </w:p>
    <w:p w14:paraId="2B18A137" w14:textId="77777777" w:rsidR="00931FCF" w:rsidRPr="009E5026" w:rsidRDefault="00931FCF" w:rsidP="00931FCF">
      <w:pPr>
        <w:pStyle w:val="EndNoteBibliography"/>
        <w:spacing w:after="0"/>
      </w:pPr>
      <w:r w:rsidRPr="009E5026">
        <w:t>8.</w:t>
      </w:r>
      <w:r w:rsidRPr="009E5026">
        <w:tab/>
        <w:t>Marshall CR, Scherer SW, Zariwala MA, Lau L, Paton TA, Stockley T, Jobling RK, Ray PN, Knowles MR, Hall DA, Dell SD, Kim RH. Whole-Exome Sequencing and Targeted Copy Number Analysis in Primary Ciliary Dyskinesia. G3 (Bethesda, Md) 2015: 5(8): 1775-1781.</w:t>
      </w:r>
    </w:p>
    <w:p w14:paraId="4B841FB8" w14:textId="1D8F2672" w:rsidR="00931FCF" w:rsidRPr="009E5026" w:rsidRDefault="00931FCF" w:rsidP="00931FCF">
      <w:pPr>
        <w:pStyle w:val="EndNoteBibliography"/>
        <w:spacing w:after="0"/>
      </w:pPr>
      <w:r w:rsidRPr="009E5026">
        <w:t>9.</w:t>
      </w:r>
      <w:r w:rsidRPr="009E5026">
        <w:tab/>
        <w:t xml:space="preserve">Jackson CL, Behan L, Collins SA, Goggin PM, Adam EC, Coles JL, Evans HJ, Harris A, Lackie P, Packham S, Page A, Thompson J, Walker WT, Kuehni C, Lucas JS. Accuracy of diagnostic testing in primary ciliary dyskinesia. </w:t>
      </w:r>
      <w:r w:rsidR="00132B91" w:rsidRPr="009E5026">
        <w:rPr>
          <w:lang w:val="en-GB"/>
        </w:rPr>
        <w:t xml:space="preserve">Eur Respir J. </w:t>
      </w:r>
      <w:r w:rsidRPr="009E5026">
        <w:t>2016: 47(3): 837-848.</w:t>
      </w:r>
    </w:p>
    <w:p w14:paraId="3321C530" w14:textId="2BF42FC4" w:rsidR="00931FCF" w:rsidRPr="009E5026" w:rsidRDefault="00931FCF" w:rsidP="00931FCF">
      <w:pPr>
        <w:pStyle w:val="EndNoteBibliography"/>
        <w:spacing w:after="0"/>
      </w:pPr>
      <w:r w:rsidRPr="009E5026">
        <w:t>10.</w:t>
      </w:r>
      <w:r w:rsidRPr="009E5026">
        <w:tab/>
        <w:t xml:space="preserve">Papon JF, Bassinet L, Cariou-Patron G, Zerah-Lancner F, Vojtek AM, Blanchon S, Crestani B, Amselem S, Coste A, Housset B, Escudier E, Louis B. Quantitative analysis of ciliary beating in primary ciliary dyskinesia: a pilot study. </w:t>
      </w:r>
      <w:r w:rsidR="00132B91" w:rsidRPr="009E5026">
        <w:t>Orphanet J Rare Dis 2012;7:</w:t>
      </w:r>
      <w:r w:rsidR="005A1786" w:rsidRPr="009E5026">
        <w:t xml:space="preserve"> </w:t>
      </w:r>
      <w:r w:rsidR="00132B91" w:rsidRPr="009E5026">
        <w:t>78–78.</w:t>
      </w:r>
    </w:p>
    <w:p w14:paraId="490898FF" w14:textId="77777777" w:rsidR="00931FCF" w:rsidRPr="009E5026" w:rsidRDefault="00931FCF" w:rsidP="00931FCF">
      <w:pPr>
        <w:pStyle w:val="EndNoteBibliography"/>
        <w:spacing w:after="0"/>
      </w:pPr>
      <w:r w:rsidRPr="009E5026">
        <w:t>11.</w:t>
      </w:r>
      <w:r w:rsidRPr="009E5026">
        <w:tab/>
        <w:t>Lucas JS, Evans HJ, Haarman EG, Hirst RA, Hogg C, Jackson CL, Nielsen KG, Omran H, Papon JF, Robinson P, Shoemark A, Walker WT. Exploring the Art of Ciliary Beating: The Benefits of High-Speed Video Analysis. Chest 2017: 152(6): 1348-1349.</w:t>
      </w:r>
    </w:p>
    <w:p w14:paraId="28A18664" w14:textId="252EDFA8" w:rsidR="00931FCF" w:rsidRPr="009E5026" w:rsidRDefault="00931FCF" w:rsidP="00931FCF">
      <w:pPr>
        <w:pStyle w:val="EndNoteBibliography"/>
        <w:spacing w:after="0"/>
      </w:pPr>
      <w:r w:rsidRPr="009E5026">
        <w:t>12.</w:t>
      </w:r>
      <w:r w:rsidRPr="009E5026">
        <w:tab/>
        <w:t>Rutjes AW, Reitsma JB, Coomarasamy A, Khan KS, Bossuyt PM. Evaluation of diagnostic tests when there is no gold standard. A review of methods. Health technology assessment (Winchester, England) 2007: 11(50): iii, ix-51.</w:t>
      </w:r>
    </w:p>
    <w:p w14:paraId="124703CE" w14:textId="036423D5" w:rsidR="009B0399" w:rsidRPr="009E5026" w:rsidRDefault="009B0399" w:rsidP="00931FCF">
      <w:pPr>
        <w:pStyle w:val="EndNoteBibliography"/>
        <w:spacing w:after="0"/>
      </w:pPr>
      <w:r w:rsidRPr="009E5026">
        <w:t>13.</w:t>
      </w:r>
      <w:r w:rsidRPr="009E5026">
        <w:tab/>
        <w:t>Walter SD, Eliasziw M, Donner A. Sample size and optimal designs for reliability studies. Stat Med 1998;17:</w:t>
      </w:r>
      <w:r w:rsidR="005A1786" w:rsidRPr="009E5026">
        <w:t xml:space="preserve"> </w:t>
      </w:r>
      <w:r w:rsidRPr="009E5026">
        <w:t>101-110</w:t>
      </w:r>
    </w:p>
    <w:p w14:paraId="781DF5C0" w14:textId="51D93138" w:rsidR="00931FCF" w:rsidRPr="009E5026" w:rsidRDefault="005970E8" w:rsidP="00931FCF">
      <w:pPr>
        <w:pStyle w:val="EndNoteBibliography"/>
        <w:spacing w:after="0"/>
      </w:pPr>
      <w:r w:rsidRPr="009E5026">
        <w:t>14</w:t>
      </w:r>
      <w:r w:rsidR="00931FCF" w:rsidRPr="009E5026">
        <w:t>.</w:t>
      </w:r>
      <w:r w:rsidR="00931FCF" w:rsidRPr="009E5026">
        <w:tab/>
      </w:r>
      <w:r w:rsidR="001D21A7" w:rsidRPr="009E5026">
        <w:rPr>
          <w:lang w:val="en-GB"/>
        </w:rPr>
        <w:t>Daniel J. Sampling Essentials: Practical Guidelines for Making Sampling Choices [Internet]. 2455 Teller Road, Thousand Oaks California 91320 United States: SAGE Publications, Inc.; 2012 [cited 2018 Apr 5]. Available from: http://methods.sagepub.com/book/sampling-essentials</w:t>
      </w:r>
    </w:p>
    <w:p w14:paraId="646FB6E8" w14:textId="144201F8" w:rsidR="00931FCF" w:rsidRPr="009E5026" w:rsidRDefault="005970E8" w:rsidP="00931FCF">
      <w:pPr>
        <w:pStyle w:val="EndNoteBibliography"/>
        <w:spacing w:after="0"/>
      </w:pPr>
      <w:r w:rsidRPr="009E5026">
        <w:t>15</w:t>
      </w:r>
      <w:r w:rsidR="00931FCF" w:rsidRPr="009E5026">
        <w:t>.</w:t>
      </w:r>
      <w:r w:rsidR="00931FCF" w:rsidRPr="009E5026">
        <w:tab/>
      </w:r>
      <w:r w:rsidR="001D21A7" w:rsidRPr="009E5026">
        <w:rPr>
          <w:lang w:val="en-GB"/>
        </w:rPr>
        <w:t>Sampling and sample size calculation - The NIHR Research Design Service for Yorkshire the Humber Sampling and Sample Size Calculation Authors Nick Fox [Internet]. [cited 2018 Apr 5]. Available from: https://www.coursehero.com/file/22207344/Sampling-and-sample-size-calculation/</w:t>
      </w:r>
    </w:p>
    <w:p w14:paraId="2E94C407" w14:textId="43524BA7" w:rsidR="00931FCF" w:rsidRPr="009E5026" w:rsidRDefault="005970E8" w:rsidP="00931FCF">
      <w:pPr>
        <w:pStyle w:val="EndNoteBibliography"/>
        <w:spacing w:after="0"/>
        <w:rPr>
          <w:lang w:val="en-GB"/>
        </w:rPr>
      </w:pPr>
      <w:r w:rsidRPr="009E5026">
        <w:lastRenderedPageBreak/>
        <w:t>16</w:t>
      </w:r>
      <w:r w:rsidR="00931FCF" w:rsidRPr="009E5026">
        <w:t>.</w:t>
      </w:r>
      <w:r w:rsidR="00931FCF" w:rsidRPr="009E5026">
        <w:tab/>
      </w:r>
      <w:r w:rsidR="001D21A7" w:rsidRPr="009E5026">
        <w:rPr>
          <w:lang w:val="en-GB"/>
        </w:rPr>
        <w:t>Fleiss JL. Measuring nominal scale agreement among many raters. Psychol Bulletin. 1971;76(5):378–82.</w:t>
      </w:r>
    </w:p>
    <w:p w14:paraId="5B7ECC9E" w14:textId="3556F8E3" w:rsidR="00B71075" w:rsidRPr="009E5026" w:rsidRDefault="005970E8" w:rsidP="00931FCF">
      <w:pPr>
        <w:pStyle w:val="EndNoteBibliography"/>
        <w:spacing w:after="0"/>
      </w:pPr>
      <w:r w:rsidRPr="009E5026">
        <w:rPr>
          <w:lang w:val="en-GB"/>
        </w:rPr>
        <w:t>17</w:t>
      </w:r>
      <w:r w:rsidR="00B71075" w:rsidRPr="009E5026">
        <w:rPr>
          <w:lang w:val="en-GB"/>
        </w:rPr>
        <w:t>.</w:t>
      </w:r>
      <w:r w:rsidR="00B71075" w:rsidRPr="009E5026">
        <w:rPr>
          <w:lang w:val="en-GB"/>
        </w:rPr>
        <w:tab/>
        <w:t>Reichenheim ME. Confidence intervals for the kappa statistic. Stata J. 2004; 4(4):421-428</w:t>
      </w:r>
    </w:p>
    <w:p w14:paraId="1EDD00AB" w14:textId="472D2739" w:rsidR="00931FCF" w:rsidRPr="009E5026" w:rsidRDefault="005970E8" w:rsidP="00931FCF">
      <w:pPr>
        <w:pStyle w:val="EndNoteBibliography"/>
        <w:spacing w:after="0"/>
      </w:pPr>
      <w:r w:rsidRPr="009E5026">
        <w:t>18</w:t>
      </w:r>
      <w:r w:rsidR="00931FCF" w:rsidRPr="009E5026">
        <w:t>.</w:t>
      </w:r>
      <w:r w:rsidR="00931FCF" w:rsidRPr="009E5026">
        <w:tab/>
        <w:t>Genders TS, Spronk S, Stijnen T, Steyerberg EW, Lesaffre E, Hunink MG. Methods for calculating sensitivity and specificity of clustered data: a tutorial. Radiology</w:t>
      </w:r>
      <w:r w:rsidR="00931FCF" w:rsidRPr="009E5026">
        <w:rPr>
          <w:i/>
        </w:rPr>
        <w:t xml:space="preserve"> </w:t>
      </w:r>
      <w:r w:rsidR="00931FCF" w:rsidRPr="009E5026">
        <w:t>2012: 265(3): 910-916.</w:t>
      </w:r>
    </w:p>
    <w:p w14:paraId="7CC0FC2F" w14:textId="2A46A294" w:rsidR="00931FCF" w:rsidRPr="009E5026" w:rsidRDefault="005970E8" w:rsidP="00931FCF">
      <w:pPr>
        <w:pStyle w:val="EndNoteBibliography"/>
        <w:spacing w:after="0"/>
      </w:pPr>
      <w:r w:rsidRPr="009E5026">
        <w:t>19</w:t>
      </w:r>
      <w:r w:rsidR="00931FCF" w:rsidRPr="009E5026">
        <w:t>.</w:t>
      </w:r>
      <w:r w:rsidR="00931FCF" w:rsidRPr="009E5026">
        <w:tab/>
        <w:t xml:space="preserve">Cohen JF, Korevaar DA, Altman DG, Bruns DE, Gatsonis CA, Hooft L, Irwig L, Levine D, Reitsma JB, de Vet HC, Bossuyt PM. STARD 2015 guidelines for reporting diagnostic accuracy studies: explanation and </w:t>
      </w:r>
      <w:r w:rsidR="001D21A7" w:rsidRPr="009E5026">
        <w:t>elaboration. BMJ O</w:t>
      </w:r>
      <w:r w:rsidR="00931FCF" w:rsidRPr="009E5026">
        <w:t>pen 2016: 6(11): e012799.</w:t>
      </w:r>
    </w:p>
    <w:p w14:paraId="49A05D4E" w14:textId="72D7DEAE" w:rsidR="00931FCF" w:rsidRPr="009E5026" w:rsidRDefault="005970E8" w:rsidP="00931FCF">
      <w:pPr>
        <w:pStyle w:val="EndNoteBibliography"/>
        <w:spacing w:after="0"/>
      </w:pPr>
      <w:r w:rsidRPr="009E5026">
        <w:t>20</w:t>
      </w:r>
      <w:r w:rsidR="00931FCF" w:rsidRPr="009E5026">
        <w:t>.</w:t>
      </w:r>
      <w:r w:rsidR="00931FCF" w:rsidRPr="009E5026">
        <w:tab/>
        <w:t xml:space="preserve">Behan L, Dimitrov BD, Kuehni CE, Hogg C, Carroll M, Evans HJ, Goutaki M, Harris A, Packham S, Walker WT, Lucas JS. PICADAR: a diagnostic predictive tool for primary ciliary dyskinesia. </w:t>
      </w:r>
      <w:r w:rsidR="00132B91" w:rsidRPr="009E5026">
        <w:t xml:space="preserve">Eur Respir J. </w:t>
      </w:r>
      <w:r w:rsidR="00931FCF" w:rsidRPr="009E5026">
        <w:t>2016: 47(4): 1103-1112.</w:t>
      </w:r>
    </w:p>
    <w:p w14:paraId="083BF140" w14:textId="5E86AE06" w:rsidR="00931FCF" w:rsidRPr="009E5026" w:rsidRDefault="005970E8" w:rsidP="00931FCF">
      <w:pPr>
        <w:pStyle w:val="EndNoteBibliography"/>
        <w:spacing w:after="0"/>
      </w:pPr>
      <w:r w:rsidRPr="009E5026">
        <w:t>21</w:t>
      </w:r>
      <w:r w:rsidR="00931FCF" w:rsidRPr="009E5026">
        <w:t>.</w:t>
      </w:r>
      <w:r w:rsidR="00931FCF" w:rsidRPr="009E5026">
        <w:tab/>
        <w:t>Landis JR, Koch GG. The measurement of observer agreement for categorical data. Biometrics 1977: 33(1): 159-174.</w:t>
      </w:r>
    </w:p>
    <w:p w14:paraId="013EE419" w14:textId="6FCEFCE9" w:rsidR="00931FCF" w:rsidRPr="009E5026" w:rsidRDefault="005970E8" w:rsidP="00931FCF">
      <w:pPr>
        <w:pStyle w:val="EndNoteBibliography"/>
        <w:spacing w:after="0"/>
      </w:pPr>
      <w:r w:rsidRPr="009E5026">
        <w:t>22</w:t>
      </w:r>
      <w:r w:rsidR="00931FCF" w:rsidRPr="009E5026">
        <w:t>.</w:t>
      </w:r>
      <w:r w:rsidR="00931FCF" w:rsidRPr="009E5026">
        <w:tab/>
        <w:t>Hirst RA, Jackson CL, Coles JL, Williams G, Rutman A, Goggin PM, Adam EC, Page A, Evans HJ, Lackie PM, O'Callaghan C, Lucas JS. Culture of primary ciliary dyskinesia epithelial cells at air-liquid interface can alter ciliary phenotype but remains a robust and informative diagnostic aid. PloS one 2014: 9(2): e89675.</w:t>
      </w:r>
    </w:p>
    <w:p w14:paraId="12BAE8F0" w14:textId="72C96396" w:rsidR="00931FCF" w:rsidRPr="009E5026" w:rsidRDefault="005970E8" w:rsidP="00931FCF">
      <w:pPr>
        <w:pStyle w:val="EndNoteBibliography"/>
        <w:spacing w:after="0"/>
      </w:pPr>
      <w:r w:rsidRPr="009E5026">
        <w:t>23</w:t>
      </w:r>
      <w:r w:rsidR="00931FCF" w:rsidRPr="009E5026">
        <w:t>.</w:t>
      </w:r>
      <w:r w:rsidR="00931FCF" w:rsidRPr="009E5026">
        <w:tab/>
        <w:t>Kempeneers C, Seaton C, Chilvers MA. Variation of Ciliary Beat Pattern in Three Different Beating Planes in Healthy Subjects. Chest 2017: 151(5): 993-1001.</w:t>
      </w:r>
    </w:p>
    <w:p w14:paraId="2B0443A9" w14:textId="32FE75E4" w:rsidR="00931FCF" w:rsidRPr="009E5026" w:rsidRDefault="005970E8" w:rsidP="00931FCF">
      <w:pPr>
        <w:pStyle w:val="EndNoteBibliography"/>
        <w:spacing w:after="0"/>
      </w:pPr>
      <w:r w:rsidRPr="009E5026">
        <w:t>24</w:t>
      </w:r>
      <w:r w:rsidR="00931FCF" w:rsidRPr="009E5026">
        <w:t>.</w:t>
      </w:r>
      <w:r w:rsidR="00931FCF" w:rsidRPr="009E5026">
        <w:tab/>
      </w:r>
      <w:r w:rsidR="00132B91" w:rsidRPr="009E5026">
        <w:rPr>
          <w:lang w:val="en-GB"/>
        </w:rPr>
        <w:t xml:space="preserve">Peabody JE, Shei R-J, Bermingham BM, Phillips SE, Turner B, Rowe SM, et al. Seeing Cilia: Imaging Modalities for Ciliary Motion and Clinical Connections. Am J Physiol Lung Cell Mol Physiol. </w:t>
      </w:r>
      <w:r w:rsidR="00931FCF" w:rsidRPr="009E5026">
        <w:t>2018: 314(6): L909-l921.</w:t>
      </w:r>
    </w:p>
    <w:p w14:paraId="3BEE11B6" w14:textId="66FD842B" w:rsidR="00931FCF" w:rsidRPr="009E5026" w:rsidRDefault="005970E8" w:rsidP="00931FCF">
      <w:pPr>
        <w:pStyle w:val="EndNoteBibliography"/>
        <w:spacing w:after="0"/>
      </w:pPr>
      <w:r w:rsidRPr="009E5026">
        <w:t>25</w:t>
      </w:r>
      <w:r w:rsidR="00931FCF" w:rsidRPr="009E5026">
        <w:t>.</w:t>
      </w:r>
      <w:r w:rsidR="00931FCF" w:rsidRPr="009E5026">
        <w:tab/>
        <w:t xml:space="preserve">Shah A, Shoemark A, MacNeill SJ, Bhaludin B, Rogers A, Bilton D, Hansell DM, Wilson R, Loebinger MR. A longitudinal study characterising a large adult primary ciliary dyskinesia population. </w:t>
      </w:r>
      <w:r w:rsidR="00132B91" w:rsidRPr="009E5026">
        <w:rPr>
          <w:lang w:val="en-GB"/>
        </w:rPr>
        <w:t xml:space="preserve">Eur Respir J. </w:t>
      </w:r>
      <w:r w:rsidR="00931FCF" w:rsidRPr="009E5026">
        <w:t>2016: 48(2): 441-450.</w:t>
      </w:r>
    </w:p>
    <w:p w14:paraId="01257D2D" w14:textId="26C44562" w:rsidR="00931FCF" w:rsidRPr="009E5026" w:rsidRDefault="005970E8" w:rsidP="00931FCF">
      <w:pPr>
        <w:pStyle w:val="EndNoteBibliography"/>
        <w:spacing w:after="0"/>
      </w:pPr>
      <w:r w:rsidRPr="009E5026">
        <w:t>26</w:t>
      </w:r>
      <w:r w:rsidR="00931FCF" w:rsidRPr="009E5026">
        <w:t>.</w:t>
      </w:r>
      <w:r w:rsidR="00931FCF" w:rsidRPr="009E5026">
        <w:tab/>
        <w:t xml:space="preserve">Noone PG, Leigh MW, Sannuti A, Minnix SL, Carson JL, Hazucha M, Zariwala MA, Knowles MR. Primary ciliary dyskinesia: diagnostic and phenotypic features. </w:t>
      </w:r>
      <w:r w:rsidR="00132B91" w:rsidRPr="009E5026">
        <w:rPr>
          <w:lang w:val="en-GB"/>
        </w:rPr>
        <w:t>Am J Respir Crit C</w:t>
      </w:r>
      <w:r w:rsidR="00931FCF" w:rsidRPr="009E5026">
        <w:rPr>
          <w:lang w:val="en-GB"/>
        </w:rPr>
        <w:t>a</w:t>
      </w:r>
      <w:r w:rsidR="00132B91" w:rsidRPr="009E5026">
        <w:rPr>
          <w:lang w:val="en-GB"/>
        </w:rPr>
        <w:t>re Med</w:t>
      </w:r>
      <w:r w:rsidR="00931FCF" w:rsidRPr="009E5026">
        <w:rPr>
          <w:i/>
          <w:lang w:val="en-GB"/>
        </w:rPr>
        <w:t xml:space="preserve"> </w:t>
      </w:r>
      <w:r w:rsidR="00931FCF" w:rsidRPr="009E5026">
        <w:t>2004: 169(4): 459-467.</w:t>
      </w:r>
    </w:p>
    <w:p w14:paraId="791C7FB9" w14:textId="52A67952" w:rsidR="00132B91" w:rsidRPr="00132B91" w:rsidRDefault="005970E8" w:rsidP="00132B91">
      <w:pPr>
        <w:pStyle w:val="EndNoteBibliography"/>
        <w:rPr>
          <w:lang w:val="en-GB"/>
        </w:rPr>
      </w:pPr>
      <w:r w:rsidRPr="009E5026">
        <w:t>27</w:t>
      </w:r>
      <w:r w:rsidR="00931FCF" w:rsidRPr="009E5026">
        <w:t>.</w:t>
      </w:r>
      <w:r w:rsidR="00931FCF" w:rsidRPr="009E5026">
        <w:tab/>
      </w:r>
      <w:r w:rsidR="00132B91" w:rsidRPr="009E5026">
        <w:rPr>
          <w:lang w:val="en-GB"/>
        </w:rPr>
        <w:t>Feinstein AR, Cicchetti DV. High agreement but low Kappa: I. the problems of two paradoxes. J Clin Epidemiol. 1990 Jan 1;43(6):543–9.</w:t>
      </w:r>
      <w:r w:rsidR="00132B91" w:rsidRPr="00132B91">
        <w:rPr>
          <w:lang w:val="en-GB"/>
        </w:rPr>
        <w:t xml:space="preserve"> </w:t>
      </w:r>
    </w:p>
    <w:p w14:paraId="292274B1" w14:textId="19CD6EB3" w:rsidR="00931FCF" w:rsidRPr="00931FCF" w:rsidRDefault="00931FCF" w:rsidP="00931FCF">
      <w:pPr>
        <w:pStyle w:val="EndNoteBibliography"/>
      </w:pPr>
    </w:p>
    <w:p w14:paraId="6702D870" w14:textId="7C7EE58A" w:rsidR="007F3609" w:rsidRPr="009924A1" w:rsidRDefault="007F3609" w:rsidP="005156C2">
      <w:pPr>
        <w:spacing w:line="480" w:lineRule="auto"/>
      </w:pPr>
    </w:p>
    <w:sectPr w:rsidR="007F3609" w:rsidRPr="009924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3B6F4" w14:textId="77777777" w:rsidR="000E6AAE" w:rsidRDefault="000E6AAE" w:rsidP="00BE02BE">
      <w:pPr>
        <w:spacing w:after="0" w:line="240" w:lineRule="auto"/>
      </w:pPr>
      <w:r>
        <w:separator/>
      </w:r>
    </w:p>
  </w:endnote>
  <w:endnote w:type="continuationSeparator" w:id="0">
    <w:p w14:paraId="775962DD" w14:textId="77777777" w:rsidR="000E6AAE" w:rsidRDefault="000E6AAE" w:rsidP="00BE0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734136"/>
      <w:docPartObj>
        <w:docPartGallery w:val="Page Numbers (Bottom of Page)"/>
        <w:docPartUnique/>
      </w:docPartObj>
    </w:sdtPr>
    <w:sdtEndPr>
      <w:rPr>
        <w:noProof/>
      </w:rPr>
    </w:sdtEndPr>
    <w:sdtContent>
      <w:p w14:paraId="3DCB367C" w14:textId="5CBCB925" w:rsidR="006B0E6A" w:rsidRDefault="006B0E6A">
        <w:pPr>
          <w:pStyle w:val="Footer"/>
          <w:jc w:val="right"/>
        </w:pPr>
        <w:r>
          <w:fldChar w:fldCharType="begin"/>
        </w:r>
        <w:r>
          <w:instrText xml:space="preserve"> PAGE   \* MERGEFORMAT </w:instrText>
        </w:r>
        <w:r>
          <w:fldChar w:fldCharType="separate"/>
        </w:r>
        <w:r w:rsidR="000C4692">
          <w:rPr>
            <w:noProof/>
          </w:rPr>
          <w:t>18</w:t>
        </w:r>
        <w:r>
          <w:rPr>
            <w:noProof/>
          </w:rPr>
          <w:fldChar w:fldCharType="end"/>
        </w:r>
      </w:p>
    </w:sdtContent>
  </w:sdt>
  <w:p w14:paraId="37F61714" w14:textId="77777777" w:rsidR="006B0E6A" w:rsidRDefault="006B0E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C2280" w14:textId="77777777" w:rsidR="000E6AAE" w:rsidRDefault="000E6AAE" w:rsidP="00BE02BE">
      <w:pPr>
        <w:spacing w:after="0" w:line="240" w:lineRule="auto"/>
      </w:pPr>
      <w:r>
        <w:separator/>
      </w:r>
    </w:p>
  </w:footnote>
  <w:footnote w:type="continuationSeparator" w:id="0">
    <w:p w14:paraId="6BE7D07D" w14:textId="77777777" w:rsidR="000E6AAE" w:rsidRDefault="000E6AAE" w:rsidP="00BE02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92134"/>
    <w:multiLevelType w:val="hybridMultilevel"/>
    <w:tmpl w:val="4E825DD2"/>
    <w:lvl w:ilvl="0" w:tplc="3E7446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F8057F"/>
    <w:multiLevelType w:val="hybridMultilevel"/>
    <w:tmpl w:val="93C45184"/>
    <w:lvl w:ilvl="0" w:tplc="927057E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4F505E"/>
    <w:multiLevelType w:val="multilevel"/>
    <w:tmpl w:val="FDEE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Respiratory 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pfwdzpcedx9neza0rpvw9tdxzf0f5tdef9&quot;&gt;PCD july2017-Saved&lt;record-ids&gt;&lt;item&gt;35&lt;/item&gt;&lt;item&gt;57&lt;/item&gt;&lt;item&gt;74&lt;/item&gt;&lt;item&gt;86&lt;/item&gt;&lt;item&gt;109&lt;/item&gt;&lt;item&gt;130&lt;/item&gt;&lt;item&gt;160&lt;/item&gt;&lt;item&gt;168&lt;/item&gt;&lt;item&gt;240&lt;/item&gt;&lt;item&gt;375&lt;/item&gt;&lt;item&gt;450&lt;/item&gt;&lt;item&gt;609&lt;/item&gt;&lt;item&gt;612&lt;/item&gt;&lt;item&gt;615&lt;/item&gt;&lt;item&gt;638&lt;/item&gt;&lt;item&gt;639&lt;/item&gt;&lt;item&gt;641&lt;/item&gt;&lt;item&gt;642&lt;/item&gt;&lt;item&gt;643&lt;/item&gt;&lt;item&gt;644&lt;/item&gt;&lt;item&gt;645&lt;/item&gt;&lt;item&gt;646&lt;/item&gt;&lt;item&gt;647&lt;/item&gt;&lt;item&gt;648&lt;/item&gt;&lt;item&gt;649&lt;/item&gt;&lt;/record-ids&gt;&lt;/item&gt;&lt;/Libraries&gt;"/>
  </w:docVars>
  <w:rsids>
    <w:rsidRoot w:val="00B75B85"/>
    <w:rsid w:val="000001F3"/>
    <w:rsid w:val="00001053"/>
    <w:rsid w:val="00006C3D"/>
    <w:rsid w:val="000133F2"/>
    <w:rsid w:val="00014674"/>
    <w:rsid w:val="00020733"/>
    <w:rsid w:val="00020A6B"/>
    <w:rsid w:val="000216D9"/>
    <w:rsid w:val="000223BA"/>
    <w:rsid w:val="000233EB"/>
    <w:rsid w:val="000236A7"/>
    <w:rsid w:val="00024EB7"/>
    <w:rsid w:val="00026BC3"/>
    <w:rsid w:val="000309C2"/>
    <w:rsid w:val="00034A6C"/>
    <w:rsid w:val="00042546"/>
    <w:rsid w:val="00042CEE"/>
    <w:rsid w:val="000454B5"/>
    <w:rsid w:val="0004693E"/>
    <w:rsid w:val="000469C6"/>
    <w:rsid w:val="00047E06"/>
    <w:rsid w:val="00056300"/>
    <w:rsid w:val="00056353"/>
    <w:rsid w:val="000569E4"/>
    <w:rsid w:val="000574EE"/>
    <w:rsid w:val="00062BA1"/>
    <w:rsid w:val="00064500"/>
    <w:rsid w:val="00065C12"/>
    <w:rsid w:val="0007029D"/>
    <w:rsid w:val="000723B0"/>
    <w:rsid w:val="00072939"/>
    <w:rsid w:val="000802F9"/>
    <w:rsid w:val="00083A7D"/>
    <w:rsid w:val="00083C54"/>
    <w:rsid w:val="0008445D"/>
    <w:rsid w:val="00085D44"/>
    <w:rsid w:val="00086CB7"/>
    <w:rsid w:val="00092B1A"/>
    <w:rsid w:val="00095DCE"/>
    <w:rsid w:val="00096B45"/>
    <w:rsid w:val="000A588C"/>
    <w:rsid w:val="000B3B2A"/>
    <w:rsid w:val="000B41A0"/>
    <w:rsid w:val="000B4B4E"/>
    <w:rsid w:val="000B5882"/>
    <w:rsid w:val="000B6EB8"/>
    <w:rsid w:val="000C169A"/>
    <w:rsid w:val="000C4692"/>
    <w:rsid w:val="000C4EAE"/>
    <w:rsid w:val="000C66C0"/>
    <w:rsid w:val="000C691F"/>
    <w:rsid w:val="000D35A8"/>
    <w:rsid w:val="000D3ECB"/>
    <w:rsid w:val="000D4258"/>
    <w:rsid w:val="000D498B"/>
    <w:rsid w:val="000D5A6B"/>
    <w:rsid w:val="000D71C2"/>
    <w:rsid w:val="000E12C8"/>
    <w:rsid w:val="000E144F"/>
    <w:rsid w:val="000E2193"/>
    <w:rsid w:val="000E419D"/>
    <w:rsid w:val="000E43C2"/>
    <w:rsid w:val="000E62C5"/>
    <w:rsid w:val="000E6AAE"/>
    <w:rsid w:val="000F1073"/>
    <w:rsid w:val="000F1937"/>
    <w:rsid w:val="000F3CDF"/>
    <w:rsid w:val="000F52A0"/>
    <w:rsid w:val="000F5791"/>
    <w:rsid w:val="000F63F5"/>
    <w:rsid w:val="000F7AE0"/>
    <w:rsid w:val="00100E60"/>
    <w:rsid w:val="00101342"/>
    <w:rsid w:val="001013F7"/>
    <w:rsid w:val="00103010"/>
    <w:rsid w:val="0010361D"/>
    <w:rsid w:val="001037B9"/>
    <w:rsid w:val="001042F3"/>
    <w:rsid w:val="00105B08"/>
    <w:rsid w:val="00105FB6"/>
    <w:rsid w:val="00106312"/>
    <w:rsid w:val="00106754"/>
    <w:rsid w:val="001070BE"/>
    <w:rsid w:val="00107C8D"/>
    <w:rsid w:val="001119EB"/>
    <w:rsid w:val="001137AB"/>
    <w:rsid w:val="00113F51"/>
    <w:rsid w:val="00115471"/>
    <w:rsid w:val="00115AE3"/>
    <w:rsid w:val="0012268D"/>
    <w:rsid w:val="00122BD8"/>
    <w:rsid w:val="00125361"/>
    <w:rsid w:val="00125ABB"/>
    <w:rsid w:val="001269EA"/>
    <w:rsid w:val="00127569"/>
    <w:rsid w:val="0013158B"/>
    <w:rsid w:val="00132B91"/>
    <w:rsid w:val="0013589B"/>
    <w:rsid w:val="00144BB7"/>
    <w:rsid w:val="00145124"/>
    <w:rsid w:val="00146397"/>
    <w:rsid w:val="00147764"/>
    <w:rsid w:val="00150002"/>
    <w:rsid w:val="00151A34"/>
    <w:rsid w:val="00151DE3"/>
    <w:rsid w:val="00152525"/>
    <w:rsid w:val="0015261E"/>
    <w:rsid w:val="00157AB3"/>
    <w:rsid w:val="001603C5"/>
    <w:rsid w:val="001608C9"/>
    <w:rsid w:val="00161269"/>
    <w:rsid w:val="00162E6B"/>
    <w:rsid w:val="0016309B"/>
    <w:rsid w:val="0016317D"/>
    <w:rsid w:val="00163326"/>
    <w:rsid w:val="00164C52"/>
    <w:rsid w:val="00167846"/>
    <w:rsid w:val="00171280"/>
    <w:rsid w:val="0017206B"/>
    <w:rsid w:val="00172FD9"/>
    <w:rsid w:val="00173779"/>
    <w:rsid w:val="001746AA"/>
    <w:rsid w:val="00175217"/>
    <w:rsid w:val="00175DDF"/>
    <w:rsid w:val="00176C8D"/>
    <w:rsid w:val="00176CAE"/>
    <w:rsid w:val="00176E63"/>
    <w:rsid w:val="00182D6B"/>
    <w:rsid w:val="00182FCA"/>
    <w:rsid w:val="00185BCC"/>
    <w:rsid w:val="00186E47"/>
    <w:rsid w:val="001936A7"/>
    <w:rsid w:val="0019480A"/>
    <w:rsid w:val="00195F20"/>
    <w:rsid w:val="001961DE"/>
    <w:rsid w:val="00196D01"/>
    <w:rsid w:val="00196EF7"/>
    <w:rsid w:val="001A0318"/>
    <w:rsid w:val="001A03AC"/>
    <w:rsid w:val="001A059F"/>
    <w:rsid w:val="001A110B"/>
    <w:rsid w:val="001A4B9F"/>
    <w:rsid w:val="001A5219"/>
    <w:rsid w:val="001A55A3"/>
    <w:rsid w:val="001A6DE7"/>
    <w:rsid w:val="001A7CC3"/>
    <w:rsid w:val="001B0FE0"/>
    <w:rsid w:val="001B1667"/>
    <w:rsid w:val="001B1F3A"/>
    <w:rsid w:val="001B2E43"/>
    <w:rsid w:val="001B520D"/>
    <w:rsid w:val="001B5358"/>
    <w:rsid w:val="001B583C"/>
    <w:rsid w:val="001C1A67"/>
    <w:rsid w:val="001C2355"/>
    <w:rsid w:val="001C2C4F"/>
    <w:rsid w:val="001C48A7"/>
    <w:rsid w:val="001D1862"/>
    <w:rsid w:val="001D21A7"/>
    <w:rsid w:val="001D48AC"/>
    <w:rsid w:val="001D57BC"/>
    <w:rsid w:val="001E07A1"/>
    <w:rsid w:val="001E33A1"/>
    <w:rsid w:val="001E6FBF"/>
    <w:rsid w:val="001E7942"/>
    <w:rsid w:val="001F1299"/>
    <w:rsid w:val="001F3A96"/>
    <w:rsid w:val="001F4177"/>
    <w:rsid w:val="001F5773"/>
    <w:rsid w:val="001F603A"/>
    <w:rsid w:val="001F72A5"/>
    <w:rsid w:val="001F78BA"/>
    <w:rsid w:val="001F7F0A"/>
    <w:rsid w:val="0020178F"/>
    <w:rsid w:val="00202061"/>
    <w:rsid w:val="0020268D"/>
    <w:rsid w:val="00204A20"/>
    <w:rsid w:val="00205F12"/>
    <w:rsid w:val="0020611A"/>
    <w:rsid w:val="002070C9"/>
    <w:rsid w:val="00207F85"/>
    <w:rsid w:val="00213DAC"/>
    <w:rsid w:val="00213FF0"/>
    <w:rsid w:val="002148AC"/>
    <w:rsid w:val="00225174"/>
    <w:rsid w:val="00226BD4"/>
    <w:rsid w:val="00232818"/>
    <w:rsid w:val="00233614"/>
    <w:rsid w:val="0023388B"/>
    <w:rsid w:val="00233BE9"/>
    <w:rsid w:val="00235D46"/>
    <w:rsid w:val="002428CC"/>
    <w:rsid w:val="00245693"/>
    <w:rsid w:val="00246DB0"/>
    <w:rsid w:val="00247207"/>
    <w:rsid w:val="002508B5"/>
    <w:rsid w:val="002548F5"/>
    <w:rsid w:val="002558C6"/>
    <w:rsid w:val="00256BE4"/>
    <w:rsid w:val="002606CD"/>
    <w:rsid w:val="00261460"/>
    <w:rsid w:val="00261CA1"/>
    <w:rsid w:val="00263EF1"/>
    <w:rsid w:val="0026474A"/>
    <w:rsid w:val="00264A8C"/>
    <w:rsid w:val="00265477"/>
    <w:rsid w:val="0026572F"/>
    <w:rsid w:val="00265E82"/>
    <w:rsid w:val="00270986"/>
    <w:rsid w:val="00270EE5"/>
    <w:rsid w:val="0027160B"/>
    <w:rsid w:val="00272A2F"/>
    <w:rsid w:val="0027439C"/>
    <w:rsid w:val="00274741"/>
    <w:rsid w:val="002761B0"/>
    <w:rsid w:val="00276334"/>
    <w:rsid w:val="002768B4"/>
    <w:rsid w:val="00276AA7"/>
    <w:rsid w:val="0027703F"/>
    <w:rsid w:val="0027793C"/>
    <w:rsid w:val="00280DFC"/>
    <w:rsid w:val="002851E0"/>
    <w:rsid w:val="0028613C"/>
    <w:rsid w:val="002866DE"/>
    <w:rsid w:val="00286DF7"/>
    <w:rsid w:val="0029046F"/>
    <w:rsid w:val="002940C7"/>
    <w:rsid w:val="0029475F"/>
    <w:rsid w:val="00294824"/>
    <w:rsid w:val="00294A6E"/>
    <w:rsid w:val="00294D70"/>
    <w:rsid w:val="00295539"/>
    <w:rsid w:val="002A0CE6"/>
    <w:rsid w:val="002A17F8"/>
    <w:rsid w:val="002A3282"/>
    <w:rsid w:val="002A447E"/>
    <w:rsid w:val="002A46E7"/>
    <w:rsid w:val="002B0DED"/>
    <w:rsid w:val="002B3408"/>
    <w:rsid w:val="002B37B9"/>
    <w:rsid w:val="002B3B0B"/>
    <w:rsid w:val="002B7A34"/>
    <w:rsid w:val="002B7A9B"/>
    <w:rsid w:val="002C22C4"/>
    <w:rsid w:val="002C3316"/>
    <w:rsid w:val="002C47AF"/>
    <w:rsid w:val="002C4CBB"/>
    <w:rsid w:val="002C5F9F"/>
    <w:rsid w:val="002D0888"/>
    <w:rsid w:val="002D0D36"/>
    <w:rsid w:val="002D0E5D"/>
    <w:rsid w:val="002D1E88"/>
    <w:rsid w:val="002E1449"/>
    <w:rsid w:val="002E3C58"/>
    <w:rsid w:val="002E4395"/>
    <w:rsid w:val="002E63B2"/>
    <w:rsid w:val="002F028C"/>
    <w:rsid w:val="002F2874"/>
    <w:rsid w:val="002F3C6B"/>
    <w:rsid w:val="002F50F1"/>
    <w:rsid w:val="002F53A5"/>
    <w:rsid w:val="002F598A"/>
    <w:rsid w:val="0030000B"/>
    <w:rsid w:val="00301420"/>
    <w:rsid w:val="003024EF"/>
    <w:rsid w:val="00303B69"/>
    <w:rsid w:val="00304C05"/>
    <w:rsid w:val="00305C3B"/>
    <w:rsid w:val="00310754"/>
    <w:rsid w:val="00313157"/>
    <w:rsid w:val="003132B6"/>
    <w:rsid w:val="00313B83"/>
    <w:rsid w:val="00314095"/>
    <w:rsid w:val="00314C3C"/>
    <w:rsid w:val="00315D8D"/>
    <w:rsid w:val="003167B9"/>
    <w:rsid w:val="00316A1E"/>
    <w:rsid w:val="003170A7"/>
    <w:rsid w:val="0032087F"/>
    <w:rsid w:val="00330ED4"/>
    <w:rsid w:val="00331289"/>
    <w:rsid w:val="00333C25"/>
    <w:rsid w:val="00333F2B"/>
    <w:rsid w:val="00337412"/>
    <w:rsid w:val="0034521C"/>
    <w:rsid w:val="0034685C"/>
    <w:rsid w:val="0035120B"/>
    <w:rsid w:val="00351804"/>
    <w:rsid w:val="00351B5B"/>
    <w:rsid w:val="00355492"/>
    <w:rsid w:val="00355934"/>
    <w:rsid w:val="00360EA1"/>
    <w:rsid w:val="00360F31"/>
    <w:rsid w:val="00363495"/>
    <w:rsid w:val="0036429C"/>
    <w:rsid w:val="00364E51"/>
    <w:rsid w:val="00366482"/>
    <w:rsid w:val="003666C0"/>
    <w:rsid w:val="00366D0C"/>
    <w:rsid w:val="00367E49"/>
    <w:rsid w:val="003700E8"/>
    <w:rsid w:val="00370761"/>
    <w:rsid w:val="00370FC5"/>
    <w:rsid w:val="003711FD"/>
    <w:rsid w:val="0037324A"/>
    <w:rsid w:val="003734AD"/>
    <w:rsid w:val="00373E7C"/>
    <w:rsid w:val="003772E6"/>
    <w:rsid w:val="00377BDC"/>
    <w:rsid w:val="00381629"/>
    <w:rsid w:val="00381ABC"/>
    <w:rsid w:val="003822E3"/>
    <w:rsid w:val="00382AEC"/>
    <w:rsid w:val="00382D30"/>
    <w:rsid w:val="00383478"/>
    <w:rsid w:val="00383665"/>
    <w:rsid w:val="00385396"/>
    <w:rsid w:val="00385723"/>
    <w:rsid w:val="00387D67"/>
    <w:rsid w:val="0039280D"/>
    <w:rsid w:val="00392E39"/>
    <w:rsid w:val="00394205"/>
    <w:rsid w:val="00394B4C"/>
    <w:rsid w:val="00395F7F"/>
    <w:rsid w:val="003A0247"/>
    <w:rsid w:val="003A0289"/>
    <w:rsid w:val="003A0F14"/>
    <w:rsid w:val="003A290B"/>
    <w:rsid w:val="003A3D99"/>
    <w:rsid w:val="003B02EE"/>
    <w:rsid w:val="003B04BB"/>
    <w:rsid w:val="003B0533"/>
    <w:rsid w:val="003B2ED5"/>
    <w:rsid w:val="003B338F"/>
    <w:rsid w:val="003B6AC6"/>
    <w:rsid w:val="003B6DB4"/>
    <w:rsid w:val="003B6EA4"/>
    <w:rsid w:val="003B79A8"/>
    <w:rsid w:val="003C1A57"/>
    <w:rsid w:val="003C381D"/>
    <w:rsid w:val="003C4279"/>
    <w:rsid w:val="003C492E"/>
    <w:rsid w:val="003C4F6D"/>
    <w:rsid w:val="003C5EEA"/>
    <w:rsid w:val="003C7777"/>
    <w:rsid w:val="003C793D"/>
    <w:rsid w:val="003C7B53"/>
    <w:rsid w:val="003D01BB"/>
    <w:rsid w:val="003D0718"/>
    <w:rsid w:val="003D2CDE"/>
    <w:rsid w:val="003D388A"/>
    <w:rsid w:val="003D40E8"/>
    <w:rsid w:val="003D6242"/>
    <w:rsid w:val="003E1130"/>
    <w:rsid w:val="003E1AB9"/>
    <w:rsid w:val="003E2458"/>
    <w:rsid w:val="003E402C"/>
    <w:rsid w:val="003E46C1"/>
    <w:rsid w:val="003E50C7"/>
    <w:rsid w:val="003E56E8"/>
    <w:rsid w:val="003E7FF5"/>
    <w:rsid w:val="003F10C7"/>
    <w:rsid w:val="003F1873"/>
    <w:rsid w:val="003F18E1"/>
    <w:rsid w:val="003F2C92"/>
    <w:rsid w:val="003F6111"/>
    <w:rsid w:val="003F6680"/>
    <w:rsid w:val="003F6A55"/>
    <w:rsid w:val="004057AD"/>
    <w:rsid w:val="0040623C"/>
    <w:rsid w:val="004077B3"/>
    <w:rsid w:val="00407BC0"/>
    <w:rsid w:val="00407E50"/>
    <w:rsid w:val="00412BBA"/>
    <w:rsid w:val="00413339"/>
    <w:rsid w:val="00413C96"/>
    <w:rsid w:val="00416D19"/>
    <w:rsid w:val="004201EF"/>
    <w:rsid w:val="00420559"/>
    <w:rsid w:val="00421D42"/>
    <w:rsid w:val="00422FCF"/>
    <w:rsid w:val="00423715"/>
    <w:rsid w:val="00427D9F"/>
    <w:rsid w:val="00430633"/>
    <w:rsid w:val="00430DC2"/>
    <w:rsid w:val="004317BE"/>
    <w:rsid w:val="00433F91"/>
    <w:rsid w:val="00441A60"/>
    <w:rsid w:val="004439C8"/>
    <w:rsid w:val="0044436C"/>
    <w:rsid w:val="00445BA3"/>
    <w:rsid w:val="00446437"/>
    <w:rsid w:val="00446A40"/>
    <w:rsid w:val="00446F76"/>
    <w:rsid w:val="00447067"/>
    <w:rsid w:val="00452A66"/>
    <w:rsid w:val="00455B8A"/>
    <w:rsid w:val="00455C9A"/>
    <w:rsid w:val="00461A51"/>
    <w:rsid w:val="004620DC"/>
    <w:rsid w:val="00462491"/>
    <w:rsid w:val="004624FE"/>
    <w:rsid w:val="00462EEE"/>
    <w:rsid w:val="004646B1"/>
    <w:rsid w:val="004656C5"/>
    <w:rsid w:val="0046605D"/>
    <w:rsid w:val="00466726"/>
    <w:rsid w:val="00466AF0"/>
    <w:rsid w:val="00466EA2"/>
    <w:rsid w:val="00467A70"/>
    <w:rsid w:val="00467E2D"/>
    <w:rsid w:val="00470414"/>
    <w:rsid w:val="004713C1"/>
    <w:rsid w:val="00474AED"/>
    <w:rsid w:val="00474E9D"/>
    <w:rsid w:val="00481EAF"/>
    <w:rsid w:val="00482999"/>
    <w:rsid w:val="0048377F"/>
    <w:rsid w:val="00485011"/>
    <w:rsid w:val="00487641"/>
    <w:rsid w:val="00491988"/>
    <w:rsid w:val="0049391E"/>
    <w:rsid w:val="00494C7B"/>
    <w:rsid w:val="004963CA"/>
    <w:rsid w:val="00497AB1"/>
    <w:rsid w:val="00497C6A"/>
    <w:rsid w:val="004A0E52"/>
    <w:rsid w:val="004A122D"/>
    <w:rsid w:val="004A1CC4"/>
    <w:rsid w:val="004A2B23"/>
    <w:rsid w:val="004A4CE1"/>
    <w:rsid w:val="004A55C5"/>
    <w:rsid w:val="004A6964"/>
    <w:rsid w:val="004A71FD"/>
    <w:rsid w:val="004A763F"/>
    <w:rsid w:val="004B06F6"/>
    <w:rsid w:val="004B1FF5"/>
    <w:rsid w:val="004B2513"/>
    <w:rsid w:val="004B3034"/>
    <w:rsid w:val="004B311A"/>
    <w:rsid w:val="004B40E6"/>
    <w:rsid w:val="004B697F"/>
    <w:rsid w:val="004B7BF8"/>
    <w:rsid w:val="004C5A78"/>
    <w:rsid w:val="004C68BA"/>
    <w:rsid w:val="004C6AF3"/>
    <w:rsid w:val="004D1853"/>
    <w:rsid w:val="004D225E"/>
    <w:rsid w:val="004D2976"/>
    <w:rsid w:val="004D58BC"/>
    <w:rsid w:val="004D7AE5"/>
    <w:rsid w:val="004D7E78"/>
    <w:rsid w:val="004E0A74"/>
    <w:rsid w:val="004E12D9"/>
    <w:rsid w:val="004E319F"/>
    <w:rsid w:val="004E5D2C"/>
    <w:rsid w:val="004E7969"/>
    <w:rsid w:val="004E79B7"/>
    <w:rsid w:val="004F0879"/>
    <w:rsid w:val="004F14BF"/>
    <w:rsid w:val="004F29C4"/>
    <w:rsid w:val="004F7DC3"/>
    <w:rsid w:val="00501990"/>
    <w:rsid w:val="00501AF4"/>
    <w:rsid w:val="00505502"/>
    <w:rsid w:val="00505B67"/>
    <w:rsid w:val="00506DAE"/>
    <w:rsid w:val="00511B2B"/>
    <w:rsid w:val="0051283C"/>
    <w:rsid w:val="00513F08"/>
    <w:rsid w:val="005156C2"/>
    <w:rsid w:val="00515A09"/>
    <w:rsid w:val="00516DD2"/>
    <w:rsid w:val="00521B6A"/>
    <w:rsid w:val="0052312C"/>
    <w:rsid w:val="0052523A"/>
    <w:rsid w:val="00525A4F"/>
    <w:rsid w:val="00527214"/>
    <w:rsid w:val="0052777E"/>
    <w:rsid w:val="00532DE3"/>
    <w:rsid w:val="00533371"/>
    <w:rsid w:val="00535E01"/>
    <w:rsid w:val="00536BE2"/>
    <w:rsid w:val="00540C2E"/>
    <w:rsid w:val="00544ED7"/>
    <w:rsid w:val="005455D6"/>
    <w:rsid w:val="00547826"/>
    <w:rsid w:val="00551418"/>
    <w:rsid w:val="0055292D"/>
    <w:rsid w:val="005532C4"/>
    <w:rsid w:val="00553551"/>
    <w:rsid w:val="00556807"/>
    <w:rsid w:val="00564EC7"/>
    <w:rsid w:val="00565319"/>
    <w:rsid w:val="00565AAA"/>
    <w:rsid w:val="0057107F"/>
    <w:rsid w:val="00571876"/>
    <w:rsid w:val="0057568D"/>
    <w:rsid w:val="005757F1"/>
    <w:rsid w:val="00575F19"/>
    <w:rsid w:val="0057697D"/>
    <w:rsid w:val="00576C58"/>
    <w:rsid w:val="00577980"/>
    <w:rsid w:val="00577CEB"/>
    <w:rsid w:val="005839D1"/>
    <w:rsid w:val="00584D39"/>
    <w:rsid w:val="00586B51"/>
    <w:rsid w:val="00591ED7"/>
    <w:rsid w:val="0059545F"/>
    <w:rsid w:val="005970E8"/>
    <w:rsid w:val="005A0753"/>
    <w:rsid w:val="005A1786"/>
    <w:rsid w:val="005A326A"/>
    <w:rsid w:val="005A71CA"/>
    <w:rsid w:val="005A7C13"/>
    <w:rsid w:val="005B10FA"/>
    <w:rsid w:val="005B2B8E"/>
    <w:rsid w:val="005B4045"/>
    <w:rsid w:val="005B4D76"/>
    <w:rsid w:val="005B5AEC"/>
    <w:rsid w:val="005C171D"/>
    <w:rsid w:val="005C2586"/>
    <w:rsid w:val="005C262B"/>
    <w:rsid w:val="005C3BCD"/>
    <w:rsid w:val="005C499E"/>
    <w:rsid w:val="005C4A3A"/>
    <w:rsid w:val="005C5B62"/>
    <w:rsid w:val="005C5E60"/>
    <w:rsid w:val="005D287A"/>
    <w:rsid w:val="005D4679"/>
    <w:rsid w:val="005D4A64"/>
    <w:rsid w:val="005D4A77"/>
    <w:rsid w:val="005D5683"/>
    <w:rsid w:val="005D6305"/>
    <w:rsid w:val="005E0590"/>
    <w:rsid w:val="005E37AB"/>
    <w:rsid w:val="005E3D3A"/>
    <w:rsid w:val="005E4184"/>
    <w:rsid w:val="005E6C03"/>
    <w:rsid w:val="005E6E84"/>
    <w:rsid w:val="005F6377"/>
    <w:rsid w:val="005F7061"/>
    <w:rsid w:val="0060003F"/>
    <w:rsid w:val="0060121F"/>
    <w:rsid w:val="0060442A"/>
    <w:rsid w:val="00610681"/>
    <w:rsid w:val="00610772"/>
    <w:rsid w:val="00611094"/>
    <w:rsid w:val="006110CB"/>
    <w:rsid w:val="00611FFB"/>
    <w:rsid w:val="0061262C"/>
    <w:rsid w:val="00612EE1"/>
    <w:rsid w:val="006131CA"/>
    <w:rsid w:val="00614F07"/>
    <w:rsid w:val="00616D88"/>
    <w:rsid w:val="00621D1E"/>
    <w:rsid w:val="006221A8"/>
    <w:rsid w:val="00622F10"/>
    <w:rsid w:val="00623C18"/>
    <w:rsid w:val="00623FF1"/>
    <w:rsid w:val="006259C3"/>
    <w:rsid w:val="006261FA"/>
    <w:rsid w:val="00626BAD"/>
    <w:rsid w:val="00626BE3"/>
    <w:rsid w:val="00627FFD"/>
    <w:rsid w:val="0063071F"/>
    <w:rsid w:val="0063224F"/>
    <w:rsid w:val="00633EC0"/>
    <w:rsid w:val="00636267"/>
    <w:rsid w:val="0063772B"/>
    <w:rsid w:val="006411D6"/>
    <w:rsid w:val="00647FE0"/>
    <w:rsid w:val="00652C30"/>
    <w:rsid w:val="0065385E"/>
    <w:rsid w:val="006549F4"/>
    <w:rsid w:val="00655BFB"/>
    <w:rsid w:val="00662156"/>
    <w:rsid w:val="0066410C"/>
    <w:rsid w:val="0066500E"/>
    <w:rsid w:val="00670076"/>
    <w:rsid w:val="0067370F"/>
    <w:rsid w:val="00673887"/>
    <w:rsid w:val="0067498F"/>
    <w:rsid w:val="00681236"/>
    <w:rsid w:val="00682D58"/>
    <w:rsid w:val="006842C8"/>
    <w:rsid w:val="006860F0"/>
    <w:rsid w:val="0068620B"/>
    <w:rsid w:val="006862BE"/>
    <w:rsid w:val="0068633B"/>
    <w:rsid w:val="006870F9"/>
    <w:rsid w:val="00691840"/>
    <w:rsid w:val="00692FD9"/>
    <w:rsid w:val="00695FAF"/>
    <w:rsid w:val="006960F2"/>
    <w:rsid w:val="006A0ECB"/>
    <w:rsid w:val="006A12BA"/>
    <w:rsid w:val="006A1C5A"/>
    <w:rsid w:val="006A2115"/>
    <w:rsid w:val="006A320E"/>
    <w:rsid w:val="006A61E3"/>
    <w:rsid w:val="006A659C"/>
    <w:rsid w:val="006B07CA"/>
    <w:rsid w:val="006B0E6A"/>
    <w:rsid w:val="006B1FC7"/>
    <w:rsid w:val="006B28C7"/>
    <w:rsid w:val="006B4496"/>
    <w:rsid w:val="006B6D6E"/>
    <w:rsid w:val="006B6E7B"/>
    <w:rsid w:val="006C075E"/>
    <w:rsid w:val="006C0DAA"/>
    <w:rsid w:val="006C1A12"/>
    <w:rsid w:val="006C2112"/>
    <w:rsid w:val="006C411A"/>
    <w:rsid w:val="006C7465"/>
    <w:rsid w:val="006C7903"/>
    <w:rsid w:val="006D147D"/>
    <w:rsid w:val="006D20F7"/>
    <w:rsid w:val="006D499E"/>
    <w:rsid w:val="006D49E0"/>
    <w:rsid w:val="006D5392"/>
    <w:rsid w:val="006E2E5D"/>
    <w:rsid w:val="006E3AA0"/>
    <w:rsid w:val="006E67DF"/>
    <w:rsid w:val="006F404B"/>
    <w:rsid w:val="006F453F"/>
    <w:rsid w:val="006F5E12"/>
    <w:rsid w:val="006F62C6"/>
    <w:rsid w:val="006F6527"/>
    <w:rsid w:val="006F65ED"/>
    <w:rsid w:val="006F7D00"/>
    <w:rsid w:val="00700114"/>
    <w:rsid w:val="00700376"/>
    <w:rsid w:val="00700461"/>
    <w:rsid w:val="00701CF1"/>
    <w:rsid w:val="00702BDB"/>
    <w:rsid w:val="00704430"/>
    <w:rsid w:val="00704A7E"/>
    <w:rsid w:val="00704EF0"/>
    <w:rsid w:val="00706E51"/>
    <w:rsid w:val="0071046B"/>
    <w:rsid w:val="0071241C"/>
    <w:rsid w:val="007124DB"/>
    <w:rsid w:val="00717208"/>
    <w:rsid w:val="007174A3"/>
    <w:rsid w:val="00717744"/>
    <w:rsid w:val="007208D2"/>
    <w:rsid w:val="00720EEC"/>
    <w:rsid w:val="0072152D"/>
    <w:rsid w:val="0072177E"/>
    <w:rsid w:val="00721DE5"/>
    <w:rsid w:val="0072346E"/>
    <w:rsid w:val="00724181"/>
    <w:rsid w:val="00724B3F"/>
    <w:rsid w:val="0072663B"/>
    <w:rsid w:val="007318A9"/>
    <w:rsid w:val="00731B6E"/>
    <w:rsid w:val="007322F8"/>
    <w:rsid w:val="00733AFD"/>
    <w:rsid w:val="00733E39"/>
    <w:rsid w:val="00733F54"/>
    <w:rsid w:val="0073561C"/>
    <w:rsid w:val="00735BEF"/>
    <w:rsid w:val="00736E89"/>
    <w:rsid w:val="00737C55"/>
    <w:rsid w:val="0074217D"/>
    <w:rsid w:val="007439CA"/>
    <w:rsid w:val="00743C5B"/>
    <w:rsid w:val="00746435"/>
    <w:rsid w:val="007475B4"/>
    <w:rsid w:val="007509F0"/>
    <w:rsid w:val="00752A3B"/>
    <w:rsid w:val="0075342B"/>
    <w:rsid w:val="00753482"/>
    <w:rsid w:val="00753659"/>
    <w:rsid w:val="00755977"/>
    <w:rsid w:val="00755E09"/>
    <w:rsid w:val="00755EC8"/>
    <w:rsid w:val="00760212"/>
    <w:rsid w:val="00762292"/>
    <w:rsid w:val="0076682D"/>
    <w:rsid w:val="00767A95"/>
    <w:rsid w:val="0077171C"/>
    <w:rsid w:val="0077242D"/>
    <w:rsid w:val="00774443"/>
    <w:rsid w:val="007745AA"/>
    <w:rsid w:val="00775370"/>
    <w:rsid w:val="007769B4"/>
    <w:rsid w:val="00777719"/>
    <w:rsid w:val="00783E01"/>
    <w:rsid w:val="00786766"/>
    <w:rsid w:val="0079110B"/>
    <w:rsid w:val="00791A30"/>
    <w:rsid w:val="00793F62"/>
    <w:rsid w:val="0079405B"/>
    <w:rsid w:val="00794AF5"/>
    <w:rsid w:val="00794C51"/>
    <w:rsid w:val="00796502"/>
    <w:rsid w:val="007A0431"/>
    <w:rsid w:val="007A1782"/>
    <w:rsid w:val="007A288E"/>
    <w:rsid w:val="007A43CE"/>
    <w:rsid w:val="007B09C4"/>
    <w:rsid w:val="007B3FDC"/>
    <w:rsid w:val="007B5BC3"/>
    <w:rsid w:val="007B67E0"/>
    <w:rsid w:val="007B6C86"/>
    <w:rsid w:val="007C0DDC"/>
    <w:rsid w:val="007C2D65"/>
    <w:rsid w:val="007C315B"/>
    <w:rsid w:val="007C40F1"/>
    <w:rsid w:val="007C4879"/>
    <w:rsid w:val="007C633F"/>
    <w:rsid w:val="007C66AC"/>
    <w:rsid w:val="007C6D76"/>
    <w:rsid w:val="007D09AF"/>
    <w:rsid w:val="007D377F"/>
    <w:rsid w:val="007D68CE"/>
    <w:rsid w:val="007D73AF"/>
    <w:rsid w:val="007E1A51"/>
    <w:rsid w:val="007E2629"/>
    <w:rsid w:val="007E3C99"/>
    <w:rsid w:val="007E456D"/>
    <w:rsid w:val="007E5A39"/>
    <w:rsid w:val="007F0129"/>
    <w:rsid w:val="007F0B77"/>
    <w:rsid w:val="007F0F52"/>
    <w:rsid w:val="007F18D4"/>
    <w:rsid w:val="007F290C"/>
    <w:rsid w:val="007F2A22"/>
    <w:rsid w:val="007F2F1C"/>
    <w:rsid w:val="007F3609"/>
    <w:rsid w:val="007F699A"/>
    <w:rsid w:val="008001CB"/>
    <w:rsid w:val="008014A6"/>
    <w:rsid w:val="008052EA"/>
    <w:rsid w:val="0080634E"/>
    <w:rsid w:val="00806600"/>
    <w:rsid w:val="00806AF0"/>
    <w:rsid w:val="008101C9"/>
    <w:rsid w:val="008108B6"/>
    <w:rsid w:val="008109C1"/>
    <w:rsid w:val="0081202B"/>
    <w:rsid w:val="0081269A"/>
    <w:rsid w:val="00814067"/>
    <w:rsid w:val="00815816"/>
    <w:rsid w:val="008159E6"/>
    <w:rsid w:val="00821234"/>
    <w:rsid w:val="0082223B"/>
    <w:rsid w:val="00824F35"/>
    <w:rsid w:val="00825358"/>
    <w:rsid w:val="008257EA"/>
    <w:rsid w:val="008262C6"/>
    <w:rsid w:val="0082644F"/>
    <w:rsid w:val="00826A44"/>
    <w:rsid w:val="00826D2C"/>
    <w:rsid w:val="008315C8"/>
    <w:rsid w:val="008316D0"/>
    <w:rsid w:val="00832F2A"/>
    <w:rsid w:val="008359BA"/>
    <w:rsid w:val="00843111"/>
    <w:rsid w:val="00846781"/>
    <w:rsid w:val="00847200"/>
    <w:rsid w:val="0085603B"/>
    <w:rsid w:val="00856BBA"/>
    <w:rsid w:val="0086031D"/>
    <w:rsid w:val="00861AE8"/>
    <w:rsid w:val="00863B20"/>
    <w:rsid w:val="00867E4E"/>
    <w:rsid w:val="00870C2F"/>
    <w:rsid w:val="008717E2"/>
    <w:rsid w:val="00871AED"/>
    <w:rsid w:val="00873982"/>
    <w:rsid w:val="00874451"/>
    <w:rsid w:val="00876D84"/>
    <w:rsid w:val="00876E1D"/>
    <w:rsid w:val="00877C03"/>
    <w:rsid w:val="0088014C"/>
    <w:rsid w:val="0088193E"/>
    <w:rsid w:val="008829A1"/>
    <w:rsid w:val="008829B3"/>
    <w:rsid w:val="0088354C"/>
    <w:rsid w:val="00884371"/>
    <w:rsid w:val="008848A7"/>
    <w:rsid w:val="00884D2A"/>
    <w:rsid w:val="00884D60"/>
    <w:rsid w:val="00886554"/>
    <w:rsid w:val="0088713F"/>
    <w:rsid w:val="00887D27"/>
    <w:rsid w:val="00893319"/>
    <w:rsid w:val="00893FA5"/>
    <w:rsid w:val="008948FC"/>
    <w:rsid w:val="00895E3D"/>
    <w:rsid w:val="00896358"/>
    <w:rsid w:val="00896C19"/>
    <w:rsid w:val="008A1B1B"/>
    <w:rsid w:val="008A2A71"/>
    <w:rsid w:val="008A326E"/>
    <w:rsid w:val="008A6DFD"/>
    <w:rsid w:val="008A6EA4"/>
    <w:rsid w:val="008B4324"/>
    <w:rsid w:val="008B58BB"/>
    <w:rsid w:val="008B62CF"/>
    <w:rsid w:val="008C2E23"/>
    <w:rsid w:val="008C4482"/>
    <w:rsid w:val="008C4792"/>
    <w:rsid w:val="008C51BE"/>
    <w:rsid w:val="008C6BFD"/>
    <w:rsid w:val="008D0DC5"/>
    <w:rsid w:val="008D11BC"/>
    <w:rsid w:val="008D15A1"/>
    <w:rsid w:val="008D1ED2"/>
    <w:rsid w:val="008D3121"/>
    <w:rsid w:val="008D3950"/>
    <w:rsid w:val="008D4C59"/>
    <w:rsid w:val="008D6263"/>
    <w:rsid w:val="008D7440"/>
    <w:rsid w:val="008D7958"/>
    <w:rsid w:val="008E1B26"/>
    <w:rsid w:val="008E3B09"/>
    <w:rsid w:val="008E53A3"/>
    <w:rsid w:val="008E58AF"/>
    <w:rsid w:val="008E654E"/>
    <w:rsid w:val="008E69D4"/>
    <w:rsid w:val="008F1B0C"/>
    <w:rsid w:val="008F260E"/>
    <w:rsid w:val="008F5C00"/>
    <w:rsid w:val="0090427B"/>
    <w:rsid w:val="00904BA2"/>
    <w:rsid w:val="00904E1D"/>
    <w:rsid w:val="0090630A"/>
    <w:rsid w:val="00910BEA"/>
    <w:rsid w:val="0091487F"/>
    <w:rsid w:val="00917236"/>
    <w:rsid w:val="00917DD1"/>
    <w:rsid w:val="00917EA0"/>
    <w:rsid w:val="009204A4"/>
    <w:rsid w:val="00920826"/>
    <w:rsid w:val="0092184C"/>
    <w:rsid w:val="00925E9D"/>
    <w:rsid w:val="0092782A"/>
    <w:rsid w:val="009279A8"/>
    <w:rsid w:val="0093183E"/>
    <w:rsid w:val="00931FCF"/>
    <w:rsid w:val="00934840"/>
    <w:rsid w:val="00934887"/>
    <w:rsid w:val="00934D91"/>
    <w:rsid w:val="00944D71"/>
    <w:rsid w:val="0094651A"/>
    <w:rsid w:val="00946F98"/>
    <w:rsid w:val="0094704A"/>
    <w:rsid w:val="009479F7"/>
    <w:rsid w:val="00947EC4"/>
    <w:rsid w:val="00950B25"/>
    <w:rsid w:val="0095248C"/>
    <w:rsid w:val="009537DE"/>
    <w:rsid w:val="00953B9E"/>
    <w:rsid w:val="009577BA"/>
    <w:rsid w:val="00957980"/>
    <w:rsid w:val="0096085B"/>
    <w:rsid w:val="00960F02"/>
    <w:rsid w:val="0096153F"/>
    <w:rsid w:val="009626FC"/>
    <w:rsid w:val="009627AA"/>
    <w:rsid w:val="0096314F"/>
    <w:rsid w:val="00963F79"/>
    <w:rsid w:val="00964593"/>
    <w:rsid w:val="0096537C"/>
    <w:rsid w:val="00970416"/>
    <w:rsid w:val="00972F41"/>
    <w:rsid w:val="0097333C"/>
    <w:rsid w:val="00974189"/>
    <w:rsid w:val="0097431B"/>
    <w:rsid w:val="00974E83"/>
    <w:rsid w:val="00977F15"/>
    <w:rsid w:val="009811BF"/>
    <w:rsid w:val="00981AB5"/>
    <w:rsid w:val="00982A11"/>
    <w:rsid w:val="00985326"/>
    <w:rsid w:val="00985927"/>
    <w:rsid w:val="00986F41"/>
    <w:rsid w:val="00987D12"/>
    <w:rsid w:val="00987DE6"/>
    <w:rsid w:val="00990649"/>
    <w:rsid w:val="0099122A"/>
    <w:rsid w:val="009924A1"/>
    <w:rsid w:val="00992BEA"/>
    <w:rsid w:val="00993AB8"/>
    <w:rsid w:val="009967D5"/>
    <w:rsid w:val="009A0FA2"/>
    <w:rsid w:val="009A1946"/>
    <w:rsid w:val="009A2159"/>
    <w:rsid w:val="009A2DE7"/>
    <w:rsid w:val="009A2DF7"/>
    <w:rsid w:val="009A42BF"/>
    <w:rsid w:val="009A7602"/>
    <w:rsid w:val="009A7796"/>
    <w:rsid w:val="009B0399"/>
    <w:rsid w:val="009B3505"/>
    <w:rsid w:val="009B4610"/>
    <w:rsid w:val="009B4AAF"/>
    <w:rsid w:val="009B62CE"/>
    <w:rsid w:val="009B6A89"/>
    <w:rsid w:val="009B7B8B"/>
    <w:rsid w:val="009C38C9"/>
    <w:rsid w:val="009C3F5D"/>
    <w:rsid w:val="009C6E23"/>
    <w:rsid w:val="009C78F2"/>
    <w:rsid w:val="009D074B"/>
    <w:rsid w:val="009D3F22"/>
    <w:rsid w:val="009D63BF"/>
    <w:rsid w:val="009D767A"/>
    <w:rsid w:val="009D7931"/>
    <w:rsid w:val="009D7F8B"/>
    <w:rsid w:val="009E2F6C"/>
    <w:rsid w:val="009E5026"/>
    <w:rsid w:val="009F0B28"/>
    <w:rsid w:val="009F431B"/>
    <w:rsid w:val="009F58C8"/>
    <w:rsid w:val="009F6379"/>
    <w:rsid w:val="009F779E"/>
    <w:rsid w:val="00A00559"/>
    <w:rsid w:val="00A010D0"/>
    <w:rsid w:val="00A02221"/>
    <w:rsid w:val="00A03A4A"/>
    <w:rsid w:val="00A043B5"/>
    <w:rsid w:val="00A05A4E"/>
    <w:rsid w:val="00A07846"/>
    <w:rsid w:val="00A111FF"/>
    <w:rsid w:val="00A13680"/>
    <w:rsid w:val="00A13F07"/>
    <w:rsid w:val="00A13FAE"/>
    <w:rsid w:val="00A14BDC"/>
    <w:rsid w:val="00A15F5C"/>
    <w:rsid w:val="00A17A60"/>
    <w:rsid w:val="00A201AD"/>
    <w:rsid w:val="00A2236D"/>
    <w:rsid w:val="00A22B0D"/>
    <w:rsid w:val="00A25848"/>
    <w:rsid w:val="00A26C5C"/>
    <w:rsid w:val="00A2772F"/>
    <w:rsid w:val="00A31E34"/>
    <w:rsid w:val="00A321AD"/>
    <w:rsid w:val="00A3670A"/>
    <w:rsid w:val="00A36A42"/>
    <w:rsid w:val="00A40B9C"/>
    <w:rsid w:val="00A55EE1"/>
    <w:rsid w:val="00A56F3C"/>
    <w:rsid w:val="00A60121"/>
    <w:rsid w:val="00A607A3"/>
    <w:rsid w:val="00A60BD4"/>
    <w:rsid w:val="00A620DC"/>
    <w:rsid w:val="00A676A2"/>
    <w:rsid w:val="00A715EA"/>
    <w:rsid w:val="00A746BE"/>
    <w:rsid w:val="00A74C82"/>
    <w:rsid w:val="00A75C0B"/>
    <w:rsid w:val="00A77E96"/>
    <w:rsid w:val="00A8046E"/>
    <w:rsid w:val="00A808E9"/>
    <w:rsid w:val="00A815EC"/>
    <w:rsid w:val="00A842B7"/>
    <w:rsid w:val="00A86099"/>
    <w:rsid w:val="00A86341"/>
    <w:rsid w:val="00A87F0C"/>
    <w:rsid w:val="00A90C6A"/>
    <w:rsid w:val="00A91327"/>
    <w:rsid w:val="00A91521"/>
    <w:rsid w:val="00A91D04"/>
    <w:rsid w:val="00A93A02"/>
    <w:rsid w:val="00AA076A"/>
    <w:rsid w:val="00AA07BA"/>
    <w:rsid w:val="00AA149C"/>
    <w:rsid w:val="00AA166D"/>
    <w:rsid w:val="00AA46E4"/>
    <w:rsid w:val="00AA764B"/>
    <w:rsid w:val="00AA7D8A"/>
    <w:rsid w:val="00AB060E"/>
    <w:rsid w:val="00AB2A54"/>
    <w:rsid w:val="00AB2EAB"/>
    <w:rsid w:val="00AB4583"/>
    <w:rsid w:val="00AC0F6E"/>
    <w:rsid w:val="00AC282F"/>
    <w:rsid w:val="00AC33FF"/>
    <w:rsid w:val="00AC352E"/>
    <w:rsid w:val="00AC3694"/>
    <w:rsid w:val="00AC3E69"/>
    <w:rsid w:val="00AC3E74"/>
    <w:rsid w:val="00AC3F9A"/>
    <w:rsid w:val="00AC53BA"/>
    <w:rsid w:val="00AC5432"/>
    <w:rsid w:val="00AC5F42"/>
    <w:rsid w:val="00AC7DBE"/>
    <w:rsid w:val="00AD2247"/>
    <w:rsid w:val="00AD4162"/>
    <w:rsid w:val="00AD428D"/>
    <w:rsid w:val="00AD7F9A"/>
    <w:rsid w:val="00AE0464"/>
    <w:rsid w:val="00AE0722"/>
    <w:rsid w:val="00AE0F66"/>
    <w:rsid w:val="00AE39F1"/>
    <w:rsid w:val="00AE56C4"/>
    <w:rsid w:val="00AF4984"/>
    <w:rsid w:val="00AF61C3"/>
    <w:rsid w:val="00AF6D68"/>
    <w:rsid w:val="00AF75D7"/>
    <w:rsid w:val="00AF77D8"/>
    <w:rsid w:val="00AF7BB1"/>
    <w:rsid w:val="00B04AA0"/>
    <w:rsid w:val="00B05F51"/>
    <w:rsid w:val="00B078BA"/>
    <w:rsid w:val="00B117DC"/>
    <w:rsid w:val="00B123BD"/>
    <w:rsid w:val="00B129A9"/>
    <w:rsid w:val="00B14937"/>
    <w:rsid w:val="00B21234"/>
    <w:rsid w:val="00B21ACF"/>
    <w:rsid w:val="00B22786"/>
    <w:rsid w:val="00B2545E"/>
    <w:rsid w:val="00B26D47"/>
    <w:rsid w:val="00B3289D"/>
    <w:rsid w:val="00B32B6D"/>
    <w:rsid w:val="00B33530"/>
    <w:rsid w:val="00B34890"/>
    <w:rsid w:val="00B35E7E"/>
    <w:rsid w:val="00B41FE3"/>
    <w:rsid w:val="00B47C91"/>
    <w:rsid w:val="00B515C3"/>
    <w:rsid w:val="00B51DE5"/>
    <w:rsid w:val="00B53BD5"/>
    <w:rsid w:val="00B548FE"/>
    <w:rsid w:val="00B54E34"/>
    <w:rsid w:val="00B55725"/>
    <w:rsid w:val="00B55AE6"/>
    <w:rsid w:val="00B55E4A"/>
    <w:rsid w:val="00B565C7"/>
    <w:rsid w:val="00B56B22"/>
    <w:rsid w:val="00B57173"/>
    <w:rsid w:val="00B5734A"/>
    <w:rsid w:val="00B608C4"/>
    <w:rsid w:val="00B60C70"/>
    <w:rsid w:val="00B626A4"/>
    <w:rsid w:val="00B648C5"/>
    <w:rsid w:val="00B6519A"/>
    <w:rsid w:val="00B658EA"/>
    <w:rsid w:val="00B71075"/>
    <w:rsid w:val="00B72AD0"/>
    <w:rsid w:val="00B73C1C"/>
    <w:rsid w:val="00B746F7"/>
    <w:rsid w:val="00B75A97"/>
    <w:rsid w:val="00B75B85"/>
    <w:rsid w:val="00B7698A"/>
    <w:rsid w:val="00B77EE5"/>
    <w:rsid w:val="00B81949"/>
    <w:rsid w:val="00B82057"/>
    <w:rsid w:val="00B82235"/>
    <w:rsid w:val="00B86431"/>
    <w:rsid w:val="00B9046C"/>
    <w:rsid w:val="00B90A7E"/>
    <w:rsid w:val="00B92EBD"/>
    <w:rsid w:val="00B9465A"/>
    <w:rsid w:val="00B97BB4"/>
    <w:rsid w:val="00BA156F"/>
    <w:rsid w:val="00BA15F7"/>
    <w:rsid w:val="00BA4811"/>
    <w:rsid w:val="00BB0547"/>
    <w:rsid w:val="00BB34FD"/>
    <w:rsid w:val="00BB38B6"/>
    <w:rsid w:val="00BB5CFF"/>
    <w:rsid w:val="00BC071B"/>
    <w:rsid w:val="00BC1967"/>
    <w:rsid w:val="00BC6049"/>
    <w:rsid w:val="00BC6B23"/>
    <w:rsid w:val="00BD0189"/>
    <w:rsid w:val="00BD071F"/>
    <w:rsid w:val="00BD09BC"/>
    <w:rsid w:val="00BD2C66"/>
    <w:rsid w:val="00BD529C"/>
    <w:rsid w:val="00BD52DD"/>
    <w:rsid w:val="00BD635C"/>
    <w:rsid w:val="00BE02BE"/>
    <w:rsid w:val="00BE4607"/>
    <w:rsid w:val="00BE5609"/>
    <w:rsid w:val="00BF1027"/>
    <w:rsid w:val="00BF1538"/>
    <w:rsid w:val="00BF414F"/>
    <w:rsid w:val="00BF4B5E"/>
    <w:rsid w:val="00BF618D"/>
    <w:rsid w:val="00BF6941"/>
    <w:rsid w:val="00BF6D23"/>
    <w:rsid w:val="00C00E22"/>
    <w:rsid w:val="00C018C6"/>
    <w:rsid w:val="00C02638"/>
    <w:rsid w:val="00C02AD1"/>
    <w:rsid w:val="00C04A5D"/>
    <w:rsid w:val="00C062F3"/>
    <w:rsid w:val="00C1057F"/>
    <w:rsid w:val="00C10F64"/>
    <w:rsid w:val="00C14B75"/>
    <w:rsid w:val="00C162AE"/>
    <w:rsid w:val="00C16F8D"/>
    <w:rsid w:val="00C2124F"/>
    <w:rsid w:val="00C2476C"/>
    <w:rsid w:val="00C25461"/>
    <w:rsid w:val="00C27061"/>
    <w:rsid w:val="00C30672"/>
    <w:rsid w:val="00C30C0B"/>
    <w:rsid w:val="00C343F3"/>
    <w:rsid w:val="00C36754"/>
    <w:rsid w:val="00C373EF"/>
    <w:rsid w:val="00C377B8"/>
    <w:rsid w:val="00C37A62"/>
    <w:rsid w:val="00C37A78"/>
    <w:rsid w:val="00C37DBA"/>
    <w:rsid w:val="00C409CE"/>
    <w:rsid w:val="00C47946"/>
    <w:rsid w:val="00C50F74"/>
    <w:rsid w:val="00C519BF"/>
    <w:rsid w:val="00C52042"/>
    <w:rsid w:val="00C53B97"/>
    <w:rsid w:val="00C54D73"/>
    <w:rsid w:val="00C555C6"/>
    <w:rsid w:val="00C55E92"/>
    <w:rsid w:val="00C57D79"/>
    <w:rsid w:val="00C622AB"/>
    <w:rsid w:val="00C64A0A"/>
    <w:rsid w:val="00C717C4"/>
    <w:rsid w:val="00C72C5D"/>
    <w:rsid w:val="00C72CBA"/>
    <w:rsid w:val="00C73840"/>
    <w:rsid w:val="00C74AAD"/>
    <w:rsid w:val="00C75A3A"/>
    <w:rsid w:val="00C80788"/>
    <w:rsid w:val="00C822B7"/>
    <w:rsid w:val="00C82EFA"/>
    <w:rsid w:val="00C83060"/>
    <w:rsid w:val="00C83E18"/>
    <w:rsid w:val="00C83E37"/>
    <w:rsid w:val="00C8502D"/>
    <w:rsid w:val="00C85414"/>
    <w:rsid w:val="00C911DF"/>
    <w:rsid w:val="00C9413F"/>
    <w:rsid w:val="00C95676"/>
    <w:rsid w:val="00C95A1C"/>
    <w:rsid w:val="00CA13F3"/>
    <w:rsid w:val="00CA1CF1"/>
    <w:rsid w:val="00CA48B1"/>
    <w:rsid w:val="00CA4D69"/>
    <w:rsid w:val="00CA50C0"/>
    <w:rsid w:val="00CA5ED8"/>
    <w:rsid w:val="00CA631E"/>
    <w:rsid w:val="00CA6B04"/>
    <w:rsid w:val="00CB2432"/>
    <w:rsid w:val="00CB5157"/>
    <w:rsid w:val="00CB62D0"/>
    <w:rsid w:val="00CB691B"/>
    <w:rsid w:val="00CB785E"/>
    <w:rsid w:val="00CC0964"/>
    <w:rsid w:val="00CC18CC"/>
    <w:rsid w:val="00CC2BE8"/>
    <w:rsid w:val="00CC33A9"/>
    <w:rsid w:val="00CC4002"/>
    <w:rsid w:val="00CE4446"/>
    <w:rsid w:val="00CE4DE8"/>
    <w:rsid w:val="00CE5570"/>
    <w:rsid w:val="00CE7E10"/>
    <w:rsid w:val="00CF03E8"/>
    <w:rsid w:val="00D0008B"/>
    <w:rsid w:val="00D00362"/>
    <w:rsid w:val="00D01FAF"/>
    <w:rsid w:val="00D01FD3"/>
    <w:rsid w:val="00D034A7"/>
    <w:rsid w:val="00D04FA9"/>
    <w:rsid w:val="00D050AF"/>
    <w:rsid w:val="00D07E2A"/>
    <w:rsid w:val="00D1087C"/>
    <w:rsid w:val="00D13968"/>
    <w:rsid w:val="00D1531A"/>
    <w:rsid w:val="00D16274"/>
    <w:rsid w:val="00D16973"/>
    <w:rsid w:val="00D20298"/>
    <w:rsid w:val="00D23931"/>
    <w:rsid w:val="00D263C0"/>
    <w:rsid w:val="00D2740C"/>
    <w:rsid w:val="00D277A9"/>
    <w:rsid w:val="00D279A8"/>
    <w:rsid w:val="00D31E6F"/>
    <w:rsid w:val="00D32006"/>
    <w:rsid w:val="00D40914"/>
    <w:rsid w:val="00D4093E"/>
    <w:rsid w:val="00D447B1"/>
    <w:rsid w:val="00D46DDF"/>
    <w:rsid w:val="00D52131"/>
    <w:rsid w:val="00D526DD"/>
    <w:rsid w:val="00D54CB4"/>
    <w:rsid w:val="00D56CEB"/>
    <w:rsid w:val="00D577DC"/>
    <w:rsid w:val="00D57FEE"/>
    <w:rsid w:val="00D6181F"/>
    <w:rsid w:val="00D62C91"/>
    <w:rsid w:val="00D64DF9"/>
    <w:rsid w:val="00D6766F"/>
    <w:rsid w:val="00D6780E"/>
    <w:rsid w:val="00D67D6D"/>
    <w:rsid w:val="00D71080"/>
    <w:rsid w:val="00D73294"/>
    <w:rsid w:val="00D7388F"/>
    <w:rsid w:val="00D76200"/>
    <w:rsid w:val="00D7637F"/>
    <w:rsid w:val="00D765DA"/>
    <w:rsid w:val="00D77B53"/>
    <w:rsid w:val="00D8433E"/>
    <w:rsid w:val="00D84950"/>
    <w:rsid w:val="00D84EC0"/>
    <w:rsid w:val="00D86D3B"/>
    <w:rsid w:val="00D90AAB"/>
    <w:rsid w:val="00D955F5"/>
    <w:rsid w:val="00DA364B"/>
    <w:rsid w:val="00DA3C39"/>
    <w:rsid w:val="00DA62AC"/>
    <w:rsid w:val="00DA739E"/>
    <w:rsid w:val="00DB028C"/>
    <w:rsid w:val="00DB29AC"/>
    <w:rsid w:val="00DB4101"/>
    <w:rsid w:val="00DB4F52"/>
    <w:rsid w:val="00DB6349"/>
    <w:rsid w:val="00DB7AEA"/>
    <w:rsid w:val="00DC084C"/>
    <w:rsid w:val="00DC084D"/>
    <w:rsid w:val="00DC11EB"/>
    <w:rsid w:val="00DC2E1C"/>
    <w:rsid w:val="00DC3E69"/>
    <w:rsid w:val="00DC6FC9"/>
    <w:rsid w:val="00DD09F3"/>
    <w:rsid w:val="00DD0A73"/>
    <w:rsid w:val="00DD2431"/>
    <w:rsid w:val="00DD2613"/>
    <w:rsid w:val="00DD4272"/>
    <w:rsid w:val="00DD48D5"/>
    <w:rsid w:val="00DD48FB"/>
    <w:rsid w:val="00DD4B09"/>
    <w:rsid w:val="00DD6361"/>
    <w:rsid w:val="00DE13FE"/>
    <w:rsid w:val="00DE1C2C"/>
    <w:rsid w:val="00DE2521"/>
    <w:rsid w:val="00DE28AD"/>
    <w:rsid w:val="00DE4029"/>
    <w:rsid w:val="00DF1F26"/>
    <w:rsid w:val="00DF2197"/>
    <w:rsid w:val="00DF30FA"/>
    <w:rsid w:val="00DF6BD8"/>
    <w:rsid w:val="00DF6FCB"/>
    <w:rsid w:val="00E0035E"/>
    <w:rsid w:val="00E0410C"/>
    <w:rsid w:val="00E0464B"/>
    <w:rsid w:val="00E06B25"/>
    <w:rsid w:val="00E11832"/>
    <w:rsid w:val="00E1287D"/>
    <w:rsid w:val="00E147CB"/>
    <w:rsid w:val="00E1795D"/>
    <w:rsid w:val="00E22E4C"/>
    <w:rsid w:val="00E240A6"/>
    <w:rsid w:val="00E24B6A"/>
    <w:rsid w:val="00E25B83"/>
    <w:rsid w:val="00E27F36"/>
    <w:rsid w:val="00E30025"/>
    <w:rsid w:val="00E327CF"/>
    <w:rsid w:val="00E349D1"/>
    <w:rsid w:val="00E365B7"/>
    <w:rsid w:val="00E36DDF"/>
    <w:rsid w:val="00E419D7"/>
    <w:rsid w:val="00E41C81"/>
    <w:rsid w:val="00E437EB"/>
    <w:rsid w:val="00E447F3"/>
    <w:rsid w:val="00E45FE4"/>
    <w:rsid w:val="00E45FE5"/>
    <w:rsid w:val="00E46F0F"/>
    <w:rsid w:val="00E52E42"/>
    <w:rsid w:val="00E563AC"/>
    <w:rsid w:val="00E56637"/>
    <w:rsid w:val="00E57290"/>
    <w:rsid w:val="00E61D86"/>
    <w:rsid w:val="00E62398"/>
    <w:rsid w:val="00E62820"/>
    <w:rsid w:val="00E6353B"/>
    <w:rsid w:val="00E64F31"/>
    <w:rsid w:val="00E652C3"/>
    <w:rsid w:val="00E65E96"/>
    <w:rsid w:val="00E71202"/>
    <w:rsid w:val="00E741DB"/>
    <w:rsid w:val="00E750C2"/>
    <w:rsid w:val="00E80B51"/>
    <w:rsid w:val="00E80D4A"/>
    <w:rsid w:val="00E8130D"/>
    <w:rsid w:val="00E8290B"/>
    <w:rsid w:val="00E84B6B"/>
    <w:rsid w:val="00E8756F"/>
    <w:rsid w:val="00E92719"/>
    <w:rsid w:val="00E92BAF"/>
    <w:rsid w:val="00E9606D"/>
    <w:rsid w:val="00EA0519"/>
    <w:rsid w:val="00EA0790"/>
    <w:rsid w:val="00EA0C15"/>
    <w:rsid w:val="00EA13B0"/>
    <w:rsid w:val="00EA2D57"/>
    <w:rsid w:val="00EA3565"/>
    <w:rsid w:val="00EA3590"/>
    <w:rsid w:val="00EB1019"/>
    <w:rsid w:val="00EB45A8"/>
    <w:rsid w:val="00EB5E1E"/>
    <w:rsid w:val="00EB7C34"/>
    <w:rsid w:val="00EC0695"/>
    <w:rsid w:val="00EC1968"/>
    <w:rsid w:val="00EC1FFE"/>
    <w:rsid w:val="00EC512A"/>
    <w:rsid w:val="00EC5349"/>
    <w:rsid w:val="00EC56F9"/>
    <w:rsid w:val="00EC5894"/>
    <w:rsid w:val="00EC7341"/>
    <w:rsid w:val="00EC7F69"/>
    <w:rsid w:val="00ED001A"/>
    <w:rsid w:val="00ED0620"/>
    <w:rsid w:val="00ED370B"/>
    <w:rsid w:val="00ED3CBB"/>
    <w:rsid w:val="00ED667F"/>
    <w:rsid w:val="00EE017B"/>
    <w:rsid w:val="00EE1EE7"/>
    <w:rsid w:val="00EE215F"/>
    <w:rsid w:val="00EE4F40"/>
    <w:rsid w:val="00EE6AFC"/>
    <w:rsid w:val="00EE7454"/>
    <w:rsid w:val="00EF2859"/>
    <w:rsid w:val="00EF308C"/>
    <w:rsid w:val="00EF38BF"/>
    <w:rsid w:val="00EF5BF1"/>
    <w:rsid w:val="00EF66D1"/>
    <w:rsid w:val="00EF7A33"/>
    <w:rsid w:val="00EF7EE1"/>
    <w:rsid w:val="00F0210F"/>
    <w:rsid w:val="00F02440"/>
    <w:rsid w:val="00F02E7A"/>
    <w:rsid w:val="00F03177"/>
    <w:rsid w:val="00F03BD1"/>
    <w:rsid w:val="00F0481D"/>
    <w:rsid w:val="00F05484"/>
    <w:rsid w:val="00F058E0"/>
    <w:rsid w:val="00F07BF9"/>
    <w:rsid w:val="00F106BA"/>
    <w:rsid w:val="00F10B46"/>
    <w:rsid w:val="00F11EBA"/>
    <w:rsid w:val="00F12637"/>
    <w:rsid w:val="00F1459A"/>
    <w:rsid w:val="00F15795"/>
    <w:rsid w:val="00F16723"/>
    <w:rsid w:val="00F16B22"/>
    <w:rsid w:val="00F205B0"/>
    <w:rsid w:val="00F23127"/>
    <w:rsid w:val="00F25112"/>
    <w:rsid w:val="00F269D9"/>
    <w:rsid w:val="00F30B4C"/>
    <w:rsid w:val="00F30B68"/>
    <w:rsid w:val="00F311AD"/>
    <w:rsid w:val="00F311CF"/>
    <w:rsid w:val="00F318AB"/>
    <w:rsid w:val="00F31BFB"/>
    <w:rsid w:val="00F34A09"/>
    <w:rsid w:val="00F36AF7"/>
    <w:rsid w:val="00F36F37"/>
    <w:rsid w:val="00F3726F"/>
    <w:rsid w:val="00F408CE"/>
    <w:rsid w:val="00F40A79"/>
    <w:rsid w:val="00F425BF"/>
    <w:rsid w:val="00F44E6C"/>
    <w:rsid w:val="00F45E9B"/>
    <w:rsid w:val="00F508B8"/>
    <w:rsid w:val="00F5215F"/>
    <w:rsid w:val="00F5376B"/>
    <w:rsid w:val="00F54BF5"/>
    <w:rsid w:val="00F557CC"/>
    <w:rsid w:val="00F56A4C"/>
    <w:rsid w:val="00F6022B"/>
    <w:rsid w:val="00F60609"/>
    <w:rsid w:val="00F61661"/>
    <w:rsid w:val="00F627F1"/>
    <w:rsid w:val="00F64012"/>
    <w:rsid w:val="00F65644"/>
    <w:rsid w:val="00F657FF"/>
    <w:rsid w:val="00F65CE0"/>
    <w:rsid w:val="00F66D4F"/>
    <w:rsid w:val="00F6712C"/>
    <w:rsid w:val="00F674A0"/>
    <w:rsid w:val="00F700A3"/>
    <w:rsid w:val="00F72FC7"/>
    <w:rsid w:val="00F752D7"/>
    <w:rsid w:val="00F757C1"/>
    <w:rsid w:val="00F77788"/>
    <w:rsid w:val="00F779CE"/>
    <w:rsid w:val="00F8011F"/>
    <w:rsid w:val="00F816A5"/>
    <w:rsid w:val="00F82A62"/>
    <w:rsid w:val="00F9043B"/>
    <w:rsid w:val="00F91451"/>
    <w:rsid w:val="00F93329"/>
    <w:rsid w:val="00F951A4"/>
    <w:rsid w:val="00FA04F5"/>
    <w:rsid w:val="00FA0DB2"/>
    <w:rsid w:val="00FA1FE6"/>
    <w:rsid w:val="00FA25FE"/>
    <w:rsid w:val="00FA2CE3"/>
    <w:rsid w:val="00FA2D26"/>
    <w:rsid w:val="00FA37B2"/>
    <w:rsid w:val="00FA4E5B"/>
    <w:rsid w:val="00FA5D5B"/>
    <w:rsid w:val="00FA68B2"/>
    <w:rsid w:val="00FB1809"/>
    <w:rsid w:val="00FB5873"/>
    <w:rsid w:val="00FB5CB6"/>
    <w:rsid w:val="00FB5FA3"/>
    <w:rsid w:val="00FB637A"/>
    <w:rsid w:val="00FC00A7"/>
    <w:rsid w:val="00FC073B"/>
    <w:rsid w:val="00FC2337"/>
    <w:rsid w:val="00FC3C5B"/>
    <w:rsid w:val="00FC4331"/>
    <w:rsid w:val="00FC4ED2"/>
    <w:rsid w:val="00FC7006"/>
    <w:rsid w:val="00FD20C1"/>
    <w:rsid w:val="00FD2E06"/>
    <w:rsid w:val="00FD300B"/>
    <w:rsid w:val="00FD382D"/>
    <w:rsid w:val="00FD498C"/>
    <w:rsid w:val="00FD7FA4"/>
    <w:rsid w:val="00FE0112"/>
    <w:rsid w:val="00FE1B7D"/>
    <w:rsid w:val="00FE30F5"/>
    <w:rsid w:val="00FE3F2C"/>
    <w:rsid w:val="00FE448B"/>
    <w:rsid w:val="00FE5311"/>
    <w:rsid w:val="00FF0660"/>
    <w:rsid w:val="00FF2321"/>
    <w:rsid w:val="00FF3404"/>
    <w:rsid w:val="00FF3EB9"/>
    <w:rsid w:val="00FF4537"/>
    <w:rsid w:val="00FF5A4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3C8212"/>
  <w15:docId w15:val="{409E13E9-FD42-427C-B976-723C5CF7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3C39"/>
    <w:pPr>
      <w:keepNext/>
      <w:keepLines/>
      <w:spacing w:before="240" w:after="100" w:afterAutospacing="1"/>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DA3C39"/>
    <w:pPr>
      <w:keepNext/>
      <w:keepLines/>
      <w:spacing w:before="40" w:after="100" w:afterAutospacing="1"/>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DA3C39"/>
    <w:pPr>
      <w:keepNext/>
      <w:keepLines/>
      <w:spacing w:before="40" w:after="100" w:afterAutospacing="1"/>
      <w:outlineLvl w:val="2"/>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B85"/>
    <w:rPr>
      <w:color w:val="0563C1" w:themeColor="hyperlink"/>
      <w:u w:val="single"/>
    </w:rPr>
  </w:style>
  <w:style w:type="character" w:customStyle="1" w:styleId="Heading1Char">
    <w:name w:val="Heading 1 Char"/>
    <w:basedOn w:val="DefaultParagraphFont"/>
    <w:link w:val="Heading1"/>
    <w:uiPriority w:val="9"/>
    <w:rsid w:val="00DA3C39"/>
    <w:rPr>
      <w:rFonts w:asciiTheme="majorHAnsi" w:eastAsiaTheme="majorEastAsia" w:hAnsiTheme="majorHAnsi" w:cstheme="majorBidi"/>
      <w:sz w:val="32"/>
      <w:szCs w:val="32"/>
    </w:rPr>
  </w:style>
  <w:style w:type="paragraph" w:styleId="ListParagraph">
    <w:name w:val="List Paragraph"/>
    <w:basedOn w:val="Normal"/>
    <w:uiPriority w:val="34"/>
    <w:qFormat/>
    <w:rsid w:val="00A05A4E"/>
    <w:pPr>
      <w:ind w:left="720"/>
      <w:contextualSpacing/>
    </w:pPr>
  </w:style>
  <w:style w:type="character" w:styleId="CommentReference">
    <w:name w:val="annotation reference"/>
    <w:basedOn w:val="DefaultParagraphFont"/>
    <w:uiPriority w:val="99"/>
    <w:semiHidden/>
    <w:unhideWhenUsed/>
    <w:rsid w:val="00EC1968"/>
    <w:rPr>
      <w:sz w:val="16"/>
      <w:szCs w:val="16"/>
    </w:rPr>
  </w:style>
  <w:style w:type="paragraph" w:styleId="CommentText">
    <w:name w:val="annotation text"/>
    <w:basedOn w:val="Normal"/>
    <w:link w:val="CommentTextChar"/>
    <w:uiPriority w:val="99"/>
    <w:unhideWhenUsed/>
    <w:rsid w:val="00EC1968"/>
    <w:pPr>
      <w:spacing w:line="240" w:lineRule="auto"/>
    </w:pPr>
    <w:rPr>
      <w:sz w:val="20"/>
      <w:szCs w:val="20"/>
    </w:rPr>
  </w:style>
  <w:style w:type="character" w:customStyle="1" w:styleId="CommentTextChar">
    <w:name w:val="Comment Text Char"/>
    <w:basedOn w:val="DefaultParagraphFont"/>
    <w:link w:val="CommentText"/>
    <w:uiPriority w:val="99"/>
    <w:rsid w:val="00EC1968"/>
    <w:rPr>
      <w:sz w:val="20"/>
      <w:szCs w:val="20"/>
    </w:rPr>
  </w:style>
  <w:style w:type="paragraph" w:styleId="CommentSubject">
    <w:name w:val="annotation subject"/>
    <w:basedOn w:val="CommentText"/>
    <w:next w:val="CommentText"/>
    <w:link w:val="CommentSubjectChar"/>
    <w:uiPriority w:val="99"/>
    <w:semiHidden/>
    <w:unhideWhenUsed/>
    <w:rsid w:val="00EC1968"/>
    <w:rPr>
      <w:b/>
      <w:bCs/>
    </w:rPr>
  </w:style>
  <w:style w:type="character" w:customStyle="1" w:styleId="CommentSubjectChar">
    <w:name w:val="Comment Subject Char"/>
    <w:basedOn w:val="CommentTextChar"/>
    <w:link w:val="CommentSubject"/>
    <w:uiPriority w:val="99"/>
    <w:semiHidden/>
    <w:rsid w:val="00EC1968"/>
    <w:rPr>
      <w:b/>
      <w:bCs/>
      <w:sz w:val="20"/>
      <w:szCs w:val="20"/>
    </w:rPr>
  </w:style>
  <w:style w:type="paragraph" w:styleId="BalloonText">
    <w:name w:val="Balloon Text"/>
    <w:basedOn w:val="Normal"/>
    <w:link w:val="BalloonTextChar"/>
    <w:uiPriority w:val="99"/>
    <w:semiHidden/>
    <w:unhideWhenUsed/>
    <w:rsid w:val="00EC1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968"/>
    <w:rPr>
      <w:rFonts w:ascii="Segoe UI" w:hAnsi="Segoe UI" w:cs="Segoe UI"/>
      <w:sz w:val="18"/>
      <w:szCs w:val="18"/>
    </w:rPr>
  </w:style>
  <w:style w:type="character" w:customStyle="1" w:styleId="Heading2Char">
    <w:name w:val="Heading 2 Char"/>
    <w:basedOn w:val="DefaultParagraphFont"/>
    <w:link w:val="Heading2"/>
    <w:uiPriority w:val="9"/>
    <w:rsid w:val="00DA3C39"/>
    <w:rPr>
      <w:rFonts w:asciiTheme="majorHAnsi" w:eastAsiaTheme="majorEastAsia" w:hAnsiTheme="majorHAnsi" w:cstheme="majorBidi"/>
      <w:sz w:val="26"/>
      <w:szCs w:val="26"/>
    </w:rPr>
  </w:style>
  <w:style w:type="table" w:styleId="TableGrid">
    <w:name w:val="Table Grid"/>
    <w:basedOn w:val="TableNormal"/>
    <w:uiPriority w:val="39"/>
    <w:rsid w:val="00C9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11EB"/>
    <w:rPr>
      <w:color w:val="808080"/>
    </w:rPr>
  </w:style>
  <w:style w:type="paragraph" w:styleId="Revision">
    <w:name w:val="Revision"/>
    <w:hidden/>
    <w:uiPriority w:val="99"/>
    <w:semiHidden/>
    <w:rsid w:val="00FF0660"/>
    <w:pPr>
      <w:spacing w:after="0" w:line="240" w:lineRule="auto"/>
    </w:pPr>
  </w:style>
  <w:style w:type="paragraph" w:styleId="Bibliography">
    <w:name w:val="Bibliography"/>
    <w:basedOn w:val="Normal"/>
    <w:next w:val="Normal"/>
    <w:uiPriority w:val="37"/>
    <w:unhideWhenUsed/>
    <w:rsid w:val="00884371"/>
  </w:style>
  <w:style w:type="paragraph" w:styleId="Header">
    <w:name w:val="header"/>
    <w:basedOn w:val="Normal"/>
    <w:link w:val="HeaderChar"/>
    <w:uiPriority w:val="99"/>
    <w:unhideWhenUsed/>
    <w:rsid w:val="00BE02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2BE"/>
  </w:style>
  <w:style w:type="paragraph" w:styleId="Footer">
    <w:name w:val="footer"/>
    <w:basedOn w:val="Normal"/>
    <w:link w:val="FooterChar"/>
    <w:uiPriority w:val="99"/>
    <w:unhideWhenUsed/>
    <w:rsid w:val="00BE0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2BE"/>
  </w:style>
  <w:style w:type="table" w:styleId="LightShading">
    <w:name w:val="Light Shading"/>
    <w:basedOn w:val="TableNormal"/>
    <w:uiPriority w:val="60"/>
    <w:semiHidden/>
    <w:unhideWhenUsed/>
    <w:rsid w:val="007F699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0B6EB8"/>
    <w:rPr>
      <w:i/>
      <w:iCs/>
    </w:rPr>
  </w:style>
  <w:style w:type="paragraph" w:styleId="HTMLPreformatted">
    <w:name w:val="HTML Preformatted"/>
    <w:basedOn w:val="Normal"/>
    <w:link w:val="HTMLPreformattedChar"/>
    <w:uiPriority w:val="99"/>
    <w:semiHidden/>
    <w:unhideWhenUsed/>
    <w:rsid w:val="004D297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D2976"/>
    <w:rPr>
      <w:rFonts w:ascii="Consolas" w:hAnsi="Consolas" w:cs="Consolas"/>
      <w:sz w:val="20"/>
      <w:szCs w:val="20"/>
    </w:rPr>
  </w:style>
  <w:style w:type="character" w:customStyle="1" w:styleId="t">
    <w:name w:val="t"/>
    <w:basedOn w:val="DefaultParagraphFont"/>
    <w:rsid w:val="000F63F5"/>
  </w:style>
  <w:style w:type="character" w:customStyle="1" w:styleId="Heading3Char">
    <w:name w:val="Heading 3 Char"/>
    <w:basedOn w:val="DefaultParagraphFont"/>
    <w:link w:val="Heading3"/>
    <w:uiPriority w:val="9"/>
    <w:rsid w:val="00DA3C39"/>
    <w:rPr>
      <w:rFonts w:asciiTheme="majorHAnsi" w:eastAsiaTheme="majorEastAsia" w:hAnsiTheme="majorHAnsi" w:cstheme="majorBidi"/>
      <w:sz w:val="24"/>
      <w:szCs w:val="24"/>
    </w:rPr>
  </w:style>
  <w:style w:type="character" w:styleId="LineNumber">
    <w:name w:val="line number"/>
    <w:basedOn w:val="DefaultParagraphFont"/>
    <w:uiPriority w:val="99"/>
    <w:semiHidden/>
    <w:unhideWhenUsed/>
    <w:rsid w:val="00506DAE"/>
  </w:style>
  <w:style w:type="paragraph" w:customStyle="1" w:styleId="EndNoteBibliographyTitle">
    <w:name w:val="EndNote Bibliography Title"/>
    <w:basedOn w:val="Normal"/>
    <w:link w:val="EndNoteBibliographyTitleChar"/>
    <w:rsid w:val="00CA6B04"/>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CA6B04"/>
    <w:rPr>
      <w:rFonts w:ascii="Calibri" w:hAnsi="Calibri"/>
      <w:noProof/>
      <w:lang w:val="en-US"/>
    </w:rPr>
  </w:style>
  <w:style w:type="paragraph" w:customStyle="1" w:styleId="EndNoteBibliography">
    <w:name w:val="EndNote Bibliography"/>
    <w:basedOn w:val="Normal"/>
    <w:link w:val="EndNoteBibliographyChar"/>
    <w:rsid w:val="00CA6B04"/>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CA6B04"/>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708075">
      <w:bodyDiv w:val="1"/>
      <w:marLeft w:val="0"/>
      <w:marRight w:val="0"/>
      <w:marTop w:val="0"/>
      <w:marBottom w:val="0"/>
      <w:divBdr>
        <w:top w:val="none" w:sz="0" w:space="0" w:color="auto"/>
        <w:left w:val="none" w:sz="0" w:space="0" w:color="auto"/>
        <w:bottom w:val="none" w:sz="0" w:space="0" w:color="auto"/>
        <w:right w:val="none" w:sz="0" w:space="0" w:color="auto"/>
      </w:divBdr>
    </w:div>
    <w:div w:id="1228564974">
      <w:bodyDiv w:val="1"/>
      <w:marLeft w:val="0"/>
      <w:marRight w:val="0"/>
      <w:marTop w:val="0"/>
      <w:marBottom w:val="0"/>
      <w:divBdr>
        <w:top w:val="none" w:sz="0" w:space="0" w:color="auto"/>
        <w:left w:val="none" w:sz="0" w:space="0" w:color="auto"/>
        <w:bottom w:val="none" w:sz="0" w:space="0" w:color="auto"/>
        <w:right w:val="none" w:sz="0" w:space="0" w:color="auto"/>
      </w:divBdr>
    </w:div>
    <w:div w:id="1594626554">
      <w:bodyDiv w:val="1"/>
      <w:marLeft w:val="0"/>
      <w:marRight w:val="0"/>
      <w:marTop w:val="0"/>
      <w:marBottom w:val="0"/>
      <w:divBdr>
        <w:top w:val="none" w:sz="0" w:space="0" w:color="auto"/>
        <w:left w:val="none" w:sz="0" w:space="0" w:color="auto"/>
        <w:bottom w:val="none" w:sz="0" w:space="0" w:color="auto"/>
        <w:right w:val="none" w:sz="0" w:space="0" w:color="auto"/>
      </w:divBdr>
    </w:div>
    <w:div w:id="16536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39C2E-BB05-4598-9DA4-B81B38C4E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7391</Words>
  <Characters>42131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Lucas J.</dc:creator>
  <cp:lastModifiedBy>Whalley T.</cp:lastModifiedBy>
  <cp:revision>2</cp:revision>
  <cp:lastPrinted>2018-11-27T12:52:00Z</cp:lastPrinted>
  <dcterms:created xsi:type="dcterms:W3CDTF">2019-02-11T14:35:00Z</dcterms:created>
  <dcterms:modified xsi:type="dcterms:W3CDTF">2019-02-11T14:35:00Z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zotero-version="5.0.54"&gt;&lt;session id="R6MtD9pj"/&gt;&lt;style id="http://www.zotero.org/styles/vancouver" locale="en-GB" hasBibliography="1" bibliographyStyleHasBeenSet="1"/&gt;&lt;prefs&gt;&lt;pref name="fieldType" value="Field"/&gt;&lt;/prefs&gt;&lt;/data&gt;</vt:lpwstr>
  </property>
</Properties>
</file>