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62C567" w14:textId="0073C785" w:rsidR="0084261D" w:rsidRPr="008A6D82" w:rsidRDefault="00940B28" w:rsidP="008A6D82">
      <w:pPr>
        <w:pStyle w:val="Heading1"/>
      </w:pPr>
      <w:bookmarkStart w:id="0" w:name="_Toc517421401"/>
      <w:bookmarkStart w:id="1" w:name="_Toc517431816"/>
      <w:bookmarkStart w:id="2" w:name="_GoBack"/>
      <w:r w:rsidRPr="008A6D82">
        <w:t>A</w:t>
      </w:r>
      <w:r w:rsidR="00FA7771" w:rsidRPr="008A6D82">
        <w:t>n</w:t>
      </w:r>
      <w:r w:rsidRPr="008A6D82">
        <w:t xml:space="preserve"> analytical framework </w:t>
      </w:r>
      <w:r w:rsidR="007F6D3B" w:rsidRPr="008A6D82">
        <w:t>for</w:t>
      </w:r>
      <w:r w:rsidR="00CE29FD" w:rsidRPr="008A6D82">
        <w:t xml:space="preserve"> spatially </w:t>
      </w:r>
      <w:r w:rsidR="00777BAA" w:rsidRPr="008A6D82">
        <w:t>targe</w:t>
      </w:r>
      <w:r w:rsidR="003B75CB" w:rsidRPr="008A6D82">
        <w:t xml:space="preserve">ted </w:t>
      </w:r>
      <w:r w:rsidR="00CE29FD" w:rsidRPr="008A6D82">
        <w:t>management of natural capital</w:t>
      </w:r>
      <w:r w:rsidRPr="008A6D82">
        <w:t xml:space="preserve"> </w:t>
      </w:r>
      <w:bookmarkEnd w:id="0"/>
      <w:bookmarkEnd w:id="1"/>
    </w:p>
    <w:bookmarkEnd w:id="2"/>
    <w:p w14:paraId="2FBAB097" w14:textId="3E40F229" w:rsidR="001C5D87" w:rsidRPr="00DE5C02" w:rsidRDefault="001C5D87" w:rsidP="0084261D">
      <w:r w:rsidRPr="00DE5C02">
        <w:t>Rebecca Spake</w:t>
      </w:r>
      <w:r w:rsidR="00DE5C02" w:rsidRPr="00DE5C02">
        <w:rPr>
          <w:vertAlign w:val="superscript"/>
        </w:rPr>
        <w:t>1</w:t>
      </w:r>
      <w:r w:rsidRPr="00DE5C02">
        <w:t>, Chloe Bellamy</w:t>
      </w:r>
      <w:r w:rsidR="00DE5C02" w:rsidRPr="00DE5C02">
        <w:rPr>
          <w:vertAlign w:val="superscript"/>
        </w:rPr>
        <w:t>2</w:t>
      </w:r>
      <w:r w:rsidRPr="00DE5C02">
        <w:t xml:space="preserve">, Laura </w:t>
      </w:r>
      <w:r w:rsidR="00B44B6C" w:rsidRPr="00DE5C02">
        <w:t xml:space="preserve">J. </w:t>
      </w:r>
      <w:r w:rsidRPr="00DE5C02">
        <w:t>Graham</w:t>
      </w:r>
      <w:r w:rsidR="00DE5C02" w:rsidRPr="00DE5C02">
        <w:rPr>
          <w:vertAlign w:val="superscript"/>
        </w:rPr>
        <w:t>1</w:t>
      </w:r>
      <w:r w:rsidRPr="00DE5C02">
        <w:t>, Kevin Watts</w:t>
      </w:r>
      <w:r w:rsidR="00DE5C02" w:rsidRPr="00DE5C02">
        <w:rPr>
          <w:vertAlign w:val="superscript"/>
        </w:rPr>
        <w:t>3</w:t>
      </w:r>
      <w:r w:rsidRPr="00DE5C02">
        <w:t>, Tom Wilson</w:t>
      </w:r>
      <w:r w:rsidR="00DE5C02" w:rsidRPr="00DE5C02">
        <w:rPr>
          <w:vertAlign w:val="superscript"/>
        </w:rPr>
        <w:t>4</w:t>
      </w:r>
      <w:r w:rsidRPr="00DE5C02">
        <w:t xml:space="preserve">, Lisa </w:t>
      </w:r>
      <w:r w:rsidR="00B44B6C" w:rsidRPr="00DE5C02">
        <w:t xml:space="preserve">R. </w:t>
      </w:r>
      <w:r w:rsidRPr="00DE5C02">
        <w:t>Norton</w:t>
      </w:r>
      <w:r w:rsidR="00DE5C02" w:rsidRPr="00DE5C02">
        <w:rPr>
          <w:vertAlign w:val="superscript"/>
        </w:rPr>
        <w:t>5</w:t>
      </w:r>
      <w:r w:rsidRPr="00DE5C02">
        <w:t xml:space="preserve">, Claire </w:t>
      </w:r>
      <w:r w:rsidR="00B44B6C" w:rsidRPr="00DE5C02">
        <w:t xml:space="preserve">M. </w:t>
      </w:r>
      <w:r w:rsidRPr="00DE5C02">
        <w:t>Wood</w:t>
      </w:r>
      <w:r w:rsidR="00DE5C02" w:rsidRPr="00DE5C02">
        <w:rPr>
          <w:vertAlign w:val="superscript"/>
        </w:rPr>
        <w:t>5</w:t>
      </w:r>
      <w:r w:rsidRPr="00DE5C02">
        <w:t>, Reto Schmucki</w:t>
      </w:r>
      <w:r w:rsidR="00DE5C02" w:rsidRPr="00DE5C02">
        <w:rPr>
          <w:vertAlign w:val="superscript"/>
        </w:rPr>
        <w:t>6</w:t>
      </w:r>
      <w:r w:rsidRPr="00DE5C02">
        <w:t xml:space="preserve">, James </w:t>
      </w:r>
      <w:r w:rsidR="00EF6A71" w:rsidRPr="00DE5C02">
        <w:t xml:space="preserve">M. </w:t>
      </w:r>
      <w:r w:rsidRPr="00DE5C02">
        <w:t>Bullock</w:t>
      </w:r>
      <w:r w:rsidR="00DE5C02" w:rsidRPr="00DE5C02">
        <w:rPr>
          <w:vertAlign w:val="superscript"/>
        </w:rPr>
        <w:t>6</w:t>
      </w:r>
      <w:r w:rsidRPr="00DE5C02">
        <w:t xml:space="preserve"> and Felix Eigenbrod</w:t>
      </w:r>
      <w:r w:rsidR="00DE5C02" w:rsidRPr="00DE5C02">
        <w:rPr>
          <w:vertAlign w:val="superscript"/>
        </w:rPr>
        <w:t>1</w:t>
      </w:r>
      <w:r w:rsidRPr="00DE5C02">
        <w:t>.</w:t>
      </w:r>
    </w:p>
    <w:p w14:paraId="11C27592" w14:textId="58F6C348" w:rsidR="00DE5C02" w:rsidRPr="00DE5C02" w:rsidRDefault="00DE5C02" w:rsidP="0084261D"/>
    <w:p w14:paraId="4B8971F9" w14:textId="01F059E9" w:rsidR="00DE5C02" w:rsidRPr="00DE5C02" w:rsidRDefault="00DE5C02" w:rsidP="00DE5C02">
      <w:pPr>
        <w:spacing w:before="480"/>
      </w:pPr>
      <w:r w:rsidRPr="00DE5C02">
        <w:rPr>
          <w:vertAlign w:val="superscript"/>
        </w:rPr>
        <w:t>1</w:t>
      </w:r>
      <w:r w:rsidRPr="00DE5C02">
        <w:t xml:space="preserve"> Geography and Environment, University of Southampton, Southampton SO17 1BJ, U.K.</w:t>
      </w:r>
    </w:p>
    <w:p w14:paraId="72E633FF" w14:textId="77777777" w:rsidR="00DE5C02" w:rsidRPr="00DE5C02" w:rsidRDefault="00DE5C02" w:rsidP="00DE5C02">
      <w:r w:rsidRPr="00DE5C02">
        <w:rPr>
          <w:vertAlign w:val="superscript"/>
        </w:rPr>
        <w:t>2</w:t>
      </w:r>
      <w:r w:rsidRPr="00DE5C02">
        <w:t xml:space="preserve"> Forest Research, Centre for Ecosystems, Society and Biosecurity, Northern Research Station, Roslin, Midlothian, EH25 9SY, U.K.</w:t>
      </w:r>
    </w:p>
    <w:p w14:paraId="0465B5FA" w14:textId="77777777" w:rsidR="00DE5C02" w:rsidRPr="00DE5C02" w:rsidRDefault="00DE5C02" w:rsidP="00DE5C02">
      <w:r w:rsidRPr="00DE5C02">
        <w:rPr>
          <w:vertAlign w:val="superscript"/>
        </w:rPr>
        <w:t>3</w:t>
      </w:r>
      <w:r w:rsidRPr="00DE5C02">
        <w:t xml:space="preserve"> Forest Research, Centre for Ecosystems, Society and Biosecurity, Farnham, Surrey, GU10 4LS, U.K</w:t>
      </w:r>
    </w:p>
    <w:p w14:paraId="4D02E082" w14:textId="5D2F348C" w:rsidR="00DE5C02" w:rsidRPr="00DE5C02" w:rsidRDefault="00DE5C02" w:rsidP="00DE5C02">
      <w:r w:rsidRPr="00DE5C02">
        <w:rPr>
          <w:vertAlign w:val="superscript"/>
        </w:rPr>
        <w:t>4</w:t>
      </w:r>
      <w:r w:rsidRPr="00DE5C02">
        <w:t xml:space="preserve"> Forest Research, Silvan House, 231, Corstorphine Road, Edinburgh, EH12 7AT</w:t>
      </w:r>
      <w:r w:rsidR="004113FD">
        <w:t>, U.K.</w:t>
      </w:r>
    </w:p>
    <w:p w14:paraId="026BA6E9" w14:textId="77777777" w:rsidR="00DE5C02" w:rsidRPr="00DE5C02" w:rsidRDefault="00DE5C02" w:rsidP="00DE5C02">
      <w:r w:rsidRPr="00DE5C02">
        <w:rPr>
          <w:vertAlign w:val="superscript"/>
        </w:rPr>
        <w:t>5</w:t>
      </w:r>
      <w:r w:rsidRPr="00DE5C02">
        <w:t xml:space="preserve"> Centre for Ecology and Hydrology, Lancaster Environment Centre, Library Avenue, Bailrigg, Lancaster LA1 4AP, U.K.</w:t>
      </w:r>
    </w:p>
    <w:p w14:paraId="76EED74A" w14:textId="77777777" w:rsidR="00DE5C02" w:rsidRPr="00DE5C02" w:rsidRDefault="00DE5C02" w:rsidP="00DE5C02">
      <w:r w:rsidRPr="00DE5C02">
        <w:rPr>
          <w:vertAlign w:val="superscript"/>
        </w:rPr>
        <w:t>6</w:t>
      </w:r>
      <w:r w:rsidRPr="00DE5C02">
        <w:t xml:space="preserve"> NERC Centre for Ecology and Hydrology, Maclean Building, Benson Lane, Crowmarsh Gifford, Wallingford, Oxfordshire OX10 8BB, U.K.</w:t>
      </w:r>
    </w:p>
    <w:p w14:paraId="43C616E3" w14:textId="783E562A" w:rsidR="00DE5C02" w:rsidRPr="00DE5C02" w:rsidRDefault="00DE5C02" w:rsidP="00DE5C02">
      <w:pPr>
        <w:spacing w:before="240" w:after="240"/>
      </w:pPr>
      <w:r w:rsidRPr="00DE5C02">
        <w:rPr>
          <w:i/>
        </w:rPr>
        <w:t>Correspondence address:</w:t>
      </w:r>
      <w:r w:rsidRPr="00DE5C02">
        <w:t xml:space="preserve"> Rebecca Spake, Geography and Environment, University of Southampton, Southampton SO17 1BJ, U.K. </w:t>
      </w:r>
      <w:hyperlink r:id="rId8" w:history="1">
        <w:r w:rsidRPr="00DE5C02">
          <w:rPr>
            <w:rStyle w:val="Hyperlink"/>
          </w:rPr>
          <w:t>R.Spake@soton.ac.uk</w:t>
        </w:r>
      </w:hyperlink>
      <w:r w:rsidRPr="00DE5C02">
        <w:t xml:space="preserve">. </w:t>
      </w:r>
    </w:p>
    <w:p w14:paraId="091DADD6" w14:textId="01668430" w:rsidR="00DE5C02" w:rsidRPr="00DE5C02" w:rsidRDefault="00DE5C02" w:rsidP="00DE5C02">
      <w:pPr>
        <w:spacing w:after="200"/>
      </w:pPr>
    </w:p>
    <w:p w14:paraId="54E9D671" w14:textId="3C2DA849" w:rsidR="00DE5C02" w:rsidRPr="00DE5C02" w:rsidRDefault="00DE5C02" w:rsidP="00DE5C02">
      <w:pPr>
        <w:spacing w:after="200"/>
      </w:pPr>
    </w:p>
    <w:p w14:paraId="3E9DDCD9" w14:textId="77777777" w:rsidR="00DE5C02" w:rsidRPr="00DE5C02" w:rsidRDefault="00DE5C02" w:rsidP="00DE5C02">
      <w:pPr>
        <w:spacing w:after="200"/>
      </w:pPr>
    </w:p>
    <w:p w14:paraId="0DAE961F" w14:textId="11BB2C5D" w:rsidR="00DE5C02" w:rsidRPr="00DE5C02" w:rsidRDefault="00DE5C02" w:rsidP="0084261D"/>
    <w:p w14:paraId="54A19512" w14:textId="77777777" w:rsidR="00DE5C02" w:rsidRPr="00DE5C02" w:rsidRDefault="00DE5C02" w:rsidP="0084261D"/>
    <w:p w14:paraId="0532D938" w14:textId="77777777" w:rsidR="00DE5C02" w:rsidRDefault="00DE5C02">
      <w:pPr>
        <w:rPr>
          <w:lang w:eastAsia="zh-CN"/>
        </w:rPr>
      </w:pPr>
      <w:r>
        <w:rPr>
          <w:lang w:eastAsia="zh-CN"/>
        </w:rPr>
        <w:br w:type="page"/>
      </w:r>
    </w:p>
    <w:p w14:paraId="147EFEFA" w14:textId="77777777" w:rsidR="008A6D82" w:rsidRPr="008A6D82" w:rsidRDefault="008A6D82" w:rsidP="008A6D82">
      <w:pPr>
        <w:pStyle w:val="Heading1"/>
      </w:pPr>
      <w:r w:rsidRPr="008A6D82">
        <w:lastRenderedPageBreak/>
        <w:t xml:space="preserve">An analytical framework for spatially targeted management of natural capital </w:t>
      </w:r>
    </w:p>
    <w:p w14:paraId="56499BC0" w14:textId="61F4BE3B" w:rsidR="00730E86" w:rsidRPr="00DE5C02" w:rsidRDefault="009C59C0" w:rsidP="003D7598">
      <w:pPr>
        <w:rPr>
          <w:i/>
        </w:rPr>
      </w:pPr>
      <w:r w:rsidRPr="00DE5C02">
        <w:rPr>
          <w:i/>
          <w:lang w:eastAsia="zh-CN"/>
        </w:rPr>
        <w:t>A major sustainability challenge is</w:t>
      </w:r>
      <w:r w:rsidR="00730E86" w:rsidRPr="00DE5C02">
        <w:rPr>
          <w:i/>
          <w:lang w:eastAsia="zh-CN"/>
        </w:rPr>
        <w:t xml:space="preserve"> </w:t>
      </w:r>
      <w:r w:rsidR="004F3F7F" w:rsidRPr="00DE5C02">
        <w:rPr>
          <w:i/>
          <w:lang w:eastAsia="zh-CN"/>
        </w:rPr>
        <w:t>determining</w:t>
      </w:r>
      <w:r w:rsidR="00CA77F9" w:rsidRPr="00DE5C02">
        <w:rPr>
          <w:i/>
          <w:lang w:eastAsia="zh-CN"/>
        </w:rPr>
        <w:t xml:space="preserve"> where to target management </w:t>
      </w:r>
      <w:r w:rsidR="00730E86" w:rsidRPr="00DE5C02">
        <w:rPr>
          <w:i/>
          <w:lang w:eastAsia="zh-CN"/>
        </w:rPr>
        <w:t xml:space="preserve">to </w:t>
      </w:r>
      <w:r w:rsidR="00E56957" w:rsidRPr="00DE5C02">
        <w:rPr>
          <w:i/>
          <w:lang w:eastAsia="zh-CN"/>
        </w:rPr>
        <w:t>enhance natural capital and</w:t>
      </w:r>
      <w:r w:rsidR="009B4EC5" w:rsidRPr="00DE5C02">
        <w:rPr>
          <w:i/>
          <w:lang w:eastAsia="zh-CN"/>
        </w:rPr>
        <w:t xml:space="preserve"> the</w:t>
      </w:r>
      <w:r w:rsidR="00E56957" w:rsidRPr="00DE5C02">
        <w:rPr>
          <w:i/>
          <w:lang w:eastAsia="zh-CN"/>
        </w:rPr>
        <w:t xml:space="preserve"> ecosystem services</w:t>
      </w:r>
      <w:r w:rsidR="009B4EC5" w:rsidRPr="00DE5C02">
        <w:rPr>
          <w:i/>
          <w:lang w:eastAsia="zh-CN"/>
        </w:rPr>
        <w:t xml:space="preserve"> it provides</w:t>
      </w:r>
      <w:r w:rsidRPr="00DE5C02">
        <w:rPr>
          <w:i/>
          <w:lang w:eastAsia="zh-CN"/>
        </w:rPr>
        <w:t>.</w:t>
      </w:r>
      <w:r w:rsidR="002214AF" w:rsidRPr="00DE5C02">
        <w:rPr>
          <w:i/>
          <w:lang w:eastAsia="zh-CN"/>
        </w:rPr>
        <w:t xml:space="preserve"> </w:t>
      </w:r>
      <w:r w:rsidR="009B4EC5" w:rsidRPr="00DE5C02">
        <w:rPr>
          <w:i/>
          <w:lang w:eastAsia="zh-CN"/>
        </w:rPr>
        <w:t>A</w:t>
      </w:r>
      <w:r w:rsidRPr="00DE5C02">
        <w:rPr>
          <w:i/>
          <w:lang w:eastAsia="zh-CN"/>
        </w:rPr>
        <w:t xml:space="preserve">chieving </w:t>
      </w:r>
      <w:r w:rsidR="007A3DFD" w:rsidRPr="00DE5C02">
        <w:rPr>
          <w:i/>
          <w:lang w:eastAsia="zh-CN"/>
        </w:rPr>
        <w:t xml:space="preserve">this </w:t>
      </w:r>
      <w:r w:rsidR="00E56957" w:rsidRPr="00DE5C02">
        <w:rPr>
          <w:i/>
          <w:lang w:eastAsia="zh-CN"/>
        </w:rPr>
        <w:t>understanding</w:t>
      </w:r>
      <w:r w:rsidRPr="00DE5C02">
        <w:rPr>
          <w:i/>
          <w:lang w:eastAsia="zh-CN"/>
        </w:rPr>
        <w:t xml:space="preserve"> is difficult</w:t>
      </w:r>
      <w:r w:rsidR="009B4EC5" w:rsidRPr="00DE5C02">
        <w:rPr>
          <w:i/>
          <w:lang w:eastAsia="zh-CN"/>
        </w:rPr>
        <w:t>, given</w:t>
      </w:r>
      <w:r w:rsidRPr="00DE5C02">
        <w:rPr>
          <w:i/>
          <w:lang w:eastAsia="zh-CN"/>
        </w:rPr>
        <w:t xml:space="preserve"> </w:t>
      </w:r>
      <w:r w:rsidR="00DB24D6" w:rsidRPr="00DE5C02">
        <w:rPr>
          <w:i/>
          <w:lang w:eastAsia="zh-CN"/>
        </w:rPr>
        <w:t xml:space="preserve">that </w:t>
      </w:r>
      <w:r w:rsidRPr="00DE5C02">
        <w:rPr>
          <w:i/>
          <w:lang w:eastAsia="zh-CN"/>
        </w:rPr>
        <w:t>the effect</w:t>
      </w:r>
      <w:r w:rsidR="00CA77F9" w:rsidRPr="00DE5C02">
        <w:rPr>
          <w:i/>
          <w:lang w:eastAsia="zh-CN"/>
        </w:rPr>
        <w:t>s</w:t>
      </w:r>
      <w:r w:rsidRPr="00DE5C02">
        <w:rPr>
          <w:i/>
          <w:lang w:eastAsia="zh-CN"/>
        </w:rPr>
        <w:t xml:space="preserve"> of most actions</w:t>
      </w:r>
      <w:r w:rsidR="002214AF" w:rsidRPr="00DE5C02">
        <w:rPr>
          <w:i/>
          <w:lang w:eastAsia="zh-CN"/>
        </w:rPr>
        <w:t xml:space="preserve"> vary according to wider environmental conditions</w:t>
      </w:r>
      <w:r w:rsidR="003D7598" w:rsidRPr="00DE5C02">
        <w:rPr>
          <w:i/>
          <w:lang w:eastAsia="zh-CN"/>
        </w:rPr>
        <w:t>;</w:t>
      </w:r>
      <w:r w:rsidR="00611407" w:rsidRPr="00DE5C02">
        <w:rPr>
          <w:i/>
          <w:lang w:eastAsia="zh-CN"/>
        </w:rPr>
        <w:t xml:space="preserve"> and</w:t>
      </w:r>
      <w:r w:rsidR="002214AF" w:rsidRPr="00DE5C02">
        <w:rPr>
          <w:i/>
          <w:lang w:eastAsia="zh-CN"/>
        </w:rPr>
        <w:t xml:space="preserve"> </w:t>
      </w:r>
      <w:r w:rsidR="00E56957" w:rsidRPr="00DE5C02">
        <w:rPr>
          <w:i/>
          <w:lang w:eastAsia="zh-CN"/>
        </w:rPr>
        <w:t xml:space="preserve">this context dependency is </w:t>
      </w:r>
      <w:r w:rsidR="002214AF" w:rsidRPr="00DE5C02">
        <w:rPr>
          <w:i/>
          <w:lang w:eastAsia="zh-CN"/>
        </w:rPr>
        <w:t xml:space="preserve">typically </w:t>
      </w:r>
      <w:r w:rsidR="00A425A0" w:rsidRPr="00DE5C02">
        <w:rPr>
          <w:i/>
          <w:lang w:eastAsia="zh-CN"/>
        </w:rPr>
        <w:t>poorly understood</w:t>
      </w:r>
      <w:r w:rsidRPr="00DE5C02">
        <w:rPr>
          <w:i/>
          <w:lang w:eastAsia="zh-CN"/>
        </w:rPr>
        <w:t xml:space="preserve">. </w:t>
      </w:r>
      <w:r w:rsidR="00E56957" w:rsidRPr="00DE5C02">
        <w:rPr>
          <w:i/>
          <w:lang w:eastAsia="zh-CN"/>
        </w:rPr>
        <w:t>Here, we describe</w:t>
      </w:r>
      <w:r w:rsidR="00BC18E2" w:rsidRPr="00DE5C02">
        <w:rPr>
          <w:i/>
          <w:lang w:eastAsia="zh-CN"/>
        </w:rPr>
        <w:t xml:space="preserve"> </w:t>
      </w:r>
      <w:r w:rsidR="00AD649E" w:rsidRPr="00DE5C02">
        <w:rPr>
          <w:i/>
          <w:lang w:eastAsia="zh-CN"/>
        </w:rPr>
        <w:t>an</w:t>
      </w:r>
      <w:r w:rsidR="00E56957" w:rsidRPr="00DE5C02">
        <w:rPr>
          <w:i/>
          <w:lang w:eastAsia="zh-CN"/>
        </w:rPr>
        <w:t xml:space="preserve"> analytical framework that </w:t>
      </w:r>
      <w:r w:rsidR="009B4EC5" w:rsidRPr="00DE5C02">
        <w:rPr>
          <w:i/>
          <w:lang w:eastAsia="zh-CN"/>
        </w:rPr>
        <w:t>helps</w:t>
      </w:r>
      <w:r w:rsidR="00E56957" w:rsidRPr="00DE5C02">
        <w:rPr>
          <w:i/>
          <w:lang w:eastAsia="zh-CN"/>
        </w:rPr>
        <w:t xml:space="preserve"> meet this challenge by identifying both</w:t>
      </w:r>
      <w:r w:rsidR="00730E86" w:rsidRPr="00DE5C02">
        <w:rPr>
          <w:i/>
          <w:lang w:eastAsia="zh-CN"/>
        </w:rPr>
        <w:t xml:space="preserve"> ‘</w:t>
      </w:r>
      <w:r w:rsidR="009B4EC5" w:rsidRPr="00DE5C02">
        <w:rPr>
          <w:i/>
          <w:iCs/>
          <w:lang w:eastAsia="zh-CN"/>
        </w:rPr>
        <w:t>why</w:t>
      </w:r>
      <w:r w:rsidR="009B4EC5" w:rsidRPr="00DE5C02">
        <w:rPr>
          <w:i/>
          <w:lang w:eastAsia="zh-CN"/>
        </w:rPr>
        <w:t xml:space="preserve">’ </w:t>
      </w:r>
      <w:r w:rsidR="00730E86" w:rsidRPr="00DE5C02">
        <w:rPr>
          <w:i/>
          <w:lang w:eastAsia="zh-CN"/>
        </w:rPr>
        <w:t>and ‘</w:t>
      </w:r>
      <w:r w:rsidR="00730E86" w:rsidRPr="00DE5C02">
        <w:rPr>
          <w:i/>
          <w:iCs/>
          <w:lang w:eastAsia="zh-CN"/>
        </w:rPr>
        <w:t>where</w:t>
      </w:r>
      <w:r w:rsidR="00E56957" w:rsidRPr="00DE5C02">
        <w:rPr>
          <w:i/>
          <w:lang w:eastAsia="zh-CN"/>
        </w:rPr>
        <w:t xml:space="preserve">’ management actions are most effective for enhancing natural capital across large geographic areas. </w:t>
      </w:r>
      <w:r w:rsidR="00730E86" w:rsidRPr="00DE5C02">
        <w:rPr>
          <w:i/>
          <w:lang w:eastAsia="zh-CN"/>
        </w:rPr>
        <w:t xml:space="preserve"> </w:t>
      </w:r>
      <w:r w:rsidR="00E56957" w:rsidRPr="00DE5C02">
        <w:rPr>
          <w:i/>
          <w:lang w:eastAsia="zh-CN"/>
        </w:rPr>
        <w:t xml:space="preserve">We illustrate </w:t>
      </w:r>
      <w:r w:rsidR="00DB24D6" w:rsidRPr="00DE5C02">
        <w:rPr>
          <w:i/>
          <w:lang w:eastAsia="zh-CN"/>
        </w:rPr>
        <w:t xml:space="preserve">the framework’s </w:t>
      </w:r>
      <w:r w:rsidR="002214AF" w:rsidRPr="00DE5C02">
        <w:rPr>
          <w:i/>
          <w:lang w:eastAsia="zh-CN"/>
        </w:rPr>
        <w:t>generality</w:t>
      </w:r>
      <w:r w:rsidR="00E56957" w:rsidRPr="00DE5C02">
        <w:rPr>
          <w:i/>
          <w:lang w:eastAsia="zh-CN"/>
        </w:rPr>
        <w:t xml:space="preserve"> </w:t>
      </w:r>
      <w:r w:rsidR="007905B0" w:rsidRPr="00DE5C02">
        <w:rPr>
          <w:i/>
          <w:lang w:eastAsia="zh-CN"/>
        </w:rPr>
        <w:t xml:space="preserve">by applying it to </w:t>
      </w:r>
      <w:r w:rsidR="00E56957" w:rsidRPr="00DE5C02">
        <w:rPr>
          <w:i/>
          <w:lang w:eastAsia="zh-CN"/>
        </w:rPr>
        <w:t xml:space="preserve">two examples </w:t>
      </w:r>
      <w:r w:rsidR="009B4EC5" w:rsidRPr="00DE5C02">
        <w:rPr>
          <w:i/>
          <w:lang w:eastAsia="zh-CN"/>
        </w:rPr>
        <w:t>for</w:t>
      </w:r>
      <w:r w:rsidR="00E56957" w:rsidRPr="00DE5C02">
        <w:rPr>
          <w:i/>
          <w:lang w:eastAsia="zh-CN"/>
        </w:rPr>
        <w:t xml:space="preserve"> Britain</w:t>
      </w:r>
      <w:r w:rsidR="009B4EC5" w:rsidRPr="00DE5C02">
        <w:rPr>
          <w:i/>
          <w:lang w:eastAsia="zh-CN"/>
        </w:rPr>
        <w:t>:</w:t>
      </w:r>
      <w:r w:rsidR="00E56957" w:rsidRPr="00DE5C02">
        <w:rPr>
          <w:i/>
          <w:lang w:eastAsia="zh-CN"/>
        </w:rPr>
        <w:t xml:space="preserve"> pond water quality and invasion of forests by rhododendron.</w:t>
      </w:r>
    </w:p>
    <w:p w14:paraId="75D70BA0" w14:textId="2672D3A1" w:rsidR="00897750" w:rsidRPr="00DE5C02" w:rsidRDefault="00897750" w:rsidP="007905B0">
      <w:r w:rsidRPr="00DE5C02">
        <w:t>Natural capital</w:t>
      </w:r>
      <w:r w:rsidR="005F5531" w:rsidRPr="00DE5C02">
        <w:t xml:space="preserve"> </w:t>
      </w:r>
      <w:r w:rsidRPr="00DE5C02">
        <w:t>must be managed in a way that meets growing human demands for ecosystem services (ES), without comprising biodiversity and future ES provision</w:t>
      </w:r>
      <w:r w:rsidRPr="00DE5C02">
        <w:fldChar w:fldCharType="begin" w:fldLock="1"/>
      </w:r>
      <w:r w:rsidR="006821F3" w:rsidRPr="00DE5C02">
        <w:instrText>ADDIN CSL_CITATION {"citationItems":[{"id":"ITEM-1","itemData":{"DOI":"10.1016/j.cosust.2013.05.002","ISBN":"1877-3435","ISSN":"18773435","abstract":"Research on mitigating land use conflicts is characterized by a variety of projects from the global to various sub-global scales. These projects are aiming at disentangling feedbacks within changing socio-environmental systems to identify strategies for sustainable resource use. Our review shows that any global analysis benefits from systematic synthesis of sub-global research from various scales, while sub-global investigations require embedding in global scenarios. There is an urgent need for improved methods to identify trade-offs at all scales as scenario analysis frequently results in a discrete set of options. We argue that the use of optimization algorithms including Pareto-frontiers combined with scenario analysis can provide efficient options for sustainable land use from global to sub-global scales. © 2013 Elsevier B.V.","author":[{"dropping-particle":"","family":"Seppelt","given":"Ralf","non-dropping-particle":"","parse-names":false,"suffix":""},{"dropping-particle":"","family":"Lautenbach","given":"Sven","non-dropping-particle":"","parse-names":false,"suffix":""},{"dropping-particle":"","family":"Volk","given":"Martin","non-dropping-particle":"","parse-names":false,"suffix":""}],"container-title":"Current Opinion in Environmental Sustainability","id":"ITEM-1","issue":"5","issued":{"date-parts":[["2013"]]},"page":"458-463","publisher":"Elsevier B.V.","title":"Identifying trade-offs between ecosystem services, land use, and biodiversity: A plea for combining scenario analysis and optimization on different spatial scales","type":"article-journal","volume":"5"},"uris":["http://www.mendeley.com/documents/?uuid=20095984-281e-4632-a31e-6d2cae0efb56"]}],"mendeley":{"formattedCitation":"&lt;sup&gt;1&lt;/sup&gt;","plainTextFormattedCitation":"1","previouslyFormattedCitation":"&lt;sup&gt;1&lt;/sup&gt;"},"properties":{"noteIndex":0},"schema":"https://github.com/citation-style-language/schema/raw/master/csl-citation.json"}</w:instrText>
      </w:r>
      <w:r w:rsidRPr="00DE5C02">
        <w:fldChar w:fldCharType="separate"/>
      </w:r>
      <w:r w:rsidR="00F720F2" w:rsidRPr="00DE5C02">
        <w:rPr>
          <w:noProof/>
          <w:vertAlign w:val="superscript"/>
        </w:rPr>
        <w:t>1</w:t>
      </w:r>
      <w:r w:rsidRPr="00DE5C02">
        <w:fldChar w:fldCharType="end"/>
      </w:r>
      <w:r w:rsidRPr="00DE5C02">
        <w:t xml:space="preserve">. </w:t>
      </w:r>
      <w:r w:rsidR="00D319F7" w:rsidRPr="00DE5C02">
        <w:t>Here</w:t>
      </w:r>
      <w:r w:rsidR="000C2C53" w:rsidRPr="00DE5C02">
        <w:t xml:space="preserve">, we define natural capital as the elements of nature that directly and indirectly produce benefits to people, including ecosystems, species, water, land, minerals, the air and oceans, as well as </w:t>
      </w:r>
      <w:r w:rsidR="004F3F7F" w:rsidRPr="00DE5C02">
        <w:t xml:space="preserve">ecological </w:t>
      </w:r>
      <w:r w:rsidR="000C2C53" w:rsidRPr="00DE5C02">
        <w:rPr>
          <w:rFonts w:cs="Meridien-Roman"/>
        </w:rPr>
        <w:t xml:space="preserve">processes </w:t>
      </w:r>
      <w:r w:rsidR="000C2C53" w:rsidRPr="00DE5C02">
        <w:t>and functions</w:t>
      </w:r>
      <w:r w:rsidR="000C2C53" w:rsidRPr="00DE5C02">
        <w:fldChar w:fldCharType="begin" w:fldLock="1"/>
      </w:r>
      <w:r w:rsidR="006821F3" w:rsidRPr="00DE5C02">
        <w:instrText>ADDIN CSL_CITATION {"citationItems":[{"id":"ITEM-1","itemData":{"DOI":"10.1111/1365-2664.12431","ISBN":"1365-2664","ISSN":"13652664","PMID":"27563153","abstract":"Natural capital is essential for goods and services on which people depend. Yet pressures on the environment mean that natural capital assets are continuing to decline and degrade, putting such benefits at risk. Systematic monitoring of natural assets is a major challenge that could be both unaffordable and unmanageable without a way to focus efforts. Here we introduce a simple approach, based on the commonly used management tool of a risk register, to highlight natural assets whose condition places benefits at risk. We undertake a preliminary assessment using a risk register for natural capital assets in the UK based solely on existing information. The status and trends of natural capital assets are assessed using asset-benefit relationships for ten kinds of benefits (food, fibre (timber), energy, aesthetics, freshwater (quality), recreation, clean air, wildlife, hazard protection and equable climate) across eight broad habitat types in the UK based on three dimensions of natural capital within each of the habitat types (quality, quantity and spatial configuration). We estimate the status and trends of benefits relative to societal targets using existing regulatory limits and policy commitments, and allocate scores of high, medium or low risk to asset-benefit relationships that are both subject to management and of concern. The risk register approach reveals substantial gaps in knowledge about asset-benefit relationships which limit the scope and rigour of the assessment (especially for marine and urban habitats). Nevertheless, we find strong indications that certain assets (in freshwater, mountain, moors and heathland habitats) are at high risk in relation to their ability to sustain certain benefits (especially freshwater, wildlife and climate regulation). Synthesis and applications. With directed data gathering, especially to monitor trends, improve metrics related to asset-benefit relationships, and improve understanding of nonlinearities and thresholds, the natural capital risk register could provide a useful tool. If updated regularly, it could direct monitoring efforts, focus research and protect and manage those natural assets where benefits are at highest risk. With directed data gathering, especially to monitor trends, improve metrics related to asset-benefit relationships, and improve understanding of nonlinearities and thresholds, the natural capital risk register could provide a useful tool. If updated regularly, it could direct monitoring…","author":[{"dropping-particle":"","family":"Mace","given":"Georgina M.","non-dropping-particle":"","parse-names":false,"suffix":""},{"dropping-particle":"","family":"Hails","given":"Rosemary S.","non-dropping-particle":"","parse-names":false,"suffix":""},{"dropping-particle":"","family":"Cryle","given":"Philip","non-dropping-particle":"","parse-names":false,"suffix":""},{"dropping-particle":"","family":"Harlow","given":"Julian","non-dropping-particle":"","parse-names":false,"suffix":""},{"dropping-particle":"","family":"Clarke","given":"Stewart J.","non-dropping-particle":"","parse-names":false,"suffix":""}],"container-title":"Journal of Applied Ecology","id":"ITEM-1","issue":"3","issued":{"date-parts":[["2015"]]},"page":"641-653","title":"Towards a risk register for natural capital","type":"article-journal","volume":"52"},"uris":["http://www.mendeley.com/documents/?uuid=3712800e-6e8c-4494-bc60-6d2071452e34"]}],"mendeley":{"formattedCitation":"&lt;sup&gt;2&lt;/sup&gt;","plainTextFormattedCitation":"2","previouslyFormattedCitation":"&lt;sup&gt;2&lt;/sup&gt;"},"properties":{"noteIndex":0},"schema":"https://github.com/citation-style-language/schema/raw/master/csl-citation.json"}</w:instrText>
      </w:r>
      <w:r w:rsidR="000C2C53" w:rsidRPr="00DE5C02">
        <w:fldChar w:fldCharType="separate"/>
      </w:r>
      <w:r w:rsidR="00F720F2" w:rsidRPr="00DE5C02">
        <w:rPr>
          <w:noProof/>
          <w:vertAlign w:val="superscript"/>
        </w:rPr>
        <w:t>2</w:t>
      </w:r>
      <w:r w:rsidR="000C2C53" w:rsidRPr="00DE5C02">
        <w:fldChar w:fldCharType="end"/>
      </w:r>
      <w:r w:rsidR="000C2C53" w:rsidRPr="00DE5C02">
        <w:t xml:space="preserve">. </w:t>
      </w:r>
      <w:r w:rsidRPr="00DE5C02">
        <w:t>While humans cannot manage the biophysical and geological template of a region, we can manage natural capital locally, and to some extent alter its composition and configuration within landscapes to enhance the provision of ES such as food, fibre, clean water, aesthetic value, hazard protection and recreation</w:t>
      </w:r>
      <w:r w:rsidR="001D7E6E" w:rsidRPr="00DE5C02">
        <w:fldChar w:fldCharType="begin" w:fldLock="1"/>
      </w:r>
      <w:r w:rsidR="006821F3" w:rsidRPr="00DE5C02">
        <w:instrText>ADDIN CSL_CITATION {"citationItems":[{"id":"ITEM-1","itemData":{"DOI":"10.1111/conl.12242","ISBN":"1755-263X","ISSN":"1755263X","abstract":"Decision makers and land managers are increasingly required to manage landscapes for multiple purposes and benefits. However, despite progress in the development of frameworks linking natural capital to the provision of ecosystem services and human benefits there remains little guidance for how management interventions can improve ecosystem service provision. As ecosystem services cannot be directly influenced, interventions need to be directed toward natural capital stocks. We provide a framework that explicitly links natural capital stocks to ecosystem service provision and identify manageable attributes of natural capital stocks as the critical intervention point. A structured decision making process based on our framing of the ecosystem services concept can facilitate its application on the ground.","author":[{"dropping-particle":"","family":"Maseyk","given":"Fleur J.F.","non-dropping-particle":"","parse-names":false,"suffix":""},{"dropping-particle":"","family":"Mackay","given":"Alec D.","non-dropping-particle":"","parse-names":false,"suffix":""},{"dropping-particle":"","family":"Possingham","given":"Hugh P.","non-dropping-particle":"","parse-names":false,"suffix":""},{"dropping-particle":"","family":"Dominati","given":"Estelle J.","non-dropping-particle":"","parse-names":false,"suffix":""},{"dropping-particle":"","family":"Buckley","given":"Yvonne M.","non-dropping-particle":"","parse-names":false,"suffix":""}],"container-title":"Conservation Letters","id":"ITEM-1","issue":"2","issued":{"date-parts":[["2017"]]},"page":"211-220","title":"Managing Natural Capital Stocks for the Provision of Ecosystem Services","type":"article-journal","volume":"10"},"uris":["http://www.mendeley.com/documents/?uuid=b0d01341-3629-4cc1-b300-0fa69e3114ae"]}],"mendeley":{"formattedCitation":"&lt;sup&gt;3&lt;/sup&gt;","plainTextFormattedCitation":"3","previouslyFormattedCitation":"&lt;sup&gt;3&lt;/sup&gt;"},"properties":{"noteIndex":0},"schema":"https://github.com/citation-style-language/schema/raw/master/csl-citation.json"}</w:instrText>
      </w:r>
      <w:r w:rsidR="001D7E6E" w:rsidRPr="00DE5C02">
        <w:fldChar w:fldCharType="separate"/>
      </w:r>
      <w:r w:rsidR="0055380E" w:rsidRPr="00DE5C02">
        <w:rPr>
          <w:noProof/>
          <w:vertAlign w:val="superscript"/>
        </w:rPr>
        <w:t>3</w:t>
      </w:r>
      <w:r w:rsidR="001D7E6E" w:rsidRPr="00DE5C02">
        <w:fldChar w:fldCharType="end"/>
      </w:r>
      <w:r w:rsidRPr="00DE5C02">
        <w:t xml:space="preserve">. However, despite </w:t>
      </w:r>
      <w:r w:rsidR="007905B0" w:rsidRPr="00DE5C02">
        <w:t>much</w:t>
      </w:r>
      <w:r w:rsidRPr="00DE5C02">
        <w:t xml:space="preserve"> progress </w:t>
      </w:r>
      <w:r w:rsidR="007905B0" w:rsidRPr="00DE5C02">
        <w:t>i</w:t>
      </w:r>
      <w:r w:rsidRPr="00DE5C02">
        <w:t>n recent decades, a clear understanding of how to manage natural capital sustainably has yet</w:t>
      </w:r>
      <w:r w:rsidR="00B416DC" w:rsidRPr="00DE5C02">
        <w:t xml:space="preserve"> to be achieved</w:t>
      </w:r>
      <w:r w:rsidRPr="00DE5C02">
        <w:t xml:space="preserve">. Much research has resulted in the impracticable conclusion that the effects of a given driver or management intervention on </w:t>
      </w:r>
      <w:r w:rsidR="000C2C53" w:rsidRPr="00DE5C02">
        <w:t xml:space="preserve">natural capital </w:t>
      </w:r>
      <w:r w:rsidRPr="00DE5C02">
        <w:t>are ‘context</w:t>
      </w:r>
      <w:r w:rsidR="00D319F7" w:rsidRPr="00DE5C02">
        <w:t>-</w:t>
      </w:r>
      <w:r w:rsidRPr="00DE5C02">
        <w:t>dependent’</w:t>
      </w:r>
      <w:r w:rsidR="00CC1DE8" w:rsidRPr="00DE5C02">
        <w:t xml:space="preserve">, meaning that effects </w:t>
      </w:r>
      <w:r w:rsidR="006377AB" w:rsidRPr="00DE5C02">
        <w:t>vary according to</w:t>
      </w:r>
      <w:r w:rsidR="00CC1DE8" w:rsidRPr="00DE5C02">
        <w:t xml:space="preserve"> location </w:t>
      </w:r>
      <w:r w:rsidR="006377AB" w:rsidRPr="00DE5C02">
        <w:t>and</w:t>
      </w:r>
      <w:r w:rsidR="00CC1DE8" w:rsidRPr="00DE5C02">
        <w:t xml:space="preserve"> scale</w:t>
      </w:r>
      <w:r w:rsidR="006377AB" w:rsidRPr="00DE5C02">
        <w:t xml:space="preserve"> of study</w:t>
      </w:r>
      <w:r w:rsidRPr="00DE5C02">
        <w:t xml:space="preserve">. Context </w:t>
      </w:r>
      <w:r w:rsidR="00663C6D" w:rsidRPr="00DE5C02">
        <w:t xml:space="preserve">dependency </w:t>
      </w:r>
      <w:r w:rsidRPr="00DE5C02">
        <w:t xml:space="preserve">results from the </w:t>
      </w:r>
      <w:r w:rsidR="00A425A0" w:rsidRPr="00DE5C02">
        <w:t>synergistic and  antagonistic</w:t>
      </w:r>
      <w:r w:rsidR="00CE2E0B" w:rsidRPr="00DE5C02">
        <w:t xml:space="preserve"> </w:t>
      </w:r>
      <w:r w:rsidRPr="00DE5C02">
        <w:t xml:space="preserve">interactions among multiple </w:t>
      </w:r>
      <w:r w:rsidR="008B32AE" w:rsidRPr="00DE5C02">
        <w:t xml:space="preserve">environmental </w:t>
      </w:r>
      <w:r w:rsidRPr="00DE5C02">
        <w:t>drivers</w:t>
      </w:r>
      <w:r w:rsidR="00AD478D" w:rsidRPr="00DE5C02">
        <w:t xml:space="preserve"> across multiple spatial scales</w:t>
      </w:r>
      <w:r w:rsidRPr="00DE5C02">
        <w:fldChar w:fldCharType="begin" w:fldLock="1"/>
      </w:r>
      <w:r w:rsidR="006821F3" w:rsidRPr="00DE5C02">
        <w:instrText>ADDIN CSL_CITATION {"citationItems":[{"id":"ITEM-1","itemData":{"DOI":"10.1111/j.1461-0248.2008.01243.x","ISBN":"1461-0248","ISSN":"1461023X","PMID":"18785986","abstract":"There is increasing concern that multiple drivers of ecological change will interact synergistically to accelerate biodiversity loss. However, the prevalence and magnitude of these interactions remain one of the largest uncertainties in projections of future ecological change. We address this uncertainty by performing a meta-analysis of 112 published factorial experiments that evaluated the impacts of multiple stressors on animal mortality in freshwater, marine and terrestrial communities. We found that, on average, mortalities from the combined action of two stressors were not synergistic and this result was consistent across studies investigating different stressors, study organisms and life-history stages. Furthermore, only one-third of relevant experiments displayed truly synergistic effects, which does not support the prevailing ecological paradigm that synergies are rampant. However, in more than three-quarters of relevant experiments, the outcome of multiple stressor interactions was non-additive (i.e. synergies or antagonisms), suggesting that ecological surprises may be more common than simple additive effects.","author":[{"dropping-particle":"","family":"Darling","given":"Emily S.","non-dropping-particle":"","parse-names":false,"suffix":""},{"dropping-particle":"","family":"Côté","given":"Isabelle M.","non-dropping-particle":"","parse-names":false,"suffix":""}],"container-title":"Ecology Letters","id":"ITEM-1","issue":"12","issued":{"date-parts":[["2008"]]},"page":"1278-1286","title":"Quantifying the evidence for ecological synergies","type":"article-journal","volume":"11"},"uris":["http://www.mendeley.com/documents/?uuid=490ce10c-e6e9-4f1b-b2df-b0827d06dab8"]}],"mendeley":{"formattedCitation":"&lt;sup&gt;4&lt;/sup&gt;","plainTextFormattedCitation":"4","previouslyFormattedCitation":"&lt;sup&gt;4&lt;/sup&gt;"},"properties":{"noteIndex":0},"schema":"https://github.com/citation-style-language/schema/raw/master/csl-citation.json"}</w:instrText>
      </w:r>
      <w:r w:rsidRPr="00DE5C02">
        <w:fldChar w:fldCharType="separate"/>
      </w:r>
      <w:r w:rsidR="001D7E6E" w:rsidRPr="00DE5C02">
        <w:rPr>
          <w:noProof/>
          <w:vertAlign w:val="superscript"/>
        </w:rPr>
        <w:t>4</w:t>
      </w:r>
      <w:r w:rsidRPr="00DE5C02">
        <w:fldChar w:fldCharType="end"/>
      </w:r>
      <w:r w:rsidR="007905B0" w:rsidRPr="00DE5C02">
        <w:t xml:space="preserve">; </w:t>
      </w:r>
      <w:r w:rsidR="00AD478D" w:rsidRPr="00DE5C02">
        <w:t xml:space="preserve"> so</w:t>
      </w:r>
      <w:r w:rsidR="00A425A0" w:rsidRPr="00DE5C02">
        <w:t>-</w:t>
      </w:r>
      <w:r w:rsidR="00AD478D" w:rsidRPr="00DE5C02">
        <w:t>called ‘cross-scale interactions’</w:t>
      </w:r>
      <w:r w:rsidRPr="00DE5C02">
        <w:fldChar w:fldCharType="begin" w:fldLock="1"/>
      </w:r>
      <w:r w:rsidR="006821F3" w:rsidRPr="00DE5C02">
        <w:instrText>ADDIN CSL_CITATION {"citationItems":[{"id":"ITEM-1","itemData":{"DOI":"doi:10.2307/1941447","ISBN":"0012-9658","ISSN":"00129658","PMID":"21252662","abstract":"It is argued that the problem of pattern and scale is the central problem in ecology, unifying population biology and ecosystems science, and marrying basic and applied ecology. Applied challenges, such as the prediction of the ecological causes and consequences of global climate change, require the interfacing of phenomena that occur on very different scales of space, time, and ecological organization. Furthermore, there is no single natural scale at which ecological phenomena should be studied; systems generally show characteristic variability on a range of spatial, temporal, and organizational scales. The observer imposes a perceptual bias, a filter through which the system is viewed. This has fundamental evolutionary significance, since every organism is an \"observer\" of the environment, and life history adaptations such as dispersal and dormancy alter the perceptual scales of the species, and the observed variability. It likewise has fundamental significance for our own study of ecological systems, since the patterns that are unique to any range of scales will have unique causes and biological consequences. The key to prediction and understanding lies in the elucidation of mechanisms underlying observed patterns. Typically, these mechanisms operate at different scales than those on which the patterns are observed; in some cases, the patterns must be understood as emerging from the collective behaviors of large ensembles of smaller scale units. In other cases, the pattern is imposed by larger scale constraints. Examination of such phenomena requires the study of how pattern and variability change with the scale of description, and the development of laws for simplification, aggregation, and scaling. Examples are given from the marine and terrestrial literatures.","author":[{"dropping-particle":"","family":"Levin","given":"Simon A","non-dropping-particle":"","parse-names":false,"suffix":""}],"container-title":"Ecology","id":"ITEM-1","issue":"6","issued":{"date-parts":[["1992"]]},"page":"1943-1967","title":"The Problem of Pattern and Scale in Ecology: The Robert H. MacArthur Award Lecture Author(s): Simon A. Levin Source:","type":"article-journal","volume":"73"},"uris":["http://www.mendeley.com/documents/?uuid=9ab74f3e-eb13-408b-8612-29465b706fe5"]}],"mendeley":{"formattedCitation":"&lt;sup&gt;5&lt;/sup&gt;","plainTextFormattedCitation":"5","previouslyFormattedCitation":"&lt;sup&gt;5&lt;/sup&gt;"},"properties":{"noteIndex":0},"schema":"https://github.com/citation-style-language/schema/raw/master/csl-citation.json"}</w:instrText>
      </w:r>
      <w:r w:rsidRPr="00DE5C02">
        <w:fldChar w:fldCharType="separate"/>
      </w:r>
      <w:r w:rsidR="001D7E6E" w:rsidRPr="00DE5C02">
        <w:rPr>
          <w:noProof/>
          <w:vertAlign w:val="superscript"/>
        </w:rPr>
        <w:t>5</w:t>
      </w:r>
      <w:r w:rsidRPr="00DE5C02">
        <w:fldChar w:fldCharType="end"/>
      </w:r>
      <w:r w:rsidR="00F02A58" w:rsidRPr="00DE5C02">
        <w:t>.</w:t>
      </w:r>
      <w:r w:rsidRPr="00DE5C02">
        <w:t xml:space="preserve"> Not understanding context dependency is problematic as it limits transferability</w:t>
      </w:r>
      <w:r w:rsidR="0035182C" w:rsidRPr="00DE5C02">
        <w:t>:</w:t>
      </w:r>
      <w:r w:rsidRPr="00DE5C02">
        <w:t xml:space="preserve"> our ability to borrow ecological knowledge or management policies from one </w:t>
      </w:r>
      <w:r w:rsidR="00D319F7" w:rsidRPr="00DE5C02">
        <w:t xml:space="preserve">location </w:t>
      </w:r>
      <w:r w:rsidRPr="00DE5C02">
        <w:t>and effectively apply them to another</w:t>
      </w:r>
      <w:r w:rsidR="007A3DFD" w:rsidRPr="00DE5C02">
        <w:t xml:space="preserve"> with a similar environmental context</w:t>
      </w:r>
      <w:r w:rsidRPr="00DE5C02">
        <w:t>.  It can lead to wasted resources if standardised intervention</w:t>
      </w:r>
      <w:r w:rsidR="00072C7E" w:rsidRPr="00DE5C02">
        <w:t>s</w:t>
      </w:r>
      <w:r w:rsidRPr="00DE5C02">
        <w:t xml:space="preserve"> </w:t>
      </w:r>
      <w:r w:rsidR="00072C7E" w:rsidRPr="00DE5C02">
        <w:t>are</w:t>
      </w:r>
      <w:r w:rsidRPr="00DE5C02">
        <w:t xml:space="preserve"> ineffectively prescribed across a range of contexts or</w:t>
      </w:r>
      <w:r w:rsidR="007905B0" w:rsidRPr="00DE5C02">
        <w:t>,</w:t>
      </w:r>
      <w:r w:rsidRPr="00DE5C02">
        <w:t xml:space="preserve"> worse still, may lead to unexpected or even perverse outcomes</w:t>
      </w:r>
      <w:r w:rsidRPr="00DE5C02">
        <w:fldChar w:fldCharType="begin" w:fldLock="1"/>
      </w:r>
      <w:r w:rsidR="006821F3" w:rsidRPr="00DE5C02">
        <w:instrText>ADDIN CSL_CITATION {"citationItems":[{"id":"ITEM-1","itemData":{"DOI":"10.1007/s10021-007-9055-6","ISBN":"1432-9840","ISSN":"14329840","abstract":"Abstract&amp;nbsp;&amp;nbsp;Cross–scale interactions refer to processes at one spatial or temporal scale interacting with processes at another scale to result in nonlinear dynamics with thresholds. These interactions change the pattern–process relationships across scales such that fine-scale processes can influence a broad spatial extent or a long time period, or broad-scale drivers can interact with fine-scale processes to determine system dynamics. Cross–scale interactions are increasing recognized as having important influences on ecosystem processes, yet they pose formidable challenges for understanding and forecasting ecosystem dynamics. In this introduction to the special feature, “Cross–scale interactions and pattern–process relationships”, we provide a synthetic framework for understanding the causes and consequences of cross–scale interactions. Our framework focuses on the importance of transfer processes and spatial heterogeneity at intermediate scales in linking fine- and broad-scale patterns and processes. Transfer processes and spatial heterogeneity can either amplify or attenuate system response to broad-scale drivers. Providing a framework to explain cross–scale interactions is an important step in improving our understanding and ability to predict the impacts of propagating events and to ameliorate these impacts through proactive measures.","author":[{"dropping-particle":"","family":"Peters","given":"Debra P C","non-dropping-particle":"","parse-names":false,"suffix":""},{"dropping-particle":"","family":"Bestelmeyer","given":"Brandon T.","non-dropping-particle":"","parse-names":false,"suffix":""},{"dropping-particle":"","family":"Turner","given":"Monica G.","non-dropping-particle":"","parse-names":false,"suffix":""}],"container-title":"Ecosystems","id":"ITEM-1","issue":"5","issued":{"date-parts":[["2007"]]},"page":"790-796","title":"Cross-scale interactions and changing pattern-process relationships: Consequences for system dynamics","type":"article-journal","volume":"10"},"uris":["http://www.mendeley.com/documents/?uuid=fe0c12be-3584-48cf-be71-495f7c5464e9"]}],"mendeley":{"formattedCitation":"&lt;sup&gt;6&lt;/sup&gt;","plainTextFormattedCitation":"6","previouslyFormattedCitation":"&lt;sup&gt;6&lt;/sup&gt;"},"properties":{"noteIndex":0},"schema":"https://github.com/citation-style-language/schema/raw/master/csl-citation.json"}</w:instrText>
      </w:r>
      <w:r w:rsidRPr="00DE5C02">
        <w:fldChar w:fldCharType="separate"/>
      </w:r>
      <w:r w:rsidR="001D7E6E" w:rsidRPr="00DE5C02">
        <w:rPr>
          <w:noProof/>
          <w:vertAlign w:val="superscript"/>
        </w:rPr>
        <w:t>6</w:t>
      </w:r>
      <w:r w:rsidRPr="00DE5C02">
        <w:fldChar w:fldCharType="end"/>
      </w:r>
      <w:r w:rsidRPr="00DE5C02">
        <w:t>.</w:t>
      </w:r>
    </w:p>
    <w:p w14:paraId="55E5F2E2" w14:textId="75B38E13" w:rsidR="00897750" w:rsidRPr="00DE5C02" w:rsidRDefault="004B1A87" w:rsidP="00766396">
      <w:r w:rsidRPr="00DE5C02">
        <w:t>S</w:t>
      </w:r>
      <w:r w:rsidR="00D61AE6" w:rsidRPr="00DE5C02">
        <w:t>tudies that value and map ES have proliferated in last decade</w:t>
      </w:r>
      <w:r w:rsidR="00D61AE6" w:rsidRPr="00DE5C02">
        <w:fldChar w:fldCharType="begin" w:fldLock="1"/>
      </w:r>
      <w:r w:rsidR="006821F3" w:rsidRPr="00DE5C02">
        <w:instrText>ADDIN CSL_CITATION {"citationItems":[{"id":"ITEM-1","itemData":{"DOI":"10.1111/1365-2664.12696","ISBN":"1365-2664","ISSN":"13652664","abstract":"* Quantification of ecosystem services (ES) is an important step in operationalizing the concept for management and decision-making. With the exponential increase in ES research, ES have become a ‘catch-all phrase’, which some suggest has led to a poorly defined, impractical and ambiguous concept. An overview of the methods used in ES quantification is needed to examine their scientific rigour and provide guidelines for selecting appropriate measures. * We present a systematic review of 405 peer-reviewed ES research papers to address the question: ‘Is the biophysical and socio-economic reality of ES adequately quantified? First, we considered whether ES measures are scientifically rigorous enough by considering four predefined criteria (the type of data used, quantification of uncertainty, validation done and data reported). Secondly, using a novel approach, we determined which part of the ES cascade was measured: the ecosystem property, function, service, benefit or value. * Our results showed that each of the 21 ES analysed had on average 24 different measures, which may indicate the complex reality of ES and/or suggest a potential lack of consensus on what constitutes an ES. We found that uncertainty is often not included and validation mostly missing. * When analysing which part(s) of the ES cascade each measure corresponded to, we found that for regulating ES, ecosystem properties and functions (ecological aspects) are more commonly quantified (67% of measures). Conversely for provisioning ES, benefits and values (socio-economic aspects) are more commonly quantified (68%). Cultural ES are predominantly quantified using scores (35%). * In conclusion, ES appear to be poorly quantified in many cases, as often only one side of the cascade is considered (either the ecological or socio-economic side) and oversimplified and variable indicators are often used. * Policy implications. This review provides a detailed overview of ecosystem services (ES) quantification (ranging from simple scores to advanced methods) with the aim to support future ES quantification and ultimately the successful application of the ES concept.","author":[{"dropping-particle":"","family":"Boerema","given":"Annelies","non-dropping-particle":"","parse-names":false,"suffix":""},{"dropping-particle":"","family":"Rebelo","given":"Alanna J.","non-dropping-particle":"","parse-names":false,"suffix":""},{"dropping-particle":"","family":"Bodi","given":"Merche B.","non-dropping-particle":"","parse-names":false,"suffix":""},{"dropping-particle":"","family":"Esler","given":"Karen J.","non-dropping-particle":"","parse-names":false,"suffix":""},{"dropping-particle":"","family":"Meire","given":"Patrick","non-dropping-particle":"","parse-names":false,"suffix":""}],"container-title":"Journal of Applied Ecology","id":"ITEM-1","issue":"2","issued":{"date-parts":[["2017"]]},"page":"358-370","title":"Are ecosystem services adequately quantified?","type":"article-journal","volume":"54"},"uris":["http://www.mendeley.com/documents/?uuid=a3ed0a48-d3ac-47d9-83e7-9d4a212dd79e"]}],"mendeley":{"formattedCitation":"&lt;sup&gt;7&lt;/sup&gt;","plainTextFormattedCitation":"7","previouslyFormattedCitation":"&lt;sup&gt;7&lt;/sup&gt;"},"properties":{"noteIndex":0},"schema":"https://github.com/citation-style-language/schema/raw/master/csl-citation.json"}</w:instrText>
      </w:r>
      <w:r w:rsidR="00D61AE6" w:rsidRPr="00DE5C02">
        <w:fldChar w:fldCharType="separate"/>
      </w:r>
      <w:r w:rsidR="001D7E6E" w:rsidRPr="00DE5C02">
        <w:rPr>
          <w:noProof/>
          <w:vertAlign w:val="superscript"/>
        </w:rPr>
        <w:t>7</w:t>
      </w:r>
      <w:r w:rsidR="00D61AE6" w:rsidRPr="00DE5C02">
        <w:fldChar w:fldCharType="end"/>
      </w:r>
      <w:r w:rsidR="00D61AE6" w:rsidRPr="00DE5C02">
        <w:t xml:space="preserve">, </w:t>
      </w:r>
      <w:r w:rsidR="00D80777" w:rsidRPr="00DE5C02">
        <w:t xml:space="preserve">usually with the stated aim of </w:t>
      </w:r>
      <w:r w:rsidR="00D61AE6" w:rsidRPr="00DE5C02">
        <w:t>guid</w:t>
      </w:r>
      <w:r w:rsidR="00D80777" w:rsidRPr="00DE5C02">
        <w:t>ing</w:t>
      </w:r>
      <w:r w:rsidR="00D61AE6" w:rsidRPr="00DE5C02">
        <w:t xml:space="preserve"> spatial planning and management</w:t>
      </w:r>
      <w:r w:rsidR="00D61AE6" w:rsidRPr="00DE5C02">
        <w:fldChar w:fldCharType="begin" w:fldLock="1"/>
      </w:r>
      <w:r w:rsidR="006821F3" w:rsidRPr="00DE5C02">
        <w:instrText>ADDIN CSL_CITATION {"citationItems":[{"id":"ITEM-1","itemData":{"DOI":"10.1016/j.ecoser.2012.06.004","ISBN":"2212-0416","ISSN":"22120416","PMID":"9966402727766844953","abstract":"Mainstreaming ecosystem services into policy and decision making is dependent on the availability of spatially explicit information on the state and trends of ecosystems and their services. In particular, the EU Biodiversity Strategy to 2020 addresses the need to account for ecosystem services through biophysical mapping and valuation. This paper reviews current mapping methods, identifies current knowledge gaps and provides the elements for a methodological framework for mapping and assessing ecosystems and their services at European scale. Current mapping methodologies go beyond purely land cover based assessments and include the use of primary data of ecosystem services, the use of functional traits to map ecosystem services and the development of models and ecological production functions. Additional research is needed to cover marine ecosystems and to include the resilience of ecosystems to environmental change in spatially explicit assessments. The ecosystem services cascade which connects ecosystems to human wellbeing is argued to provide a suitable, stepwise framework for mapping ecosystem services in order to support EU policies in a more effective way. We demonstrate the use of this framework for mapping using the water purification service as case. © 2012 Elsevier B.V.","author":[{"dropping-particle":"","family":"Maes","given":"Joachim","non-dropping-particle":"","parse-names":false,"suffix":""},{"dropping-particle":"","family":"Egoh","given":"Benis","non-dropping-particle":"","parse-names":false,"suffix":""},{"dropping-particle":"","family":"Willemen","given":"Louise","non-dropping-particle":"","parse-names":false,"suffix":""},{"dropping-particle":"","family":"Liquete","given":"Camino","non-dropping-particle":"","parse-names":false,"suffix":""},{"dropping-particle":"","family":"Vihervaara","given":"Petteri","non-dropping-particle":"","parse-names":false,"suffix":""},{"dropping-particle":"","family":"Schägner","given":"Jan Philipp","non-dropping-particle":"","parse-names":false,"suffix":""},{"dropping-particle":"","family":"Grizzetti","given":"Bruna","non-dropping-particle":"","parse-names":false,"suffix":""},{"dropping-particle":"","family":"Drakou","given":"Evangelia G.","non-dropping-particle":"","parse-names":false,"suffix":""},{"dropping-particle":"La","family":"Notte","given":"Alessandra","non-dropping-particle":"","parse-names":false,"suffix":""},{"dropping-particle":"","family":"Zulian","given":"Grazia","non-dropping-particle":"","parse-names":false,"suffix":""},{"dropping-particle":"","family":"Bouraoui","given":"Faycal","non-dropping-particle":"","parse-names":false,"suffix":""},{"dropping-particle":"","family":"Luisa Paracchini","given":"Maria","non-dropping-particle":"","parse-names":false,"suffix":""},{"dropping-particle":"","family":"Braat","given":"Leon","non-dropping-particle":"","parse-names":false,"suffix":""},{"dropping-particle":"","family":"Bidoglio","given":"Giovanni","non-dropping-particle":"","parse-names":false,"suffix":""}],"container-title":"Ecosystem Services","id":"ITEM-1","issue":"1","issued":{"date-parts":[["2012"]]},"page":"31-39","title":"Mapping ecosystem services for policy support and decision making in the European Union","type":"article-journal","volume":"1"},"uris":["http://www.mendeley.com/documents/?uuid=f8466d7b-f6e8-49ce-9931-12c92fe13ff0"]}],"mendeley":{"formattedCitation":"&lt;sup&gt;8&lt;/sup&gt;","plainTextFormattedCitation":"8","previouslyFormattedCitation":"&lt;sup&gt;8&lt;/sup&gt;"},"properties":{"noteIndex":0},"schema":"https://github.com/citation-style-language/schema/raw/master/csl-citation.json"}</w:instrText>
      </w:r>
      <w:r w:rsidR="00D61AE6" w:rsidRPr="00DE5C02">
        <w:fldChar w:fldCharType="separate"/>
      </w:r>
      <w:r w:rsidR="001D7E6E" w:rsidRPr="00DE5C02">
        <w:rPr>
          <w:noProof/>
          <w:vertAlign w:val="superscript"/>
        </w:rPr>
        <w:t>8</w:t>
      </w:r>
      <w:r w:rsidR="00D61AE6" w:rsidRPr="00DE5C02">
        <w:fldChar w:fldCharType="end"/>
      </w:r>
      <w:r w:rsidR="00D61AE6" w:rsidRPr="00DE5C02">
        <w:t xml:space="preserve">. </w:t>
      </w:r>
      <w:r w:rsidR="000E59B9" w:rsidRPr="00DE5C02">
        <w:t xml:space="preserve">However, maps of ES themselves tell us </w:t>
      </w:r>
      <w:r w:rsidR="0077683C" w:rsidRPr="00DE5C02">
        <w:t>only about the state of</w:t>
      </w:r>
      <w:r w:rsidR="000E59B9" w:rsidRPr="00DE5C02">
        <w:t xml:space="preserve"> </w:t>
      </w:r>
      <w:r w:rsidR="007C2EE3" w:rsidRPr="00DE5C02">
        <w:t>the natural capital that underpins their provision</w:t>
      </w:r>
      <w:r w:rsidR="000E59B9" w:rsidRPr="00DE5C02">
        <w:t xml:space="preserve">, </w:t>
      </w:r>
      <w:r w:rsidR="0077683C" w:rsidRPr="00DE5C02">
        <w:t xml:space="preserve">rather than </w:t>
      </w:r>
      <w:r w:rsidR="000E59B9" w:rsidRPr="00DE5C02">
        <w:t xml:space="preserve">how </w:t>
      </w:r>
      <w:r w:rsidR="007C2EE3" w:rsidRPr="00DE5C02">
        <w:t>it</w:t>
      </w:r>
      <w:r w:rsidR="000E59B9" w:rsidRPr="00DE5C02">
        <w:t xml:space="preserve"> </w:t>
      </w:r>
      <w:r w:rsidRPr="00DE5C02">
        <w:t>respond</w:t>
      </w:r>
      <w:r w:rsidR="007C2EE3" w:rsidRPr="00DE5C02">
        <w:t>s</w:t>
      </w:r>
      <w:r w:rsidR="000E59B9" w:rsidRPr="00DE5C02">
        <w:t xml:space="preserve"> to management</w:t>
      </w:r>
      <w:r w:rsidR="0055380E" w:rsidRPr="00DE5C02">
        <w:fldChar w:fldCharType="begin" w:fldLock="1"/>
      </w:r>
      <w:r w:rsidR="006821F3" w:rsidRPr="00DE5C02">
        <w:instrText>ADDIN CSL_CITATION {"citationItems":[{"id":"ITEM-1","itemData":{"DOI":"10.1111/conl.12242","ISBN":"1755-263X","ISSN":"1755263X","abstract":"Decision makers and land managers are increasingly required to manage landscapes for multiple purposes and benefits. However, despite progress in the development of frameworks linking natural capital to the provision of ecosystem services and human benefits there remains little guidance for how management interventions can improve ecosystem service provision. As ecosystem services cannot be directly influenced, interventions need to be directed toward natural capital stocks. We provide a framework that explicitly links natural capital stocks to ecosystem service provision and identify manageable attributes of natural capital stocks as the critical intervention point. A structured decision making process based on our framing of the ecosystem services concept can facilitate its application on the ground.","author":[{"dropping-particle":"","family":"Maseyk","given":"Fleur J.F.","non-dropping-particle":"","parse-names":false,"suffix":""},{"dropping-particle":"","family":"Mackay","given":"Alec D.","non-dropping-particle":"","parse-names":false,"suffix":""},{"dropping-particle":"","family":"Possingham","given":"Hugh P.","non-dropping-particle":"","parse-names":false,"suffix":""},{"dropping-particle":"","family":"Dominati","given":"Estelle J.","non-dropping-particle":"","parse-names":false,"suffix":""},{"dropping-particle":"","family":"Buckley","given":"Yvonne M.","non-dropping-particle":"","parse-names":false,"suffix":""}],"container-title":"Conservation Letters","id":"ITEM-1","issue":"2","issued":{"date-parts":[["2017"]]},"page":"211-220","title":"Managing Natural Capital Stocks for the Provision of Ecosystem Services","type":"article-journal","volume":"10"},"uris":["http://www.mendeley.com/documents/?uuid=b0d01341-3629-4cc1-b300-0fa69e3114ae"]}],"mendeley":{"formattedCitation":"&lt;sup&gt;3&lt;/sup&gt;","plainTextFormattedCitation":"3","previouslyFormattedCitation":"&lt;sup&gt;3&lt;/sup&gt;"},"properties":{"noteIndex":0},"schema":"https://github.com/citation-style-language/schema/raw/master/csl-citation.json"}</w:instrText>
      </w:r>
      <w:r w:rsidR="0055380E" w:rsidRPr="00DE5C02">
        <w:fldChar w:fldCharType="separate"/>
      </w:r>
      <w:r w:rsidR="0055380E" w:rsidRPr="00DE5C02">
        <w:rPr>
          <w:noProof/>
          <w:vertAlign w:val="superscript"/>
        </w:rPr>
        <w:t>3</w:t>
      </w:r>
      <w:r w:rsidR="0055380E" w:rsidRPr="00DE5C02">
        <w:fldChar w:fldCharType="end"/>
      </w:r>
      <w:r w:rsidR="000E59B9" w:rsidRPr="00DE5C02">
        <w:t xml:space="preserve">. </w:t>
      </w:r>
      <w:r w:rsidR="00F02A58" w:rsidRPr="00DE5C02">
        <w:t xml:space="preserve">Instead, </w:t>
      </w:r>
      <w:r w:rsidR="00D61AE6" w:rsidRPr="00DE5C02">
        <w:t xml:space="preserve">managing </w:t>
      </w:r>
      <w:r w:rsidR="00C529F7" w:rsidRPr="00DE5C02">
        <w:t xml:space="preserve">natural capital </w:t>
      </w:r>
      <w:r w:rsidR="000E59B9" w:rsidRPr="00DE5C02">
        <w:t xml:space="preserve">and </w:t>
      </w:r>
      <w:r w:rsidR="00C529F7" w:rsidRPr="00DE5C02">
        <w:t xml:space="preserve">ES </w:t>
      </w:r>
      <w:r w:rsidR="00D61AE6" w:rsidRPr="00DE5C02">
        <w:t xml:space="preserve">sustainably requires an understanding of how changes in key </w:t>
      </w:r>
      <w:r w:rsidR="00003479" w:rsidRPr="00DE5C02">
        <w:t xml:space="preserve">predictors (‘drivers’) </w:t>
      </w:r>
      <w:r w:rsidR="00D61AE6" w:rsidRPr="00DE5C02">
        <w:t xml:space="preserve">acting at local and landscape scales affect </w:t>
      </w:r>
      <w:r w:rsidR="00003479" w:rsidRPr="00DE5C02">
        <w:t xml:space="preserve">natural capital. </w:t>
      </w:r>
      <w:r w:rsidR="00897750" w:rsidRPr="00DE5C02">
        <w:t xml:space="preserve">In other words, </w:t>
      </w:r>
      <w:r w:rsidR="000927C2" w:rsidRPr="00DE5C02">
        <w:t xml:space="preserve">sustainable management of natural capital to </w:t>
      </w:r>
      <w:r w:rsidR="000D0355" w:rsidRPr="00DE5C02">
        <w:t>enhance</w:t>
      </w:r>
      <w:r w:rsidR="000927C2" w:rsidRPr="00DE5C02">
        <w:t xml:space="preserve"> the </w:t>
      </w:r>
      <w:r w:rsidR="004F3F7F" w:rsidRPr="00DE5C02">
        <w:t xml:space="preserve">desired </w:t>
      </w:r>
      <w:r w:rsidR="000927C2" w:rsidRPr="00DE5C02">
        <w:t xml:space="preserve">ES does </w:t>
      </w:r>
      <w:r w:rsidR="000927C2" w:rsidRPr="00DE5C02">
        <w:rPr>
          <w:i/>
          <w:iCs/>
        </w:rPr>
        <w:t>not</w:t>
      </w:r>
      <w:r w:rsidR="000927C2" w:rsidRPr="00DE5C02">
        <w:t xml:space="preserve"> require us to </w:t>
      </w:r>
      <w:r w:rsidR="00072C7E" w:rsidRPr="00DE5C02">
        <w:t>characterise</w:t>
      </w:r>
      <w:r w:rsidR="000927C2" w:rsidRPr="00DE5C02">
        <w:t xml:space="preserve"> the </w:t>
      </w:r>
      <w:r w:rsidR="00072C7E" w:rsidRPr="00DE5C02">
        <w:t xml:space="preserve">context dependent </w:t>
      </w:r>
      <w:r w:rsidR="000927C2" w:rsidRPr="00DE5C02">
        <w:t xml:space="preserve">distributions of ES </w:t>
      </w:r>
      <w:r w:rsidR="000D0355" w:rsidRPr="00DE5C02">
        <w:t>values</w:t>
      </w:r>
      <w:r w:rsidR="000927C2" w:rsidRPr="00DE5C02">
        <w:t>, but rather why</w:t>
      </w:r>
      <w:r w:rsidR="00CC4F14" w:rsidRPr="00DE5C02">
        <w:t xml:space="preserve"> the responses of </w:t>
      </w:r>
      <w:r w:rsidR="00CC4F14" w:rsidRPr="00DE5C02">
        <w:rPr>
          <w:i/>
          <w:iCs/>
        </w:rPr>
        <w:t>manageable aspects of natural capital</w:t>
      </w:r>
      <w:r w:rsidR="00D97E4D" w:rsidRPr="00DE5C02">
        <w:rPr>
          <w:i/>
          <w:iCs/>
        </w:rPr>
        <w:fldChar w:fldCharType="begin" w:fldLock="1"/>
      </w:r>
      <w:r w:rsidR="006821F3" w:rsidRPr="00DE5C02">
        <w:rPr>
          <w:i/>
          <w:iCs/>
        </w:rPr>
        <w:instrText>ADDIN CSL_CITATION {"citationItems":[{"id":"ITEM-1","itemData":{"DOI":"10.1111/conl.12242","ISBN":"1755-263X","ISSN":"1755263X","abstract":"Decision makers and land managers are increasingly required to manage landscapes for multiple purposes and benefits. However, despite progress in the development of frameworks linking natural capital to the provision of ecosystem services and human benefits there remains little guidance for how management interventions can improve ecosystem service provision. As ecosystem services cannot be directly influenced, interventions need to be directed toward natural capital stocks. We provide a framework that explicitly links natural capital stocks to ecosystem service provision and identify manageable attributes of natural capital stocks as the critical intervention point. A structured decision making process based on our framing of the ecosystem services concept can facilitate its application on the ground.","author":[{"dropping-particle":"","family":"Maseyk","given":"Fleur J.F.","non-dropping-particle":"","parse-names":false,"suffix":""},{"dropping-particle":"","family":"Mackay","given":"Alec D.","non-dropping-particle":"","parse-names":false,"suffix":""},{"dropping-particle":"","family":"Possingham","given":"Hugh P.","non-dropping-particle":"","parse-names":false,"suffix":""},{"dropping-particle":"","family":"Dominati","given":"Estelle J.","non-dropping-particle":"","parse-names":false,"suffix":""},{"dropping-particle":"","family":"Buckley","given":"Yvonne M.","non-dropping-particle":"","parse-names":false,"suffix":""}],"container-title":"Conservation Letters","id":"ITEM-1","issue":"2","issued":{"date-parts":[["2017"]]},"page":"211-220","title":"Managing Natural Capital Stocks for the Provision of Ecosystem Services","type":"article-journal","volume":"10"},"uris":["http://www.mendeley.com/documents/?uuid=b0d01341-3629-4cc1-b300-0fa69e3114ae"]}],"mendeley":{"formattedCitation":"&lt;sup&gt;3&lt;/sup&gt;","plainTextFormattedCitation":"3","previouslyFormattedCitation":"&lt;sup&gt;3&lt;/sup&gt;"},"properties":{"noteIndex":0},"schema":"https://github.com/citation-style-language/schema/raw/master/csl-citation.json"}</w:instrText>
      </w:r>
      <w:r w:rsidR="00D97E4D" w:rsidRPr="00DE5C02">
        <w:rPr>
          <w:i/>
          <w:iCs/>
        </w:rPr>
        <w:fldChar w:fldCharType="separate"/>
      </w:r>
      <w:r w:rsidR="00D97E4D" w:rsidRPr="00DE5C02">
        <w:rPr>
          <w:iCs/>
          <w:noProof/>
          <w:vertAlign w:val="superscript"/>
        </w:rPr>
        <w:t>3</w:t>
      </w:r>
      <w:r w:rsidR="00D97E4D" w:rsidRPr="00DE5C02">
        <w:rPr>
          <w:i/>
          <w:iCs/>
        </w:rPr>
        <w:fldChar w:fldCharType="end"/>
      </w:r>
      <w:r w:rsidR="00CC4F14" w:rsidRPr="00DE5C02">
        <w:t xml:space="preserve"> (hereafter ‘ecosystem responses’)</w:t>
      </w:r>
      <w:r w:rsidR="000927C2" w:rsidRPr="00DE5C02">
        <w:t xml:space="preserve"> </w:t>
      </w:r>
      <w:r w:rsidR="00CC4F14" w:rsidRPr="00DE5C02">
        <w:t>to</w:t>
      </w:r>
      <w:r w:rsidR="000D0355" w:rsidRPr="00DE5C02">
        <w:t xml:space="preserve"> key drivers </w:t>
      </w:r>
      <w:r w:rsidR="000927C2" w:rsidRPr="00DE5C02">
        <w:t xml:space="preserve">are context dependent. </w:t>
      </w:r>
      <w:r w:rsidR="00766396" w:rsidRPr="00DE5C02">
        <w:t xml:space="preserve">The </w:t>
      </w:r>
      <w:r w:rsidR="00D97E4D" w:rsidRPr="00DE5C02">
        <w:t>importance</w:t>
      </w:r>
      <w:r w:rsidR="00766396" w:rsidRPr="00DE5C02">
        <w:t xml:space="preserve"> of focusing on </w:t>
      </w:r>
      <w:r w:rsidR="00A801AF" w:rsidRPr="00DE5C02">
        <w:t xml:space="preserve">ES responses to </w:t>
      </w:r>
      <w:r w:rsidR="00766396" w:rsidRPr="00DE5C02">
        <w:t xml:space="preserve">manageable aspects of natural capital is </w:t>
      </w:r>
      <w:r w:rsidR="00D97E4D" w:rsidRPr="00DE5C02">
        <w:t>already recognised</w:t>
      </w:r>
      <w:r w:rsidR="00A801AF" w:rsidRPr="00DE5C02">
        <w:fldChar w:fldCharType="begin" w:fldLock="1"/>
      </w:r>
      <w:r w:rsidR="006821F3" w:rsidRPr="00DE5C02">
        <w:instrText>ADDIN CSL_CITATION {"citationItems":[{"id":"ITEM-1","itemData":{"DOI":"10.1111/ele.12389","ISBN":"1461-0248 (Electronic)\\r1461-023X (Linking)","ISSN":"14610248","PMID":"25394857","abstract":"Governments worldwide are recognising ecosystem services as an approach to address sustainability challenges. Decision-makers need credible and legitimate measurements of ecosystem services to evaluate decisions for trade-offs to make wise choices. Managers lack these measurements because of a data gap linking ecosystem characteristics to final ecosystem services. The dominant method to address the data gap is benefit transfer using ecological data from one location to estimate ecosystem services at other locations with similar land cover. However, benefit transfer is only valid once the data gap is adequately resolved. Disciplinary frames separating ecology from economics and policy have resulted in confusion on concepts and methods preventing progress on the data gap. In this study, we present a 10-step approach to unify concepts, methods and data from the disparate disciplines to offer guidance on overcoming the data gap. We suggest: (1) estimate ecosystem characteristics using biophysical models, (2) identify final ecosystem services using endpoints and (3) connect them using ecological production functions to quantify biophysical trade-offs. The guidance is strategic for public policy because analysts need to be: (1) realistic when setting priorities, (2) attentive to timelines to acquire relevant data, given resources and (3) responsive to the needs of decision-makers.","author":[{"dropping-particle":"","family":"Wong","given":"Christina P.","non-dropping-particle":"","parse-names":false,"suffix":""},{"dropping-particle":"","family":"Jiang","given":"Bo","non-dropping-particle":"","parse-names":false,"suffix":""},{"dropping-particle":"","family":"Kinzig","given":"Ann P.","non-dropping-particle":"","parse-names":false,"suffix":""},{"dropping-particle":"","family":"Lee","given":"Kai N.","non-dropping-particle":"","parse-names":false,"suffix":""},{"dropping-particle":"","family":"Ouyang","given":"Zhiyun","non-dropping-particle":"","parse-names":false,"suffix":""}],"container-title":"Ecology Letters","id":"ITEM-1","issue":"1","issued":{"date-parts":[["2015"]]},"page":"108-118","title":"Linking ecosystem characteristics to final ecosystem services for public policy","type":"article-journal","volume":"18"},"uris":["http://www.mendeley.com/documents/?uuid=6a573b81-c317-44bc-831b-01932105497f"]},{"id":"ITEM-2","itemData":{"DOI":"10.1111/conl.12242","ISBN":"1755-263X","ISSN":"1755263X","abstract":"Decision makers and land managers are increasingly required to manage landscapes for multiple purposes and benefits. However, despite progress in the development of frameworks linking natural capital to the provision of ecosystem services and human benefits there remains little guidance for how management interventions can improve ecosystem service provision. As ecosystem services cannot be directly influenced, interventions need to be directed toward natural capital stocks. We provide a framework that explicitly links natural capital stocks to ecosystem service provision and identify manageable attributes of natural capital stocks as the critical intervention point. A structured decision making process based on our framing of the ecosystem services concept can facilitate its application on the ground.","author":[{"dropping-particle":"","family":"Maseyk","given":"Fleur J.F.","non-dropping-particle":"","parse-names":false,"suffix":""},{"dropping-particle":"","family":"Mackay","given":"Alec D.","non-dropping-particle":"","parse-names":false,"suffix":""},{"dropping-particle":"","family":"Possingham","given":"Hugh P.","non-dropping-particle":"","parse-names":false,"suffix":""},{"dropping-particle":"","family":"Dominati","given":"Estelle J.","non-dropping-particle":"","parse-names":false,"suffix":""},{"dropping-particle":"","family":"Buckley","given":"Yvonne M.","non-dropping-particle":"","parse-names":false,"suffix":""}],"container-title":"Conservation Letters","id":"ITEM-2","issue":"2","issued":{"date-parts":[["2017"]]},"page":"211-220","title":"Managing Natural Capital Stocks for the Provision of Ecosystem Services","type":"article-journal","volume":"10"},"uris":["http://www.mendeley.com/documents/?uuid=b0d01341-3629-4cc1-b300-0fa69e3114ae"]}],"mendeley":{"formattedCitation":"&lt;sup&gt;3,9&lt;/sup&gt;","plainTextFormattedCitation":"3,9","previouslyFormattedCitation":"&lt;sup&gt;3,9&lt;/sup&gt;"},"properties":{"noteIndex":0},"schema":"https://github.com/citation-style-language/schema/raw/master/csl-citation.json"}</w:instrText>
      </w:r>
      <w:r w:rsidR="00A801AF" w:rsidRPr="00DE5C02">
        <w:fldChar w:fldCharType="separate"/>
      </w:r>
      <w:r w:rsidR="00A801AF" w:rsidRPr="00DE5C02">
        <w:rPr>
          <w:noProof/>
          <w:vertAlign w:val="superscript"/>
        </w:rPr>
        <w:t>3,9</w:t>
      </w:r>
      <w:r w:rsidR="00A801AF" w:rsidRPr="00DE5C02">
        <w:fldChar w:fldCharType="end"/>
      </w:r>
      <w:r w:rsidR="00A801AF" w:rsidRPr="00DE5C02">
        <w:t>,</w:t>
      </w:r>
      <w:r w:rsidR="00766396" w:rsidRPr="00DE5C02">
        <w:t xml:space="preserve"> </w:t>
      </w:r>
      <w:r w:rsidR="005D7435" w:rsidRPr="00DE5C02">
        <w:t>however how to</w:t>
      </w:r>
      <w:r w:rsidR="00766396" w:rsidRPr="00DE5C02">
        <w:t xml:space="preserve"> operationalize such an approach</w:t>
      </w:r>
      <w:r w:rsidR="005D7435" w:rsidRPr="00DE5C02">
        <w:t xml:space="preserve"> across large spatial extents remains a challenge</w:t>
      </w:r>
      <w:r w:rsidR="00766396" w:rsidRPr="00DE5C02">
        <w:t xml:space="preserve">. </w:t>
      </w:r>
      <w:r w:rsidR="00897750" w:rsidRPr="00DE5C02">
        <w:t>Here, we outline a generally applicable analytical framework that</w:t>
      </w:r>
      <w:r w:rsidR="00F02A58" w:rsidRPr="00DE5C02">
        <w:t xml:space="preserve"> achieves </w:t>
      </w:r>
      <w:r w:rsidR="008337AF" w:rsidRPr="00DE5C02">
        <w:t>this</w:t>
      </w:r>
      <w:r w:rsidR="000927C2" w:rsidRPr="00DE5C02">
        <w:t xml:space="preserve"> </w:t>
      </w:r>
      <w:r w:rsidR="00253566" w:rsidRPr="00DE5C02">
        <w:t xml:space="preserve">through </w:t>
      </w:r>
      <w:r w:rsidR="000927C2" w:rsidRPr="00DE5C02">
        <w:t>the creation</w:t>
      </w:r>
      <w:r w:rsidR="001565C0" w:rsidRPr="00DE5C02">
        <w:t xml:space="preserve"> of </w:t>
      </w:r>
      <w:r w:rsidR="00897750" w:rsidRPr="00DE5C02">
        <w:rPr>
          <w:lang w:eastAsia="zh-CN"/>
        </w:rPr>
        <w:t>‘</w:t>
      </w:r>
      <w:r w:rsidR="00897750" w:rsidRPr="00DE5C02">
        <w:rPr>
          <w:b/>
          <w:lang w:eastAsia="zh-CN"/>
        </w:rPr>
        <w:t>effect maps’</w:t>
      </w:r>
      <w:r w:rsidR="00897750" w:rsidRPr="00DE5C02">
        <w:rPr>
          <w:lang w:eastAsia="zh-CN"/>
        </w:rPr>
        <w:t xml:space="preserve"> that </w:t>
      </w:r>
      <w:r w:rsidR="000927C2" w:rsidRPr="00DE5C02">
        <w:rPr>
          <w:lang w:eastAsia="zh-CN"/>
        </w:rPr>
        <w:t xml:space="preserve">quantify how the effects of key </w:t>
      </w:r>
      <w:r w:rsidR="00897750" w:rsidRPr="00DE5C02">
        <w:rPr>
          <w:lang w:eastAsia="zh-CN"/>
        </w:rPr>
        <w:t>drivers o</w:t>
      </w:r>
      <w:r w:rsidR="000927C2" w:rsidRPr="00DE5C02">
        <w:rPr>
          <w:lang w:eastAsia="zh-CN"/>
        </w:rPr>
        <w:t>f</w:t>
      </w:r>
      <w:r w:rsidR="00897750" w:rsidRPr="00DE5C02">
        <w:rPr>
          <w:lang w:eastAsia="zh-CN"/>
        </w:rPr>
        <w:t xml:space="preserve"> ecosystem responses</w:t>
      </w:r>
      <w:r w:rsidR="00927333" w:rsidRPr="00DE5C02">
        <w:rPr>
          <w:lang w:eastAsia="zh-CN"/>
        </w:rPr>
        <w:t xml:space="preserve"> </w:t>
      </w:r>
      <w:r w:rsidR="000927C2" w:rsidRPr="00DE5C02">
        <w:rPr>
          <w:lang w:eastAsia="zh-CN"/>
        </w:rPr>
        <w:t xml:space="preserve">vary </w:t>
      </w:r>
      <w:r w:rsidR="00927333" w:rsidRPr="00DE5C02">
        <w:rPr>
          <w:lang w:eastAsia="zh-CN"/>
        </w:rPr>
        <w:t>across broad geographic extents</w:t>
      </w:r>
      <w:r w:rsidR="00897750" w:rsidRPr="00DE5C02">
        <w:rPr>
          <w:lang w:eastAsia="zh-CN"/>
        </w:rPr>
        <w:t xml:space="preserve">. </w:t>
      </w:r>
      <w:r w:rsidR="00897750" w:rsidRPr="00DE5C02">
        <w:t xml:space="preserve">In doing so, our framework enables </w:t>
      </w:r>
      <w:r w:rsidR="00AC04CA" w:rsidRPr="00DE5C02">
        <w:t xml:space="preserve">one </w:t>
      </w:r>
      <w:r w:rsidR="00897750" w:rsidRPr="00DE5C02">
        <w:t>to understand how ecological drivers</w:t>
      </w:r>
      <w:r w:rsidR="00927333" w:rsidRPr="00DE5C02">
        <w:t xml:space="preserve"> at multiple spatial scales</w:t>
      </w:r>
      <w:r w:rsidR="00897750" w:rsidRPr="00DE5C02">
        <w:t xml:space="preserve"> combine and interact to produce context dependency</w:t>
      </w:r>
      <w:r w:rsidR="00D80777" w:rsidRPr="00DE5C02">
        <w:t>. This</w:t>
      </w:r>
      <w:r w:rsidR="001565C0" w:rsidRPr="00DE5C02">
        <w:t xml:space="preserve"> </w:t>
      </w:r>
      <w:r w:rsidR="000927C2" w:rsidRPr="00DE5C02">
        <w:t>understan</w:t>
      </w:r>
      <w:r w:rsidR="00D80777" w:rsidRPr="00DE5C02">
        <w:t xml:space="preserve">ding </w:t>
      </w:r>
      <w:r w:rsidR="000927C2" w:rsidRPr="00DE5C02">
        <w:t xml:space="preserve">means </w:t>
      </w:r>
      <w:r w:rsidR="00D80777" w:rsidRPr="00DE5C02">
        <w:t xml:space="preserve">that these effect maps identify </w:t>
      </w:r>
      <w:r w:rsidR="00D80777" w:rsidRPr="00DE5C02">
        <w:rPr>
          <w:i/>
        </w:rPr>
        <w:t>where</w:t>
      </w:r>
      <w:r w:rsidR="00D80777" w:rsidRPr="00DE5C02">
        <w:t xml:space="preserve"> natural capital and ES </w:t>
      </w:r>
      <w:r w:rsidR="00D80777" w:rsidRPr="00DE5C02">
        <w:lastRenderedPageBreak/>
        <w:t>respond to particular drivers so that management can be efficiently targeted to appropriate contexts</w:t>
      </w:r>
      <w:r w:rsidR="00D80777" w:rsidRPr="00DE5C02">
        <w:fldChar w:fldCharType="begin" w:fldLock="1"/>
      </w:r>
      <w:r w:rsidR="006821F3" w:rsidRPr="00DE5C02">
        <w:instrText>ADDIN CSL_CITATION {"citationItems":[{"id":"ITEM-1","itemData":{"DOI":"10.1093/biosci/bix075","ISSN":"15253244","abstract":"Many decision-makers are looking to science to clarify how nature supports human well-being. Scientists' responses have typically focused on empirical models of the provision of ecosystem services (ES) and resulting decision-support tools. Although such tools have captured some of the complexities of ES, they can be difficult to adapt to new situations. Globally useful tools that predict the provision of multiple ES under different decision scenarios have proven challenging to develop. Questions from decision-makers and limitations of existing decision-support tools indicate three crucial research frontiers for incorporating cutting-edge ES science into decision-support tools: (1) understanding the complex dynamics of ES in space and time, (2) linking ES provision to human well-being, and (3) determining the potential for technology to substitute for or enhance ES. We explore these frontiers in-depth, explaining why each is important and how existing knowledge at their cutting edges can be incorporated to improve ES decision-making tools.","author":[{"dropping-particle":"","family":"Rieb","given":"Jesse T.","non-dropping-particle":"","parse-names":false,"suffix":""},{"dropping-particle":"","family":"Chaplin-Kramer","given":"Rebecca","non-dropping-particle":"","parse-names":false,"suffix":""},{"dropping-particle":"","family":"Daily","given":"Gretchen C.","non-dropping-particle":"","parse-names":false,"suffix":""},{"dropping-particle":"","family":"Armsworth","given":"Paul R.","non-dropping-particle":"","parse-names":false,"suffix":""},{"dropping-particle":"","family":"Böhning-Gaese","given":"Katrin","non-dropping-particle":"","parse-names":false,"suffix":""},{"dropping-particle":"","family":"Bonn","given":"Aletta","non-dropping-particle":"","parse-names":false,"suffix":""},{"dropping-particle":"","family":"Cumming","given":"Graeme S.","non-dropping-particle":"","parse-names":false,"suffix":""},{"dropping-particle":"","family":"Eigenbrod","given":"Felix","non-dropping-particle":"","parse-names":false,"suffix":""},{"dropping-particle":"","family":"Grimm","given":"Volker","non-dropping-particle":"","parse-names":false,"suffix":""},{"dropping-particle":"","family":"Jackson","given":"Bethanna M.","non-dropping-particle":"","parse-names":false,"suffix":""},{"dropping-particle":"","family":"Marques","given":"Alexandra","non-dropping-particle":"","parse-names":false,"suffix":""},{"dropping-particle":"","family":"Pattanayak","given":"Subhrendu K.","non-dropping-particle":"","parse-names":false,"suffix":""},{"dropping-particle":"","family":"Pereira","given":"Henrique M.","non-dropping-particle":"","parse-names":false,"suffix":""},{"dropping-particle":"","family":"Peterson","given":"Garry D.","non-dropping-particle":"","parse-names":false,"suffix":""},{"dropping-particle":"","family":"Ricketts","given":"Taylor H.","non-dropping-particle":"","parse-names":false,"suffix":""},{"dropping-particle":"","family":"Robinson","given":"Brian E.","non-dropping-particle":"","parse-names":false,"suffix":""},{"dropping-particle":"","family":"Schröter","given":"Matthias","non-dropping-particle":"","parse-names":false,"suffix":""},{"dropping-particle":"","family":"Schulte","given":"Lisa A.","non-dropping-particle":"","parse-names":false,"suffix":""},{"dropping-particle":"","family":"Seppelt","given":"Ralf","non-dropping-particle":"","parse-names":false,"suffix":""},{"dropping-particle":"","family":"Turner","given":"Monica G.","non-dropping-particle":"","parse-names":false,"suffix":""},{"dropping-particle":"","family":"Bennett","given":"Elena M.","non-dropping-particle":"","parse-names":false,"suffix":""}],"container-title":"BioScience","id":"ITEM-1","issue":"9","issued":{"date-parts":[["2017"]]},"page":"820-833","title":"When, Where, and How Nature Matters for Ecosystem Services: Challenges for the Next Generation of Ecosystem Service Models","type":"article-journal","volume":"67"},"uris":["http://www.mendeley.com/documents/?uuid=3c747272-8a2a-4013-8a35-3690d93bb6b2"]}],"mendeley":{"formattedCitation":"&lt;sup&gt;10&lt;/sup&gt;","plainTextFormattedCitation":"10","previouslyFormattedCitation":"&lt;sup&gt;10&lt;/sup&gt;"},"properties":{"noteIndex":0},"schema":"https://github.com/citation-style-language/schema/raw/master/csl-citation.json"}</w:instrText>
      </w:r>
      <w:r w:rsidR="00D80777" w:rsidRPr="00DE5C02">
        <w:fldChar w:fldCharType="separate"/>
      </w:r>
      <w:r w:rsidR="00A801AF" w:rsidRPr="00DE5C02">
        <w:rPr>
          <w:noProof/>
          <w:vertAlign w:val="superscript"/>
        </w:rPr>
        <w:t>10</w:t>
      </w:r>
      <w:r w:rsidR="00D80777" w:rsidRPr="00DE5C02">
        <w:fldChar w:fldCharType="end"/>
      </w:r>
      <w:r w:rsidR="00D80777" w:rsidRPr="00DE5C02">
        <w:t>.</w:t>
      </w:r>
      <w:r w:rsidR="001565C0" w:rsidRPr="00DE5C02">
        <w:t xml:space="preserve"> </w:t>
      </w:r>
    </w:p>
    <w:p w14:paraId="71A3A862" w14:textId="2E8A5B87" w:rsidR="00897750" w:rsidRPr="008A6D82" w:rsidRDefault="009B4EC5" w:rsidP="008A6D82">
      <w:pPr>
        <w:pStyle w:val="Heading2"/>
      </w:pPr>
      <w:bookmarkStart w:id="3" w:name="_Toc517421403"/>
      <w:bookmarkStart w:id="4" w:name="_Toc517431818"/>
      <w:r w:rsidRPr="008A6D82">
        <w:t>U</w:t>
      </w:r>
      <w:r w:rsidR="00897750" w:rsidRPr="008A6D82">
        <w:t>nderstanding context</w:t>
      </w:r>
      <w:r w:rsidR="00072C7E" w:rsidRPr="008A6D82">
        <w:t xml:space="preserve"> </w:t>
      </w:r>
      <w:r w:rsidR="00897750" w:rsidRPr="008A6D82">
        <w:t xml:space="preserve">dependency </w:t>
      </w:r>
      <w:bookmarkEnd w:id="3"/>
      <w:bookmarkEnd w:id="4"/>
    </w:p>
    <w:p w14:paraId="2E7FA11A" w14:textId="3CC81BA7" w:rsidR="00897750" w:rsidRPr="00DE5C02" w:rsidRDefault="00C57916" w:rsidP="00897750">
      <w:r w:rsidRPr="00DE5C02">
        <w:t>S</w:t>
      </w:r>
      <w:r w:rsidR="00897750" w:rsidRPr="00DE5C02">
        <w:rPr>
          <w:rFonts w:cstheme="majorBidi"/>
          <w:shd w:val="clear" w:color="auto" w:fill="FFFFFF"/>
        </w:rPr>
        <w:t xml:space="preserve">tudies that </w:t>
      </w:r>
      <w:r w:rsidR="005910D4" w:rsidRPr="00DE5C02">
        <w:rPr>
          <w:rFonts w:cstheme="majorBidi"/>
          <w:shd w:val="clear" w:color="auto" w:fill="FFFFFF"/>
        </w:rPr>
        <w:t xml:space="preserve">relate </w:t>
      </w:r>
      <w:r w:rsidRPr="00DE5C02">
        <w:rPr>
          <w:rFonts w:cstheme="majorBidi"/>
          <w:shd w:val="clear" w:color="auto" w:fill="FFFFFF"/>
        </w:rPr>
        <w:t xml:space="preserve">broad-extent </w:t>
      </w:r>
      <w:r w:rsidR="00897750" w:rsidRPr="00DE5C02">
        <w:rPr>
          <w:rFonts w:cstheme="majorBidi"/>
          <w:shd w:val="clear" w:color="auto" w:fill="FFFFFF"/>
        </w:rPr>
        <w:t xml:space="preserve">field measurements </w:t>
      </w:r>
      <w:r w:rsidRPr="00DE5C02" w:rsidDel="00C57916">
        <w:rPr>
          <w:rFonts w:cstheme="majorBidi"/>
          <w:shd w:val="clear" w:color="auto" w:fill="FFFFFF"/>
        </w:rPr>
        <w:t xml:space="preserve"> </w:t>
      </w:r>
      <w:r w:rsidR="00897750" w:rsidRPr="00DE5C02">
        <w:rPr>
          <w:rFonts w:cstheme="majorBidi"/>
          <w:shd w:val="clear" w:color="auto" w:fill="FFFFFF"/>
        </w:rPr>
        <w:t xml:space="preserve">to </w:t>
      </w:r>
      <w:r w:rsidR="005968AD" w:rsidRPr="00DE5C02">
        <w:rPr>
          <w:rFonts w:cstheme="majorBidi"/>
          <w:shd w:val="clear" w:color="auto" w:fill="FFFFFF"/>
        </w:rPr>
        <w:t xml:space="preserve">spatial </w:t>
      </w:r>
      <w:r w:rsidR="00897750" w:rsidRPr="00DE5C02">
        <w:rPr>
          <w:rFonts w:cstheme="majorBidi"/>
          <w:shd w:val="clear" w:color="auto" w:fill="FFFFFF"/>
        </w:rPr>
        <w:t xml:space="preserve">variation in </w:t>
      </w:r>
      <w:r w:rsidR="008B32AE" w:rsidRPr="00DE5C02">
        <w:rPr>
          <w:rFonts w:cstheme="majorBidi"/>
          <w:shd w:val="clear" w:color="auto" w:fill="FFFFFF"/>
        </w:rPr>
        <w:t xml:space="preserve">environmental </w:t>
      </w:r>
      <w:r w:rsidR="00897750" w:rsidRPr="00DE5C02">
        <w:rPr>
          <w:rFonts w:cstheme="majorBidi"/>
          <w:shd w:val="clear" w:color="auto" w:fill="FFFFFF"/>
        </w:rPr>
        <w:t xml:space="preserve">drivers are advocated </w:t>
      </w:r>
      <w:r w:rsidR="00072C7E" w:rsidRPr="00DE5C02">
        <w:rPr>
          <w:rFonts w:cstheme="majorBidi"/>
          <w:shd w:val="clear" w:color="auto" w:fill="FFFFFF"/>
        </w:rPr>
        <w:t>for</w:t>
      </w:r>
      <w:r w:rsidR="00897750" w:rsidRPr="00DE5C02">
        <w:rPr>
          <w:rFonts w:cstheme="majorBidi"/>
          <w:shd w:val="clear" w:color="auto" w:fill="FFFFFF"/>
        </w:rPr>
        <w:t xml:space="preserve"> </w:t>
      </w:r>
      <w:r w:rsidR="00E65ECD" w:rsidRPr="00DE5C02">
        <w:rPr>
          <w:rFonts w:cstheme="majorBidi"/>
          <w:shd w:val="clear" w:color="auto" w:fill="FFFFFF"/>
        </w:rPr>
        <w:t>identify</w:t>
      </w:r>
      <w:r w:rsidR="00072C7E" w:rsidRPr="00DE5C02">
        <w:rPr>
          <w:rFonts w:cstheme="majorBidi"/>
          <w:shd w:val="clear" w:color="auto" w:fill="FFFFFF"/>
        </w:rPr>
        <w:t>ing</w:t>
      </w:r>
      <w:r w:rsidR="00E65ECD" w:rsidRPr="00DE5C02">
        <w:rPr>
          <w:rFonts w:cstheme="majorBidi"/>
          <w:shd w:val="clear" w:color="auto" w:fill="FFFFFF"/>
        </w:rPr>
        <w:t xml:space="preserve"> cross-scale</w:t>
      </w:r>
      <w:r w:rsidR="00897750" w:rsidRPr="00DE5C02">
        <w:rPr>
          <w:rFonts w:cstheme="majorBidi"/>
          <w:shd w:val="clear" w:color="auto" w:fill="FFFFFF"/>
        </w:rPr>
        <w:t xml:space="preserve"> interactions</w:t>
      </w:r>
      <w:r w:rsidR="005968AD" w:rsidRPr="00DE5C02">
        <w:rPr>
          <w:rFonts w:cstheme="majorBidi"/>
          <w:shd w:val="clear" w:color="auto" w:fill="FFFFFF"/>
        </w:rPr>
        <w:t xml:space="preserve"> among drivers operating at regional, </w:t>
      </w:r>
      <w:r w:rsidR="0088037D" w:rsidRPr="00DE5C02">
        <w:rPr>
          <w:rFonts w:cstheme="majorBidi"/>
          <w:shd w:val="clear" w:color="auto" w:fill="FFFFFF"/>
        </w:rPr>
        <w:t>landscape</w:t>
      </w:r>
      <w:r w:rsidR="005968AD" w:rsidRPr="00DE5C02">
        <w:rPr>
          <w:rFonts w:cstheme="majorBidi"/>
          <w:shd w:val="clear" w:color="auto" w:fill="FFFFFF"/>
        </w:rPr>
        <w:t xml:space="preserve"> and local scales</w:t>
      </w:r>
      <w:r w:rsidR="002F3B21" w:rsidRPr="00DE5C02">
        <w:rPr>
          <w:rFonts w:cstheme="majorBidi"/>
          <w:shd w:val="clear" w:color="auto" w:fill="FFFFFF"/>
        </w:rPr>
        <w:fldChar w:fldCharType="begin" w:fldLock="1"/>
      </w:r>
      <w:r w:rsidR="006821F3" w:rsidRPr="00DE5C02">
        <w:rPr>
          <w:rFonts w:cstheme="majorBidi"/>
          <w:shd w:val="clear" w:color="auto" w:fill="FFFFFF"/>
        </w:rPr>
        <w:instrText>ADDIN CSL_CITATION {"citationItems":[{"id":"ITEM-1","itemData":{"DOI":"10.1890/120366","ISBN":"i1540-9295-12-1-65","ISSN":"15409295","abstract":"Ecologists are increasingly discovering that ecological processes are made up of components that are multi- scaled in space and time. Some of the most complex of these processes are cross-scale interactions (CSIs), which occur when components interact across scales. When undetected, such interactions may cause errors in extrap- olation from one region to another. CSIs, particularly those that include a regional scaled component, have not been systematically investigated or even reported because of the challenges of acquiring data at sufficiently broad spatial extents. We present an approach for quantifying CSIs and apply it to a case study investigating one such interaction, between local and regional scaled land-use drivers of lake phosphorus. Ultimately, our approach for investigating CSIs can serve as a basis for efforts to understand a wide variety of multi-scaled prob- lems such as climate change, land-use/land-cover change, and invasive species. Front","author":[{"dropping-particle":"","family":"Soranno","given":"Patricia A.","non-dropping-particle":"","parse-names":false,"suffix":""},{"dropping-particle":"","family":"Cheruvelil","given":"Kendra S.","non-dropping-particle":"","parse-names":false,"suffix":""},{"dropping-particle":"","family":"Bissell","given":"Edward G.","non-dropping-particle":"","parse-names":false,"suffix":""},{"dropping-particle":"","family":"Bremigan","given":"Mary T.","non-dropping-particle":"","parse-names":false,"suffix":""},{"dropping-particle":"","family":"Downing","given":"John A.","non-dropping-particle":"","parse-names":false,"suffix":""},{"dropping-particle":"","family":"Fergus","given":"Carol E.","non-dropping-particle":"","parse-names":false,"suffix":""},{"dropping-particle":"","family":"Filstrup","given":"Christopher T.","non-dropping-particle":"","parse-names":false,"suffix":""},{"dropping-particle":"","family":"Henry","given":"Emily N.","non-dropping-particle":"","parse-names":false,"suffix":""},{"dropping-particle":"","family":"Lottig","given":"Noah R.","non-dropping-particle":"","parse-names":false,"suffix":""},{"dropping-particle":"","family":"Stanley","given":"Emily H.","non-dropping-particle":"","parse-names":false,"suffix":""},{"dropping-particle":"","family":"Stow","given":"Craig A.","non-dropping-particle":"","parse-names":false,"suffix":""},{"dropping-particle":"","family":"Tan","given":"Pang Ning","non-dropping-particle":"","parse-names":false,"suffix":""},{"dropping-particle":"","family":"Wagner","given":"Tyler","non-dropping-particle":"","parse-names":false,"suffix":""},{"dropping-particle":"","family":"Webster","given":"Katherine E.","non-dropping-particle":"","parse-names":false,"suffix":""}],"container-title":"Frontiers in Ecology and the Environment","id":"ITEM-1","issue":"1","issued":{"date-parts":[["2014"]]},"page":"65-73","title":"Cross-scale interactions: Quantifying multi-scaled cause-effect relationships in macrosystems","type":"article-journal","volume":"12"},"uris":["http://www.mendeley.com/documents/?uuid=e8a79d65-7939-4b34-9cbd-8af1268ddf04"]}],"mendeley":{"formattedCitation":"&lt;sup&gt;11&lt;/sup&gt;","plainTextFormattedCitation":"11","previouslyFormattedCitation":"&lt;sup&gt;11&lt;/sup&gt;"},"properties":{"noteIndex":0},"schema":"https://github.com/citation-style-language/schema/raw/master/csl-citation.json"}</w:instrText>
      </w:r>
      <w:r w:rsidR="002F3B21" w:rsidRPr="00DE5C02">
        <w:rPr>
          <w:rFonts w:cstheme="majorBidi"/>
          <w:shd w:val="clear" w:color="auto" w:fill="FFFFFF"/>
        </w:rPr>
        <w:fldChar w:fldCharType="separate"/>
      </w:r>
      <w:r w:rsidR="00A801AF" w:rsidRPr="00DE5C02">
        <w:rPr>
          <w:rFonts w:cstheme="majorBidi"/>
          <w:noProof/>
          <w:shd w:val="clear" w:color="auto" w:fill="FFFFFF"/>
          <w:vertAlign w:val="superscript"/>
        </w:rPr>
        <w:t>11</w:t>
      </w:r>
      <w:r w:rsidR="002F3B21" w:rsidRPr="00DE5C02">
        <w:rPr>
          <w:rFonts w:cstheme="majorBidi"/>
          <w:shd w:val="clear" w:color="auto" w:fill="FFFFFF"/>
        </w:rPr>
        <w:fldChar w:fldCharType="end"/>
      </w:r>
      <w:r w:rsidR="00897750" w:rsidRPr="00DE5C02">
        <w:rPr>
          <w:rFonts w:cstheme="majorBidi"/>
          <w:shd w:val="clear" w:color="auto" w:fill="FFFFFF"/>
        </w:rPr>
        <w:t xml:space="preserve"> and their effects on ecosystem responses</w:t>
      </w:r>
      <w:r w:rsidR="00897750" w:rsidRPr="00DE5C02">
        <w:rPr>
          <w:rFonts w:cstheme="majorBidi"/>
          <w:shd w:val="clear" w:color="auto" w:fill="FFFFFF"/>
        </w:rPr>
        <w:fldChar w:fldCharType="begin" w:fldLock="1"/>
      </w:r>
      <w:r w:rsidR="006821F3" w:rsidRPr="00DE5C02">
        <w:rPr>
          <w:rFonts w:cstheme="majorBidi"/>
          <w:shd w:val="clear" w:color="auto" w:fill="FFFFFF"/>
        </w:rPr>
        <w:instrText>ADDIN CSL_CITATION {"citationItems":[{"id":"ITEM-1","itemData":{"DOI":"10.1002/wcc.271","abstract":"Global change drivers are known to interact in their effects on biodiversity, but much research to date ignores this complexity. As a consequence, there are problems in the attribution of biodiversity change to different drivers and, therefore, our ability to manage habitats and landscapes appropriately. Few studies explicitly acknowledge and account for interactive (i.e., nonadditive) effects of land use and climate change on biodiversity. One reason is that the mechanisms by which drivers interact are poorly understood. We evaluate such mechanisms, including interactions between demographic parameters, evolutionary trade-offs and synergies and threshold effects of population size and patch occupancy on population persistence. Other reasons for the lack of appropriate research are limited data availability and analytical issues in addressing interaction effects. We highlight the influence that attribution errors can have on biodiversity projections and discuss experimental designs and analytical tools suited to this challenge. Finally, we summarize the risks and opportunities provided by the existence of interaction effects. Risks include ineffective conservation management; but opportunities also arise, whereby the negative impacts of climate change on biodiversity can be reduced through appropriate land management as an adaptation measure. We hope that increasing the understanding of key mechanisms underlying interaction effects and discussing appropriate experimental and analytical designs for attribution will help researchers, policy makers, and conservation practitioners to better minimize risks and exploit opportunities provided by land use-climate change interactions. For further resources related to this article, please visit the WIREs website. Conflict of interest: The authors have declared no conflicts of interest for this article.","author":[{"dropping-particle":"","family":"Oliver","given":"Tom H","non-dropping-particle":"","parse-names":false,"suffix":""},{"dropping-particle":"","family":"Morecroft","given":"Mike D","non-dropping-particle":"","parse-names":false,"suffix":""}],"container-title":"WIREs Clim Change","id":"ITEM-1","issued":{"date-parts":[["2014"]]},"page":"n/a","title":"Interactions between climate change and land use change on biodiversity: attribution problems, risks, and opportunities","type":"article-journal"},"uris":["http://www.mendeley.com/documents/?uuid=989d0115-d510-4c4c-99e9-ae6808a7c9c6"]},{"id":"ITEM-2","itemData":{"DOI":"10.1007/s10980-012-9794-4","ISBN":"0921-2973","ISSN":"09212973","abstract":"Over the last decade we have seen an increased emphasis in environmental management and policies aimed at maintaining and restoring multiple ecosystem services at landscape scales. This emphasis has resulted from the recognition that management of specific environmental targets and ecosystem services requires an understanding of landscape processes and the spatial scales that maintain those targets and services. Moreover, we have become increasingly aware of the influence of broad-scale drivers such as climate change on landscape processes and the ecosystem services they support. Studies and assessments on the relative success of environmental policies and landscape designs in maintaining landscape processes and ecosystem services is mostly lacking. This likely reflects the relatively high cost of maintaining a commitment to implement and maintain monitoring programs that document responses of landscape processes and ecosystem services to different landscape policies and designs. However, we argue that there is considerable variation in natural and human-caused landscape pattern at local to continental scales and that this variation may facilitate analyses of how environmental targets and ecosystem services have responded to such patterns. Moreover, wall-to-wall spatial data on land cover and land use at national scales may permit characterization and mapping of different landscape pattern gradients. We discuss four broad and interrelated focus areas that should enhance our understanding of how landscape pattern influences ecosystem services: (1) characterizing and mapping landscape pattern gradients; (2) quantifying relationships between landscape patterns and environmental targets and ecosystem services, (3) evaluating landscape patterns with regards to multiple ecosystem services, and (4) applying adaptive management concepts to improve the effectiveness of specific landscape designs in sustaining ecosystem services. We discuss opportunities as well as challenges in each of these four areas. We believe that this agenda could lead to spatially explicit solutions in managing a range of environmental targets and ecosystem services. Spatially explicit options are critical in managing and protecting landscapes, especially given that communities and organizations are often limited in their capacity to make changes at landscape scales. The issues and potential solutions discussed in this paper expand upon the call by Nassauer and Opdam (Landscape Ecol 23:63…","author":[{"dropping-particle":"","family":"Jones","given":"K. Bruce","non-dropping-particle":"","parse-names":false,"suffix":""},{"dropping-particle":"","family":"Zurlini","given":"Giovanni","non-dropping-particle":"","parse-names":false,"suffix":""},{"dropping-particle":"","family":"Kienast","given":"Felix","non-dropping-particle":"","parse-names":false,"suffix":""},{"dropping-particle":"","family":"Petrosillo","given":"Irene","non-dropping-particle":"","parse-names":false,"suffix":""},{"dropping-particle":"","family":"Edwards","given":"Thomas","non-dropping-particle":"","parse-names":false,"suffix":""},{"dropping-particle":"","family":"Wade","given":"Timothy G.","non-dropping-particle":"","parse-names":false,"suffix":""},{"dropping-particle":"","family":"Li","given":"Bai lian","non-dropping-particle":"","parse-names":false,"suffix":""},{"dropping-particle":"","family":"Zaccarelli","given":"Nicola","non-dropping-particle":"","parse-names":false,"suffix":""}],"container-title":"Landscape Ecology","id":"ITEM-2","issue":"6","issued":{"date-parts":[["2013"]]},"page":"1175-1192","title":"Informing landscape planning and design for sustaining ecosystem services from existing spatial patterns and knowledge","type":"article-journal","volume":"28"},"uris":["http://www.mendeley.com/documents/?uuid=62a85745-ad07-4afe-bb2d-3fd6e21a36b3"]}],"mendeley":{"formattedCitation":"&lt;sup&gt;12,13&lt;/sup&gt;","plainTextFormattedCitation":"12,13","previouslyFormattedCitation":"&lt;sup&gt;12,13&lt;/sup&gt;"},"properties":{"noteIndex":0},"schema":"https://github.com/citation-style-language/schema/raw/master/csl-citation.json"}</w:instrText>
      </w:r>
      <w:r w:rsidR="00897750" w:rsidRPr="00DE5C02">
        <w:rPr>
          <w:rFonts w:cstheme="majorBidi"/>
          <w:shd w:val="clear" w:color="auto" w:fill="FFFFFF"/>
        </w:rPr>
        <w:fldChar w:fldCharType="separate"/>
      </w:r>
      <w:r w:rsidR="00A801AF" w:rsidRPr="00DE5C02">
        <w:rPr>
          <w:rFonts w:cstheme="majorBidi"/>
          <w:noProof/>
          <w:shd w:val="clear" w:color="auto" w:fill="FFFFFF"/>
          <w:vertAlign w:val="superscript"/>
        </w:rPr>
        <w:t>12,13</w:t>
      </w:r>
      <w:r w:rsidR="00897750" w:rsidRPr="00DE5C02">
        <w:rPr>
          <w:rFonts w:cstheme="majorBidi"/>
          <w:shd w:val="clear" w:color="auto" w:fill="FFFFFF"/>
        </w:rPr>
        <w:fldChar w:fldCharType="end"/>
      </w:r>
      <w:r w:rsidR="00897750" w:rsidRPr="00DE5C02">
        <w:rPr>
          <w:rFonts w:cstheme="majorBidi"/>
          <w:shd w:val="clear" w:color="auto" w:fill="FFFFFF"/>
        </w:rPr>
        <w:t>.</w:t>
      </w:r>
      <w:r w:rsidR="00897750" w:rsidRPr="00DE5C02">
        <w:t xml:space="preserve"> Such studies are </w:t>
      </w:r>
      <w:r w:rsidR="00F8286C" w:rsidRPr="00DE5C02">
        <w:t xml:space="preserve">becoming </w:t>
      </w:r>
      <w:r w:rsidR="00897750" w:rsidRPr="00DE5C02">
        <w:t xml:space="preserve">increasingly possible </w:t>
      </w:r>
      <w:r w:rsidR="00897750" w:rsidRPr="00DE5C02">
        <w:rPr>
          <w:rFonts w:cstheme="majorBidi"/>
          <w:shd w:val="clear" w:color="auto" w:fill="FFFFFF"/>
        </w:rPr>
        <w:t xml:space="preserve">given the </w:t>
      </w:r>
      <w:r w:rsidR="00897750" w:rsidRPr="00DE5C02">
        <w:t>rising availability of high-resolution spatial data that often combines remote sensing, monitoring and census data over large extents, permitting better characterisation of landscape and regional drivers</w:t>
      </w:r>
      <w:r w:rsidR="00897750" w:rsidRPr="00DE5C02">
        <w:fldChar w:fldCharType="begin" w:fldLock="1"/>
      </w:r>
      <w:r w:rsidR="006821F3" w:rsidRPr="00DE5C02">
        <w:instrText>ADDIN CSL_CITATION {"citationItems":[{"id":"ITEM-1","itemData":{"DOI":"10.1007/s10980-012-9794-4","ISBN":"0921-2973","ISSN":"09212973","abstract":"Over the last decade we have seen an increased emphasis in environmental management and policies aimed at maintaining and restoring multiple ecosystem services at landscape scales. This emphasis has resulted from the recognition that management of specific environmental targets and ecosystem services requires an understanding of landscape processes and the spatial scales that maintain those targets and services. Moreover, we have become increasingly aware of the influence of broad-scale drivers such as climate change on landscape processes and the ecosystem services they support. Studies and assessments on the relative success of environmental policies and landscape designs in maintaining landscape processes and ecosystem services is mostly lacking. This likely reflects the relatively high cost of maintaining a commitment to implement and maintain monitoring programs that document responses of landscape processes and ecosystem services to different landscape policies and designs. However, we argue that there is considerable variation in natural and human-caused landscape pattern at local to continental scales and that this variation may facilitate analyses of how environmental targets and ecosystem services have responded to such patterns. Moreover, wall-to-wall spatial data on land cover and land use at national scales may permit characterization and mapping of different landscape pattern gradients. We discuss four broad and interrelated focus areas that should enhance our understanding of how landscape pattern influences ecosystem services: (1) characterizing and mapping landscape pattern gradients; (2) quantifying relationships between landscape patterns and environmental targets and ecosystem services, (3) evaluating landscape patterns with regards to multiple ecosystem services, and (4) applying adaptive management concepts to improve the effectiveness of specific landscape designs in sustaining ecosystem services. We discuss opportunities as well as challenges in each of these four areas. We believe that this agenda could lead to spatially explicit solutions in managing a range of environmental targets and ecosystem services. Spatially explicit options are critical in managing and protecting landscapes, especially given that communities and organizations are often limited in their capacity to make changes at landscape scales. The issues and potential solutions discussed in this paper expand upon the call by Nassauer and Opdam (Landscape Ecol 23:63…","author":[{"dropping-particle":"","family":"Jones","given":"K. Bruce","non-dropping-particle":"","parse-names":false,"suffix":""},{"dropping-particle":"","family":"Zurlini","given":"Giovanni","non-dropping-particle":"","parse-names":false,"suffix":""},{"dropping-particle":"","family":"Kienast","given":"Felix","non-dropping-particle":"","parse-names":false,"suffix":""},{"dropping-particle":"","family":"Petrosillo","given":"Irene","non-dropping-particle":"","parse-names":false,"suffix":""},{"dropping-particle":"","family":"Edwards","given":"Thomas","non-dropping-particle":"","parse-names":false,"suffix":""},{"dropping-particle":"","family":"Wade","given":"Timothy G.","non-dropping-particle":"","parse-names":false,"suffix":""},{"dropping-particle":"","family":"Li","given":"Bai lian","non-dropping-particle":"","parse-names":false,"suffix":""},{"dropping-particle":"","family":"Zaccarelli","given":"Nicola","non-dropping-particle":"","parse-names":false,"suffix":""}],"container-title":"Landscape Ecology","id":"ITEM-1","issue":"6","issued":{"date-parts":[["2013"]]},"page":"1175-1192","title":"Informing landscape planning and design for sustaining ecosystem services from existing spatial patterns and knowledge","type":"article-journal","volume":"28"},"uris":["http://www.mendeley.com/documents/?uuid=62a85745-ad07-4afe-bb2d-3fd6e21a36b3"]}],"mendeley":{"formattedCitation":"&lt;sup&gt;13&lt;/sup&gt;","plainTextFormattedCitation":"13","previouslyFormattedCitation":"&lt;sup&gt;13&lt;/sup&gt;"},"properties":{"noteIndex":0},"schema":"https://github.com/citation-style-language/schema/raw/master/csl-citation.json"}</w:instrText>
      </w:r>
      <w:r w:rsidR="00897750" w:rsidRPr="00DE5C02">
        <w:fldChar w:fldCharType="separate"/>
      </w:r>
      <w:r w:rsidR="00A801AF" w:rsidRPr="00DE5C02">
        <w:rPr>
          <w:noProof/>
          <w:vertAlign w:val="superscript"/>
        </w:rPr>
        <w:t>13</w:t>
      </w:r>
      <w:r w:rsidR="00897750" w:rsidRPr="00DE5C02">
        <w:fldChar w:fldCharType="end"/>
      </w:r>
      <w:r w:rsidR="00897750" w:rsidRPr="00DE5C02">
        <w:t xml:space="preserve">. Drawing strong and practicable inference from such macro-scale </w:t>
      </w:r>
      <w:r w:rsidR="000C0C43" w:rsidRPr="00DE5C02">
        <w:t xml:space="preserve">empirical </w:t>
      </w:r>
      <w:r w:rsidR="00897750" w:rsidRPr="00DE5C02">
        <w:t>studies remains a challenge, however, because such studies are by necessity observational</w:t>
      </w:r>
      <w:r w:rsidR="0035182C" w:rsidRPr="00DE5C02">
        <w:t xml:space="preserve">. </w:t>
      </w:r>
      <w:r w:rsidR="00B52164" w:rsidRPr="00DE5C02">
        <w:rPr>
          <w:lang w:eastAsia="zh-CN"/>
        </w:rPr>
        <w:t>U</w:t>
      </w:r>
      <w:r w:rsidR="0034249E" w:rsidRPr="00DE5C02">
        <w:t xml:space="preserve">nlike </w:t>
      </w:r>
      <w:r w:rsidR="00897750" w:rsidRPr="00DE5C02">
        <w:t xml:space="preserve">designed experiments, observational studies comprise data wherein the identity, crossing, replication and interspersion of driving variables are </w:t>
      </w:r>
      <w:r w:rsidR="00F8286C" w:rsidRPr="00DE5C02">
        <w:t xml:space="preserve">largely </w:t>
      </w:r>
      <w:r w:rsidR="00897750" w:rsidRPr="00DE5C02">
        <w:t>outside the control of the observer</w:t>
      </w:r>
      <w:r w:rsidR="00897750" w:rsidRPr="00DE5C02">
        <w:fldChar w:fldCharType="begin" w:fldLock="1"/>
      </w:r>
      <w:r w:rsidR="006821F3" w:rsidRPr="00DE5C02">
        <w:instrText>ADDIN CSL_CITATION {"citationItems":[{"id":"ITEM-1","itemData":{"DOI":"10.1016/j.ecolind.2012.01.022","ISBN":"1470-160X","ISSN":"1470160X","abstract":"Ways of reducing the drivers of global biodiversity loss and degradation of ecosystem services are needed more than ever before. Policy options must be based on the best evidence of the role of multiple driving forces. Increasingly, a significant part of the evidence base comes from attributing signals of biological change detected in large-scale analytical surveys to a range of possible causal factors. We highlight a number of subtle difficulties that can beset the challenge of detecting such correlative relationships. These are as follows: (1) The Modifiable Area Unit Problem. (2) Incomplete explanatory variable data. (3) Lack of control over the replication and crossing of driving variables. In most cases these problems can be avoided by more careful specification of the scientific question and application of relatively new analytical techniques. Ignoring them can lead to mis-specification of hypothesised driver-state-impact relationships and flawed conclusions as to the most important causes of change. © 2012 Elsevier Ltd.","author":[{"dropping-particle":"","family":"Smart","given":"S. M.","non-dropping-particle":"","parse-names":false,"suffix":""},{"dropping-particle":"","family":"Henrys","given":"P. A.","non-dropping-particle":"","parse-names":false,"suffix":""},{"dropping-particle":"V.","family":"Purse","given":"B.","non-dropping-particle":"","parse-names":false,"suffix":""},{"dropping-particle":"","family":"Murphy","given":"J. M.","non-dropping-particle":"","parse-names":false,"suffix":""},{"dropping-particle":"","family":"Bailey","given":"M. J.","non-dropping-particle":"","parse-names":false,"suffix":""},{"dropping-particle":"","family":"Marrs","given":"R. H.","non-dropping-particle":"","parse-names":false,"suffix":""}],"container-title":"Ecological Indicators","id":"ITEM-1","issued":{"date-parts":[["2012"]]},"page":"51-56","publisher":"Elsevier Ltd","title":"Clarity or confusion? - Problems in attributing large-scale ecological changes to anthropogenic drivers","type":"article-journal","volume":"20"},"uris":["http://www.mendeley.com/documents/?uuid=44e177c4-6b79-475e-a616-bf00de56ab40"]}],"mendeley":{"formattedCitation":"&lt;sup&gt;14&lt;/sup&gt;","plainTextFormattedCitation":"14","previouslyFormattedCitation":"&lt;sup&gt;14&lt;/sup&gt;"},"properties":{"noteIndex":0},"schema":"https://github.com/citation-style-language/schema/raw/master/csl-citation.json"}</w:instrText>
      </w:r>
      <w:r w:rsidR="00897750" w:rsidRPr="00DE5C02">
        <w:fldChar w:fldCharType="separate"/>
      </w:r>
      <w:r w:rsidR="00A801AF" w:rsidRPr="00DE5C02">
        <w:rPr>
          <w:noProof/>
          <w:vertAlign w:val="superscript"/>
        </w:rPr>
        <w:t>14</w:t>
      </w:r>
      <w:r w:rsidR="00897750" w:rsidRPr="00DE5C02">
        <w:fldChar w:fldCharType="end"/>
      </w:r>
      <w:r w:rsidR="00897750" w:rsidRPr="00DE5C02">
        <w:t xml:space="preserve">. </w:t>
      </w:r>
    </w:p>
    <w:p w14:paraId="1C72AA5F" w14:textId="0AFC4354" w:rsidR="00697278" w:rsidRPr="00DE5C02" w:rsidRDefault="00897750" w:rsidP="002466E6">
      <w:r w:rsidRPr="00DE5C02">
        <w:t>Recent macro-</w:t>
      </w:r>
      <w:r w:rsidR="005910D4" w:rsidRPr="00DE5C02">
        <w:t xml:space="preserve">scale </w:t>
      </w:r>
      <w:r w:rsidRPr="00DE5C02">
        <w:t xml:space="preserve">ecological </w:t>
      </w:r>
      <w:r w:rsidRPr="00DE5C02">
        <w:rPr>
          <w:rFonts w:cs="Times New Roman"/>
          <w:szCs w:val="24"/>
        </w:rPr>
        <w:t xml:space="preserve">studies have </w:t>
      </w:r>
      <w:r w:rsidR="00F24F2E" w:rsidRPr="00DE5C02">
        <w:rPr>
          <w:rFonts w:cs="Times New Roman"/>
          <w:szCs w:val="24"/>
        </w:rPr>
        <w:t>met this challenge by incorporating exis</w:t>
      </w:r>
      <w:r w:rsidR="001129F6" w:rsidRPr="00DE5C02">
        <w:rPr>
          <w:rFonts w:cs="Times New Roman"/>
          <w:szCs w:val="24"/>
        </w:rPr>
        <w:t>t</w:t>
      </w:r>
      <w:r w:rsidR="00F24F2E" w:rsidRPr="00DE5C02">
        <w:rPr>
          <w:rFonts w:cs="Times New Roman"/>
          <w:szCs w:val="24"/>
        </w:rPr>
        <w:t>ing</w:t>
      </w:r>
      <w:r w:rsidRPr="00DE5C02">
        <w:rPr>
          <w:rFonts w:cs="Times New Roman"/>
          <w:szCs w:val="24"/>
        </w:rPr>
        <w:t xml:space="preserve"> </w:t>
      </w:r>
      <w:r w:rsidRPr="00DE5C02">
        <w:t xml:space="preserve">regional </w:t>
      </w:r>
      <w:r w:rsidR="00253566" w:rsidRPr="00DE5C02">
        <w:t xml:space="preserve">classifications </w:t>
      </w:r>
      <w:r w:rsidRPr="00DE5C02">
        <w:t>into hierarchical modelling framework</w:t>
      </w:r>
      <w:r w:rsidR="00F24F2E" w:rsidRPr="00DE5C02">
        <w:t>s</w:t>
      </w:r>
      <w:r w:rsidRPr="00DE5C02">
        <w:rPr>
          <w:rFonts w:cs="Times New Roman"/>
          <w:szCs w:val="24"/>
        </w:rPr>
        <w:t xml:space="preserve">, </w:t>
      </w:r>
      <w:r w:rsidR="00F24F2E" w:rsidRPr="00DE5C02">
        <w:rPr>
          <w:rFonts w:cs="Times New Roman"/>
          <w:szCs w:val="24"/>
        </w:rPr>
        <w:t>modelling</w:t>
      </w:r>
      <w:r w:rsidRPr="00DE5C02">
        <w:rPr>
          <w:rFonts w:cs="Times New Roman"/>
          <w:szCs w:val="24"/>
        </w:rPr>
        <w:t xml:space="preserve"> region as a random, latent variable, allow</w:t>
      </w:r>
      <w:r w:rsidR="00F24F2E" w:rsidRPr="00DE5C02">
        <w:rPr>
          <w:rFonts w:cs="Times New Roman"/>
          <w:szCs w:val="24"/>
        </w:rPr>
        <w:t>ing</w:t>
      </w:r>
      <w:r w:rsidRPr="00DE5C02">
        <w:rPr>
          <w:rFonts w:cs="Times New Roman"/>
          <w:szCs w:val="24"/>
        </w:rPr>
        <w:t xml:space="preserve"> for different intercepts and slopes of local drivers within different regions</w:t>
      </w:r>
      <w:r w:rsidRPr="00DE5C02">
        <w:rPr>
          <w:rFonts w:cs="Times New Roman"/>
          <w:szCs w:val="24"/>
          <w:vertAlign w:val="superscript"/>
        </w:rPr>
        <w:t>e.g.</w:t>
      </w:r>
      <w:r w:rsidRPr="00DE5C02">
        <w:rPr>
          <w:rFonts w:cs="Times New Roman"/>
          <w:szCs w:val="24"/>
        </w:rPr>
        <w:fldChar w:fldCharType="begin" w:fldLock="1"/>
      </w:r>
      <w:r w:rsidR="006821F3" w:rsidRPr="00DE5C02">
        <w:rPr>
          <w:rFonts w:cs="Times New Roman"/>
          <w:szCs w:val="24"/>
        </w:rPr>
        <w:instrText>ADDIN CSL_CITATION {"citationItems":[{"id":"ITEM-1","itemData":{"DOI":"10.1890/12-1872.1","ISBN":"1051-0761","ISSN":"10510761","PMID":"24261043","abstract":"The regional spatial scale is a vital linkage for the informed extrapolation of results from local to continental scales to address broad-scale environmental problems. Among-region variation in ecosystem state is commonly accounted for by using a regionalization framework, such as an ecoregion classification. Rarely have alternative regionalization frameworks been tested for variables measuring ecosystem state, nor have the underlying relationships with the variables that are used to define them been assessed. In this study, we asked two questions: (1) How much among-region variation is there for ecosystems and does it differ by regionalization framework? (2) What are the likely causes of this among- region variation? We present a case study using a large data set of lake water chemistry, uni- and multi-scaled hydrogeomorphic and anthropogenic driver variables that likely influence lake chemistry at the subcontinental scale, and seven existing regionalization frameworks. We used multilevel models to quantify and explain within- and among-region variation in lake water chemistry. Our models account for local driver variables of ecosystem variation within regions, differences in regional mean ecosystem state (i.e., random intercepts in multilevel models), and differences in relationships between local drivers and ecosystem state by region (i.e., random slopes in multilevel models). Using one of the best performing regionalization frameworks (Ecological Drainage Units), we found that for lake phosphorus and alkalinity: (1) a majority of all the variation in water chemistry among the studied lakes occurred among regions, (2) very few regional-scale landscape driver variables were required to explain among-region variation in lake water chemistry, (3) a much higher proportion of the total variation among lakes was explained at the regional scale than at the local scale, and (4) some relationships between local-scale driver variables and lake water chemistry varied by region. Our results demonstrate the importance of considering the regional spatial scale for broad-scale research and ecosystem management and conservation. Our quantitative approach can be easily applied to other response variables, ecosystem types, geographic areas, and spatial extents to inform ecosystem responses to global environmental stressors.","author":[{"dropping-particle":"","family":"Cheruvelil","given":"K. S.","non-dropping-particle":"","parse-names":false,"suffix":""},{"dropping-particle":"","family":"Soranno","given":"P. A.","non-dropping-particle":"","parse-names":false,"suffix":""},{"dropping-particle":"","family":"Webster","given":"K. E.","non-dropping-particle":"","parse-names":false,"suffix":""},{"dropping-particle":"","family":"Bremigan","given":"M. T.","non-dropping-particle":"","parse-names":false,"suffix":""}],"container-title":"Ecological Applications","id":"ITEM-1","issue":"7","issued":{"date-parts":[["2013"]]},"page":"1603-1618","title":"Multi-scaled drivers of ecosystem state: Quantifying the importance of the regional spatial scale","type":"article-journal","volume":"23"},"uris":["http://www.mendeley.com/documents/?uuid=04436d4c-8cdb-4dff-bc4e-60d8e2b8241d"]},{"id":"ITEM-2","itemData":{"DOI":"10.1890/120366","ISBN":"i1540-9295-12-1-65","ISSN":"15409295","abstract":"Ecologists are increasingly discovering that ecological processes are made up of components that are multi- scaled in space and time. Some of the most complex of these processes are cross-scale interactions (CSIs), which occur when components interact across scales. When undetected, such interactions may cause errors in extrap- olation from one region to another. CSIs, particularly those that include a regional scaled component, have not been systematically investigated or even reported because of the challenges of acquiring data at sufficiently broad spatial extents. We present an approach for quantifying CSIs and apply it to a case study investigating one such interaction, between local and regional scaled land-use drivers of lake phosphorus. Ultimately, our approach for investigating CSIs can serve as a basis for efforts to understand a wide variety of multi-scaled prob- lems such as climate change, land-use/land-cover change, and invasive species. Front","author":[{"dropping-particle":"","family":"Soranno","given":"Patricia A.","non-dropping-particle":"","parse-names":false,"suffix":""},{"dropping-particle":"","family":"Cheruvelil","given":"Kendra S.","non-dropping-particle":"","parse-names":false,"suffix":""},{"dropping-particle":"","family":"Bissell","given":"Edward G.","non-dropping-particle":"","parse-names":false,"suffix":""},{"dropping-particle":"","family":"Bremigan","given":"Mary T.","non-dropping-particle":"","parse-names":false,"suffix":""},{"dropping-particle":"","family":"Downing","given":"John A.","non-dropping-particle":"","parse-names":false,"suffix":""},{"dropping-particle":"","family":"Fergus","given":"Carol E.","non-dropping-particle":"","parse-names":false,"suffix":""},{"dropping-particle":"","family":"Filstrup","given":"Christopher T.","non-dropping-particle":"","parse-names":false,"suffix":""},{"dropping-particle":"","family":"Henry","given":"Emily N.","non-dropping-particle":"","parse-names":false,"suffix":""},{"dropping-particle":"","family":"Lottig","given":"Noah R.","non-dropping-particle":"","parse-names":false,"suffix":""},{"dropping-particle":"","family":"Stanley","given":"Emily H.","non-dropping-particle":"","parse-names":false,"suffix":""},{"dropping-particle":"","family":"Stow","given":"Craig A.","non-dropping-particle":"","parse-names":false,"suffix":""},{"dropping-particle":"","family":"Tan","given":"Pang Ning","non-dropping-particle":"","parse-names":false,"suffix":""},{"dropping-particle":"","family":"Wagner","given":"Tyler","non-dropping-particle":"","parse-names":false,"suffix":""},{"dropping-particle":"","family":"Webster","given":"Katherine E.","non-dropping-particle":"","parse-names":false,"suffix":""}],"container-title":"Frontiers in Ecology and the Environment","id":"ITEM-2","issue":"1","issued":{"date-parts":[["2014"]]},"page":"65-73","title":"Cross-scale interactions: Quantifying multi-scaled cause-effect relationships in macrosystems","type":"article-journal","volume":"12"},"uris":["http://www.mendeley.com/documents/?uuid=e8a79d65-7939-4b34-9cbd-8af1268ddf04"]},{"id":"ITEM-3","itemData":{"DOI":"10.1111/ddi.12354","ISBN":"1472-4642","ISSN":"14724642","abstract":"Aim Stronger inferences about biological invasions may be obtained when accounting for multiple invasion measures and the spatial heterogeneity occurring across large geographic areas. We pursued this enquiry by utilizing a multimeasure, multiregional framework to investigate forest plant invasions at a subcontinental scale. Location United States of America (USA). Methods Using empirical data from a national survey of USA forests, we compiled and mapped invasion richness (number of invasive species) and invasion prevalence (percentage of plots invaded) for 2524 counties. We then modelled each of these invasion measures as functions of 22 factors reflective of propagule pressure and/or habitat invasibility for eastern and western forests separately using simultaneous autoregressive spatial error models. Results Eastern forests had higher mean invasion richness (6.1) and prevalence (48%) than western forests (3.2 and 10%, respectively). Spatial patterns of invasion richness and prevalence differed, especially in the West. Propagule pressure factors were always positively associated with both invasion measures. Factors associated with human legacy were nearly six times more strongly associated with western than eastern invasions. Unlike propagule pressure factors, habitat invasibility factors shared inconsistent associations with invasion measures. Main conclusions The weaker associations between human legacy and invasions in the heavily invaded East, compared to the less-invaded West, suggest a declining effect of propagule pressure over time with increasing invasion intensity. The importance of propagule pressure in less-invaded western forests suggests that spatial variability in propagule inputs, coupled with lags between establishment and commonness, drives the spatial differences between invasion richness and prevalence during early invasion stages. Meanwhile, declining spatial disagreement between invasion measures and the relative unimportance of propagule pressure, in heavily invaded eastern forests, suggest that species-specific variation in response to habitat invasibility drives spatial differences between invasion measures during later invasion stages. These insights further illustrate the importance of spatial heterogeneity in invasive plant management and policy at macroscales.","author":[{"dropping-particle":"V.","family":"Iannone","given":"Basil","non-dropping-particle":"","parse-names":false,"suffix":""},{"dropping-particle":"","family":"Oswalt","given":"Christopher M.","non-dropping-particle":"","parse-names":false,"suffix":""},{"dropping-particle":"","family":"Liebhold","given":"Andrew M.","non-dropping-particle":"","parse-names":false,"suffix":""},{"dropping-particle":"","family":"Guo","given":"Qinfeng","non-dropping-particle":"","parse-names":false,"suffix":""},{"dropping-particle":"","family":"Potter","given":"Kevin M.","non-dropping-particle":"","parse-names":false,"suffix":""},{"dropping-particle":"","family":"Nunez-Mir","given":"Gabriela C.","non-dropping-particle":"","parse-names":false,"suffix":""},{"dropping-particle":"","family":"Oswalt","given":"Sonja N.","non-dropping-particle":"","parse-names":false,"suffix":""},{"dropping-particle":"","family":"Pijanowski","given":"Bryan C.","non-dropping-particle":"","parse-names":false,"suffix":""},{"dropping-particle":"","family":"Fei","given":"Songlin","non-dropping-particle":"","parse-names":false,"suffix":""}],"container-title":"Diversity and Distributions","id":"ITEM-3","issue":"10","issued":{"date-parts":[["2015"]]},"page":"1181-1192","title":"Region-specific patterns and drivers of macroscale forest plant invasions","type":"article-journal","volume":"21"},"uris":["http://www.mendeley.com/documents/?uuid=b831e818-c294-4386-ace2-8f2454f7a0db"]}],"mendeley":{"formattedCitation":"&lt;sup&gt;11,15,16&lt;/sup&gt;","plainTextFormattedCitation":"11,15,16","previouslyFormattedCitation":"&lt;sup&gt;11,15,16&lt;/sup&gt;"},"properties":{"noteIndex":0},"schema":"https://github.com/citation-style-language/schema/raw/master/csl-citation.json"}</w:instrText>
      </w:r>
      <w:r w:rsidRPr="00DE5C02">
        <w:rPr>
          <w:rFonts w:cs="Times New Roman"/>
          <w:szCs w:val="24"/>
        </w:rPr>
        <w:fldChar w:fldCharType="separate"/>
      </w:r>
      <w:r w:rsidR="00A801AF" w:rsidRPr="00DE5C02">
        <w:rPr>
          <w:rFonts w:cs="Times New Roman"/>
          <w:noProof/>
          <w:szCs w:val="24"/>
          <w:vertAlign w:val="superscript"/>
        </w:rPr>
        <w:t>11,15,16</w:t>
      </w:r>
      <w:r w:rsidRPr="00DE5C02">
        <w:rPr>
          <w:rFonts w:cs="Times New Roman"/>
          <w:szCs w:val="24"/>
        </w:rPr>
        <w:fldChar w:fldCharType="end"/>
      </w:r>
      <w:r w:rsidRPr="00DE5C02">
        <w:rPr>
          <w:rFonts w:cs="Times New Roman"/>
          <w:szCs w:val="24"/>
        </w:rPr>
        <w:t xml:space="preserve">. </w:t>
      </w:r>
      <w:r w:rsidRPr="00DE5C02">
        <w:rPr>
          <w:rFonts w:cstheme="minorHAnsi"/>
          <w:szCs w:val="24"/>
        </w:rPr>
        <w:t>Despite the utility of this</w:t>
      </w:r>
      <w:r w:rsidR="00062920" w:rsidRPr="00DE5C02">
        <w:rPr>
          <w:rFonts w:cstheme="minorHAnsi"/>
          <w:szCs w:val="24"/>
        </w:rPr>
        <w:t xml:space="preserve"> flexible</w:t>
      </w:r>
      <w:r w:rsidRPr="00DE5C02">
        <w:rPr>
          <w:rFonts w:cstheme="minorHAnsi"/>
          <w:szCs w:val="24"/>
        </w:rPr>
        <w:t xml:space="preserve"> approach</w:t>
      </w:r>
      <w:r w:rsidRPr="00DE5C02">
        <w:rPr>
          <w:rFonts w:cstheme="minorHAnsi"/>
          <w:szCs w:val="24"/>
        </w:rPr>
        <w:fldChar w:fldCharType="begin" w:fldLock="1"/>
      </w:r>
      <w:r w:rsidR="006821F3" w:rsidRPr="00DE5C02">
        <w:rPr>
          <w:rFonts w:cstheme="minorHAnsi"/>
          <w:szCs w:val="24"/>
        </w:rPr>
        <w:instrText>ADDIN CSL_CITATION {"citationItems":[{"id":"ITEM-1","itemData":{"DOI":"10.1007/s10980-015-0288-z","ISBN":"0921-2973, 1572-9761","ISSN":"15729761","abstract":"Context Not accounting for spatial heterogeneity in ecological analyses can cause modeled relationships to vary across spatial scales, specifically different levels of spatial resolution. These varying results hinder both the utility of data collected at one spatial scale for analyses at others and the determination of underlying processes. Objectives To briefly review existing methods for analyzing data collected at multiple scales, highlight the effects of spatial heterogeneity on the utility of these methods, and to illustrate a practical statistical method to account for the sources of spatial hetero- geneity when they are unknown. Methods Using simulated examples, we show how not accounting for the drivers of spatial heterogeneity in statistical models can cause contradictory findings regarding relationship direction across spatial scales. We then show how mixed effects models can remedy this multiscaling issue. Results Ignoring sources of spatial heterogeneity in statistical models with coarse spatial scales produced contradictory results to the true underlying relation- ship. Treating drivers of spatial heterogeneity as random effects in a mixed effects model, however, allowed us to uncover this true relationship. Conclusions Mixed effects models is advantageous as it is not always necessary to know the influential explanatory variables that cause spatial heterogeneity and no additional data are required. Furthermore, this approach is well documented, can be applied to data having various distribution types, and is easily executable using multiple statistical packages.","author":[{"dropping-particle":"","family":"Dixon Hamil","given":"Kelly Ann","non-dropping-particle":"","parse-names":false,"suffix":""},{"dropping-particle":"V.","family":"Iannone","given":"Basil","non-dropping-particle":"","parse-names":false,"suffix":""},{"dropping-particle":"","family":"Huang","given":"Whitney K.","non-dropping-particle":"","parse-names":false,"suffix":""},{"dropping-particle":"","family":"Fei","given":"Songlin","non-dropping-particle":"","parse-names":false,"suffix":""},{"dropping-particle":"","family":"Zhang","given":"Hao","non-dropping-particle":"","parse-names":false,"suffix":""}],"container-title":"Landscape Ecology","id":"ITEM-1","issue":"1","issued":{"date-parts":[["2016"]]},"page":"7-18","publisher":"Springer Netherlands","title":"Cross-scale contradictions in ecological relationships","type":"article-journal","volume":"31"},"uris":["http://www.mendeley.com/documents/?uuid=5b419eab-32fb-46df-8606-a62bd1b1d91d"]}],"mendeley":{"formattedCitation":"&lt;sup&gt;17&lt;/sup&gt;","plainTextFormattedCitation":"17","previouslyFormattedCitation":"&lt;sup&gt;17&lt;/sup&gt;"},"properties":{"noteIndex":0},"schema":"https://github.com/citation-style-language/schema/raw/master/csl-citation.json"}</w:instrText>
      </w:r>
      <w:r w:rsidRPr="00DE5C02">
        <w:rPr>
          <w:rFonts w:cstheme="minorHAnsi"/>
          <w:szCs w:val="24"/>
        </w:rPr>
        <w:fldChar w:fldCharType="separate"/>
      </w:r>
      <w:r w:rsidR="00A801AF" w:rsidRPr="00DE5C02">
        <w:rPr>
          <w:rFonts w:cstheme="minorHAnsi"/>
          <w:noProof/>
          <w:szCs w:val="24"/>
          <w:vertAlign w:val="superscript"/>
        </w:rPr>
        <w:t>17</w:t>
      </w:r>
      <w:r w:rsidRPr="00DE5C02">
        <w:rPr>
          <w:rFonts w:cstheme="minorHAnsi"/>
          <w:szCs w:val="24"/>
        </w:rPr>
        <w:fldChar w:fldCharType="end"/>
      </w:r>
      <w:r w:rsidRPr="00DE5C02">
        <w:rPr>
          <w:rFonts w:cstheme="minorHAnsi"/>
          <w:szCs w:val="24"/>
        </w:rPr>
        <w:t xml:space="preserve">, </w:t>
      </w:r>
      <w:r w:rsidRPr="00DE5C02">
        <w:t>such studies only account</w:t>
      </w:r>
      <w:r w:rsidRPr="00DE5C02">
        <w:rPr>
          <w:szCs w:val="24"/>
        </w:rPr>
        <w:t xml:space="preserve"> for, rather than </w:t>
      </w:r>
      <w:r w:rsidRPr="00DE5C02">
        <w:rPr>
          <w:rFonts w:cs="Times New Roman"/>
          <w:szCs w:val="24"/>
        </w:rPr>
        <w:t xml:space="preserve">understand context dependency, by determining what are considered </w:t>
      </w:r>
      <w:r w:rsidR="00062920" w:rsidRPr="00DE5C02">
        <w:rPr>
          <w:rFonts w:cs="Times New Roman"/>
          <w:szCs w:val="24"/>
        </w:rPr>
        <w:t>overall</w:t>
      </w:r>
      <w:r w:rsidR="001129F6" w:rsidRPr="00DE5C02">
        <w:rPr>
          <w:rFonts w:cs="Times New Roman"/>
          <w:szCs w:val="24"/>
        </w:rPr>
        <w:t xml:space="preserve"> </w:t>
      </w:r>
      <w:r w:rsidRPr="00DE5C02">
        <w:rPr>
          <w:rFonts w:cs="Times New Roman"/>
          <w:szCs w:val="24"/>
        </w:rPr>
        <w:t xml:space="preserve">relationships </w:t>
      </w:r>
      <w:r w:rsidR="00062920" w:rsidRPr="00DE5C02">
        <w:rPr>
          <w:rFonts w:cs="Times New Roman"/>
          <w:szCs w:val="24"/>
        </w:rPr>
        <w:t>‘</w:t>
      </w:r>
      <w:r w:rsidRPr="00DE5C02">
        <w:rPr>
          <w:rFonts w:cs="Times New Roman"/>
          <w:szCs w:val="24"/>
        </w:rPr>
        <w:t>in the face of spatial heterogeneity’</w:t>
      </w:r>
      <w:r w:rsidRPr="00DE5C02">
        <w:rPr>
          <w:rFonts w:cs="Times New Roman"/>
          <w:szCs w:val="24"/>
        </w:rPr>
        <w:fldChar w:fldCharType="begin" w:fldLock="1"/>
      </w:r>
      <w:r w:rsidR="006821F3" w:rsidRPr="00DE5C02">
        <w:rPr>
          <w:rFonts w:cs="Times New Roman"/>
          <w:szCs w:val="24"/>
        </w:rPr>
        <w:instrText>ADDIN CSL_CITATION {"citationItems":[{"id":"ITEM-1","itemData":{"DOI":"10.1007/s10980-015-0288-z","ISBN":"0921-2973, 1572-9761","ISSN":"15729761","abstract":"Context Not accounting for spatial heterogeneity in ecological analyses can cause modeled relationships to vary across spatial scales, specifically different levels of spatial resolution. These varying results hinder both the utility of data collected at one spatial scale for analyses at others and the determination of underlying processes. Objectives To briefly review existing methods for analyzing data collected at multiple scales, highlight the effects of spatial heterogeneity on the utility of these methods, and to illustrate a practical statistical method to account for the sources of spatial hetero- geneity when they are unknown. Methods Using simulated examples, we show how not accounting for the drivers of spatial heterogeneity in statistical models can cause contradictory findings regarding relationship direction across spatial scales. We then show how mixed effects models can remedy this multiscaling issue. Results Ignoring sources of spatial heterogeneity in statistical models with coarse spatial scales produced contradictory results to the true underlying relation- ship. Treating drivers of spatial heterogeneity as random effects in a mixed effects model, however, allowed us to uncover this true relationship. Conclusions Mixed effects models is advantageous as it is not always necessary to know the influential explanatory variables that cause spatial heterogeneity and no additional data are required. Furthermore, this approach is well documented, can be applied to data having various distribution types, and is easily executable using multiple statistical packages.","author":[{"dropping-particle":"","family":"Dixon Hamil","given":"Kelly Ann","non-dropping-particle":"","parse-names":false,"suffix":""},{"dropping-particle":"V.","family":"Iannone","given":"Basil","non-dropping-particle":"","parse-names":false,"suffix":""},{"dropping-particle":"","family":"Huang","given":"Whitney K.","non-dropping-particle":"","parse-names":false,"suffix":""},{"dropping-particle":"","family":"Fei","given":"Songlin","non-dropping-particle":"","parse-names":false,"suffix":""},{"dropping-particle":"","family":"Zhang","given":"Hao","non-dropping-particle":"","parse-names":false,"suffix":""}],"container-title":"Landscape Ecology","id":"ITEM-1","issue":"1","issued":{"date-parts":[["2016"]]},"page":"7-18","publisher":"Springer Netherlands","title":"Cross-scale contradictions in ecological relationships","type":"article-journal","volume":"31"},"uris":["http://www.mendeley.com/documents/?uuid=5b419eab-32fb-46df-8606-a62bd1b1d91d"]}],"mendeley":{"formattedCitation":"&lt;sup&gt;17&lt;/sup&gt;","plainTextFormattedCitation":"17","previouslyFormattedCitation":"&lt;sup&gt;17&lt;/sup&gt;"},"properties":{"noteIndex":0},"schema":"https://github.com/citation-style-language/schema/raw/master/csl-citation.json"}</w:instrText>
      </w:r>
      <w:r w:rsidRPr="00DE5C02">
        <w:rPr>
          <w:rFonts w:cs="Times New Roman"/>
          <w:szCs w:val="24"/>
        </w:rPr>
        <w:fldChar w:fldCharType="separate"/>
      </w:r>
      <w:r w:rsidR="00A801AF" w:rsidRPr="00DE5C02">
        <w:rPr>
          <w:rFonts w:cs="Times New Roman"/>
          <w:noProof/>
          <w:szCs w:val="24"/>
          <w:vertAlign w:val="superscript"/>
        </w:rPr>
        <w:t>17</w:t>
      </w:r>
      <w:r w:rsidRPr="00DE5C02">
        <w:rPr>
          <w:rFonts w:cs="Times New Roman"/>
          <w:szCs w:val="24"/>
        </w:rPr>
        <w:fldChar w:fldCharType="end"/>
      </w:r>
      <w:r w:rsidRPr="00DE5C02">
        <w:rPr>
          <w:rFonts w:cs="Times New Roman"/>
          <w:szCs w:val="24"/>
        </w:rPr>
        <w:t xml:space="preserve">. However, variations in ecosystem responses across contexts can occur due to true </w:t>
      </w:r>
      <w:r w:rsidR="00062920" w:rsidRPr="00DE5C02">
        <w:rPr>
          <w:rFonts w:cs="Times New Roman"/>
          <w:szCs w:val="24"/>
        </w:rPr>
        <w:t>interactions</w:t>
      </w:r>
      <w:r w:rsidR="00117421" w:rsidRPr="00DE5C02">
        <w:rPr>
          <w:rFonts w:cs="Times New Roman"/>
          <w:szCs w:val="24"/>
        </w:rPr>
        <w:t>, and so understanding how context</w:t>
      </w:r>
      <w:r w:rsidR="006B639C" w:rsidRPr="00DE5C02">
        <w:rPr>
          <w:rFonts w:cs="Times New Roman"/>
          <w:szCs w:val="24"/>
        </w:rPr>
        <w:t xml:space="preserve"> </w:t>
      </w:r>
      <w:r w:rsidR="00117421" w:rsidRPr="00DE5C02">
        <w:rPr>
          <w:rFonts w:cs="Times New Roman"/>
          <w:szCs w:val="24"/>
        </w:rPr>
        <w:t>dependency arises is paramount</w:t>
      </w:r>
      <w:r w:rsidRPr="00DE5C02">
        <w:rPr>
          <w:rFonts w:cs="Times New Roman"/>
          <w:szCs w:val="24"/>
        </w:rPr>
        <w:t xml:space="preserve">. </w:t>
      </w:r>
      <w:r w:rsidR="00EF000E" w:rsidRPr="00DE5C02">
        <w:t>If ‘region’ is characterised as a random variable, it provides no predictive power</w:t>
      </w:r>
      <w:r w:rsidR="00604584" w:rsidRPr="00DE5C02">
        <w:t xml:space="preserve">. Whereas </w:t>
      </w:r>
      <w:r w:rsidR="00EF000E" w:rsidRPr="00DE5C02">
        <w:t>if we</w:t>
      </w:r>
      <w:r w:rsidR="00604584" w:rsidRPr="00DE5C02">
        <w:t xml:space="preserve"> model as fixed and</w:t>
      </w:r>
      <w:r w:rsidR="00EF000E" w:rsidRPr="00DE5C02">
        <w:t xml:space="preserve"> truly understand and characterise the context dependency, inference can be extended </w:t>
      </w:r>
      <w:r w:rsidR="003B2889" w:rsidRPr="00DE5C02">
        <w:t xml:space="preserve"> across</w:t>
      </w:r>
      <w:r w:rsidR="00EF000E" w:rsidRPr="00DE5C02">
        <w:t xml:space="preserve"> regions</w:t>
      </w:r>
      <w:r w:rsidR="00A7511B" w:rsidRPr="00DE5C02">
        <w:t xml:space="preserve"> within the geographic extent of the study</w:t>
      </w:r>
      <w:r w:rsidR="0054728F" w:rsidRPr="00DE5C02">
        <w:t xml:space="preserve">, with a </w:t>
      </w:r>
      <w:r w:rsidR="003B2889" w:rsidRPr="00DE5C02">
        <w:t xml:space="preserve">known </w:t>
      </w:r>
      <w:r w:rsidR="0054728F" w:rsidRPr="00DE5C02">
        <w:t>environmental</w:t>
      </w:r>
      <w:r w:rsidR="00EF000E" w:rsidRPr="00DE5C02">
        <w:t xml:space="preserve"> context</w:t>
      </w:r>
      <w:r w:rsidR="003B2889" w:rsidRPr="00DE5C02">
        <w:t>s</w:t>
      </w:r>
      <w:r w:rsidR="000F7F78" w:rsidRPr="00DE5C02">
        <w:t xml:space="preserve"> (r</w:t>
      </w:r>
      <w:r w:rsidR="003B2889" w:rsidRPr="00DE5C02">
        <w:t>esults should not be extrapolated to other areas</w:t>
      </w:r>
      <w:r w:rsidR="000F7F78" w:rsidRPr="00DE5C02">
        <w:t>,</w:t>
      </w:r>
      <w:r w:rsidR="003B2889" w:rsidRPr="00DE5C02">
        <w:t xml:space="preserve"> with unknown environmental contexts</w:t>
      </w:r>
      <w:r w:rsidR="000F7F78" w:rsidRPr="00DE5C02">
        <w:t>)</w:t>
      </w:r>
      <w:r w:rsidR="003B2889" w:rsidRPr="00DE5C02">
        <w:t xml:space="preserve">. </w:t>
      </w:r>
      <w:r w:rsidRPr="00DE5C02">
        <w:rPr>
          <w:rFonts w:cs="Times New Roman"/>
          <w:szCs w:val="24"/>
        </w:rPr>
        <w:t>F</w:t>
      </w:r>
      <w:r w:rsidRPr="00DE5C02">
        <w:t>or example, the efficacy of riparian buffers at removing stream pollutants might vary regionally through an interaction with rainfall</w:t>
      </w:r>
      <w:r w:rsidRPr="00DE5C02">
        <w:fldChar w:fldCharType="begin" w:fldLock="1"/>
      </w:r>
      <w:r w:rsidR="006821F3" w:rsidRPr="00DE5C02">
        <w:instrText>ADDIN CSL_CITATION {"citationItems":[{"id":"ITEM-1","itemData":{"DOI":"10.1016/j.agee.2006.03.029","ISBN":"0167-8809","ISSN":"01678809","PMID":"2018","abstract":"Recommending the use of \"grass buffer strips\" to control diffuse P transfer has become well accepted among extension advisors, agricultural consultants, planners, and other practitioners that influence the structure of the agricultural landscape. These grassed areas are put in place to capture the P contained in runoff from source fields. They are designed to function as a filter and a sediment trap although it is often unclear what the long-term disposition of the accumulated P may be. The objective of this work was to determine if the available scientific literature justifies the continued recommendation of this approach in the prevention of phosphorus movement from agricultural soils to surface waters. We employed a theoretical analysis of the mechanisms of the buffering effect and the specific behaviour of phosphorus in typical grass buffer strips to establish the critical set of literature applicable to this question. An adequate body of literature exists describing many aspects of P dynamics and the short-term functioning of grass buffer strips over their seasonal cycles. Despite variable results in a diversity of landscape contexts, overall, the use of grass buffer strips appears to provide useful short-term functions in the reduction of P transport to surface waters. Long-term benefits remain questionable given the relatively short-term use of this approach in P reduction and the lack of long-term experimental results, but this current lack of data is not sufficient to deter the continued incorporation of grass buffer strips in the landscape of French agricultural. Additionally, a more comprehensive conceptual model integrating the short-term functioning of grass buffer strips with seasonal cycles and the long-term consequences of cumulative storage emerged from our synthesis. © 2006 Elsevier B.V. All rights reserved.","author":[{"dropping-particle":"","family":"Dorioz","given":"J. M.","non-dropping-particle":"","parse-names":false,"suffix":""},{"dropping-particle":"","family":"Wang","given":"D.","non-dropping-particle":"","parse-names":false,"suffix":""},{"dropping-particle":"","family":"Poulenard","given":"J.","non-dropping-particle":"","parse-names":false,"suffix":""},{"dropping-particle":"","family":"Trévisan","given":"D.","non-dropping-particle":"","parse-names":false,"suffix":""}],"container-title":"Agriculture, Ecosystems and Environment","id":"ITEM-1","issue":"1","issued":{"date-parts":[["2006"]]},"page":"4-21","title":"The effect of grass buffer strips on phosphorus dynamics-A critical review and synthesis as a basis for application in agricultural landscapes in France","type":"article-journal","volume":"117"},"uris":["http://www.mendeley.com/documents/?uuid=72df03c7-8970-4f92-8a08-567e4233ddc1"]}],"mendeley":{"formattedCitation":"&lt;sup&gt;18&lt;/sup&gt;","plainTextFormattedCitation":"18","previouslyFormattedCitation":"&lt;sup&gt;18&lt;/sup&gt;"},"properties":{"noteIndex":0},"schema":"https://github.com/citation-style-language/schema/raw/master/csl-citation.json"}</w:instrText>
      </w:r>
      <w:r w:rsidRPr="00DE5C02">
        <w:fldChar w:fldCharType="separate"/>
      </w:r>
      <w:r w:rsidR="00A801AF" w:rsidRPr="00DE5C02">
        <w:rPr>
          <w:noProof/>
          <w:vertAlign w:val="superscript"/>
        </w:rPr>
        <w:t>18</w:t>
      </w:r>
      <w:r w:rsidRPr="00DE5C02">
        <w:fldChar w:fldCharType="end"/>
      </w:r>
      <w:r w:rsidRPr="00DE5C02">
        <w:t xml:space="preserve">. </w:t>
      </w:r>
      <w:r w:rsidR="001129F6" w:rsidRPr="00DE5C02">
        <w:t xml:space="preserve">In </w:t>
      </w:r>
      <w:r w:rsidR="00D43ED4" w:rsidRPr="00DE5C02">
        <w:t>this case</w:t>
      </w:r>
      <w:r w:rsidR="001129F6" w:rsidRPr="00DE5C02">
        <w:t xml:space="preserve">, knowing that </w:t>
      </w:r>
      <w:r w:rsidR="007F19C9" w:rsidRPr="00DE5C02">
        <w:t>rainfall is important</w:t>
      </w:r>
      <w:r w:rsidR="006B639C" w:rsidRPr="00DE5C02">
        <w:t xml:space="preserve">, </w:t>
      </w:r>
      <w:r w:rsidR="001129F6" w:rsidRPr="00DE5C02">
        <w:t xml:space="preserve">rather than some unknown </w:t>
      </w:r>
      <w:r w:rsidR="009D0702" w:rsidRPr="00DE5C02">
        <w:t xml:space="preserve">aspect </w:t>
      </w:r>
      <w:r w:rsidR="001129F6" w:rsidRPr="00DE5C02">
        <w:t xml:space="preserve">of regional spatial </w:t>
      </w:r>
      <w:r w:rsidR="004B1A87" w:rsidRPr="00DE5C02">
        <w:t>heterogeneity</w:t>
      </w:r>
      <w:r w:rsidR="006B639C" w:rsidRPr="00DE5C02">
        <w:t xml:space="preserve">, </w:t>
      </w:r>
      <w:r w:rsidR="001129F6" w:rsidRPr="00DE5C02">
        <w:t xml:space="preserve">is clearly </w:t>
      </w:r>
      <w:r w:rsidR="007F19C9" w:rsidRPr="00DE5C02">
        <w:t xml:space="preserve">critical </w:t>
      </w:r>
      <w:r w:rsidR="001129F6" w:rsidRPr="00DE5C02">
        <w:t xml:space="preserve">in deciding where to </w:t>
      </w:r>
      <w:r w:rsidR="00D43ED4" w:rsidRPr="00DE5C02">
        <w:t xml:space="preserve">place riparian buffers to </w:t>
      </w:r>
      <w:r w:rsidR="001129F6" w:rsidRPr="00DE5C02">
        <w:t xml:space="preserve">improve water quality. </w:t>
      </w:r>
      <w:r w:rsidR="00697278" w:rsidRPr="00DE5C02">
        <w:rPr>
          <w:rFonts w:cs="Times New Roman"/>
          <w:szCs w:val="24"/>
        </w:rPr>
        <w:t>Such a</w:t>
      </w:r>
      <w:r w:rsidR="00697278" w:rsidRPr="00DE5C02">
        <w:rPr>
          <w:szCs w:val="24"/>
        </w:rPr>
        <w:t xml:space="preserve"> mechanistic understanding of true interactions between local, landscape and regional contexts remains a critical knowledge gap</w:t>
      </w:r>
      <w:r w:rsidR="00697278" w:rsidRPr="00DE5C02">
        <w:rPr>
          <w:szCs w:val="24"/>
        </w:rPr>
        <w:fldChar w:fldCharType="begin" w:fldLock="1"/>
      </w:r>
      <w:r w:rsidR="006821F3" w:rsidRPr="00DE5C02">
        <w:rPr>
          <w:szCs w:val="24"/>
        </w:rPr>
        <w:instrText>ADDIN CSL_CITATION {"citationItems":[{"id":"ITEM-1","itemData":{"DOI":"10.1002/wcc.271","abstract":"Global change drivers are known to interact in their effects on biodiversity, but much research to date ignores this complexity. As a consequence, there are problems in the attribution of biodiversity change to different drivers and, therefore, our ability to manage habitats and landscapes appropriately. Few studies explicitly acknowledge and account for interactive (i.e., nonadditive) effects of land use and climate change on biodiversity. One reason is that the mechanisms by which drivers interact are poorly understood. We evaluate such mechanisms, including interactions between demographic parameters, evolutionary trade-offs and synergies and threshold effects of population size and patch occupancy on population persistence. Other reasons for the lack of appropriate research are limited data availability and analytical issues in addressing interaction effects. We highlight the influence that attribution errors can have on biodiversity projections and discuss experimental designs and analytical tools suited to this challenge. Finally, we summarize the risks and opportunities provided by the existence of interaction effects. Risks include ineffective conservation management; but opportunities also arise, whereby the negative impacts of climate change on biodiversity can be reduced through appropriate land management as an adaptation measure. We hope that increasing the understanding of key mechanisms underlying interaction effects and discussing appropriate experimental and analytical designs for attribution will help researchers, policy makers, and conservation practitioners to better minimize risks and exploit opportunities provided by land use-climate change interactions. For further resources related to this article, please visit the WIREs website. Conflict of interest: The authors have declared no conflicts of interest for this article.","author":[{"dropping-particle":"","family":"Oliver","given":"Tom H","non-dropping-particle":"","parse-names":false,"suffix":""},{"dropping-particle":"","family":"Morecroft","given":"Mike D","non-dropping-particle":"","parse-names":false,"suffix":""}],"container-title":"WIREs Clim Change","id":"ITEM-1","issued":{"date-parts":[["2014"]]},"page":"n/a","title":"Interactions between climate change and land use change on biodiversity: attribution problems, risks, and opportunities","type":"article-journal"},"uris":["http://www.mendeley.com/documents/?uuid=989d0115-d510-4c4c-99e9-ae6808a7c9c6"]}],"mendeley":{"formattedCitation":"&lt;sup&gt;12&lt;/sup&gt;","plainTextFormattedCitation":"12","previouslyFormattedCitation":"&lt;sup&gt;12&lt;/sup&gt;"},"properties":{"noteIndex":0},"schema":"https://github.com/citation-style-language/schema/raw/master/csl-citation.json"}</w:instrText>
      </w:r>
      <w:r w:rsidR="00697278" w:rsidRPr="00DE5C02">
        <w:rPr>
          <w:szCs w:val="24"/>
        </w:rPr>
        <w:fldChar w:fldCharType="separate"/>
      </w:r>
      <w:r w:rsidR="00A801AF" w:rsidRPr="00DE5C02">
        <w:rPr>
          <w:noProof/>
          <w:szCs w:val="24"/>
          <w:vertAlign w:val="superscript"/>
        </w:rPr>
        <w:t>12</w:t>
      </w:r>
      <w:r w:rsidR="00697278" w:rsidRPr="00DE5C02">
        <w:rPr>
          <w:szCs w:val="24"/>
        </w:rPr>
        <w:fldChar w:fldCharType="end"/>
      </w:r>
      <w:r w:rsidR="00D43ED4" w:rsidRPr="00DE5C02">
        <w:rPr>
          <w:szCs w:val="24"/>
        </w:rPr>
        <w:t>,</w:t>
      </w:r>
      <w:r w:rsidR="00697278" w:rsidRPr="00DE5C02">
        <w:rPr>
          <w:szCs w:val="24"/>
        </w:rPr>
        <w:t xml:space="preserve"> limiting our ability to manage landscapes sustainably.</w:t>
      </w:r>
      <w:r w:rsidR="002466E6" w:rsidRPr="00DE5C02">
        <w:rPr>
          <w:szCs w:val="24"/>
        </w:rPr>
        <w:t xml:space="preserve"> </w:t>
      </w:r>
    </w:p>
    <w:p w14:paraId="46299EBF" w14:textId="0621CC56" w:rsidR="00897750" w:rsidRPr="00DE5C02" w:rsidRDefault="00897750" w:rsidP="008A6D82">
      <w:pPr>
        <w:pStyle w:val="Heading2"/>
        <w:rPr>
          <w:szCs w:val="24"/>
        </w:rPr>
      </w:pPr>
      <w:bookmarkStart w:id="5" w:name="_Toc517421404"/>
      <w:bookmarkStart w:id="6" w:name="_Toc517431819"/>
      <w:r w:rsidRPr="00DE5C02">
        <w:rPr>
          <w:rStyle w:val="Heading2Char"/>
          <w:b/>
        </w:rPr>
        <w:t xml:space="preserve">An </w:t>
      </w:r>
      <w:r w:rsidR="00FA7771" w:rsidRPr="00DE5C02">
        <w:rPr>
          <w:rStyle w:val="Heading2Char"/>
          <w:b/>
        </w:rPr>
        <w:t xml:space="preserve">eight-step </w:t>
      </w:r>
      <w:r w:rsidRPr="00DE5C02">
        <w:rPr>
          <w:rStyle w:val="Heading2Char"/>
          <w:b/>
        </w:rPr>
        <w:t xml:space="preserve">analytical framework </w:t>
      </w:r>
      <w:bookmarkEnd w:id="5"/>
      <w:bookmarkEnd w:id="6"/>
    </w:p>
    <w:p w14:paraId="45BBD556" w14:textId="0171770D" w:rsidR="00897750" w:rsidRPr="00DE5C02" w:rsidRDefault="00897750" w:rsidP="00A7511B">
      <w:r w:rsidRPr="00DE5C02">
        <w:rPr>
          <w:rFonts w:cstheme="minorHAnsi"/>
        </w:rPr>
        <w:t>The framework we outline here allows for a mechanistic understanding of context</w:t>
      </w:r>
      <w:r w:rsidR="00072C7E" w:rsidRPr="00DE5C02">
        <w:rPr>
          <w:rFonts w:cstheme="minorHAnsi"/>
        </w:rPr>
        <w:t xml:space="preserve"> </w:t>
      </w:r>
      <w:r w:rsidRPr="00DE5C02">
        <w:rPr>
          <w:rFonts w:cstheme="minorHAnsi"/>
        </w:rPr>
        <w:t xml:space="preserve">dependency to identify where natural capital can be managed </w:t>
      </w:r>
      <w:r w:rsidR="0019048E" w:rsidRPr="00DE5C02">
        <w:rPr>
          <w:rFonts w:cstheme="minorHAnsi"/>
        </w:rPr>
        <w:t xml:space="preserve">either </w:t>
      </w:r>
      <w:r w:rsidRPr="00DE5C02">
        <w:rPr>
          <w:rFonts w:cstheme="minorHAnsi"/>
        </w:rPr>
        <w:t xml:space="preserve">locally </w:t>
      </w:r>
      <w:r w:rsidR="0019048E" w:rsidRPr="00DE5C02">
        <w:rPr>
          <w:rFonts w:cstheme="minorHAnsi"/>
        </w:rPr>
        <w:t xml:space="preserve">or </w:t>
      </w:r>
      <w:r w:rsidRPr="00DE5C02">
        <w:rPr>
          <w:rFonts w:cstheme="minorHAnsi"/>
        </w:rPr>
        <w:t xml:space="preserve">at the landscape scale to enhance </w:t>
      </w:r>
      <w:r w:rsidR="0019048E" w:rsidRPr="00DE5C02">
        <w:rPr>
          <w:rFonts w:cstheme="minorHAnsi"/>
        </w:rPr>
        <w:t xml:space="preserve">the provision of </w:t>
      </w:r>
      <w:r w:rsidR="00F53295" w:rsidRPr="00DE5C02">
        <w:rPr>
          <w:rFonts w:cstheme="minorHAnsi"/>
        </w:rPr>
        <w:t>ES</w:t>
      </w:r>
      <w:r w:rsidR="0079787B" w:rsidRPr="00DE5C02">
        <w:rPr>
          <w:rFonts w:cstheme="minorHAnsi"/>
        </w:rPr>
        <w:t xml:space="preserve">. </w:t>
      </w:r>
      <w:r w:rsidR="00BD10D0" w:rsidRPr="00DE5C02">
        <w:t>A core premise</w:t>
      </w:r>
      <w:r w:rsidR="002466E6" w:rsidRPr="00DE5C02">
        <w:t xml:space="preserve"> of our framework is that regional effects should be modelled as fixed, rather than random, effects in a generalised linear (mixed) modelling framework</w:t>
      </w:r>
      <w:r w:rsidR="002466E6" w:rsidRPr="00DE5C02">
        <w:fldChar w:fldCharType="begin" w:fldLock="1"/>
      </w:r>
      <w:r w:rsidR="006821F3" w:rsidRPr="00DE5C02">
        <w:instrText>ADDIN CSL_CITATION {"citationItems":[{"id":"ITEM-1","itemData":{"abstract":"13.1 Introduction to generalized linear mixed models Generalized linear mixed models (GLMMs) are a powerful class of statistical models that combine the characteristics of generalized linear models (GLMs: chapter 6) and mixed models (models with both fixed and random predictor variables). They handle a wide range of types of response variables, and a wide range of scenarios where observations have been sampled in some kind of groups rather than completely independently. While they can't do everything—an expert might sometimes choose custom-built models for greater flexibility (Bolker et al. 2013)—GLMMs are fast, powerful, can be extended to handle additional complexities such as zero-inflated responses, and can often be fitted with off-the-shelf software. The only real downsides of GLMMs are due to their generality: (1) some standard recipes for model testing and inference do not apply, and (2) it's easy to build plausible models that are too complex for your data to support. GLMMs are still part of the statistical frontier, and even experts don't know all of the answers about how to use them, but this chapter will try to provide practical solutions to allow you to use GLMMs with your data. GLMs (chapter 6), allow modeling of many kinds of response variables, particularly those with binomial and Poisson distributions; you should definitely feel comfortable with GLMs before attempting the methods described in this chapter. In contrast, you may be unfamiliar with the mixed models, and with the central distinction between fixed effects (the typical way to compare differences between treatments or the effects of continuous predictor variables) and random effects (roughly speaking, experimental or observational blocks within which you have several observations). Models with normally distributed responses that incorporate some kind of random effects are called linear mixed models (LMMs); they are a special, slightly easier case of GLMMs. This chapter will review the basic idea of experimental blocks (for a reminder see Gotelli and Ellison (2004) or Quinn and Keough (2002)). If you are already well-versed in classic ANOVA approaches to blocked experimental designs, you may actually have to unlearn some things, as modern approaches to random effects are quite different from the classical approaches taught in most statistics courses. As well as using different conceptual definitions of random effects (section 13.3.1), modern mixed models are more flexible than c…","author":[{"dropping-particle":"","family":"Bolker","given":"Benjamin M","non-dropping-particle":"","parse-names":false,"suffix":""}],"id":"ITEM-1","issued":{"date-parts":[["2014"]]},"title":"Linear and generalized linear mixed models","type":"article-journal"},"uris":["http://www.mendeley.com/documents/?uuid=325ee263-19b1-44e1-a80a-fd9910386bce"]}],"mendeley":{"formattedCitation":"&lt;sup&gt;19&lt;/sup&gt;","plainTextFormattedCitation":"19","previouslyFormattedCitation":"&lt;sup&gt;19&lt;/sup&gt;"},"properties":{"noteIndex":0},"schema":"https://github.com/citation-style-language/schema/raw/master/csl-citation.json"}</w:instrText>
      </w:r>
      <w:r w:rsidR="002466E6" w:rsidRPr="00DE5C02">
        <w:fldChar w:fldCharType="separate"/>
      </w:r>
      <w:r w:rsidR="00A801AF" w:rsidRPr="00DE5C02">
        <w:rPr>
          <w:noProof/>
          <w:vertAlign w:val="superscript"/>
        </w:rPr>
        <w:t>19</w:t>
      </w:r>
      <w:r w:rsidR="002466E6" w:rsidRPr="00DE5C02">
        <w:fldChar w:fldCharType="end"/>
      </w:r>
      <w:r w:rsidR="00003479" w:rsidRPr="00DE5C02">
        <w:t xml:space="preserve">. This </w:t>
      </w:r>
      <w:r w:rsidR="002466E6" w:rsidRPr="00DE5C02">
        <w:t>allow</w:t>
      </w:r>
      <w:r w:rsidR="00003479" w:rsidRPr="00DE5C02">
        <w:t>s</w:t>
      </w:r>
      <w:r w:rsidR="002466E6" w:rsidRPr="00DE5C02">
        <w:t xml:space="preserve"> us to detect and understand the cross-scale interactions that lead to context dependency, rather than merely controlling for them. </w:t>
      </w:r>
      <w:r w:rsidR="009B3DFB" w:rsidRPr="00DE5C02">
        <w:t>Doing so has important implications for the inference</w:t>
      </w:r>
      <w:r w:rsidR="00A7511B" w:rsidRPr="00DE5C02">
        <w:t>s</w:t>
      </w:r>
      <w:r w:rsidR="009B3DFB" w:rsidRPr="00DE5C02">
        <w:t xml:space="preserve"> that can be drawn</w:t>
      </w:r>
      <w:r w:rsidR="006C4A51" w:rsidRPr="00DE5C02">
        <w:t xml:space="preserve"> (see Discussion</w:t>
      </w:r>
      <w:r w:rsidR="00593E61" w:rsidRPr="00DE5C02">
        <w:t>)</w:t>
      </w:r>
      <w:r w:rsidR="009B3DFB" w:rsidRPr="00DE5C02">
        <w:t xml:space="preserve">. </w:t>
      </w:r>
      <w:r w:rsidRPr="00DE5C02">
        <w:rPr>
          <w:rFonts w:cstheme="minorHAnsi"/>
          <w:szCs w:val="24"/>
        </w:rPr>
        <w:t xml:space="preserve">We demonstrate the generality of our framework by application to two different </w:t>
      </w:r>
      <w:r w:rsidR="008337AF" w:rsidRPr="00DE5C02">
        <w:rPr>
          <w:rFonts w:cstheme="minorHAnsi"/>
          <w:szCs w:val="24"/>
        </w:rPr>
        <w:t>aspects of natural capital</w:t>
      </w:r>
      <w:r w:rsidRPr="00DE5C02">
        <w:rPr>
          <w:rFonts w:cstheme="minorHAnsi"/>
          <w:szCs w:val="24"/>
        </w:rPr>
        <w:t xml:space="preserve">: woodland susceptibility to invasion by a </w:t>
      </w:r>
      <w:r w:rsidR="00344028" w:rsidRPr="00DE5C02">
        <w:rPr>
          <w:rFonts w:cstheme="minorHAnsi"/>
          <w:szCs w:val="24"/>
        </w:rPr>
        <w:t xml:space="preserve">non-native </w:t>
      </w:r>
      <w:r w:rsidRPr="00DE5C02">
        <w:rPr>
          <w:rFonts w:cstheme="minorHAnsi"/>
          <w:szCs w:val="24"/>
        </w:rPr>
        <w:t xml:space="preserve">shrub, </w:t>
      </w:r>
      <w:r w:rsidR="00513668" w:rsidRPr="00DE5C02">
        <w:rPr>
          <w:rFonts w:cstheme="minorHAnsi"/>
          <w:szCs w:val="24"/>
        </w:rPr>
        <w:t>r</w:t>
      </w:r>
      <w:r w:rsidR="0034249E" w:rsidRPr="00DE5C02">
        <w:rPr>
          <w:rFonts w:cstheme="minorHAnsi"/>
          <w:szCs w:val="24"/>
        </w:rPr>
        <w:t>hododendron (</w:t>
      </w:r>
      <w:r w:rsidRPr="00DE5C02">
        <w:rPr>
          <w:rFonts w:cstheme="minorHAnsi"/>
          <w:i/>
          <w:szCs w:val="24"/>
        </w:rPr>
        <w:t>Rhododendron ponticum</w:t>
      </w:r>
      <w:r w:rsidR="0034249E" w:rsidRPr="00DE5C02">
        <w:rPr>
          <w:rFonts w:cstheme="minorHAnsi"/>
          <w:szCs w:val="24"/>
        </w:rPr>
        <w:t>)</w:t>
      </w:r>
      <w:r w:rsidRPr="00DE5C02">
        <w:rPr>
          <w:rFonts w:cstheme="minorHAnsi"/>
          <w:szCs w:val="24"/>
        </w:rPr>
        <w:t xml:space="preserve">, and pond water quality. Invasive species control is a </w:t>
      </w:r>
      <w:r w:rsidR="008656D6" w:rsidRPr="00DE5C02">
        <w:rPr>
          <w:rFonts w:cstheme="minorHAnsi"/>
          <w:szCs w:val="24"/>
        </w:rPr>
        <w:t xml:space="preserve">common </w:t>
      </w:r>
      <w:r w:rsidRPr="00DE5C02">
        <w:rPr>
          <w:rFonts w:cstheme="minorHAnsi"/>
          <w:szCs w:val="24"/>
        </w:rPr>
        <w:t xml:space="preserve">goal in sustainable resource management, given their often negative impacts </w:t>
      </w:r>
      <w:r w:rsidR="00072C7E" w:rsidRPr="00DE5C02">
        <w:rPr>
          <w:rFonts w:cstheme="minorHAnsi"/>
          <w:szCs w:val="24"/>
        </w:rPr>
        <w:t xml:space="preserve">on </w:t>
      </w:r>
      <w:r w:rsidRPr="00DE5C02">
        <w:rPr>
          <w:rFonts w:cstheme="minorHAnsi"/>
          <w:szCs w:val="24"/>
        </w:rPr>
        <w:t xml:space="preserve">the capacity of ecosystems to support biodiversity and deliver </w:t>
      </w:r>
      <w:r w:rsidR="00F53295" w:rsidRPr="00DE5C02">
        <w:rPr>
          <w:rFonts w:cstheme="minorHAnsi"/>
          <w:szCs w:val="24"/>
        </w:rPr>
        <w:t>ES</w:t>
      </w:r>
      <w:r w:rsidRPr="00DE5C02">
        <w:rPr>
          <w:rFonts w:cstheme="minorHAnsi"/>
          <w:szCs w:val="24"/>
        </w:rPr>
        <w:fldChar w:fldCharType="begin" w:fldLock="1"/>
      </w:r>
      <w:r w:rsidR="00B81E3F" w:rsidRPr="00DE5C02">
        <w:rPr>
          <w:rFonts w:cstheme="minorHAnsi"/>
          <w:szCs w:val="24"/>
        </w:rPr>
        <w:instrText>ADDIN CSL_CITATION {"citationItems":[{"id":"ITEM-1","itemData":{"DOI":"10.1016/j.jenvman.2010.08.025","ISBN":"0301-4797","ISSN":"03014797","PMID":"20832931","abstract":"Applying the concept of sustainability to invasive species management (ISM) is challenging but necessary, given the increasing rates of invasion and the high costs of invasion impacts and control. To be sustainable, ISM must address environmental, social, and economic factors (or \" pillars\" ) that influence the causes, impacts, and control of invasive species across multiple spatial and temporal scales. Although these pillars are generally acknowledged, their implementation is often limited by insufficient control options and significant economic and political constraints. In this paper, we outline specific objectives in each of these three \" pillars\" that, if incorporated into a management plan, will improve the plan's likelihood of sustainability. We then examine three case studies that illustrate how these objectives can be effectively implemented. Each pillar reinforces the others, such that the inclusion of even a few of the outlined objectives will lead to more effective management that achieves ecological goals, while generating social support and long-term funding to maintain projects to completion. We encourage agency directors and policy-makers to consider sustainability principles when developing funding schemes, management agendas, and policy. © 2010 .","author":[{"dropping-particle":"","family":"Larson","given":"Diane L.","non-dropping-particle":"","parse-names":false,"suffix":""},{"dropping-particle":"","family":"Phillips-Mao","given":"Laura","non-dropping-particle":"","parse-names":false,"suffix":""},{"dropping-particle":"","family":"Quiram","given":"Gina","non-dropping-particle":"","parse-names":false,"suffix":""},{"dropping-particle":"","family":"Sharpe","given":"Leah","non-dropping-particle":"","parse-names":false,"suffix":""},{"dropping-particle":"","family":"Stark","given":"Rebecca","non-dropping-particle":"","parse-names":false,"suffix":""},{"dropping-particle":"","family":"Sugita","given":"Shinya","non-dropping-particle":"","parse-names":false,"suffix":""},{"dropping-particle":"","family":"Weiler","given":"Annie","non-dropping-particle":"","parse-names":false,"suffix":""}],"container-title":"Journal of Environmental Management","id":"ITEM-1","issue":"1","issued":{"date-parts":[["2011"]]},"page":"14-22","publisher":"Elsevier Ltd","title":"A framework for sustainable invasive species management: Environmental, social, and economic objectives","type":"article-journal","volume":"92"},"uris":["http://www.mendeley.com/documents/?uuid=1d3d03fe-1dc9-4605-ab01-0cc636eccef6"]}],"mendeley":{"formattedCitation":"&lt;sup&gt;20&lt;/sup&gt;","plainTextFormattedCitation":"20","previouslyFormattedCitation":"&lt;sup&gt;20&lt;/sup&gt;"},"properties":{"noteIndex":0},"schema":"https://github.com/citation-style-language/schema/raw/master/csl-citation.json"}</w:instrText>
      </w:r>
      <w:r w:rsidRPr="00DE5C02">
        <w:rPr>
          <w:rFonts w:cstheme="minorHAnsi"/>
          <w:szCs w:val="24"/>
        </w:rPr>
        <w:fldChar w:fldCharType="separate"/>
      </w:r>
      <w:r w:rsidR="00173667" w:rsidRPr="00DE5C02">
        <w:rPr>
          <w:rFonts w:cstheme="minorHAnsi"/>
          <w:noProof/>
          <w:szCs w:val="24"/>
          <w:vertAlign w:val="superscript"/>
        </w:rPr>
        <w:t>20</w:t>
      </w:r>
      <w:r w:rsidRPr="00DE5C02">
        <w:rPr>
          <w:rFonts w:cstheme="minorHAnsi"/>
          <w:szCs w:val="24"/>
        </w:rPr>
        <w:fldChar w:fldCharType="end"/>
      </w:r>
      <w:r w:rsidRPr="00DE5C02">
        <w:rPr>
          <w:rFonts w:cstheme="minorHAnsi"/>
          <w:szCs w:val="24"/>
          <w:vertAlign w:val="superscript"/>
        </w:rPr>
        <w:t>,</w:t>
      </w:r>
      <w:r w:rsidRPr="00DE5C02">
        <w:rPr>
          <w:rFonts w:cstheme="minorHAnsi"/>
          <w:szCs w:val="24"/>
        </w:rPr>
        <w:fldChar w:fldCharType="begin" w:fldLock="1"/>
      </w:r>
      <w:r w:rsidR="00B81E3F" w:rsidRPr="00DE5C02">
        <w:rPr>
          <w:rFonts w:cstheme="minorHAnsi"/>
          <w:szCs w:val="24"/>
        </w:rPr>
        <w:instrText>ADDIN CSL_CITATION {"citationItems":[{"id":"ITEM-1","itemData":{"DOI":"10.1111/j.1365-2486.2011.02636.x","ISBN":"1365-2486","ISSN":"13541013","PMID":"915","abstract":"With the growing body of literature assessing the impact of invasive alien plants on resident species and ecosystems, a comprehensive assessment of the relationship between invasive species traits and environmental settings of invasion on the characteristics of impacts is needed. Based on 287 publications with 1551 individual cases that addressed the impact of 167 invasive plant species belonging to 49 families, we present the first global overview of frequencies of significant and non-significant ecological impacts and their directions on 15 outcomes related to the responses of resident populations, species, communities and ecosystems. Species and community outcomes tend to decline following invasions, especially those for plants, but the abundance and richness of the soil biota, as well as concentrations of soil nutrients and water, more often increase than decrease following invasion. Data mining tools revealed that invasive plants exert consistent significant impacts on some outcomes (survival of resident biota, activity of resident animals, resident community productivity, mineral and nutrient content in plant tissues, and fire frequency and intensity), whereas for outcomes at the community level, such as species richness, diversity and soil resources, the significance of impacts is determined by interactions between species traits and the biome invaded. The latter outcomes are most likely to be impacted by annual grasses, and by wind pollinated trees invading mediterranean or tropical biomes. One of the clearest signals in this analysis is that invasive plants are far more likely to cause significant impacts on resident plant and animal richness on islands rather than mainland. This study shows that there is no universal measure of impact and the pattern observed depends on the ecological measure examined. Although impact is strongly context dependent, some species traits, especially life form, stature and pollination syndrome, may provide a means to predict impact, regardless of the particular habitat and geographical region invaded.","author":[{"dropping-particle":"","family":"Pyšek","given":"Petr","non-dropping-particle":"","parse-names":false,"suffix":""},{"dropping-particle":"","family":"Jarošík","given":"Vojtěch","non-dropping-particle":"","parse-names":false,"suffix":""},{"dropping-particle":"","family":"Hulme","given":"Philip E.","non-dropping-particle":"","parse-names":false,"suffix":""},{"dropping-particle":"","family":"Pergl","given":"Jan","non-dropping-particle":"","parse-names":false,"suffix":""},{"dropping-particle":"","family":"Hejda","given":"Martin","non-dropping-particle":"","parse-names":false,"suffix":""},{"dropping-particle":"","family":"Schaffner","given":"Urs","non-dropping-particle":"","parse-names":false,"suffix":""},{"dropping-particle":"","family":"Vilà","given":"Montserrat","non-dropping-particle":"","parse-names":false,"suffix":""}],"container-title":"Global Change Biology","id":"ITEM-1","issue":"5","issued":{"date-parts":[["2012"]]},"page":"1725-1737","title":"A global assessment of invasive plant impacts on resident species, communities and ecosystems: The interaction of impact measures, invading species' traits and environment","type":"article-journal","volume":"18"},"uris":["http://www.mendeley.com/documents/?uuid=dd2d82c8-8a36-43b4-b6b1-7e4f4c01c5e7"]}],"mendeley":{"formattedCitation":"&lt;sup&gt;21&lt;/sup&gt;","plainTextFormattedCitation":"21","previouslyFormattedCitation":"&lt;sup&gt;21&lt;/sup&gt;"},"properties":{"noteIndex":0},"schema":"https://github.com/citation-style-language/schema/raw/master/csl-citation.json"}</w:instrText>
      </w:r>
      <w:r w:rsidRPr="00DE5C02">
        <w:rPr>
          <w:rFonts w:cstheme="minorHAnsi"/>
          <w:szCs w:val="24"/>
        </w:rPr>
        <w:fldChar w:fldCharType="separate"/>
      </w:r>
      <w:r w:rsidR="00173667" w:rsidRPr="00DE5C02">
        <w:rPr>
          <w:rFonts w:cstheme="minorHAnsi"/>
          <w:noProof/>
          <w:szCs w:val="24"/>
          <w:vertAlign w:val="superscript"/>
        </w:rPr>
        <w:t>21</w:t>
      </w:r>
      <w:r w:rsidRPr="00DE5C02">
        <w:rPr>
          <w:rFonts w:cstheme="minorHAnsi"/>
          <w:szCs w:val="24"/>
        </w:rPr>
        <w:fldChar w:fldCharType="end"/>
      </w:r>
      <w:r w:rsidRPr="00DE5C02">
        <w:rPr>
          <w:rFonts w:cstheme="minorHAnsi"/>
          <w:szCs w:val="24"/>
        </w:rPr>
        <w:t xml:space="preserve">. Limiting the spread of rhododendron is a conservation and economic priority in Britain as </w:t>
      </w:r>
      <w:r w:rsidR="008656D6" w:rsidRPr="00DE5C02">
        <w:rPr>
          <w:rFonts w:cstheme="minorHAnsi"/>
          <w:szCs w:val="24"/>
        </w:rPr>
        <w:t>it</w:t>
      </w:r>
      <w:r w:rsidRPr="00DE5C02">
        <w:rPr>
          <w:rFonts w:cstheme="minorHAnsi"/>
          <w:szCs w:val="24"/>
        </w:rPr>
        <w:t xml:space="preserve"> </w:t>
      </w:r>
      <w:r w:rsidR="008337AF" w:rsidRPr="00DE5C02">
        <w:rPr>
          <w:rFonts w:cstheme="minorHAnsi"/>
          <w:szCs w:val="24"/>
        </w:rPr>
        <w:t>affects the quality of natural capital (forests)</w:t>
      </w:r>
      <w:r w:rsidR="00F53295" w:rsidRPr="00DE5C02">
        <w:rPr>
          <w:rFonts w:cstheme="minorHAnsi"/>
          <w:szCs w:val="24"/>
        </w:rPr>
        <w:t xml:space="preserve">; </w:t>
      </w:r>
      <w:r w:rsidR="008337AF" w:rsidRPr="00DE5C02">
        <w:rPr>
          <w:rFonts w:cstheme="minorHAnsi"/>
          <w:szCs w:val="24"/>
        </w:rPr>
        <w:t xml:space="preserve">it </w:t>
      </w:r>
      <w:r w:rsidRPr="00DE5C02">
        <w:rPr>
          <w:rFonts w:cstheme="minorHAnsi"/>
          <w:szCs w:val="24"/>
        </w:rPr>
        <w:t>inhibit</w:t>
      </w:r>
      <w:r w:rsidR="008656D6" w:rsidRPr="00DE5C02">
        <w:rPr>
          <w:rFonts w:cstheme="minorHAnsi"/>
          <w:szCs w:val="24"/>
        </w:rPr>
        <w:t>s</w:t>
      </w:r>
      <w:r w:rsidRPr="00DE5C02">
        <w:rPr>
          <w:rFonts w:cstheme="minorHAnsi"/>
          <w:szCs w:val="24"/>
        </w:rPr>
        <w:t xml:space="preserve"> the regeneration of native woodlands, reduce</w:t>
      </w:r>
      <w:r w:rsidR="008656D6" w:rsidRPr="00DE5C02">
        <w:rPr>
          <w:rFonts w:cstheme="minorHAnsi"/>
          <w:szCs w:val="24"/>
        </w:rPr>
        <w:t>s</w:t>
      </w:r>
      <w:r w:rsidRPr="00DE5C02">
        <w:rPr>
          <w:rFonts w:cstheme="minorHAnsi"/>
          <w:szCs w:val="24"/>
        </w:rPr>
        <w:t xml:space="preserve"> biodiversity and increase</w:t>
      </w:r>
      <w:r w:rsidR="008656D6" w:rsidRPr="00DE5C02">
        <w:rPr>
          <w:rFonts w:cstheme="minorHAnsi"/>
          <w:szCs w:val="24"/>
        </w:rPr>
        <w:t>s</w:t>
      </w:r>
      <w:r w:rsidRPr="00DE5C02">
        <w:rPr>
          <w:rFonts w:cstheme="minorHAnsi"/>
          <w:szCs w:val="24"/>
        </w:rPr>
        <w:t xml:space="preserve"> the cost of forestry operations</w:t>
      </w:r>
      <w:r w:rsidRPr="00DE5C02">
        <w:rPr>
          <w:rFonts w:cstheme="minorHAnsi"/>
          <w:szCs w:val="24"/>
        </w:rPr>
        <w:fldChar w:fldCharType="begin" w:fldLock="1"/>
      </w:r>
      <w:r w:rsidR="00B81E3F" w:rsidRPr="00DE5C02">
        <w:rPr>
          <w:rFonts w:cstheme="minorHAnsi"/>
          <w:szCs w:val="24"/>
        </w:rPr>
        <w:instrText>ADDIN CSL_CITATION {"citationItems":[{"id":"ITEM-1","itemData":{"author":[{"dropping-particle":"","family":"Edwards","given":"C.","non-dropping-particle":"","parse-names":false,"suffix":""}],"id":"ITEM-1","issued":{"date-parts":[["2006"]]},"publisher-place":"Edinburgh","title":"No TitleForestry Commission Practice Guide: Managing and controlling invasive rhododendron","type":"report"},"uris":["http://www.mendeley.com/documents/?uuid=75545382-3b77-4f9d-87e1-36bb17ca6e77","http://www.mendeley.com/documents/?uuid=0190c96b-8d32-4303-88c9-765c78c433e6"]}],"mendeley":{"formattedCitation":"&lt;sup&gt;22&lt;/sup&gt;","plainTextFormattedCitation":"22","previouslyFormattedCitation":"&lt;sup&gt;22&lt;/sup&gt;"},"properties":{"noteIndex":0},"schema":"https://github.com/citation-style-language/schema/raw/master/csl-citation.json"}</w:instrText>
      </w:r>
      <w:r w:rsidRPr="00DE5C02">
        <w:rPr>
          <w:rFonts w:cstheme="minorHAnsi"/>
          <w:szCs w:val="24"/>
        </w:rPr>
        <w:fldChar w:fldCharType="separate"/>
      </w:r>
      <w:r w:rsidR="00173667" w:rsidRPr="00DE5C02">
        <w:rPr>
          <w:rFonts w:cstheme="minorHAnsi"/>
          <w:noProof/>
          <w:szCs w:val="24"/>
          <w:vertAlign w:val="superscript"/>
        </w:rPr>
        <w:t>22</w:t>
      </w:r>
      <w:r w:rsidRPr="00DE5C02">
        <w:rPr>
          <w:rFonts w:cstheme="minorHAnsi"/>
          <w:szCs w:val="24"/>
        </w:rPr>
        <w:fldChar w:fldCharType="end"/>
      </w:r>
      <w:r w:rsidRPr="00DE5C02">
        <w:rPr>
          <w:rFonts w:cstheme="minorHAnsi"/>
          <w:szCs w:val="24"/>
        </w:rPr>
        <w:t xml:space="preserve">. </w:t>
      </w:r>
      <w:r w:rsidR="008337AF" w:rsidRPr="00DE5C02">
        <w:rPr>
          <w:rFonts w:cstheme="minorHAnsi"/>
          <w:szCs w:val="24"/>
        </w:rPr>
        <w:t xml:space="preserve">Good </w:t>
      </w:r>
      <w:r w:rsidRPr="00DE5C02">
        <w:rPr>
          <w:rFonts w:cstheme="minorHAnsi"/>
          <w:szCs w:val="24"/>
        </w:rPr>
        <w:t>pond water quality is</w:t>
      </w:r>
      <w:r w:rsidR="008337AF" w:rsidRPr="00DE5C02">
        <w:rPr>
          <w:rFonts w:cstheme="minorHAnsi"/>
          <w:szCs w:val="24"/>
        </w:rPr>
        <w:t xml:space="preserve"> also an important indicator of natural capital quality, as it affects </w:t>
      </w:r>
      <w:r w:rsidR="008656D6" w:rsidRPr="00DE5C02">
        <w:rPr>
          <w:rFonts w:cstheme="minorHAnsi"/>
          <w:szCs w:val="24"/>
        </w:rPr>
        <w:t xml:space="preserve">the </w:t>
      </w:r>
      <w:r w:rsidRPr="00DE5C02">
        <w:rPr>
          <w:rFonts w:cstheme="minorHAnsi"/>
          <w:szCs w:val="24"/>
        </w:rPr>
        <w:t xml:space="preserve">amenity values </w:t>
      </w:r>
      <w:r w:rsidR="008656D6" w:rsidRPr="00DE5C02">
        <w:rPr>
          <w:rFonts w:cstheme="minorHAnsi"/>
          <w:szCs w:val="24"/>
        </w:rPr>
        <w:t xml:space="preserve">of ponds </w:t>
      </w:r>
      <w:r w:rsidRPr="00DE5C02">
        <w:rPr>
          <w:rFonts w:cstheme="minorHAnsi"/>
          <w:szCs w:val="24"/>
        </w:rPr>
        <w:t xml:space="preserve">and </w:t>
      </w:r>
      <w:r w:rsidR="008656D6" w:rsidRPr="00DE5C02">
        <w:rPr>
          <w:rFonts w:cstheme="minorHAnsi"/>
          <w:szCs w:val="24"/>
        </w:rPr>
        <w:t xml:space="preserve">their </w:t>
      </w:r>
      <w:r w:rsidRPr="00DE5C02">
        <w:rPr>
          <w:rFonts w:cstheme="minorHAnsi"/>
          <w:szCs w:val="24"/>
        </w:rPr>
        <w:t xml:space="preserve">contribution to freshwater </w:t>
      </w:r>
      <w:r w:rsidR="008656D6" w:rsidRPr="00DE5C02">
        <w:rPr>
          <w:rFonts w:cstheme="minorHAnsi"/>
          <w:szCs w:val="24"/>
        </w:rPr>
        <w:lastRenderedPageBreak/>
        <w:t>bio</w:t>
      </w:r>
      <w:r w:rsidRPr="00DE5C02">
        <w:rPr>
          <w:rFonts w:cstheme="minorHAnsi"/>
          <w:szCs w:val="24"/>
        </w:rPr>
        <w:t>diversity</w:t>
      </w:r>
      <w:r w:rsidR="0035182C" w:rsidRPr="00DE5C02">
        <w:rPr>
          <w:rFonts w:cstheme="minorHAnsi"/>
          <w:szCs w:val="24"/>
        </w:rPr>
        <w:t>.</w:t>
      </w:r>
      <w:r w:rsidRPr="00DE5C02">
        <w:rPr>
          <w:rFonts w:cstheme="minorHAnsi"/>
          <w:szCs w:val="24"/>
        </w:rPr>
        <w:t xml:space="preserve"> </w:t>
      </w:r>
      <w:r w:rsidR="0035182C" w:rsidRPr="00DE5C02">
        <w:rPr>
          <w:rFonts w:cstheme="minorHAnsi"/>
          <w:szCs w:val="24"/>
        </w:rPr>
        <w:t>P</w:t>
      </w:r>
      <w:r w:rsidRPr="00DE5C02">
        <w:rPr>
          <w:rFonts w:cstheme="minorHAnsi"/>
          <w:szCs w:val="24"/>
        </w:rPr>
        <w:t xml:space="preserve">onds generally support greater </w:t>
      </w:r>
      <w:r w:rsidRPr="00DE5C02">
        <w:rPr>
          <w:rFonts w:cstheme="minorHAnsi"/>
          <w:lang w:val="en"/>
        </w:rPr>
        <w:t>macroinvertebrate and macrophyte</w:t>
      </w:r>
      <w:r w:rsidRPr="00DE5C02">
        <w:rPr>
          <w:rFonts w:cstheme="minorHAnsi"/>
          <w:szCs w:val="24"/>
        </w:rPr>
        <w:t xml:space="preserve"> diversity and numbers of rare species compared to other freshwater ecosystems</w:t>
      </w:r>
      <w:r w:rsidR="008656D6" w:rsidRPr="00DE5C02">
        <w:rPr>
          <w:rFonts w:cstheme="minorHAnsi"/>
          <w:szCs w:val="24"/>
        </w:rPr>
        <w:fldChar w:fldCharType="begin" w:fldLock="1"/>
      </w:r>
      <w:r w:rsidR="00B81E3F" w:rsidRPr="00DE5C02">
        <w:rPr>
          <w:rFonts w:cstheme="minorHAnsi"/>
          <w:szCs w:val="24"/>
        </w:rPr>
        <w:instrText>ADDIN CSL_CITATION {"citationItems":[{"id":"ITEM-1","itemData":{"DOI":"10.1007/s10750-007-9225-8","ISBN":"0018-8158","ISSN":"00188158","abstract":"Gli stagni complessivamente, supportano le specie molto di più, e in particolare le specie più rare, rispetto ad altri tipi da corpi idrici di acqua dolce. Gli stagni creano collegamenti (o trampolini di lancio) tra gli attuali habitat acquatici, ma anche fornire servizi ecosistemici, quali l'intercettazione di nutrienti, la regolamentazione idrologico, ecc","author":[{"dropping-particle":"","family":"Céréghino","given":"R.","non-dropping-particle":"","parse-names":false,"suffix":""},{"dropping-particle":"","family":"Biggs","given":"J.","non-dropping-particle":"","parse-names":false,"suffix":""},{"dropping-particle":"","family":"Oertli","given":"B.","non-dropping-particle":"","parse-names":false,"suffix":""},{"dropping-particle":"","family":"Declerck","given":"S.","non-dropping-particle":"","parse-names":false,"suffix":""}],"container-title":"Hydrobiologia","id":"ITEM-1","issue":"1","issued":{"date-parts":[["2008"]]},"page":"1-6","title":"The ecology of European ponds: Defining the characteristics of a neglected freshwater habitat","type":"article-journal","volume":"597"},"uris":["http://www.mendeley.com/documents/?uuid=efddd7f6-2819-4a49-9a18-b99660adf613"]}],"mendeley":{"formattedCitation":"&lt;sup&gt;23&lt;/sup&gt;","plainTextFormattedCitation":"23","previouslyFormattedCitation":"&lt;sup&gt;23&lt;/sup&gt;"},"properties":{"noteIndex":0},"schema":"https://github.com/citation-style-language/schema/raw/master/csl-citation.json"}</w:instrText>
      </w:r>
      <w:r w:rsidR="008656D6" w:rsidRPr="00DE5C02">
        <w:rPr>
          <w:rFonts w:cstheme="minorHAnsi"/>
          <w:szCs w:val="24"/>
        </w:rPr>
        <w:fldChar w:fldCharType="separate"/>
      </w:r>
      <w:r w:rsidR="00173667" w:rsidRPr="00DE5C02">
        <w:rPr>
          <w:rFonts w:cstheme="minorHAnsi"/>
          <w:noProof/>
          <w:szCs w:val="24"/>
          <w:vertAlign w:val="superscript"/>
        </w:rPr>
        <w:t>23</w:t>
      </w:r>
      <w:r w:rsidR="008656D6" w:rsidRPr="00DE5C02">
        <w:rPr>
          <w:rFonts w:cstheme="minorHAnsi"/>
          <w:szCs w:val="24"/>
        </w:rPr>
        <w:fldChar w:fldCharType="end"/>
      </w:r>
      <w:r w:rsidR="00F24F2E" w:rsidRPr="00DE5C02">
        <w:rPr>
          <w:rFonts w:cstheme="minorHAnsi"/>
          <w:szCs w:val="24"/>
        </w:rPr>
        <w:t>.</w:t>
      </w:r>
    </w:p>
    <w:p w14:paraId="51F416D0" w14:textId="128EFED4" w:rsidR="00897750" w:rsidRPr="00DE5C02" w:rsidRDefault="00897750" w:rsidP="00897750">
      <w:pPr>
        <w:rPr>
          <w:lang w:eastAsia="zh-CN"/>
        </w:rPr>
      </w:pPr>
      <w:r w:rsidRPr="00DE5C02">
        <w:rPr>
          <w:lang w:eastAsia="zh-CN"/>
        </w:rPr>
        <w:t xml:space="preserve">Our framework has </w:t>
      </w:r>
      <w:r w:rsidR="00B11FCA" w:rsidRPr="00DE5C02">
        <w:rPr>
          <w:lang w:eastAsia="zh-CN"/>
        </w:rPr>
        <w:t>eight</w:t>
      </w:r>
      <w:r w:rsidRPr="00DE5C02">
        <w:rPr>
          <w:lang w:eastAsia="zh-CN"/>
        </w:rPr>
        <w:t xml:space="preserve"> steps (Fig</w:t>
      </w:r>
      <w:r w:rsidR="00A031A2" w:rsidRPr="00DE5C02">
        <w:rPr>
          <w:lang w:eastAsia="zh-CN"/>
        </w:rPr>
        <w:t>ure</w:t>
      </w:r>
      <w:r w:rsidRPr="00DE5C02">
        <w:rPr>
          <w:lang w:eastAsia="zh-CN"/>
        </w:rPr>
        <w:t xml:space="preserve"> 1). For each step, we first outline </w:t>
      </w:r>
      <w:r w:rsidR="008656D6" w:rsidRPr="00DE5C02">
        <w:rPr>
          <w:lang w:eastAsia="zh-CN"/>
        </w:rPr>
        <w:t xml:space="preserve">its </w:t>
      </w:r>
      <w:r w:rsidRPr="00DE5C02">
        <w:rPr>
          <w:lang w:eastAsia="zh-CN"/>
        </w:rPr>
        <w:t xml:space="preserve">rationale before </w:t>
      </w:r>
      <w:r w:rsidR="008656D6" w:rsidRPr="00DE5C02">
        <w:rPr>
          <w:lang w:eastAsia="zh-CN"/>
        </w:rPr>
        <w:t xml:space="preserve">applying </w:t>
      </w:r>
      <w:r w:rsidRPr="00DE5C02">
        <w:rPr>
          <w:lang w:eastAsia="zh-CN"/>
        </w:rPr>
        <w:t xml:space="preserve">it to our </w:t>
      </w:r>
      <w:r w:rsidR="00F7144E" w:rsidRPr="00DE5C02">
        <w:rPr>
          <w:lang w:eastAsia="zh-CN"/>
        </w:rPr>
        <w:t>two</w:t>
      </w:r>
      <w:r w:rsidRPr="00DE5C02">
        <w:rPr>
          <w:lang w:eastAsia="zh-CN"/>
        </w:rPr>
        <w:t xml:space="preserve"> case studies. </w:t>
      </w:r>
      <w:r w:rsidR="00072C7E" w:rsidRPr="00DE5C02">
        <w:rPr>
          <w:lang w:eastAsia="zh-CN"/>
        </w:rPr>
        <w:t>F</w:t>
      </w:r>
      <w:r w:rsidRPr="00DE5C02">
        <w:rPr>
          <w:lang w:eastAsia="zh-CN"/>
        </w:rPr>
        <w:t>urther details of each step, including</w:t>
      </w:r>
      <w:r w:rsidR="00F24F2E" w:rsidRPr="00DE5C02">
        <w:rPr>
          <w:lang w:eastAsia="zh-CN"/>
        </w:rPr>
        <w:t xml:space="preserve"> </w:t>
      </w:r>
      <w:r w:rsidR="00927333" w:rsidRPr="00DE5C02">
        <w:rPr>
          <w:lang w:eastAsia="zh-CN"/>
        </w:rPr>
        <w:t xml:space="preserve">justifications, </w:t>
      </w:r>
      <w:r w:rsidR="00F24F2E" w:rsidRPr="00DE5C02">
        <w:rPr>
          <w:lang w:eastAsia="zh-CN"/>
        </w:rPr>
        <w:t>data sources and</w:t>
      </w:r>
      <w:r w:rsidRPr="00DE5C02">
        <w:rPr>
          <w:lang w:eastAsia="zh-CN"/>
        </w:rPr>
        <w:t xml:space="preserve"> model outputs</w:t>
      </w:r>
      <w:r w:rsidR="00072C7E" w:rsidRPr="00DE5C02">
        <w:rPr>
          <w:lang w:eastAsia="zh-CN"/>
        </w:rPr>
        <w:t xml:space="preserve"> can be found in Appendix S1 (woodland invasion) and S2 (water quality)</w:t>
      </w:r>
      <w:r w:rsidRPr="00DE5C02">
        <w:rPr>
          <w:lang w:eastAsia="zh-CN"/>
        </w:rPr>
        <w:t>.</w:t>
      </w:r>
    </w:p>
    <w:p w14:paraId="1C1C09D9" w14:textId="15742545" w:rsidR="00897750" w:rsidRPr="00DE5C02" w:rsidRDefault="00897750" w:rsidP="00072C7E">
      <w:pPr>
        <w:pStyle w:val="Heading3"/>
      </w:pPr>
      <w:bookmarkStart w:id="7" w:name="_Toc517421405"/>
      <w:bookmarkStart w:id="8" w:name="_Toc517431820"/>
      <w:r w:rsidRPr="00DE5C02">
        <w:t>Select ecosystem responses</w:t>
      </w:r>
      <w:r w:rsidR="00BD10D0" w:rsidRPr="00DE5C02">
        <w:t xml:space="preserve"> </w:t>
      </w:r>
      <w:bookmarkEnd w:id="7"/>
      <w:bookmarkEnd w:id="8"/>
    </w:p>
    <w:p w14:paraId="7AB28CF7" w14:textId="7839CC64" w:rsidR="00897750" w:rsidRPr="00DE5C02" w:rsidRDefault="00CC4F14" w:rsidP="008337AF">
      <w:r w:rsidRPr="00DE5C02">
        <w:t>We define ‘</w:t>
      </w:r>
      <w:r w:rsidRPr="00DE5C02">
        <w:rPr>
          <w:bCs/>
        </w:rPr>
        <w:t>ecosystem responses</w:t>
      </w:r>
      <w:r w:rsidRPr="00DE5C02">
        <w:t>’</w:t>
      </w:r>
      <w:r w:rsidRPr="00DE5C02">
        <w:rPr>
          <w:rFonts w:cstheme="minorHAnsi"/>
        </w:rPr>
        <w:t xml:space="preserve"> </w:t>
      </w:r>
      <w:r w:rsidR="00072C7E" w:rsidRPr="00DE5C02">
        <w:rPr>
          <w:rFonts w:cstheme="minorHAnsi"/>
        </w:rPr>
        <w:t>as</w:t>
      </w:r>
      <w:r w:rsidRPr="00DE5C02">
        <w:rPr>
          <w:rFonts w:cstheme="minorHAnsi"/>
        </w:rPr>
        <w:t xml:space="preserve"> measurable indicators of natural capital that </w:t>
      </w:r>
      <w:r w:rsidR="00E84007" w:rsidRPr="00DE5C02">
        <w:rPr>
          <w:rFonts w:cstheme="minorHAnsi"/>
        </w:rPr>
        <w:t>can be</w:t>
      </w:r>
      <w:r w:rsidRPr="00DE5C02">
        <w:rPr>
          <w:rFonts w:cstheme="minorHAnsi"/>
        </w:rPr>
        <w:t xml:space="preserve"> manage</w:t>
      </w:r>
      <w:r w:rsidR="00E84007" w:rsidRPr="00DE5C02">
        <w:rPr>
          <w:rFonts w:cstheme="minorHAnsi"/>
        </w:rPr>
        <w:t>d</w:t>
      </w:r>
      <w:r w:rsidRPr="00DE5C02">
        <w:rPr>
          <w:rFonts w:cstheme="minorHAnsi"/>
        </w:rPr>
        <w:t xml:space="preserve"> to directly or indirectly produce benefits to people</w:t>
      </w:r>
      <w:r w:rsidRPr="00DE5C02">
        <w:rPr>
          <w:szCs w:val="24"/>
        </w:rPr>
        <w:fldChar w:fldCharType="begin" w:fldLock="1"/>
      </w:r>
      <w:r w:rsidR="006821F3" w:rsidRPr="00DE5C02">
        <w:rPr>
          <w:szCs w:val="24"/>
        </w:rPr>
        <w:instrText>ADDIN CSL_CITATION {"citationItems":[{"id":"ITEM-1","itemData":{"DOI":"10.1111/1365-2664.12431","ISBN":"1365-2664","ISSN":"13652664","PMID":"27563153","abstract":"Natural capital is essential for goods and services on which people depend. Yet pressures on the environment mean that natural capital assets are continuing to decline and degrade, putting such benefits at risk. Systematic monitoring of natural assets is a major challenge that could be both unaffordable and unmanageable without a way to focus efforts. Here we introduce a simple approach, based on the commonly used management tool of a risk register, to highlight natural assets whose condition places benefits at risk. We undertake a preliminary assessment using a risk register for natural capital assets in the UK based solely on existing information. The status and trends of natural capital assets are assessed using asset-benefit relationships for ten kinds of benefits (food, fibre (timber), energy, aesthetics, freshwater (quality), recreation, clean air, wildlife, hazard protection and equable climate) across eight broad habitat types in the UK based on three dimensions of natural capital within each of the habitat types (quality, quantity and spatial configuration). We estimate the status and trends of benefits relative to societal targets using existing regulatory limits and policy commitments, and allocate scores of high, medium or low risk to asset-benefit relationships that are both subject to management and of concern. The risk register approach reveals substantial gaps in knowledge about asset-benefit relationships which limit the scope and rigour of the assessment (especially for marine and urban habitats). Nevertheless, we find strong indications that certain assets (in freshwater, mountain, moors and heathland habitats) are at high risk in relation to their ability to sustain certain benefits (especially freshwater, wildlife and climate regulation). Synthesis and applications. With directed data gathering, especially to monitor trends, improve metrics related to asset-benefit relationships, and improve understanding of nonlinearities and thresholds, the natural capital risk register could provide a useful tool. If updated regularly, it could direct monitoring efforts, focus research and protect and manage those natural assets where benefits are at highest risk. With directed data gathering, especially to monitor trends, improve metrics related to asset-benefit relationships, and improve understanding of nonlinearities and thresholds, the natural capital risk register could provide a useful tool. If updated regularly, it could direct monitoring…","author":[{"dropping-particle":"","family":"Mace","given":"Georgina M.","non-dropping-particle":"","parse-names":false,"suffix":""},{"dropping-particle":"","family":"Hails","given":"Rosemary S.","non-dropping-particle":"","parse-names":false,"suffix":""},{"dropping-particle":"","family":"Cryle","given":"Philip","non-dropping-particle":"","parse-names":false,"suffix":""},{"dropping-particle":"","family":"Harlow","given":"Julian","non-dropping-particle":"","parse-names":false,"suffix":""},{"dropping-particle":"","family":"Clarke","given":"Stewart J.","non-dropping-particle":"","parse-names":false,"suffix":""}],"container-title":"Journal of Applied Ecology","id":"ITEM-1","issue":"3","issued":{"date-parts":[["2015"]]},"page":"641-653","title":"Towards a risk register for natural capital","type":"article-journal","volume":"52"},"uris":["http://www.mendeley.com/documents/?uuid=3712800e-6e8c-4494-bc60-6d2071452e34"]}],"mendeley":{"formattedCitation":"&lt;sup&gt;2&lt;/sup&gt;","plainTextFormattedCitation":"2","previouslyFormattedCitation":"&lt;sup&gt;2&lt;/sup&gt;"},"properties":{"noteIndex":0},"schema":"https://github.com/citation-style-language/schema/raw/master/csl-citation.json"}</w:instrText>
      </w:r>
      <w:r w:rsidRPr="00DE5C02">
        <w:rPr>
          <w:szCs w:val="24"/>
        </w:rPr>
        <w:fldChar w:fldCharType="separate"/>
      </w:r>
      <w:r w:rsidRPr="00DE5C02">
        <w:rPr>
          <w:noProof/>
          <w:szCs w:val="24"/>
          <w:vertAlign w:val="superscript"/>
        </w:rPr>
        <w:t>2</w:t>
      </w:r>
      <w:r w:rsidRPr="00DE5C02">
        <w:rPr>
          <w:szCs w:val="24"/>
        </w:rPr>
        <w:fldChar w:fldCharType="end"/>
      </w:r>
      <w:r w:rsidRPr="00DE5C02">
        <w:rPr>
          <w:rFonts w:cstheme="minorHAnsi"/>
        </w:rPr>
        <w:t>.</w:t>
      </w:r>
      <w:r w:rsidR="00F53295" w:rsidRPr="00DE5C02">
        <w:rPr>
          <w:rFonts w:cstheme="minorHAnsi"/>
        </w:rPr>
        <w:t xml:space="preserve"> </w:t>
      </w:r>
      <w:r w:rsidR="00897750" w:rsidRPr="00DE5C02">
        <w:t>The selection of ecosystem responses will be somewhat constrained by the information collected over large</w:t>
      </w:r>
      <w:r w:rsidR="00B11DF5" w:rsidRPr="00DE5C02">
        <w:t xml:space="preserve"> areas</w:t>
      </w:r>
      <w:r w:rsidR="00897750" w:rsidRPr="00DE5C02">
        <w:t>. As far as possible, ecosystem responses</w:t>
      </w:r>
      <w:r w:rsidR="00DE65B0" w:rsidRPr="00DE5C02">
        <w:t xml:space="preserve"> selected</w:t>
      </w:r>
      <w:r w:rsidR="00897750" w:rsidRPr="00DE5C02">
        <w:t xml:space="preserve"> </w:t>
      </w:r>
      <w:r w:rsidR="00B11DF5" w:rsidRPr="00DE5C02">
        <w:t xml:space="preserve">should </w:t>
      </w:r>
      <w:r w:rsidR="00DE65B0" w:rsidRPr="00DE5C02">
        <w:t>i) be</w:t>
      </w:r>
      <w:r w:rsidR="0019048E" w:rsidRPr="00DE5C02">
        <w:t xml:space="preserve"> directly linked to </w:t>
      </w:r>
      <w:r w:rsidR="00897750" w:rsidRPr="00DE5C02">
        <w:t xml:space="preserve">measurable </w:t>
      </w:r>
      <w:r w:rsidR="00B11DF5" w:rsidRPr="00DE5C02">
        <w:t xml:space="preserve">natural capital </w:t>
      </w:r>
      <w:r w:rsidR="00897750" w:rsidRPr="00DE5C02">
        <w:t xml:space="preserve">targets </w:t>
      </w:r>
      <w:r w:rsidR="00762739" w:rsidRPr="00DE5C02">
        <w:t xml:space="preserve">that </w:t>
      </w:r>
      <w:r w:rsidR="00DE65B0" w:rsidRPr="00DE5C02">
        <w:t>ii</w:t>
      </w:r>
      <w:r w:rsidR="00897750" w:rsidRPr="00DE5C02">
        <w:t xml:space="preserve">) </w:t>
      </w:r>
      <w:r w:rsidR="00B11DF5" w:rsidRPr="00DE5C02">
        <w:t xml:space="preserve">have </w:t>
      </w:r>
      <w:r w:rsidR="00897750" w:rsidRPr="00DE5C02">
        <w:t>explicit social value</w:t>
      </w:r>
      <w:r w:rsidR="00DE65B0" w:rsidRPr="00DE5C02">
        <w:t>, and</w:t>
      </w:r>
      <w:r w:rsidR="00897750" w:rsidRPr="00DE5C02">
        <w:t xml:space="preserve"> ii</w:t>
      </w:r>
      <w:r w:rsidR="00DE65B0" w:rsidRPr="00DE5C02">
        <w:t>i</w:t>
      </w:r>
      <w:r w:rsidR="00897750" w:rsidRPr="00DE5C02">
        <w:t xml:space="preserve">) </w:t>
      </w:r>
      <w:r w:rsidR="00B11DF5" w:rsidRPr="00DE5C02">
        <w:t xml:space="preserve">are of </w:t>
      </w:r>
      <w:r w:rsidR="00897750" w:rsidRPr="00DE5C02">
        <w:t>direct relevance to management</w:t>
      </w:r>
      <w:r w:rsidR="00897750" w:rsidRPr="00DE5C02">
        <w:fldChar w:fldCharType="begin" w:fldLock="1"/>
      </w:r>
      <w:r w:rsidR="006821F3" w:rsidRPr="00DE5C02">
        <w:instrText>ADDIN CSL_CITATION {"citationItems":[{"id":"ITEM-1","itemData":{"DOI":"10.1111/ele.12389","ISBN":"1461-0248 (Electronic)\\r1461-023X (Linking)","ISSN":"14610248","PMID":"25394857","abstract":"Governments worldwide are recognising ecosystem services as an approach to address sustainability challenges. Decision-makers need credible and legitimate measurements of ecosystem services to evaluate decisions for trade-offs to make wise choices. Managers lack these measurements because of a data gap linking ecosystem characteristics to final ecosystem services. The dominant method to address the data gap is benefit transfer using ecological data from one location to estimate ecosystem services at other locations with similar land cover. However, benefit transfer is only valid once the data gap is adequately resolved. Disciplinary frames separating ecology from economics and policy have resulted in confusion on concepts and methods preventing progress on the data gap. In this study, we present a 10-step approach to unify concepts, methods and data from the disparate disciplines to offer guidance on overcoming the data gap. We suggest: (1) estimate ecosystem characteristics using biophysical models, (2) identify final ecosystem services using endpoints and (3) connect them using ecological production functions to quantify biophysical trade-offs. The guidance is strategic for public policy because analysts need to be: (1) realistic when setting priorities, (2) attentive to timelines to acquire relevant data, given resources and (3) responsive to the needs of decision-makers.","author":[{"dropping-particle":"","family":"Wong","given":"Christina P.","non-dropping-particle":"","parse-names":false,"suffix":""},{"dropping-particle":"","family":"Jiang","given":"Bo","non-dropping-particle":"","parse-names":false,"suffix":""},{"dropping-particle":"","family":"Kinzig","given":"Ann P.","non-dropping-particle":"","parse-names":false,"suffix":""},{"dropping-particle":"","family":"Lee","given":"Kai N.","non-dropping-particle":"","parse-names":false,"suffix":""},{"dropping-particle":"","family":"Ouyang","given":"Zhiyun","non-dropping-particle":"","parse-names":false,"suffix":""}],"container-title":"Ecology Letters","id":"ITEM-1","issue":"1","issued":{"date-parts":[["2015"]]},"page":"108-118","title":"Linking ecosystem characteristics to final ecosystem services for public policy","type":"article-journal","volume":"18"},"uris":["http://www.mendeley.com/documents/?uuid=e55b8642-8662-4cf4-ba52-ef1c73377494"]}],"mendeley":{"formattedCitation":"&lt;sup&gt;9&lt;/sup&gt;","plainTextFormattedCitation":"9","previouslyFormattedCitation":"&lt;sup&gt;9&lt;/sup&gt;"},"properties":{"noteIndex":0},"schema":"https://github.com/citation-style-language/schema/raw/master/csl-citation.json"}</w:instrText>
      </w:r>
      <w:r w:rsidR="00897750" w:rsidRPr="00DE5C02">
        <w:fldChar w:fldCharType="separate"/>
      </w:r>
      <w:r w:rsidR="00A801AF" w:rsidRPr="00DE5C02">
        <w:rPr>
          <w:noProof/>
          <w:vertAlign w:val="superscript"/>
        </w:rPr>
        <w:t>9</w:t>
      </w:r>
      <w:r w:rsidR="00897750" w:rsidRPr="00DE5C02">
        <w:fldChar w:fldCharType="end"/>
      </w:r>
      <w:r w:rsidR="00897750" w:rsidRPr="00DE5C02">
        <w:t xml:space="preserve">. Measurements should be taken at the </w:t>
      </w:r>
      <w:r w:rsidR="008337AF" w:rsidRPr="00DE5C02">
        <w:t xml:space="preserve">scale at which </w:t>
      </w:r>
      <w:r w:rsidR="00897750" w:rsidRPr="00DE5C02">
        <w:t xml:space="preserve">uniform </w:t>
      </w:r>
      <w:r w:rsidR="00DE65B0" w:rsidRPr="00DE5C02">
        <w:t xml:space="preserve">local-level </w:t>
      </w:r>
      <w:r w:rsidR="00897750" w:rsidRPr="00DE5C02">
        <w:t>management</w:t>
      </w:r>
      <w:r w:rsidR="008337AF" w:rsidRPr="00DE5C02">
        <w:t xml:space="preserve"> actions occur, such as within forest stands or patches of land cover</w:t>
      </w:r>
      <w:r w:rsidR="00897750" w:rsidRPr="00DE5C02">
        <w:fldChar w:fldCharType="begin" w:fldLock="1"/>
      </w:r>
      <w:r w:rsidR="00B81E3F" w:rsidRPr="00DE5C02">
        <w:instrText>ADDIN CSL_CITATION {"citationItems":[{"id":"ITEM-1","itemData":{"DOI":"10.1038/s41559-017-0461-7","ISBN":"2397-334X","ISSN":"2397-334X","abstract":"Recent years have seen a surge of interest in ecosystem multifunctionality, a concept that has developed in the largely separate fields of biodiversity–ecosystem function and land management research. Here we discuss the merit of the multifunctionality concept, the advances it has delivered, the challenges it faces and solutions to these challenges. This involves the redefinition of multifunctionality as a property that exists at two levels: ecosystem function multifunctionality and ecosystem service multifunctionality. The framework presented provides a road map for the development of multifunctionality measures that are robust, quantifiable and relevant to both fundamental ecological science and ecosystem management.","author":[{"dropping-particle":"","family":"Manning","given":"Peter","non-dropping-particle":"","parse-names":false,"suffix":""},{"dropping-particle":"","family":"Plas","given":"Fons","non-dropping-particle":"van der","parse-names":false,"suffix":""},{"dropping-particle":"","family":"Soliveres","given":"Santiago","non-dropping-particle":"","parse-names":false,"suffix":""},{"dropping-particle":"","family":"Allan","given":"Eric","non-dropping-particle":"","parse-names":false,"suffix":""},{"dropping-particle":"","family":"Maestre","given":"Fernando T.","non-dropping-particle":"","parse-names":false,"suffix":""},{"dropping-particle":"","family":"Mace","given":"Georgina","non-dropping-particle":"","parse-names":false,"suffix":""},{"dropping-particle":"","family":"Whittingham","given":"Mark J.","non-dropping-particle":"","parse-names":false,"suffix":""},{"dropping-particle":"","family":"Fischer","given":"Markus","non-dropping-particle":"","parse-names":false,"suffix":""}],"container-title":"Nature Ecology &amp; Evolution","id":"ITEM-1","issue":"3","issued":{"date-parts":[["2018"]]},"page":"427-436","publisher":"Springer US","title":"Redefining ecosystem multifunctionality","type":"article-journal","volume":"2"},"uris":["http://www.mendeley.com/documents/?uuid=21f12777-dd07-4e71-9027-4cce35620427"]}],"mendeley":{"formattedCitation":"&lt;sup&gt;24&lt;/sup&gt;","plainTextFormattedCitation":"24","previouslyFormattedCitation":"&lt;sup&gt;24&lt;/sup&gt;"},"properties":{"noteIndex":0},"schema":"https://github.com/citation-style-language/schema/raw/master/csl-citation.json"}</w:instrText>
      </w:r>
      <w:r w:rsidR="00897750" w:rsidRPr="00DE5C02">
        <w:fldChar w:fldCharType="separate"/>
      </w:r>
      <w:r w:rsidR="00173667" w:rsidRPr="00DE5C02">
        <w:rPr>
          <w:noProof/>
          <w:vertAlign w:val="superscript"/>
        </w:rPr>
        <w:t>24</w:t>
      </w:r>
      <w:r w:rsidR="00897750" w:rsidRPr="00DE5C02">
        <w:fldChar w:fldCharType="end"/>
      </w:r>
      <w:r w:rsidR="00897750" w:rsidRPr="00DE5C02">
        <w:t>.</w:t>
      </w:r>
    </w:p>
    <w:p w14:paraId="2ED6D658" w14:textId="279A96D8" w:rsidR="00897750" w:rsidRPr="00DE5C02" w:rsidRDefault="005C15E3" w:rsidP="008337AF">
      <w:pPr>
        <w:rPr>
          <w:lang w:eastAsia="zh-CN"/>
        </w:rPr>
      </w:pPr>
      <w:r w:rsidRPr="00DE5C02">
        <w:t>For the rhododendron case</w:t>
      </w:r>
      <w:r w:rsidR="00B22C91" w:rsidRPr="00DE5C02">
        <w:t xml:space="preserve"> study</w:t>
      </w:r>
      <w:r w:rsidRPr="00DE5C02">
        <w:t>, o</w:t>
      </w:r>
      <w:r w:rsidR="00072C7E" w:rsidRPr="00DE5C02">
        <w:t>ur chosen ecosystem response is the</w:t>
      </w:r>
      <w:r w:rsidRPr="00DE5C02">
        <w:t xml:space="preserve"> </w:t>
      </w:r>
      <w:r w:rsidR="00897750" w:rsidRPr="00DE5C02">
        <w:t xml:space="preserve">susceptibility to invasion by </w:t>
      </w:r>
      <w:r w:rsidR="00513668" w:rsidRPr="00DE5C02">
        <w:t>r</w:t>
      </w:r>
      <w:r w:rsidR="00897750" w:rsidRPr="00DE5C02">
        <w:t xml:space="preserve">hododendron. </w:t>
      </w:r>
      <w:r w:rsidR="00897750" w:rsidRPr="00DE5C02">
        <w:rPr>
          <w:rFonts w:cs="Times New Roman"/>
          <w:szCs w:val="24"/>
        </w:rPr>
        <w:t>The cost of limiting its spread by local eradication increases with growth stage;</w:t>
      </w:r>
      <w:r w:rsidR="00897750" w:rsidRPr="00DE5C02">
        <w:t xml:space="preserve"> untrained volunteers can remove young seedlings by hand, while </w:t>
      </w:r>
      <w:r w:rsidR="00A82D89" w:rsidRPr="00DE5C02">
        <w:t xml:space="preserve">older </w:t>
      </w:r>
      <w:r w:rsidR="00897750" w:rsidRPr="00DE5C02">
        <w:t>bushes require costly mechanical and chemical treatment</w:t>
      </w:r>
      <w:r w:rsidR="00897750" w:rsidRPr="00DE5C02">
        <w:rPr>
          <w:rFonts w:cs="Times New Roman"/>
          <w:szCs w:val="24"/>
        </w:rPr>
        <w:fldChar w:fldCharType="begin" w:fldLock="1"/>
      </w:r>
      <w:r w:rsidR="00B81E3F" w:rsidRPr="00DE5C02">
        <w:rPr>
          <w:rFonts w:cs="Times New Roman"/>
          <w:szCs w:val="24"/>
        </w:rPr>
        <w:instrText>ADDIN CSL_CITATION {"citationItems":[{"id":"ITEM-1","itemData":{"author":[{"dropping-particle":"","family":"Edwards","given":"C.","non-dropping-particle":"","parse-names":false,"suffix":""}],"id":"ITEM-1","issued":{"date-parts":[["2006"]]},"publisher-place":"Edinburgh","title":"No TitleForestry Commission Practice Guide: Managing and controlling invasive rhododendron","type":"report"},"uris":["http://www.mendeley.com/documents/?uuid=75545382-3b77-4f9d-87e1-36bb17ca6e77","http://www.mendeley.com/documents/?uuid=0190c96b-8d32-4303-88c9-765c78c433e6"]}],"mendeley":{"formattedCitation":"&lt;sup&gt;22&lt;/sup&gt;","plainTextFormattedCitation":"22","previouslyFormattedCitation":"&lt;sup&gt;22&lt;/sup&gt;"},"properties":{"noteIndex":0},"schema":"https://github.com/citation-style-language/schema/raw/master/csl-citation.json"}</w:instrText>
      </w:r>
      <w:r w:rsidR="00897750" w:rsidRPr="00DE5C02">
        <w:rPr>
          <w:rFonts w:cs="Times New Roman"/>
          <w:szCs w:val="24"/>
        </w:rPr>
        <w:fldChar w:fldCharType="separate"/>
      </w:r>
      <w:r w:rsidR="00173667" w:rsidRPr="00DE5C02">
        <w:rPr>
          <w:rFonts w:cs="Times New Roman"/>
          <w:noProof/>
          <w:szCs w:val="24"/>
          <w:vertAlign w:val="superscript"/>
        </w:rPr>
        <w:t>22</w:t>
      </w:r>
      <w:r w:rsidR="00897750" w:rsidRPr="00DE5C02">
        <w:rPr>
          <w:rFonts w:cs="Times New Roman"/>
          <w:szCs w:val="24"/>
        </w:rPr>
        <w:fldChar w:fldCharType="end"/>
      </w:r>
      <w:r w:rsidR="00A82D89" w:rsidRPr="00DE5C02">
        <w:rPr>
          <w:rFonts w:cs="Times New Roman"/>
          <w:szCs w:val="24"/>
        </w:rPr>
        <w:t xml:space="preserve"> and also produce seeds </w:t>
      </w:r>
      <w:r w:rsidR="00072C7E" w:rsidRPr="00DE5C02">
        <w:rPr>
          <w:rFonts w:cs="Times New Roman"/>
          <w:szCs w:val="24"/>
        </w:rPr>
        <w:t>that</w:t>
      </w:r>
      <w:r w:rsidR="00A82D89" w:rsidRPr="00DE5C02">
        <w:rPr>
          <w:rFonts w:cs="Times New Roman"/>
          <w:szCs w:val="24"/>
        </w:rPr>
        <w:t xml:space="preserve"> allow spread</w:t>
      </w:r>
      <w:r w:rsidR="00897750" w:rsidRPr="00DE5C02">
        <w:t xml:space="preserve">. Identifying the factors that render a woodland susceptible to invasion is therefore critical to inform </w:t>
      </w:r>
      <w:r w:rsidR="00897750" w:rsidRPr="00DE5C02">
        <w:rPr>
          <w:rFonts w:cs="Times New Roman"/>
          <w:szCs w:val="24"/>
        </w:rPr>
        <w:t xml:space="preserve">spatial targeting of </w:t>
      </w:r>
      <w:r w:rsidR="007041E1" w:rsidRPr="00DE5C02">
        <w:rPr>
          <w:rFonts w:cs="Times New Roman"/>
          <w:szCs w:val="24"/>
        </w:rPr>
        <w:t xml:space="preserve">management </w:t>
      </w:r>
      <w:r w:rsidR="00897750" w:rsidRPr="00DE5C02">
        <w:rPr>
          <w:rFonts w:cs="Times New Roman"/>
          <w:szCs w:val="24"/>
        </w:rPr>
        <w:t xml:space="preserve">and monitoring to allow for removal </w:t>
      </w:r>
      <w:r w:rsidR="00897750" w:rsidRPr="00DE5C02">
        <w:t>before they set seed</w:t>
      </w:r>
      <w:r w:rsidR="00897750" w:rsidRPr="00DE5C02">
        <w:rPr>
          <w:rFonts w:cs="Times New Roman"/>
          <w:szCs w:val="24"/>
        </w:rPr>
        <w:t xml:space="preserve">. </w:t>
      </w:r>
      <w:r w:rsidR="00897750" w:rsidRPr="00DE5C02">
        <w:t>We used</w:t>
      </w:r>
      <w:r w:rsidR="008337AF" w:rsidRPr="00DE5C02">
        <w:t xml:space="preserve"> </w:t>
      </w:r>
      <w:r w:rsidR="00482C71" w:rsidRPr="00DE5C02">
        <w:t xml:space="preserve">12,473 </w:t>
      </w:r>
      <w:r w:rsidR="008337AF" w:rsidRPr="00DE5C02">
        <w:t xml:space="preserve">‘section-level’ </w:t>
      </w:r>
      <w:r w:rsidR="00897750" w:rsidRPr="00DE5C02">
        <w:t xml:space="preserve">records of occurrence (presence/absence) </w:t>
      </w:r>
      <w:r w:rsidR="00985F26" w:rsidRPr="00DE5C02">
        <w:t xml:space="preserve">from </w:t>
      </w:r>
      <w:r w:rsidR="00897750" w:rsidRPr="00DE5C02">
        <w:t xml:space="preserve">the </w:t>
      </w:r>
      <w:r w:rsidR="00F16E4B" w:rsidRPr="00DE5C02">
        <w:t xml:space="preserve">UK </w:t>
      </w:r>
      <w:r w:rsidR="00897750" w:rsidRPr="00DE5C02">
        <w:t>Forestry Commission’s National Forest Inventory (NFI; 2010 – 2015</w:t>
      </w:r>
      <w:r w:rsidR="00072C7E" w:rsidRPr="00DE5C02">
        <w:t>; Appendix S1.1</w:t>
      </w:r>
      <w:r w:rsidR="00897750" w:rsidRPr="00DE5C02">
        <w:t>). Th</w:t>
      </w:r>
      <w:r w:rsidR="008337AF" w:rsidRPr="00DE5C02">
        <w:t>e NFI</w:t>
      </w:r>
      <w:r w:rsidR="00897750" w:rsidRPr="00DE5C02">
        <w:t xml:space="preserve"> </w:t>
      </w:r>
      <w:r w:rsidR="00897750" w:rsidRPr="00DE5C02">
        <w:rPr>
          <w:iCs/>
        </w:rPr>
        <w:t>monitors over 15,000 1</w:t>
      </w:r>
      <w:r w:rsidR="002D3E84" w:rsidRPr="00DE5C02">
        <w:rPr>
          <w:iCs/>
        </w:rPr>
        <w:t>-</w:t>
      </w:r>
      <w:r w:rsidR="00897750" w:rsidRPr="00DE5C02">
        <w:rPr>
          <w:iCs/>
        </w:rPr>
        <w:t xml:space="preserve">ha woodland ‘squares’ widely distributed across Great Britain, </w:t>
      </w:r>
      <w:r w:rsidR="00897750" w:rsidRPr="00DE5C02">
        <w:t xml:space="preserve">spanning gradients of regional, landscape and local drivers. Squares are subdivided into </w:t>
      </w:r>
      <w:r w:rsidR="008337AF" w:rsidRPr="00DE5C02">
        <w:t>‘</w:t>
      </w:r>
      <w:r w:rsidR="00897750" w:rsidRPr="00DE5C02">
        <w:t>sections</w:t>
      </w:r>
      <w:r w:rsidR="008337AF" w:rsidRPr="00DE5C02">
        <w:t>’</w:t>
      </w:r>
      <w:r w:rsidR="00897750" w:rsidRPr="00DE5C02">
        <w:t xml:space="preserve"> of at least 0.05</w:t>
      </w:r>
      <w:r w:rsidR="002D3E84" w:rsidRPr="00DE5C02">
        <w:t>-</w:t>
      </w:r>
      <w:r w:rsidR="00897750" w:rsidRPr="00DE5C02">
        <w:t>ha that are relatively homogenous in terms of habitat and attributes including silvicultural system</w:t>
      </w:r>
      <w:r w:rsidR="00B66A39" w:rsidRPr="00DE5C02">
        <w:t xml:space="preserve"> and vertical structure</w:t>
      </w:r>
      <w:r w:rsidR="00897750" w:rsidRPr="00DE5C02">
        <w:t>. Sections therefore represent local management units</w:t>
      </w:r>
      <w:r w:rsidR="008337AF" w:rsidRPr="00DE5C02">
        <w:t xml:space="preserve"> and a relevant scale for measuring this ecosystem response</w:t>
      </w:r>
      <w:r w:rsidR="00897750" w:rsidRPr="00DE5C02">
        <w:t xml:space="preserve">.   </w:t>
      </w:r>
    </w:p>
    <w:p w14:paraId="1AEB6441" w14:textId="1276C609" w:rsidR="00CD62C9" w:rsidRPr="00DE5C02" w:rsidRDefault="00897750" w:rsidP="00CD62C9">
      <w:pPr>
        <w:rPr>
          <w:rFonts w:cs="Times New Roman"/>
          <w:szCs w:val="24"/>
        </w:rPr>
      </w:pPr>
      <w:r w:rsidRPr="00DE5C02">
        <w:rPr>
          <w:rFonts w:cs="Times New Roman"/>
          <w:szCs w:val="24"/>
        </w:rPr>
        <w:t xml:space="preserve">For pond water quality, we selected measures of soluble reactive phosphorous concentrations (SRP) </w:t>
      </w:r>
      <w:r w:rsidR="00DE0DAB" w:rsidRPr="00DE5C02">
        <w:rPr>
          <w:rFonts w:cs="Times New Roman"/>
          <w:szCs w:val="24"/>
        </w:rPr>
        <w:t>in</w:t>
      </w:r>
      <w:r w:rsidRPr="00DE5C02">
        <w:rPr>
          <w:rFonts w:cs="Times New Roman"/>
          <w:szCs w:val="24"/>
        </w:rPr>
        <w:t xml:space="preserve"> ponds surveyed in the </w:t>
      </w:r>
      <w:r w:rsidR="005E76B1" w:rsidRPr="00DE5C02">
        <w:rPr>
          <w:rFonts w:cs="Times New Roman"/>
          <w:szCs w:val="24"/>
        </w:rPr>
        <w:t xml:space="preserve">UK </w:t>
      </w:r>
      <w:r w:rsidRPr="00DE5C02">
        <w:rPr>
          <w:rFonts w:cs="Times New Roman"/>
          <w:szCs w:val="24"/>
        </w:rPr>
        <w:t xml:space="preserve">Countryside Survey 2007 (CS2007; </w:t>
      </w:r>
      <w:hyperlink w:history="1">
        <w:r w:rsidR="002C5343" w:rsidRPr="00DE5C02">
          <w:rPr>
            <w:rStyle w:val="Hyperlink"/>
            <w:rFonts w:cs="Times New Roman"/>
          </w:rPr>
          <w:t>http://www.countrysidesurvey.org.uk )</w:t>
        </w:r>
      </w:hyperlink>
      <w:r w:rsidRPr="00DE5C02">
        <w:rPr>
          <w:rFonts w:cs="Times New Roman"/>
          <w:szCs w:val="24"/>
        </w:rPr>
        <w:t xml:space="preserve">. CS2007 </w:t>
      </w:r>
      <w:r w:rsidR="00DE0DAB" w:rsidRPr="00DE5C02">
        <w:rPr>
          <w:rFonts w:cs="Times New Roman"/>
          <w:szCs w:val="24"/>
        </w:rPr>
        <w:t>comprises</w:t>
      </w:r>
      <w:r w:rsidRPr="00DE5C02">
        <w:rPr>
          <w:rFonts w:cs="Times New Roman"/>
          <w:szCs w:val="24"/>
        </w:rPr>
        <w:t xml:space="preserve"> 591, 1×1-km ‘sample squares’ distributed across Britain in a stratified, random design </w:t>
      </w:r>
      <w:r w:rsidR="00DE0DAB" w:rsidRPr="00DE5C02">
        <w:rPr>
          <w:rFonts w:cs="Times New Roman"/>
          <w:szCs w:val="24"/>
        </w:rPr>
        <w:t>which</w:t>
      </w:r>
      <w:r w:rsidRPr="00DE5C02">
        <w:rPr>
          <w:rFonts w:cs="Times New Roman"/>
          <w:szCs w:val="24"/>
        </w:rPr>
        <w:t xml:space="preserve"> maximise</w:t>
      </w:r>
      <w:r w:rsidR="00DE0DAB" w:rsidRPr="00DE5C02">
        <w:rPr>
          <w:rFonts w:cs="Times New Roman"/>
          <w:szCs w:val="24"/>
        </w:rPr>
        <w:t>d</w:t>
      </w:r>
      <w:r w:rsidRPr="00DE5C02">
        <w:rPr>
          <w:rFonts w:cs="Times New Roman"/>
          <w:szCs w:val="24"/>
        </w:rPr>
        <w:t xml:space="preserve"> sampling across the</w:t>
      </w:r>
      <w:r w:rsidR="002D3E84" w:rsidRPr="00DE5C02">
        <w:rPr>
          <w:rFonts w:cs="Times New Roman"/>
          <w:szCs w:val="24"/>
        </w:rPr>
        <w:t xml:space="preserve"> country’s</w:t>
      </w:r>
      <w:r w:rsidRPr="00DE5C02">
        <w:rPr>
          <w:rFonts w:cs="Times New Roman"/>
          <w:szCs w:val="24"/>
        </w:rPr>
        <w:t xml:space="preserve"> ‘major environmental gradients’, </w:t>
      </w:r>
      <w:r w:rsidRPr="00DE5C02">
        <w:t>based on a classification of all 1-km squares in Britain according to their topographic, climatic and geological attributes</w:t>
      </w:r>
      <w:r w:rsidRPr="00DE5C02">
        <w:rPr>
          <w:rFonts w:cs="Times New Roman"/>
          <w:szCs w:val="24"/>
        </w:rPr>
        <w:fldChar w:fldCharType="begin" w:fldLock="1"/>
      </w:r>
      <w:r w:rsidR="00B81E3F" w:rsidRPr="00DE5C02">
        <w:rPr>
          <w:rFonts w:cs="Times New Roman"/>
          <w:szCs w:val="24"/>
        </w:rPr>
        <w:instrText>ADDIN CSL_CITATION {"citationItems":[{"id":"ITEM-1","itemData":{"abstract":"This chapter describes the rationale and methods that have been used to collect the data for Countryside Survey in 2007 and in the preceding Surveys. Countryside Survey is made up of two main parts: a) the Field Survey (reported here) focuses on habitats, vegetation, soils (0-15 cm) and freshwater; and b) the Land Cover Map (which will be published in 2009) is a digital map using satellite data from space. The Field Survey covered a total of 591 1km x 1km sample squares spread across England, Scotland and Wales, representative of the variations in the climate and geology of the three countries. Data are also included where appropriate, from a separate survey of 0.5km x 0.5km squares undertaken in Northern Ireland. The two surveys are undertaken separately but the results are brought together where possible in this report for the UK. Areas of habitat were mapped within each square and more detailed samples were made of vegetation in a series of plots. The plots varied in size depending on the feature being sampled, but in all plots the species of plant present and the percentage of the area they covered were recorded. Soil (0-15cm) samples were also collected from five plots in each square, and a stream and a pond were also sampled in many of the squares. The data collected enables estimates of: • the area of habitats and the change in area of habitats; • the changing condition of vegetation; • the pH, carbon concentration and bulk density of soils (0-15cm); and • the changing condition of freshwaters and ponds.","author":[{"dropping-particle":"","family":"Carey","given":"P.D.","non-dropping-particle":"","parse-names":false,"suffix":""},{"dropping-particle":"","family":"Wallis","given":"S.","non-dropping-particle":"","parse-names":false,"suffix":""},{"dropping-particle":"","family":"Chamberlain","given":"P.M.","non-dropping-particle":"","parse-names":false,"suffix":""},{"dropping-particle":"","family":"Cooper","given":"A.","non-dropping-particle":"","parse-names":false,"suffix":""},{"dropping-particle":"","family":"Emmett","given":"B.A.","non-dropping-particle":"","parse-names":false,"suffix":""},{"dropping-particle":"","family":"Maskell","given":"L.C.","non-dropping-particle":"","parse-names":false,"suffix":""},{"dropping-particle":"","family":"McCann","given":"T.","non-dropping-particle":"","parse-names":false,"suffix":""},{"dropping-particle":"","family":"Murphy","given":"J.","non-dropping-particle":"","parse-names":false,"suffix":""},{"dropping-particle":"","family":"Norton","given":"L.R.","non-dropping-particle":"","parse-names":false,"suffix":""},{"dropping-particle":"","family":"Reynolds","given":"B.","non-dropping-particle":"","parse-names":false,"suffix":""},{"dropping-particle":"","family":"Scott","given":"W.A.","non-dropping-particle":"","parse-names":false,"suffix":""},{"dropping-particle":"","family":"Simpson","given":"I.C.","non-dropping-particle":"","parse-names":false,"suffix":""},{"dropping-particle":"","family":"Smart","given":"S.M.","non-dropping-particle":"","parse-names":false,"suffix":""},{"dropping-particle":"","family":"Ullyett","given":"J.M","non-dropping-particle":"","parse-names":false,"suffix":""}],"container-title":"Countryside Survey: UK results from 2007","id":"ITEM-1","issued":{"date-parts":[["2009"]]},"title":"Countryside Survey Methodology","type":"article-journal"},"uris":["http://www.mendeley.com/documents/?uuid=256f63e7-60ee-4329-86de-6dec92ea246a"]}],"mendeley":{"formattedCitation":"&lt;sup&gt;25&lt;/sup&gt;","plainTextFormattedCitation":"25","previouslyFormattedCitation":"&lt;sup&gt;25&lt;/sup&gt;"},"properties":{"noteIndex":0},"schema":"https://github.com/citation-style-language/schema/raw/master/csl-citation.json"}</w:instrText>
      </w:r>
      <w:r w:rsidRPr="00DE5C02">
        <w:rPr>
          <w:rFonts w:cs="Times New Roman"/>
          <w:szCs w:val="24"/>
        </w:rPr>
        <w:fldChar w:fldCharType="separate"/>
      </w:r>
      <w:r w:rsidR="00173667" w:rsidRPr="00DE5C02">
        <w:rPr>
          <w:rFonts w:cs="Times New Roman"/>
          <w:noProof/>
          <w:szCs w:val="24"/>
          <w:vertAlign w:val="superscript"/>
        </w:rPr>
        <w:t>25</w:t>
      </w:r>
      <w:r w:rsidRPr="00DE5C02">
        <w:rPr>
          <w:rFonts w:cs="Times New Roman"/>
          <w:szCs w:val="24"/>
        </w:rPr>
        <w:fldChar w:fldCharType="end"/>
      </w:r>
      <w:r w:rsidRPr="00DE5C02">
        <w:rPr>
          <w:rFonts w:cs="Times New Roman"/>
          <w:szCs w:val="24"/>
        </w:rPr>
        <w:t>. From the 591 sample squares, 259 contained a pond that was surveyed for physical, chemical and biotic attributes</w:t>
      </w:r>
      <w:r w:rsidRPr="00DE5C02">
        <w:rPr>
          <w:rFonts w:cs="Times New Roman"/>
          <w:szCs w:val="24"/>
        </w:rPr>
        <w:fldChar w:fldCharType="begin" w:fldLock="1"/>
      </w:r>
      <w:r w:rsidR="00B81E3F" w:rsidRPr="00DE5C02">
        <w:rPr>
          <w:rFonts w:cs="Times New Roman"/>
          <w:szCs w:val="24"/>
        </w:rPr>
        <w:instrText>ADDIN CSL_CITATION {"citationItems":[{"id":"ITEM-1","itemData":{"author":[{"dropping-particle":"","family":"Williams","given":"P","non-dropping-particle":"","parse-names":false,"suffix":""},{"dropping-particle":"","family":"Biggs","given":"J","non-dropping-particle":"","parse-names":false,"suffix":""},{"dropping-particle":"","family":"Crowe","given":"A","non-dropping-particle":"","parse-names":false,"suffix":""},{"dropping-particle":"","family":"Murphy","given":"J","non-dropping-particle":"","parse-names":false,"suffix":""},{"dropping-particle":"","family":"Nicolet","given":"P","non-dropping-particle":"","parse-names":false,"suffix":""},{"dropping-particle":"","family":"Weatherby","given":"A","non-dropping-particle":"","parse-names":false,"suffix":""},{"dropping-particle":"","family":"Dunbar","given":"M","non-dropping-particle":"","parse-names":false,"suffix":""}],"container-title":"Pond Conservation and NERC/Centre for Ecology &amp; Hydrology","id":"ITEM-1","issued":{"date-parts":[["2010"]]},"page":" 77pp. (CEH Project Number: C03259).","title":"Countryside Survey: Ponds Report from 2007. Technical Report No. 7/07","type":"article-journal"},"uris":["http://www.mendeley.com/documents/?uuid=bb8eedbb-ab41-4a75-bfb4-6f2c765b7c0b"]}],"mendeley":{"formattedCitation":"&lt;sup&gt;26&lt;/sup&gt;","plainTextFormattedCitation":"26","previouslyFormattedCitation":"&lt;sup&gt;26&lt;/sup&gt;"},"properties":{"noteIndex":0},"schema":"https://github.com/citation-style-language/schema/raw/master/csl-citation.json"}</w:instrText>
      </w:r>
      <w:r w:rsidRPr="00DE5C02">
        <w:rPr>
          <w:rFonts w:cs="Times New Roman"/>
          <w:szCs w:val="24"/>
        </w:rPr>
        <w:fldChar w:fldCharType="separate"/>
      </w:r>
      <w:r w:rsidR="00173667" w:rsidRPr="00DE5C02">
        <w:rPr>
          <w:rFonts w:cs="Times New Roman"/>
          <w:noProof/>
          <w:szCs w:val="24"/>
          <w:vertAlign w:val="superscript"/>
        </w:rPr>
        <w:t>26</w:t>
      </w:r>
      <w:r w:rsidRPr="00DE5C02">
        <w:rPr>
          <w:rFonts w:cs="Times New Roman"/>
          <w:szCs w:val="24"/>
        </w:rPr>
        <w:fldChar w:fldCharType="end"/>
      </w:r>
      <w:r w:rsidRPr="00DE5C02">
        <w:rPr>
          <w:rFonts w:cs="Times New Roman"/>
          <w:szCs w:val="24"/>
        </w:rPr>
        <w:t>. SRP is influenced by land cover and anthropogenic activities within catchments, and is an indicator of eutrophication</w:t>
      </w:r>
      <w:r w:rsidRPr="00DE5C02">
        <w:rPr>
          <w:rFonts w:cs="Times New Roman"/>
          <w:szCs w:val="24"/>
        </w:rPr>
        <w:fldChar w:fldCharType="begin" w:fldLock="1"/>
      </w:r>
      <w:r w:rsidR="006821F3" w:rsidRPr="00DE5C02">
        <w:rPr>
          <w:rFonts w:cs="Times New Roman"/>
          <w:szCs w:val="24"/>
        </w:rPr>
        <w:instrText>ADDIN CSL_CITATION {"citationItems":[{"id":"ITEM-1","itemData":{"DOI":"10.1890/12-1872.1","ISBN":"1051-0761","ISSN":"10510761","PMID":"24261043","abstract":"The regional spatial scale is a vital linkage for the informed extrapolation of results from local to continental scales to address broad-scale environmental problems. Among-region variation in ecosystem state is commonly accounted for by using a regionalization framework, such as an ecoregion classification. Rarely have alternative regionalization frameworks been tested for variables measuring ecosystem state, nor have the underlying relationships with the variables that are used to define them been assessed. In this study, we asked two questions: (1) How much among-region variation is there for ecosystems and does it differ by regionalization framework? (2) What are the likely causes of this among- region variation? We present a case study using a large data set of lake water chemistry, uni- and multi-scaled hydrogeomorphic and anthropogenic driver variables that likely influence lake chemistry at the subcontinental scale, and seven existing regionalization frameworks. We used multilevel models to quantify and explain within- and among-region variation in lake water chemistry. Our models account for local driver variables of ecosystem variation within regions, differences in regional mean ecosystem state (i.e., random intercepts in multilevel models), and differences in relationships between local drivers and ecosystem state by region (i.e., random slopes in multilevel models). Using one of the best performing regionalization frameworks (Ecological Drainage Units), we found that for lake phosphorus and alkalinity: (1) a majority of all the variation in water chemistry among the studied lakes occurred among regions, (2) very few regional-scale landscape driver variables were required to explain among-region variation in lake water chemistry, (3) a much higher proportion of the total variation among lakes was explained at the regional scale than at the local scale, and (4) some relationships between local-scale driver variables and lake water chemistry varied by region. Our results demonstrate the importance of considering the regional spatial scale for broad-scale research and ecosystem management and conservation. Our quantitative approach can be easily applied to other response variables, ecosystem types, geographic areas, and spatial extents to inform ecosystem responses to global environmental stressors.","author":[{"dropping-particle":"","family":"Cheruvelil","given":"K. S.","non-dropping-particle":"","parse-names":false,"suffix":""},{"dropping-particle":"","family":"Soranno","given":"P. A.","non-dropping-particle":"","parse-names":false,"suffix":""},{"dropping-particle":"","family":"Webster","given":"K. E.","non-dropping-particle":"","parse-names":false,"suffix":""},{"dropping-particle":"","family":"Bremigan","given":"M. T.","non-dropping-particle":"","parse-names":false,"suffix":""}],"container-title":"Ecological Applications","id":"ITEM-1","issue":"7","issued":{"date-parts":[["2013"]]},"page":"1603-1618","title":"Multi-scaled drivers of ecosystem state: Quantifying the importance of the regional spatial scale","type":"article-journal","volume":"23"},"uris":["http://www.mendeley.com/documents/?uuid=04436d4c-8cdb-4dff-bc4e-60d8e2b8241d"]}],"mendeley":{"formattedCitation":"&lt;sup&gt;15&lt;/sup&gt;","plainTextFormattedCitation":"15","previouslyFormattedCitation":"&lt;sup&gt;15&lt;/sup&gt;"},"properties":{"noteIndex":0},"schema":"https://github.com/citation-style-language/schema/raw/master/csl-citation.json"}</w:instrText>
      </w:r>
      <w:r w:rsidRPr="00DE5C02">
        <w:rPr>
          <w:rFonts w:cs="Times New Roman"/>
          <w:szCs w:val="24"/>
        </w:rPr>
        <w:fldChar w:fldCharType="separate"/>
      </w:r>
      <w:r w:rsidR="00A801AF" w:rsidRPr="00DE5C02">
        <w:rPr>
          <w:rFonts w:cs="Times New Roman"/>
          <w:noProof/>
          <w:szCs w:val="24"/>
          <w:vertAlign w:val="superscript"/>
        </w:rPr>
        <w:t>15</w:t>
      </w:r>
      <w:r w:rsidRPr="00DE5C02">
        <w:rPr>
          <w:rFonts w:cs="Times New Roman"/>
          <w:szCs w:val="24"/>
        </w:rPr>
        <w:fldChar w:fldCharType="end"/>
      </w:r>
      <w:r w:rsidRPr="00DE5C02">
        <w:rPr>
          <w:rFonts w:cs="Times New Roman"/>
          <w:szCs w:val="24"/>
        </w:rPr>
        <w:t>.</w:t>
      </w:r>
      <w:r w:rsidR="00CD62C9" w:rsidRPr="00DE5C02">
        <w:rPr>
          <w:rFonts w:cs="Times New Roman"/>
          <w:szCs w:val="24"/>
        </w:rPr>
        <w:t xml:space="preserve"> </w:t>
      </w:r>
    </w:p>
    <w:p w14:paraId="0F905827" w14:textId="31761AB5" w:rsidR="00CD62C9" w:rsidRPr="00DE5C02" w:rsidRDefault="00CD62C9" w:rsidP="00CD62C9">
      <w:pPr>
        <w:rPr>
          <w:rFonts w:cs="Times New Roman"/>
          <w:szCs w:val="24"/>
        </w:rPr>
      </w:pPr>
      <w:r w:rsidRPr="00DE5C02">
        <w:rPr>
          <w:rFonts w:cs="Times New Roman"/>
          <w:szCs w:val="24"/>
        </w:rPr>
        <w:t>The data used in this study are available from Forest Research and the Centre for Ecology and Hydrology but restrictions apply to the availability of these data, which were used under license for the current study, and so are not publicly available.</w:t>
      </w:r>
    </w:p>
    <w:p w14:paraId="2DFCD5E4" w14:textId="11F52084" w:rsidR="006B7BEB" w:rsidRPr="00DE5C02" w:rsidRDefault="007F6223" w:rsidP="006C4A51">
      <w:pPr>
        <w:pStyle w:val="Heading3"/>
      </w:pPr>
      <w:bookmarkStart w:id="9" w:name="_Toc517421406"/>
      <w:bookmarkStart w:id="10" w:name="_Toc517431821"/>
      <w:r w:rsidRPr="00DE5C02">
        <w:t>Identify</w:t>
      </w:r>
      <w:r w:rsidR="00897750" w:rsidRPr="00DE5C02">
        <w:t xml:space="preserve"> drivers</w:t>
      </w:r>
      <w:r w:rsidRPr="00DE5C02">
        <w:t xml:space="preserve"> and</w:t>
      </w:r>
      <w:r w:rsidR="00897750" w:rsidRPr="00DE5C02">
        <w:t xml:space="preserve"> hierarchies</w:t>
      </w:r>
      <w:bookmarkEnd w:id="9"/>
      <w:bookmarkEnd w:id="10"/>
    </w:p>
    <w:p w14:paraId="2D6DA335" w14:textId="27DD7706" w:rsidR="00897750" w:rsidRPr="00DE5C02" w:rsidRDefault="00897750" w:rsidP="00954123">
      <w:r w:rsidRPr="00DE5C02">
        <w:t>Drivers of ecosystem responses are typically distinguished into a three-tiered interconnected hierarchy of regional, landscape and local-levels</w:t>
      </w:r>
      <w:r w:rsidRPr="00DE5C02">
        <w:fldChar w:fldCharType="begin" w:fldLock="1"/>
      </w:r>
      <w:r w:rsidR="00B81E3F" w:rsidRPr="00DE5C02">
        <w:instrText>ADDIN CSL_CITATION {"citationItems":[{"id":"ITEM-1","itemData":{"DOI":"10.1890/130017","ISBN":"i1540-9295-12-1-5","ISSN":"15409295","abstract":"and Turner 2013). Ecologists have responded to such broad-scale problems in two basic ways: by conducting (1) numerous local studies in different settings and attempting to scale the findings up and (2) studies that focus on patterns and processes at the macroscale and then incorporating finer scale mechanisms to explain these phenomena. For the first approach, ecologists have sought to expand the spatial and temporal footprint of their studies. Over the past several decades, this has largely been achieved by integrating approaches from landscape ecology into other ecological subdisciplines (Turner 2005). Expanding from local to macro-and global scales requires accurate description of macroscale heterogeneity, which can be substantial. In cases where macroscale patterns and processes do not interact with other scales, this approach will be sufficient. In many cases, however, interactions and processes at macroscales can result in large errors through simple scaling, because macroscale processes shape and respond to local processes. Species ranges and landscape heterogeneity, for instance, mediate relation-ships between climate and bird diversity (Rahbek et al. 2007); regional land-cover heterogeneity influences rela-tionships between plant functional types and CO 2 efflux (Xiao et al. 2011); and both global economic and local social relationships influence patterns of urbanization (Seto et al. 2012). In such cases, explicit studies of sys-tems at the macroscale are essential for regional-to conti-nental-scale predictions (see WebReferences A). Unfor-tunately, our present understanding of macroscales is not sufficient to know in advance the situations where simple scaling will work and where it will not. For the second approach, ecologists and other scientists have conducted studies that focus on patterns and Figure 1. Macrosystems are composed of components that range in spatial extent from very broad (center image) to very fine (upper right, lower left) and that can interact over very large distances. In this example, agriculture in the central US has allowed populations of migratory lesser snow geese (Chen caerulescens caerulescens) to expand dramatically because of increased supply of food in winter feeding grounds and along migratory routes. Increasing geese populations have led to the collapse of wetlands along Hudson Bay, which serve as summer breeding grounds (background): See main text as well as Abraham et al. (2005) and Jeffries et al. (2006) …","author":[{"dropping-particle":"","family":"Heffernan","given":"James B.","non-dropping-particle":"","parse-names":false,"suffix":""},{"dropping-particle":"","family":"Soranno","given":"Patricia A.","non-dropping-particle":"","parse-names":false,"suffix":""},{"dropping-particle":"","family":"Angilletta","given":"Michael J.","non-dropping-particle":"","parse-names":false,"suffix":""},{"dropping-particle":"","family":"Buckley","given":"Lauren B.","non-dropping-particle":"","parse-names":false,"suffix":""},{"dropping-particle":"","family":"Gruner","given":"Daniel S.","non-dropping-particle":"","parse-names":false,"suffix":""},{"dropping-particle":"","family":"Keitt","given":"Tim H.","non-dropping-particle":"","parse-names":false,"suffix":""},{"dropping-particle":"","family":"Kellner","given":"James R.","non-dropping-particle":"","parse-names":false,"suffix":""},{"dropping-particle":"","family":"Kominoski","given":"John S.","non-dropping-particle":"","parse-names":false,"suffix":""},{"dropping-particle":"V.","family":"Rocha","given":"Adrian","non-dropping-particle":"","parse-names":false,"suffix":""},{"dropping-particle":"","family":"Xiao","given":"Jingfeng","non-dropping-particle":"","parse-names":false,"suffix":""},{"dropping-particle":"","family":"Harms","given":"Tamara K.","non-dropping-particle":"","parse-names":false,"suffix":""},{"dropping-particle":"","family":"Goring","given":"Simon J.","non-dropping-particle":"","parse-names":false,"suffix":""},{"dropping-particle":"","family":"Koenig","given":"Lauren E.","non-dropping-particle":"","parse-names":false,"suffix":""},{"dropping-particle":"","family":"McDowell","given":"William H.","non-dropping-particle":"","parse-names":false,"suffix":""},{"dropping-particle":"","family":"Powell","given":"Heather","non-dropping-particle":"","parse-names":false,"suffix":""},{"dropping-particle":"","family":"Richardson","given":"Andrew D.","non-dropping-particle":"","parse-names":false,"suffix":""},{"dropping-particle":"","family":"Stow","given":"Craig A.","non-dropping-particle":"","parse-names":false,"suffix":""},{"dropping-particle":"","family":"Vargas","given":"Rodrigo","non-dropping-particle":"","parse-names":false,"suffix":""},{"dropping-particle":"","family":"Weathers","given":"Kathleen C.","non-dropping-particle":"","parse-names":false,"suffix":""}],"container-title":"Frontiers in Ecology and the Environment","id":"ITEM-1","issue":"1","issued":{"date-parts":[["2014"]]},"page":"5-14","title":"Macrosystems ecology: Understanding ecological patterns and processes at continental scales","type":"article-journal","volume":"12"},"uris":["http://www.mendeley.com/documents/?uuid=9cbeab7f-4239-4ba1-8acb-912dc6f7acb3"]}],"mendeley":{"formattedCitation":"&lt;sup&gt;27&lt;/sup&gt;","plainTextFormattedCitation":"27","previouslyFormattedCitation":"&lt;sup&gt;27&lt;/sup&gt;"},"properties":{"noteIndex":0},"schema":"https://github.com/citation-style-language/schema/raw/master/csl-citation.json"}</w:instrText>
      </w:r>
      <w:r w:rsidRPr="00DE5C02">
        <w:fldChar w:fldCharType="separate"/>
      </w:r>
      <w:r w:rsidR="00173667" w:rsidRPr="00DE5C02">
        <w:rPr>
          <w:noProof/>
          <w:vertAlign w:val="superscript"/>
        </w:rPr>
        <w:t>27</w:t>
      </w:r>
      <w:r w:rsidRPr="00DE5C02">
        <w:fldChar w:fldCharType="end"/>
      </w:r>
      <w:r w:rsidRPr="00DE5C02">
        <w:rPr>
          <w:vertAlign w:val="superscript"/>
        </w:rPr>
        <w:t>,</w:t>
      </w:r>
      <w:r w:rsidRPr="00DE5C02">
        <w:fldChar w:fldCharType="begin" w:fldLock="1"/>
      </w:r>
      <w:r w:rsidR="00B81E3F" w:rsidRPr="00DE5C02">
        <w:instrText>ADDIN CSL_CITATION {"citationItems":[{"id":"ITEM-1","itemData":{"DOI":"10.1016/S0304-3800(01)00499-9","ISBN":"0304-3800","ISSN":"03043800","PMID":"657","abstract":"Ecological systems are generally considered among the most complex because they are characterized by a large number of diverse components, nonlinear interactions, scale multiplicity, and spatial heterogeneity. Hierarchy theory, as well as empirical evidence, suggests that complexity often takes the form of modularity in structure and functionality. Therefore, a hierarchical perspective can be essential to understanding complex ecological systems. But, how can such hierarchical approach help us with modeling spatially heterogeneous, nonlinear dynamic systems like landscapes, be they natural or human-dominated? In this paper, we present a spatially explicit hierarchical modeling approach to studying the patterns and processes of heterogeneous landscapes. We first discuss the theoretical basis for the modeling approach - the hierarchical patch dynamics (HPD) paradigm and the scaling ladder strategy, and then describe the general structure of a hierarchical urban landscape model (HPDM-PHX) which is developed using this modeling approach. In addition, we introduce a hierarchical patch dynamics modeling platform (HPD-MP), a software package that is designed to facilitate the development of spatial hierarchical models. We then illustrate the utility of HPD-MP through two examples: a hierarchical cellular automata model of land use change and a spatial multi-species population dynamics model. © 2002 Elsevier Science B.V. All rights reserved.","author":[{"dropping-particle":"","family":"Wu","given":"Jianguo","non-dropping-particle":"","parse-names":false,"suffix":""},{"dropping-particle":"","family":"David","given":"John L.","non-dropping-particle":"","parse-names":false,"suffix":""}],"container-title":"Ecological Modelling","id":"ITEM-1","issue":"1-2","issued":{"date-parts":[["2002"]]},"page":"7-26","title":"A spatially explicit hierarchical approach to modeling complex ecological systems: Theory and applications","type":"article-journal","volume":"153"},"uris":["http://www.mendeley.com/documents/?uuid=3a172bf1-cfe4-4026-bbe6-5615e6ca446e"]}],"mendeley":{"formattedCitation":"&lt;sup&gt;28&lt;/sup&gt;","plainTextFormattedCitation":"28","previouslyFormattedCitation":"&lt;sup&gt;28&lt;/sup&gt;"},"properties":{"noteIndex":0},"schema":"https://github.com/citation-style-language/schema/raw/master/csl-citation.json"}</w:instrText>
      </w:r>
      <w:r w:rsidRPr="00DE5C02">
        <w:fldChar w:fldCharType="separate"/>
      </w:r>
      <w:r w:rsidR="00173667" w:rsidRPr="00DE5C02">
        <w:rPr>
          <w:noProof/>
          <w:vertAlign w:val="superscript"/>
        </w:rPr>
        <w:t>28</w:t>
      </w:r>
      <w:r w:rsidRPr="00DE5C02">
        <w:fldChar w:fldCharType="end"/>
      </w:r>
      <w:r w:rsidRPr="00DE5C02">
        <w:t xml:space="preserve">. Hierarchy theory posits that higher-level </w:t>
      </w:r>
      <w:r w:rsidR="00927333" w:rsidRPr="00DE5C02">
        <w:t>drivers</w:t>
      </w:r>
      <w:r w:rsidRPr="00DE5C02">
        <w:t xml:space="preserve"> constrain</w:t>
      </w:r>
      <w:r w:rsidR="00E65ECD" w:rsidRPr="00DE5C02">
        <w:t xml:space="preserve"> or moderate the effects of</w:t>
      </w:r>
      <w:r w:rsidRPr="00DE5C02">
        <w:t xml:space="preserve"> lower-level </w:t>
      </w:r>
      <w:r w:rsidR="00927333" w:rsidRPr="00DE5C02">
        <w:t xml:space="preserve">drivers, that </w:t>
      </w:r>
      <w:r w:rsidRPr="00DE5C02">
        <w:t xml:space="preserve">can interact </w:t>
      </w:r>
      <w:r w:rsidR="00927333" w:rsidRPr="00DE5C02">
        <w:t xml:space="preserve">in turn </w:t>
      </w:r>
      <w:r w:rsidRPr="00DE5C02">
        <w:t>to influence higher-level outcomes</w:t>
      </w:r>
      <w:r w:rsidRPr="00DE5C02">
        <w:fldChar w:fldCharType="begin" w:fldLock="1"/>
      </w:r>
      <w:r w:rsidR="00B81E3F" w:rsidRPr="00DE5C02">
        <w:instrText>ADDIN CSL_CITATION {"citationItems":[{"id":"ITEM-1","itemData":{"author":[{"dropping-particle":"","family":"Allen","given":"T.F.H","non-dropping-particle":"","parse-names":false,"suffix":""},{"dropping-particle":"","family":"Starr","given":"T.B","non-dropping-particle":"","parse-names":false,"suffix":""}],"id":"ITEM-1","issued":{"date-parts":[["1982"]]},"publisher":"University of Chicago Press","publisher-place":"Chicago","title":"Hierarchy: perspectives for ecological complexity.","type":"book"},"uris":["http://www.mendeley.com/documents/?uuid=067e76cb-ef60-49b3-a21c-420073e03e92","http://www.mendeley.com/documents/?uuid=928b9bbe-0077-411c-ab33-3aed7ea617d8"]}],"mendeley":{"formattedCitation":"&lt;sup&gt;29&lt;/sup&gt;","plainTextFormattedCitation":"29","previouslyFormattedCitation":"&lt;sup&gt;29&lt;/sup&gt;"},"properties":{"noteIndex":0},"schema":"https://github.com/citation-style-language/schema/raw/master/csl-citation.json"}</w:instrText>
      </w:r>
      <w:r w:rsidRPr="00DE5C02">
        <w:fldChar w:fldCharType="separate"/>
      </w:r>
      <w:r w:rsidR="00173667" w:rsidRPr="00DE5C02">
        <w:rPr>
          <w:noProof/>
          <w:vertAlign w:val="superscript"/>
        </w:rPr>
        <w:t>29</w:t>
      </w:r>
      <w:r w:rsidRPr="00DE5C02">
        <w:fldChar w:fldCharType="end"/>
      </w:r>
      <w:r w:rsidRPr="00DE5C02">
        <w:t>. We acknowledge that driver hierarchies are ultimately a human construct directed by the objectives of a study</w:t>
      </w:r>
      <w:r w:rsidRPr="00DE5C02">
        <w:fldChar w:fldCharType="begin" w:fldLock="1"/>
      </w:r>
      <w:r w:rsidR="00B81E3F" w:rsidRPr="00DE5C02">
        <w:instrText>ADDIN CSL_CITATION {"citationItems":[{"id":"ITEM-1","itemData":{"DOI":"10.1111/j.1752-1688.1996.tb03445.x","ISSN":"1093-474X","author":[{"dropping-particle":"","family":"Jensen","given":"Mark E","non-dropping-particle":"","parse-names":false,"suffix":""},{"dropping-particle":"","family":"Bourgeron","given":"Patrick","non-dropping-particle":"","parse-names":false,"suffix":""},{"dropping-particle":"","family":"Everett","given":"Richard","non-dropping-particle":"","parse-names":false,"suffix":""},{"dropping-particle":"","family":"Goodman","given":"Iris","non-dropping-particle":"","parse-names":false,"suffix":""}],"id":"ITEM-1","issue":"2","issued":{"date-parts":[["1996"]]},"title":"ECOSYSTEM MANAGEMENT : A LANDSCAPE ECOLOGY PERSPECTWE ' management effort . Instead , these values are","type":"article-journal","volume":"32"},"uris":["http://www.mendeley.com/documents/?uuid=4875f57f-1d95-46c9-9077-ca7b58cdb09e"]}],"mendeley":{"formattedCitation":"&lt;sup&gt;30&lt;/sup&gt;","plainTextFormattedCitation":"30","previouslyFormattedCitation":"&lt;sup&gt;30&lt;/sup&gt;"},"properties":{"noteIndex":0},"schema":"https://github.com/citation-style-language/schema/raw/master/csl-citation.json"}</w:instrText>
      </w:r>
      <w:r w:rsidRPr="00DE5C02">
        <w:fldChar w:fldCharType="separate"/>
      </w:r>
      <w:r w:rsidR="00173667" w:rsidRPr="00DE5C02">
        <w:rPr>
          <w:noProof/>
          <w:vertAlign w:val="superscript"/>
        </w:rPr>
        <w:t>30</w:t>
      </w:r>
      <w:r w:rsidRPr="00DE5C02">
        <w:fldChar w:fldCharType="end"/>
      </w:r>
      <w:r w:rsidR="005E76B1" w:rsidRPr="00DE5C02">
        <w:t xml:space="preserve"> and</w:t>
      </w:r>
      <w:r w:rsidRPr="00DE5C02">
        <w:t xml:space="preserve"> that levels in the hierarchies cannot always simply be discretised, but argue that hierarchies provide a framework for </w:t>
      </w:r>
      <w:r w:rsidR="00954123" w:rsidRPr="00DE5C02">
        <w:t xml:space="preserve">testing </w:t>
      </w:r>
      <w:r w:rsidRPr="00DE5C02">
        <w:t>hypothesis</w:t>
      </w:r>
      <w:r w:rsidR="00927333" w:rsidRPr="00DE5C02">
        <w:t>es</w:t>
      </w:r>
      <w:r w:rsidRPr="00DE5C02">
        <w:t xml:space="preserve"> and understanding how relationships change with scale and context, and how higher levels function as a context </w:t>
      </w:r>
      <w:r w:rsidR="005E76B1" w:rsidRPr="00DE5C02">
        <w:t xml:space="preserve">for </w:t>
      </w:r>
      <w:r w:rsidRPr="00DE5C02">
        <w:t>lower levels</w:t>
      </w:r>
      <w:r w:rsidRPr="00DE5C02">
        <w:fldChar w:fldCharType="begin" w:fldLock="1"/>
      </w:r>
      <w:r w:rsidR="00B81E3F" w:rsidRPr="00DE5C02">
        <w:instrText>ADDIN CSL_CITATION {"citationItems":[{"id":"ITEM-1","itemData":{"author":[{"dropping-particle":"","family":"Wu","given":"J.","non-dropping-particle":"","parse-names":false,"suffix":""}],"chapter-number":"Hierarchy ","container-title":"Linking Ecology and Ethics for a Changing World: Values, Philosophy, and Action","editor":[{"dropping-particle":"","family":"R. Rozzi, S.T.A. Pickett, C. Palmer, J.J. Armesto","given":"and J.B. Callicott","non-dropping-particle":"","parse-names":false,"suffix":""}],"id":"ITEM-1","issued":{"date-parts":[["2013"]]},"page":"281-302","publisher":"Springer","publisher-place":"New York","title":"Hierarchy theory: An overview","type":"chapter"},"uris":["http://www.mendeley.com/documents/?uuid=e39e5714-04c4-4fb9-9273-71b0673b6b24"]}],"mendeley":{"formattedCitation":"&lt;sup&gt;31&lt;/sup&gt;","plainTextFormattedCitation":"31","previouslyFormattedCitation":"&lt;sup&gt;31&lt;/sup&gt;"},"properties":{"noteIndex":0},"schema":"https://github.com/citation-style-language/schema/raw/master/csl-citation.json"}</w:instrText>
      </w:r>
      <w:r w:rsidRPr="00DE5C02">
        <w:fldChar w:fldCharType="separate"/>
      </w:r>
      <w:r w:rsidR="00173667" w:rsidRPr="00DE5C02">
        <w:rPr>
          <w:noProof/>
          <w:vertAlign w:val="superscript"/>
        </w:rPr>
        <w:t>31</w:t>
      </w:r>
      <w:r w:rsidRPr="00DE5C02">
        <w:fldChar w:fldCharType="end"/>
      </w:r>
      <w:r w:rsidRPr="00DE5C02">
        <w:t xml:space="preserve">. </w:t>
      </w:r>
    </w:p>
    <w:p w14:paraId="621B01CB" w14:textId="0BBD08AA" w:rsidR="00897750" w:rsidRPr="00DE5C02" w:rsidRDefault="00897750" w:rsidP="0087375F">
      <w:r w:rsidRPr="00DE5C02">
        <w:t xml:space="preserve">Regional-level drivers of ecosystem responses </w:t>
      </w:r>
      <w:r w:rsidR="00AA2CA2" w:rsidRPr="00DE5C02">
        <w:t xml:space="preserve">exhibit spatial variation at broader extents </w:t>
      </w:r>
      <w:r w:rsidRPr="00DE5C02">
        <w:t xml:space="preserve"> than landscape- and local-level drivers</w:t>
      </w:r>
      <w:r w:rsidR="00315EE4" w:rsidRPr="00DE5C02">
        <w:fldChar w:fldCharType="begin" w:fldLock="1"/>
      </w:r>
      <w:r w:rsidR="00315EE4" w:rsidRPr="00DE5C02">
        <w:instrText>ADDIN CSL_CITATION {"citationItems":[{"id":"ITEM-1","itemData":{"DOI":"10.1890/120366","ISBN":"i1540-9295-12-1-65","ISSN":"15409295","abstract":"Ecologists are increasingly discovering that ecological processes are made up of components that are multi- scaled in space and time. Some of the most complex of these processes are cross-scale interactions (CSIs), which occur when components interact across scales. When undetected, such interactions may cause errors in extrap- olation from one region to another. CSIs, particularly those that include a regional scaled component, have not been systematically investigated or even reported because of the challenges of acquiring data at sufficiently broad spatial extents. We present an approach for quantifying CSIs and apply it to a case study investigating one such interaction, between local and regional scaled land-use drivers of lake phosphorus. Ultimately, our approach for investigating CSIs can serve as a basis for efforts to understand a wide variety of multi-scaled prob- lems such as climate change, land-use/land-cover change, and invasive species. Front","author":[{"dropping-particle":"","family":"Soranno","given":"Patricia A.","non-dropping-particle":"","parse-names":false,"suffix":""},{"dropping-particle":"","family":"Cheruvelil","given":"Kendra S.","non-dropping-particle":"","parse-names":false,"suffix":""},{"dropping-particle":"","family":"Bissell","given":"Edward G.","non-dropping-particle":"","parse-names":false,"suffix":""},{"dropping-particle":"","family":"Bremigan","given":"Mary T.","non-dropping-particle":"","parse-names":false,"suffix":""},{"dropping-particle":"","family":"Downing","given":"John A.","non-dropping-particle":"","parse-names":false,"suffix":""},{"dropping-particle":"","family":"Fergus","given":"Carol E.","non-dropping-particle":"","parse-names":false,"suffix":""},{"dropping-particle":"","family":"Filstrup","given":"Christopher T.","non-dropping-particle":"","parse-names":false,"suffix":""},{"dropping-particle":"","family":"Henry","given":"Emily N.","non-dropping-particle":"","parse-names":false,"suffix":""},{"dropping-particle":"","family":"Lottig","given":"Noah R.","non-dropping-particle":"","parse-names":false,"suffix":""},{"dropping-particle":"","family":"Stanley","given":"Emily H.","non-dropping-particle":"","parse-names":false,"suffix":""},{"dropping-particle":"","family":"Stow","given":"Craig A.","non-dropping-particle":"","parse-names":false,"suffix":""},{"dropping-particle":"","family":"Tan","given":"Pang Ning","non-dropping-particle":"","parse-names":false,"suffix":""},{"dropping-particle":"","family":"Wagner","given":"Tyler","non-dropping-particle":"","parse-names":false,"suffix":""},{"dropping-particle":"","family":"Webster","given":"Katherine E.","non-dropping-particle":"","parse-names":false,"suffix":""}],"container-title":"Frontiers in Ecology and the Environment","id":"ITEM-1","issue":"1","issued":{"date-parts":[["2014"]]},"page":"65-73","title":"Cross-scale interactions: Quantifying multi-scaled cause-effect relationships in macrosystems","type":"article-journal","volume":"12"},"uris":["http://www.mendeley.com/documents/?uuid=e8a79d65-7939-4b34-9cbd-8af1268ddf04"]}],"mendeley":{"formattedCitation":"&lt;sup&gt;11&lt;/sup&gt;","plainTextFormattedCitation":"11","previouslyFormattedCitation":"&lt;sup&gt;11&lt;/sup&gt;"},"properties":{"noteIndex":0},"schema":"https://github.com/citation-style-language/schema/raw/master/csl-citation.json"}</w:instrText>
      </w:r>
      <w:r w:rsidR="00315EE4" w:rsidRPr="00DE5C02">
        <w:fldChar w:fldCharType="separate"/>
      </w:r>
      <w:r w:rsidR="00315EE4" w:rsidRPr="00DE5C02">
        <w:rPr>
          <w:noProof/>
          <w:vertAlign w:val="superscript"/>
        </w:rPr>
        <w:t>11</w:t>
      </w:r>
      <w:r w:rsidR="00315EE4" w:rsidRPr="00DE5C02">
        <w:fldChar w:fldCharType="end"/>
      </w:r>
      <w:r w:rsidRPr="00DE5C02">
        <w:fldChar w:fldCharType="begin" w:fldLock="1"/>
      </w:r>
      <w:r w:rsidR="00B81E3F" w:rsidRPr="00DE5C02">
        <w:instrText>ADDIN CSL_CITATION {"citationItems":[{"id":"ITEM-1","itemData":{"author":[{"dropping-particle":"","family":"Allen","given":"T.F.H.","non-dropping-particle":"","parse-names":false,"suffix":""}],"container-title":"Ecosystem ecology – a derivative of encyclopedia of ecology","editor":[{"dropping-particle":"","family":"Jorgensen","given":"S.E.","non-dropping-particle":"","parse-names":false,"suffix":""}],"id":"ITEM-1","issued":{"date-parts":[["2009"]]},"page":"114–120","publisher":"Elsevier","publisher-place":"Amsterdam","title":"Hierarchy theory in ecology","type":"chapter"},"uris":["http://www.mendeley.com/documents/?uuid=3e581b31-0423-4ff5-a02a-33b89852d9f0","http://www.mendeley.com/documents/?uuid=4e971a21-5702-410e-a029-f897040d1607"]}],"mendeley":{"formattedCitation":"&lt;sup&gt;32&lt;/sup&gt;","plainTextFormattedCitation":"32","previouslyFormattedCitation":"&lt;sup&gt;32&lt;/sup&gt;"},"properties":{"noteIndex":0},"schema":"https://github.com/citation-style-language/schema/raw/master/csl-citation.json"}</w:instrText>
      </w:r>
      <w:r w:rsidRPr="00DE5C02">
        <w:fldChar w:fldCharType="separate"/>
      </w:r>
      <w:r w:rsidR="00173667" w:rsidRPr="00DE5C02">
        <w:rPr>
          <w:noProof/>
          <w:vertAlign w:val="superscript"/>
        </w:rPr>
        <w:t>32</w:t>
      </w:r>
      <w:r w:rsidRPr="00DE5C02">
        <w:fldChar w:fldCharType="end"/>
      </w:r>
      <w:r w:rsidR="008A4602" w:rsidRPr="00DE5C02">
        <w:t>;</w:t>
      </w:r>
      <w:r w:rsidRPr="00DE5C02">
        <w:t xml:space="preserve"> </w:t>
      </w:r>
      <w:r w:rsidR="008A4602" w:rsidRPr="00DE5C02">
        <w:t xml:space="preserve">examples </w:t>
      </w:r>
      <w:r w:rsidRPr="00DE5C02">
        <w:t>are precipitation, temperature and nitrogen deposition</w:t>
      </w:r>
      <w:r w:rsidRPr="00DE5C02">
        <w:fldChar w:fldCharType="begin" w:fldLock="1"/>
      </w:r>
      <w:r w:rsidR="00B81E3F" w:rsidRPr="00DE5C02">
        <w:instrText>ADDIN CSL_CITATION {"citationItems":[{"id":"ITEM-1","itemData":{"DOI":"10.1890/070098","ISBN":"1540-9295","ISSN":"15409295","abstract":"The global environment is changing rapidly, as the result of factors that act at multiple spatial and temporal \\nscales. It is now clear that local processes can affect broad-scale ecological dynamics, and that broad-scale dri- \\nvers can overwhelm local patterns and processes. Understanding these cross-scale interactions requires a con- \\nceptual framework based on connectivity in material and information flow across scales. In this introductory \\npaper to Frontiers’ Special Issue on Continental-scale ecology in an increasingly connected world, we (1) discuss \\na multi-scale framework, including the key drivers and consequences of connectivity acting across spatial and \\ntemporal scales, (2) provide a series of testable hypotheses, predictions, and an approach, and (3) propose the \\ndevelopment of a “network of networks”, which would take advantage of existing research facilities and \\ncyberinfrastructure. This unique framework and associated technology will enable us to better forecast global \\nenvironmental change at multiple spatial scales, from local sites to regions and continents.","author":[{"dropping-particle":"","family":"Peters","given":"Debra P C","non-dropping-particle":"","parse-names":false,"suffix":""},{"dropping-particle":"","family":"Groffman","given":"Peter M.","non-dropping-particle":"","parse-names":false,"suffix":""},{"dropping-particle":"","family":"Nadelhoffer","given":"Knute J.","non-dropping-particle":"","parse-names":false,"suffix":""},{"dropping-particle":"","family":"Grimm","given":"Nancy B.","non-dropping-particle":"","parse-names":false,"suffix":""},{"dropping-particle":"","family":"Collins","given":"Scott L.","non-dropping-particle":"","parse-names":false,"suffix":""},{"dropping-particle":"","family":"Michener","given":"William K.","non-dropping-particle":"","parse-names":false,"suffix":""},{"dropping-particle":"","family":"Huston","given":"Michael A.","non-dropping-particle":"","parse-names":false,"suffix":""}],"container-title":"Frontiers in Ecology and the Environment","id":"ITEM-1","issue":"5","issued":{"date-parts":[["2008"]]},"page":"229-237","title":"Living in an increasingly connected world: A framework for continental-scale environmental science","type":"article-journal","volume":"6"},"uris":["http://www.mendeley.com/documents/?uuid=5c6d0bc5-d079-4acf-b5bb-7378e700fe66"]}],"mendeley":{"formattedCitation":"&lt;sup&gt;33&lt;/sup&gt;","plainTextFormattedCitation":"33","previouslyFormattedCitation":"&lt;sup&gt;33&lt;/sup&gt;"},"properties":{"noteIndex":0},"schema":"https://github.com/citation-style-language/schema/raw/master/csl-citation.json"}</w:instrText>
      </w:r>
      <w:r w:rsidRPr="00DE5C02">
        <w:fldChar w:fldCharType="separate"/>
      </w:r>
      <w:r w:rsidR="00173667" w:rsidRPr="00DE5C02">
        <w:rPr>
          <w:noProof/>
          <w:vertAlign w:val="superscript"/>
        </w:rPr>
        <w:t>33</w:t>
      </w:r>
      <w:r w:rsidRPr="00DE5C02">
        <w:fldChar w:fldCharType="end"/>
      </w:r>
      <w:r w:rsidRPr="00DE5C02">
        <w:t xml:space="preserve">. At the landscape-level, </w:t>
      </w:r>
      <w:r w:rsidR="00927333" w:rsidRPr="00DE5C02">
        <w:t>t</w:t>
      </w:r>
      <w:r w:rsidRPr="00DE5C02">
        <w:t xml:space="preserve">hree </w:t>
      </w:r>
      <w:r w:rsidR="00927333" w:rsidRPr="00DE5C02">
        <w:t>types of driver</w:t>
      </w:r>
      <w:r w:rsidRPr="00DE5C02">
        <w:t xml:space="preserve"> are </w:t>
      </w:r>
      <w:r w:rsidR="00927333" w:rsidRPr="00DE5C02">
        <w:t>realised</w:t>
      </w:r>
      <w:r w:rsidRPr="00DE5C02">
        <w:t xml:space="preserve"> </w:t>
      </w:r>
      <w:r w:rsidR="00927333" w:rsidRPr="00DE5C02">
        <w:t xml:space="preserve">to </w:t>
      </w:r>
      <w:r w:rsidRPr="00DE5C02">
        <w:t xml:space="preserve">affect an ecosystem response: </w:t>
      </w:r>
      <w:r w:rsidR="0087375F" w:rsidRPr="00DE5C02">
        <w:t xml:space="preserve">landscape composition, configuration and </w:t>
      </w:r>
      <w:r w:rsidR="008C12D2" w:rsidRPr="00DE5C02">
        <w:t>quality</w:t>
      </w:r>
      <w:r w:rsidRPr="00DE5C02">
        <w:fldChar w:fldCharType="begin" w:fldLock="1"/>
      </w:r>
      <w:r w:rsidR="006821F3" w:rsidRPr="00DE5C02">
        <w:instrText>ADDIN CSL_CITATION {"citationItems":[{"id":"ITEM-1","itemData":{"DOI":"10.1111/1365-2664.12431","ISBN":"1365-2664","ISSN":"13652664","PMID":"27563153","abstract":"Natural capital is essential for goods and services on which people depend. Yet pressures on the environment mean that natural capital assets are continuing to decline and degrade, putting such benefits at risk. Systematic monitoring of natural assets is a major challenge that could be both unaffordable and unmanageable without a way to focus efforts. Here we introduce a simple approach, based on the commonly used management tool of a risk register, to highlight natural assets whose condition places benefits at risk. We undertake a preliminary assessment using a risk register for natural capital assets in the UK based solely on existing information. The status and trends of natural capital assets are assessed using asset-benefit relationships for ten kinds of benefits (food, fibre (timber), energy, aesthetics, freshwater (quality), recreation, clean air, wildlife, hazard protection and equable climate) across eight broad habitat types in the UK based on three dimensions of natural capital within each of the habitat types (quality, quantity and spatial configuration). We estimate the status and trends of benefits relative to societal targets using existing regulatory limits and policy commitments, and allocate scores of high, medium or low risk to asset-benefit relationships that are both subject to management and of concern. The risk register approach reveals substantial gaps in knowledge about asset-benefit relationships which limit the scope and rigour of the assessment (especially for marine and urban habitats). Nevertheless, we find strong indications that certain assets (in freshwater, mountain, moors and heathland habitats) are at high risk in relation to their ability to sustain certain benefits (especially freshwater, wildlife and climate regulation). Synthesis and applications. With directed data gathering, especially to monitor trends, improve metrics related to asset-benefit relationships, and improve understanding of nonlinearities and thresholds, the natural capital risk register could provide a useful tool. If updated regularly, it could direct monitoring efforts, focus research and protect and manage those natural assets where benefits are at highest risk. With directed data gathering, especially to monitor trends, improve metrics related to asset-benefit relationships, and improve understanding of nonlinearities and thresholds, the natural capital risk register could provide a useful tool. If updated regularly, it could direct monitoring…","author":[{"dropping-particle":"","family":"Mace","given":"Georgina M.","non-dropping-particle":"","parse-names":false,"suffix":""},{"dropping-particle":"","family":"Hails","given":"Rosemary S.","non-dropping-particle":"","parse-names":false,"suffix":""},{"dropping-particle":"","family":"Cryle","given":"Philip","non-dropping-particle":"","parse-names":false,"suffix":""},{"dropping-particle":"","family":"Harlow","given":"Julian","non-dropping-particle":"","parse-names":false,"suffix":""},{"dropping-particle":"","family":"Clarke","given":"Stewart J.","non-dropping-particle":"","parse-names":false,"suffix":""}],"container-title":"Journal of Applied Ecology","id":"ITEM-1","issue":"3","issued":{"date-parts":[["2015"]]},"page":"641-653","title":"Towards a risk register for natural capital","type":"article-journal","volume":"52"},"uris":["http://www.mendeley.com/documents/?uuid=3712800e-6e8c-4494-bc60-6d2071452e34"]}],"mendeley":{"formattedCitation":"&lt;sup&gt;2&lt;/sup&gt;","plainTextFormattedCitation":"2","previouslyFormattedCitation":"&lt;sup&gt;2&lt;/sup&gt;"},"properties":{"noteIndex":0},"schema":"https://github.com/citation-style-language/schema/raw/master/csl-citation.json"}</w:instrText>
      </w:r>
      <w:r w:rsidRPr="00DE5C02">
        <w:fldChar w:fldCharType="separate"/>
      </w:r>
      <w:r w:rsidR="00F720F2" w:rsidRPr="00DE5C02">
        <w:rPr>
          <w:noProof/>
          <w:vertAlign w:val="superscript"/>
        </w:rPr>
        <w:t>2</w:t>
      </w:r>
      <w:r w:rsidRPr="00DE5C02">
        <w:fldChar w:fldCharType="end"/>
      </w:r>
      <w:r w:rsidRPr="00DE5C02">
        <w:t xml:space="preserve">. The </w:t>
      </w:r>
      <w:r w:rsidR="00883C76" w:rsidRPr="00DE5C02">
        <w:t xml:space="preserve">spatial </w:t>
      </w:r>
      <w:r w:rsidRPr="00DE5C02">
        <w:t xml:space="preserve">extent of a landscape-level driver depends on the phenomenon in question: landscape-level drivers of stream water quality are typically </w:t>
      </w:r>
      <w:r w:rsidRPr="00DE5C02">
        <w:rPr>
          <w:color w:val="000000" w:themeColor="text1"/>
        </w:rPr>
        <w:t xml:space="preserve">determined </w:t>
      </w:r>
      <w:r w:rsidRPr="00DE5C02">
        <w:t>at the catchment extent</w:t>
      </w:r>
      <w:r w:rsidRPr="00DE5C02">
        <w:fldChar w:fldCharType="begin" w:fldLock="1"/>
      </w:r>
      <w:r w:rsidR="00B81E3F" w:rsidRPr="00DE5C02">
        <w:instrText>ADDIN CSL_CITATION {"citationItems":[{"id":"ITEM-1","itemData":{"DOI":"10.1046/j.1365-2427.1997.00155.x","ISBN":"0046-5070","ISSN":"00465070","PMID":"7706960","abstract":"none","author":[{"dropping-particle":"","family":"Allan","given":"J D","non-dropping-particle":"","parse-names":false,"suffix":""},{"dropping-particle":"","family":"Johnson","given":"L B","non-dropping-particle":"","parse-names":false,"suffix":""}],"container-title":"Freshwater Biology","id":"ITEM-1","issued":{"date-parts":[["1997"]]},"page":"107-111","title":"Catchment-scale analysis of aquatic ecosystems","type":"article-journal","volume":"37"},"uris":["http://www.mendeley.com/documents/?uuid=b0da3990-2b8c-4038-8ceb-4716761b1a65"]}],"mendeley":{"formattedCitation":"&lt;sup&gt;34&lt;/sup&gt;","plainTextFormattedCitation":"34","previouslyFormattedCitation":"&lt;sup&gt;34&lt;/sup&gt;"},"properties":{"noteIndex":0},"schema":"https://github.com/citation-style-language/schema/raw/master/csl-citation.json"}</w:instrText>
      </w:r>
      <w:r w:rsidRPr="00DE5C02">
        <w:fldChar w:fldCharType="separate"/>
      </w:r>
      <w:r w:rsidR="00173667" w:rsidRPr="00DE5C02">
        <w:rPr>
          <w:noProof/>
          <w:vertAlign w:val="superscript"/>
        </w:rPr>
        <w:t>34</w:t>
      </w:r>
      <w:r w:rsidRPr="00DE5C02">
        <w:fldChar w:fldCharType="end"/>
      </w:r>
      <w:r w:rsidRPr="00DE5C02">
        <w:t>, whilst landscape-level drivers of bird abundance are typically defined within a species’ ecological neighbourhood</w:t>
      </w:r>
      <w:r w:rsidRPr="00DE5C02">
        <w:fldChar w:fldCharType="begin" w:fldLock="1"/>
      </w:r>
      <w:r w:rsidR="00B81E3F" w:rsidRPr="00DE5C02">
        <w:instrText>ADDIN CSL_CITATION {"citationItems":[{"id":"ITEM-1","itemData":{"DOI":"10.1007/s40823-016-0015-8","ISSN":"2364-494X","abstract":"Multi-scale landscape studies are becoming a well-used way to examine the influence of environmental, landscape, or habitat factors on the abundance or occurrence of species. Multi-scale studies are especially useful when the ecological neighborhood of the organism–landscape interaction is unknown. We review the development of multi-scale approaches and further clarify the associated terminology applied to different aspects of spatial scale. In particular, we argue that ecological neighborhood and analytical focus are not equivalent, although analytical focus may be used to infer ecological neighborhood. We suggest several potential improvements to multi-scale landscape studies that remain to be explored. Results from multi-scale studies could be used to guide ecologically sustainable landscape planning by identifying local management practices that are suited to the landscape context.","author":[{"dropping-particle":"","family":"Holland","given":"Jeffrey D.","non-dropping-particle":"","parse-names":false,"suffix":""},{"dropping-particle":"","family":"Yang","given":"Shulin","non-dropping-particle":"","parse-names":false,"suffix":""}],"container-title":"Current Landscape Ecology Reports","id":"ITEM-1","issue":"4","issued":{"date-parts":[["2016"]]},"page":"135-145","publisher":"Current Landscape Ecology Reports","title":"Multi-scale Studies and the Ecological Neighborhood","type":"article-journal","volume":"1"},"uris":["http://www.mendeley.com/documents/?uuid=7d72e74e-c0f6-4f26-80cd-86e531857c59"]}],"mendeley":{"formattedCitation":"&lt;sup&gt;35&lt;/sup&gt;","plainTextFormattedCitation":"35","previouslyFormattedCitation":"&lt;sup&gt;35&lt;/sup&gt;"},"properties":{"noteIndex":0},"schema":"https://github.com/citation-style-language/schema/raw/master/csl-citation.json"}</w:instrText>
      </w:r>
      <w:r w:rsidRPr="00DE5C02">
        <w:fldChar w:fldCharType="separate"/>
      </w:r>
      <w:r w:rsidR="00173667" w:rsidRPr="00DE5C02">
        <w:rPr>
          <w:noProof/>
          <w:vertAlign w:val="superscript"/>
        </w:rPr>
        <w:t>35</w:t>
      </w:r>
      <w:r w:rsidRPr="00DE5C02">
        <w:fldChar w:fldCharType="end"/>
      </w:r>
      <w:r w:rsidRPr="00DE5C02">
        <w:t xml:space="preserve">. Local-level drivers vary </w:t>
      </w:r>
      <w:r w:rsidR="00AA2CA2" w:rsidRPr="00DE5C02">
        <w:t>at small scales</w:t>
      </w:r>
      <w:r w:rsidRPr="00DE5C02">
        <w:t xml:space="preserve"> </w:t>
      </w:r>
      <w:r w:rsidR="008A4602" w:rsidRPr="00DE5C02">
        <w:t xml:space="preserve">within </w:t>
      </w:r>
      <w:r w:rsidRPr="00DE5C02">
        <w:t xml:space="preserve">landscapes, affected, for example, by local management practices. In addition to defining the hierarchies of drivers, it is also useful to distinguish </w:t>
      </w:r>
      <w:r w:rsidR="008A4602" w:rsidRPr="00DE5C02">
        <w:t xml:space="preserve">which </w:t>
      </w:r>
      <w:r w:rsidRPr="00DE5C02">
        <w:t xml:space="preserve">drivers </w:t>
      </w:r>
      <w:r w:rsidR="008A4602" w:rsidRPr="00DE5C02">
        <w:t xml:space="preserve">are amenable to </w:t>
      </w:r>
      <w:r w:rsidRPr="00DE5C02">
        <w:t>management</w:t>
      </w:r>
      <w:r w:rsidR="00072C7E" w:rsidRPr="00DE5C02">
        <w:fldChar w:fldCharType="begin" w:fldLock="1"/>
      </w:r>
      <w:r w:rsidR="006821F3" w:rsidRPr="00DE5C02">
        <w:instrText>ADDIN CSL_CITATION {"citationItems":[{"id":"ITEM-1","itemData":{"DOI":"10.1111/conl.12242","ISBN":"1755-263X","ISSN":"1755263X","abstract":"Decision makers and land managers are increasingly required to manage landscapes for multiple purposes and benefits. However, despite progress in the development of frameworks linking natural capital to the provision of ecosystem services and human benefits there remains little guidance for how management interventions can improve ecosystem service provision. As ecosystem services cannot be directly influenced, interventions need to be directed toward natural capital stocks. We provide a framework that explicitly links natural capital stocks to ecosystem service provision and identify manageable attributes of natural capital stocks as the critical intervention point. A structured decision making process based on our framing of the ecosystem services concept can facilitate its application on the ground.","author":[{"dropping-particle":"","family":"Maseyk","given":"Fleur J.F.","non-dropping-particle":"","parse-names":false,"suffix":""},{"dropping-particle":"","family":"Mackay","given":"Alec D.","non-dropping-particle":"","parse-names":false,"suffix":""},{"dropping-particle":"","family":"Possingham","given":"Hugh P.","non-dropping-particle":"","parse-names":false,"suffix":""},{"dropping-particle":"","family":"Dominati","given":"Estelle J.","non-dropping-particle":"","parse-names":false,"suffix":""},{"dropping-particle":"","family":"Buckley","given":"Yvonne M.","non-dropping-particle":"","parse-names":false,"suffix":""}],"container-title":"Conservation Letters","id":"ITEM-1","issue":"2","issued":{"date-parts":[["2017"]]},"page":"211-220","title":"Managing Natural Capital Stocks for the Provision of Ecosystem Services","type":"article-journal","volume":"10"},"uris":["http://www.mendeley.com/documents/?uuid=b0d01341-3629-4cc1-b300-0fa69e3114ae"]}],"mendeley":{"formattedCitation":"&lt;sup&gt;3&lt;/sup&gt;","plainTextFormattedCitation":"3","previouslyFormattedCitation":"&lt;sup&gt;3&lt;/sup&gt;"},"properties":{"noteIndex":0},"schema":"https://github.com/citation-style-language/schema/raw/master/csl-citation.json"}</w:instrText>
      </w:r>
      <w:r w:rsidR="00072C7E" w:rsidRPr="00DE5C02">
        <w:fldChar w:fldCharType="separate"/>
      </w:r>
      <w:r w:rsidR="00072C7E" w:rsidRPr="00DE5C02">
        <w:rPr>
          <w:noProof/>
          <w:vertAlign w:val="superscript"/>
        </w:rPr>
        <w:t>3</w:t>
      </w:r>
      <w:r w:rsidR="00072C7E" w:rsidRPr="00DE5C02">
        <w:fldChar w:fldCharType="end"/>
      </w:r>
      <w:r w:rsidRPr="00DE5C02">
        <w:t>.</w:t>
      </w:r>
    </w:p>
    <w:p w14:paraId="4120A4E8" w14:textId="3FCABB23" w:rsidR="00897750" w:rsidRPr="00DE5C02" w:rsidRDefault="00E450A1" w:rsidP="00E450A1">
      <w:pPr>
        <w:rPr>
          <w:rFonts w:cstheme="minorHAnsi"/>
        </w:rPr>
      </w:pPr>
      <w:r w:rsidRPr="00DE5C02">
        <w:rPr>
          <w:rFonts w:cstheme="minorHAnsi"/>
        </w:rPr>
        <w:t>W</w:t>
      </w:r>
      <w:r w:rsidR="00897750" w:rsidRPr="00DE5C02">
        <w:rPr>
          <w:rFonts w:cstheme="minorHAnsi"/>
        </w:rPr>
        <w:t xml:space="preserve">e identified </w:t>
      </w:r>
      <w:r w:rsidR="009824B5" w:rsidRPr="00DE5C02">
        <w:rPr>
          <w:rFonts w:cstheme="minorHAnsi"/>
        </w:rPr>
        <w:t xml:space="preserve">putative </w:t>
      </w:r>
      <w:r w:rsidR="00897750" w:rsidRPr="00DE5C02">
        <w:rPr>
          <w:rFonts w:cstheme="minorHAnsi"/>
        </w:rPr>
        <w:t>regional drivers of rhododendron occurrence as soil pH, soil moisture and elevation</w:t>
      </w:r>
      <w:r w:rsidRPr="00DE5C02">
        <w:rPr>
          <w:rFonts w:cstheme="minorHAnsi"/>
        </w:rPr>
        <w:t xml:space="preserve"> based on existing </w:t>
      </w:r>
      <w:r w:rsidR="005B0F0B" w:rsidRPr="00DE5C02">
        <w:rPr>
          <w:rFonts w:cstheme="minorHAnsi"/>
        </w:rPr>
        <w:t>literature</w:t>
      </w:r>
      <w:r w:rsidRPr="00DE5C02">
        <w:rPr>
          <w:rFonts w:cstheme="minorHAnsi"/>
        </w:rPr>
        <w:fldChar w:fldCharType="begin" w:fldLock="1"/>
      </w:r>
      <w:r w:rsidR="00B81E3F" w:rsidRPr="00DE5C02">
        <w:rPr>
          <w:rFonts w:cstheme="minorHAnsi"/>
        </w:rPr>
        <w:instrText>ADDIN CSL_CITATION {"citationItems":[{"id":"ITEM-1","itemData":{"DOI":"10.1016/j.ecolmodel.2005.09.007","ISBN":"0304-3800","ISSN":"03043800","PMID":"76","abstract":"Rhododendron ponticum has become a well-established invasive species throughout the British Isles and is now considered a problematic invasive weed species. The habitat requirements for establishment, however, have only previously been described qualitatively. The aim of this study was to quantify the influence of topographical and environmental characteristics on the probability of establishment of this invasive shrub in a woodland environment. A binomial generalized linear model (GLM), incorporating spatial autocorrelation, was used to model the presence/absence of R. ponticum seedlings (&lt;7-year-old plants) given substrate type and depth, canopy type and percent cover, altitude, slope, aspect and the distance to the nearest seed source as covariates. Depth and type of substrate along with distance from the closest seed source were found to be the most important predictors of seedling establishment. Specifically, fallen logs or tree stumps, newly colonised by moss, were identified as the most favourable habitat type for R. ponticum invasion. We show that the inclusion of spatial autocorrelation can affect model conclusions and, as a consequence, may influence management recommendations. Knowing how to reduce establishment can assist in managing invasive populations. Similarly, understanding how establishment probabilities vary according to habitat may aid the conservation of threatened populations. © 2005 Elsevier B.V. All rights reserved.","author":[{"dropping-particle":"","family":"Stephenson","given":"C. M.","non-dropping-particle":"","parse-names":false,"suffix":""},{"dropping-particle":"","family":"MacKenzie","given":"M. L.","non-dropping-particle":"","parse-names":false,"suffix":""},{"dropping-particle":"","family":"Edwards","given":"C.","non-dropping-particle":"","parse-names":false,"suffix":""},{"dropping-particle":"","family":"Travis","given":"J. M.J.","non-dropping-particle":"","parse-names":false,"suffix":""}],"container-title":"Ecological Modelling","id":"ITEM-1","issue":"3-4","issued":{"date-parts":[["2006"]]},"page":"747-758","title":"Modelling establishment probabilities of an exotic plant, Rhododendron ponticum, invading a heterogeneous, woodland landscape using logistic regression with spatial autocorrelation","type":"article-journal","volume":"193"},"uris":["http://www.mendeley.com/documents/?uuid=f982a4cc-7fd9-442e-91e4-6986505ed0d4"]}],"mendeley":{"formattedCitation":"&lt;sup&gt;36&lt;/sup&gt;","plainTextFormattedCitation":"36","previouslyFormattedCitation":"&lt;sup&gt;36&lt;/sup&gt;"},"properties":{"noteIndex":0},"schema":"https://github.com/citation-style-language/schema/raw/master/csl-citation.json"}</w:instrText>
      </w:r>
      <w:r w:rsidRPr="00DE5C02">
        <w:rPr>
          <w:rFonts w:cstheme="minorHAnsi"/>
        </w:rPr>
        <w:fldChar w:fldCharType="separate"/>
      </w:r>
      <w:r w:rsidR="00173667" w:rsidRPr="00DE5C02">
        <w:rPr>
          <w:rFonts w:cstheme="minorHAnsi"/>
          <w:noProof/>
          <w:vertAlign w:val="superscript"/>
        </w:rPr>
        <w:t>36</w:t>
      </w:r>
      <w:r w:rsidRPr="00DE5C02">
        <w:rPr>
          <w:rFonts w:cstheme="minorHAnsi"/>
        </w:rPr>
        <w:fldChar w:fldCharType="end"/>
      </w:r>
      <w:r w:rsidRPr="00DE5C02">
        <w:rPr>
          <w:rFonts w:cstheme="minorHAnsi"/>
        </w:rPr>
        <w:t xml:space="preserve"> </w:t>
      </w:r>
      <w:r w:rsidRPr="00DE5C02">
        <w:rPr>
          <w:rFonts w:cstheme="minorHAnsi"/>
        </w:rPr>
        <w:fldChar w:fldCharType="begin" w:fldLock="1"/>
      </w:r>
      <w:r w:rsidR="00B81E3F" w:rsidRPr="00DE5C02">
        <w:rPr>
          <w:rFonts w:cstheme="minorHAnsi"/>
        </w:rPr>
        <w:instrText>ADDIN CSL_CITATION {"citationItems":[{"id":"ITEM-1","itemData":{"author":[{"dropping-particle":"","family":"Cross","given":"J.R.","non-dropping-particle":"","parse-names":false,"suffix":""}],"container-title":"Journal of Ecology","id":"ITEM-1","issued":{"date-parts":[["1975"]]},"page":"345–364","title":"Biological flora of the British Isles: Rhododendron ponticum.","type":"article-journal","volume":"63"},"uris":["http://www.mendeley.com/documents/?uuid=a4d198bb-bb2c-4dc6-b6a9-25f3ada0b48f"]}],"mendeley":{"formattedCitation":"&lt;sup&gt;37&lt;/sup&gt;","plainTextFormattedCitation":"37","previouslyFormattedCitation":"&lt;sup&gt;37&lt;/sup&gt;"},"properties":{"noteIndex":0},"schema":"https://github.com/citation-style-language/schema/raw/master/csl-citation.json"}</w:instrText>
      </w:r>
      <w:r w:rsidRPr="00DE5C02">
        <w:rPr>
          <w:rFonts w:cstheme="minorHAnsi"/>
        </w:rPr>
        <w:fldChar w:fldCharType="separate"/>
      </w:r>
      <w:r w:rsidR="00173667" w:rsidRPr="00DE5C02">
        <w:rPr>
          <w:rFonts w:cstheme="minorHAnsi"/>
          <w:noProof/>
          <w:vertAlign w:val="superscript"/>
        </w:rPr>
        <w:t>37</w:t>
      </w:r>
      <w:r w:rsidRPr="00DE5C02">
        <w:rPr>
          <w:rFonts w:cstheme="minorHAnsi"/>
        </w:rPr>
        <w:fldChar w:fldCharType="end"/>
      </w:r>
      <w:r w:rsidRPr="00DE5C02">
        <w:rPr>
          <w:rFonts w:cstheme="minorHAnsi"/>
          <w:vertAlign w:val="superscript"/>
        </w:rPr>
        <w:t>,</w:t>
      </w:r>
      <w:r w:rsidRPr="00DE5C02">
        <w:rPr>
          <w:rFonts w:cstheme="minorHAnsi"/>
        </w:rPr>
        <w:fldChar w:fldCharType="begin" w:fldLock="1"/>
      </w:r>
      <w:r w:rsidR="00B81E3F" w:rsidRPr="00DE5C02">
        <w:rPr>
          <w:rFonts w:cstheme="minorHAnsi"/>
        </w:rPr>
        <w:instrText>ADDIN CSL_CITATION {"citationItems":[{"id":"ITEM-1","itemData":{"DOI":"10.1007/s10530-012-0305-y","ISBN":"1387-3547","ISSN":"13873547","abstract":"Invasive species can increase the susceptibility of ecosystems to disease by acting as reservoir hosts for pathogens. Invasive hosts are often sparsely recorded and not in equilibrium, so predicting their spatial distributions and overlap with other hosts is problematic. We applied newly developed methods for modelling the distribution of invasive species to the invasive shrub Rhododendron ponticum - a foliar reservoir host for the Phytophthora oomycete plant pathogens, P. ramorum and P. kernoviae, that threaten woodland and heathland habitat in Scotland. We compiled eleven datasets of biological records for R. ponticum (1691 points, 8455 polygons) and developed Maximum Entropy (MaxEnt) models incorporating landscape, soil and climate predictors. Our models produced accurate predictions of current suitable R. ponticum habitat (training AUC = 0.838; test AUC= 0.838) that corresponded well with population performance (areal cover). Continuous broad-leaved woodland cover, low elevation (&lt;400m a.s.l.) and intermediate levels of soil moisture (or Enhanced Vegetation Index) favoured presence of R. ponticum. The high coincidence of suitable habitat with both core native woodlands (54% of woodlands) and plantations of another sporulation host, Larix kaempferi, (64% of plantations) suggests a high potential for spread of Phytophthora infection to woodland mediated by R. ponticum. Incorporating non-equilibrium modelling methods did not improve habitat suitability predictions of this invasive host, possibly because, as a long-standing invader, R. ponticum has filled more of its available habitat at this national scale than previously suspected.","author":[{"dropping-particle":"V.","family":"Purse","given":"Bethan","non-dropping-particle":"","parse-names":false,"suffix":""},{"dropping-particle":"","family":"Graeser","given":"Philipp","non-dropping-particle":"","parse-names":false,"suffix":""},{"dropping-particle":"","family":"Searle","given":"Kate","non-dropping-particle":"","parse-names":false,"suffix":""},{"dropping-particle":"","family":"Edwards","given":"Colin","non-dropping-particle":"","parse-names":false,"suffix":""},{"dropping-particle":"","family":"Harris","given":"Catriona","non-dropping-particle":"","parse-names":false,"suffix":""}],"container-title":"Biological Invasions","id":"ITEM-1","issue":"3","issued":{"date-parts":[["2013"]]},"page":"529-545","title":"Challenges in predicting invasive reservoir hosts of emerging pathogens: Mapping Rhododendron ponticum as a foliar host for Phytophthora ramorum and Phytophthora kernoviae in the UK","type":"article-journal","volume":"15"},"uris":["http://www.mendeley.com/documents/?uuid=8e5f00ab-24d3-4994-8f91-2a2bfae5fe38"]}],"mendeley":{"formattedCitation":"&lt;sup&gt;38&lt;/sup&gt;","plainTextFormattedCitation":"38","previouslyFormattedCitation":"&lt;sup&gt;38&lt;/sup&gt;"},"properties":{"noteIndex":0},"schema":"https://github.com/citation-style-language/schema/raw/master/csl-citation.json"}</w:instrText>
      </w:r>
      <w:r w:rsidRPr="00DE5C02">
        <w:rPr>
          <w:rFonts w:cstheme="minorHAnsi"/>
        </w:rPr>
        <w:fldChar w:fldCharType="separate"/>
      </w:r>
      <w:r w:rsidR="00173667" w:rsidRPr="00DE5C02">
        <w:rPr>
          <w:rFonts w:cstheme="minorHAnsi"/>
          <w:noProof/>
          <w:vertAlign w:val="superscript"/>
        </w:rPr>
        <w:t>38</w:t>
      </w:r>
      <w:r w:rsidRPr="00DE5C02">
        <w:rPr>
          <w:rFonts w:cstheme="minorHAnsi"/>
        </w:rPr>
        <w:fldChar w:fldCharType="end"/>
      </w:r>
      <w:r w:rsidR="00897750" w:rsidRPr="00DE5C02">
        <w:rPr>
          <w:rFonts w:cstheme="minorHAnsi"/>
        </w:rPr>
        <w:t xml:space="preserve">. Potential landscape-level drivers relate to the amount and connectivity of </w:t>
      </w:r>
      <w:r w:rsidR="00E35B1B" w:rsidRPr="00DE5C02">
        <w:rPr>
          <w:rFonts w:cstheme="minorHAnsi"/>
        </w:rPr>
        <w:t xml:space="preserve">natural </w:t>
      </w:r>
      <w:r w:rsidR="00897750" w:rsidRPr="00DE5C02">
        <w:rPr>
          <w:rFonts w:cstheme="minorHAnsi"/>
        </w:rPr>
        <w:t xml:space="preserve">land covers that </w:t>
      </w:r>
      <w:r w:rsidR="00E35B1B" w:rsidRPr="00DE5C02">
        <w:rPr>
          <w:rFonts w:cstheme="minorHAnsi"/>
        </w:rPr>
        <w:t xml:space="preserve">may act as propagule </w:t>
      </w:r>
      <w:r w:rsidR="00897750" w:rsidRPr="00DE5C02">
        <w:rPr>
          <w:rFonts w:cstheme="minorHAnsi"/>
        </w:rPr>
        <w:t xml:space="preserve">sources. Local drivers are those affected </w:t>
      </w:r>
      <w:r w:rsidR="003F0254" w:rsidRPr="00DE5C02">
        <w:rPr>
          <w:rFonts w:cstheme="minorHAnsi"/>
        </w:rPr>
        <w:t xml:space="preserve">by </w:t>
      </w:r>
      <w:r w:rsidR="00897750" w:rsidRPr="00DE5C02">
        <w:rPr>
          <w:rFonts w:cstheme="minorHAnsi"/>
        </w:rPr>
        <w:t>management and include e.g. dominant canopy species, stocking density of trees and woodland origin (e.g. whether naturally regenerated or planted</w:t>
      </w:r>
      <w:r w:rsidR="00072C7E" w:rsidRPr="00DE5C02">
        <w:rPr>
          <w:rFonts w:cstheme="minorHAnsi"/>
        </w:rPr>
        <w:t>; Appendix S1.2</w:t>
      </w:r>
      <w:r w:rsidR="00897750" w:rsidRPr="00DE5C02">
        <w:rPr>
          <w:rFonts w:cstheme="minorHAnsi"/>
        </w:rPr>
        <w:t xml:space="preserve">). </w:t>
      </w:r>
    </w:p>
    <w:p w14:paraId="23D09116" w14:textId="45DA57E7" w:rsidR="00B250FA" w:rsidRPr="00DE5C02" w:rsidRDefault="00897750">
      <w:r w:rsidRPr="00DE5C02">
        <w:t>Regional drivers of pond water quality include</w:t>
      </w:r>
      <w:r w:rsidR="000225F4" w:rsidRPr="00DE5C02">
        <w:t>:</w:t>
      </w:r>
      <w:r w:rsidRPr="00DE5C02">
        <w:t xml:space="preserve"> </w:t>
      </w:r>
      <w:r w:rsidR="00AA2CA2" w:rsidRPr="00DE5C02">
        <w:t xml:space="preserve">i) </w:t>
      </w:r>
      <w:r w:rsidRPr="00DE5C02">
        <w:t>precipitation</w:t>
      </w:r>
      <w:r w:rsidR="00AA2CA2" w:rsidRPr="00DE5C02">
        <w:t>, with its potential to exacerbate agricultural run-off;</w:t>
      </w:r>
      <w:r w:rsidRPr="00DE5C02">
        <w:t xml:space="preserve"> </w:t>
      </w:r>
      <w:r w:rsidR="00AA2CA2" w:rsidRPr="00DE5C02">
        <w:t xml:space="preserve">ii) </w:t>
      </w:r>
      <w:r w:rsidRPr="00DE5C02">
        <w:t>atmospheric nitrate deposition</w:t>
      </w:r>
      <w:r w:rsidR="00AA2CA2" w:rsidRPr="00DE5C02">
        <w:t xml:space="preserve"> which can affect phosphorous uptake by pond biota</w:t>
      </w:r>
      <w:r w:rsidR="000D25DB" w:rsidRPr="00DE5C02">
        <w:t xml:space="preserve"> due to its influence on N:P ratios</w:t>
      </w:r>
      <w:r w:rsidRPr="00DE5C02">
        <w:t xml:space="preserve">, </w:t>
      </w:r>
      <w:r w:rsidR="00AA2CA2" w:rsidRPr="00DE5C02">
        <w:t xml:space="preserve">iii) </w:t>
      </w:r>
      <w:r w:rsidRPr="00DE5C02">
        <w:t>temperature</w:t>
      </w:r>
      <w:r w:rsidR="00AA2CA2" w:rsidRPr="00DE5C02">
        <w:t>, with its effects on pond biota and water levels</w:t>
      </w:r>
      <w:r w:rsidRPr="00DE5C02">
        <w:t xml:space="preserve"> and </w:t>
      </w:r>
      <w:r w:rsidR="00AA2CA2" w:rsidRPr="00DE5C02">
        <w:t xml:space="preserve">iv) </w:t>
      </w:r>
      <w:r w:rsidRPr="00DE5C02">
        <w:t>soil type</w:t>
      </w:r>
      <w:r w:rsidR="00AA2CA2" w:rsidRPr="00DE5C02">
        <w:t>, which can affect surface and ground water movements</w:t>
      </w:r>
      <w:r w:rsidRPr="00DE5C02">
        <w:fldChar w:fldCharType="begin" w:fldLock="1"/>
      </w:r>
      <w:r w:rsidR="00B81E3F" w:rsidRPr="00DE5C02">
        <w:instrText>ADDIN CSL_CITATION {"citationItems":[{"id":"ITEM-1","itemData":{"DOI":"10.1046/j.1526-0992.2001.01047.x","ISBN":"1076-2825","ISSN":"10762825","abstract":"Spatially explicit identification of changes in ecological conditions over large areas is key to targeting and prioritizing areas for environmental protection and restoration by managers at watershed, basin, and regional scales, A critical limitation to this point has been the development of methods to conduct such broad-scale assessments. Field-based methods have proven to be too costly and too inconsistent in their application to make estimates of ecological conditions over large areas. New spatial data derived from satellite imagery and other sources, the development of statistical models relating landscape composition and pattern to ecological endpoints, and geographic information systems (GIs) make it possible to evaluate ecological conditions at multiple scales over broad geographic regions, In this study, we demonstrate the application of spatially distributed models for bird habitat quality and nitrogen yield to streams to assess the consequences of landcover change across the mid-Atlantic region between the 1970s and 1990s. Moreover, we present a way to evaluate spatial concordance between models related to different environmental endpoints. Results of this study should help environmental managers in the mid-Atlantic region target those areas in need of conservation and protection","author":[{"dropping-particle":"","family":"Jones","given":"K. Bruce","non-dropping-particle":"","parse-names":false,"suffix":""},{"dropping-particle":"","family":"Neale","given":"Anne C.","non-dropping-particle":"","parse-names":false,"suffix":""},{"dropping-particle":"","family":"Wade","given":"Timothy G.","non-dropping-particle":"","parse-names":false,"suffix":""},{"dropping-particle":"","family":"Wickham","given":"James D.","non-dropping-particle":"","parse-names":false,"suffix":""},{"dropping-particle":"","family":"Cross","given":"Chad L.","non-dropping-particle":"","parse-names":false,"suffix":""},{"dropping-particle":"","family":"Edmonds","given":"Curtis M.","non-dropping-particle":"","parse-names":false,"suffix":""},{"dropping-particle":"","family":"Loveland","given":"Thomas R.","non-dropping-particle":"","parse-names":false,"suffix":""},{"dropping-particle":"","family":"Nash","given":"Maliha S.","non-dropping-particle":"","parse-names":false,"suffix":""},{"dropping-particle":"","family":"Riitters","given":"Kurt H.","non-dropping-particle":"","parse-names":false,"suffix":""},{"dropping-particle":"","family":"Smith","given":"Elizabeth R.","non-dropping-particle":"","parse-names":false,"suffix":""}],"container-title":"Ecosystem Health","id":"ITEM-1","issue":"4","issued":{"date-parts":[["2001"]]},"page":"229-242","title":"The consequences of landscape change on ecological resources: An assessment of the United States mid-Atlantic region, 1973-1993","type":"article-journal","volume":"7"},"uris":["http://www.mendeley.com/documents/?uuid=6fb4f937-6e15-40c4-a655-51634ec40cfe"]},{"id":"ITEM-2","itemData":{"DOI":"10.1007/1-4020-4663-4_11","ISBN":"1402046642","abstract":"There have been numerous papers reporting relationships between watershed and landscape characteristics and chemical, physical, and biological attributes of streams (see summary in Lee et al. 2001). Some of these studies have shown strong linkages between stream and near-site landscape conditions (Lammert et al. 1999, Stauffer et al. 2000, Talmage et al. 2002), while others show stronger linkages between stream and watershed-scale, landscape conditions (Roth et al. 1996, Allan et al. 1997, Herlihy et al. 1998, Davies et al. 2000, Jones et al. 2001a). Moreover, there are differences in the importance of environmental variables in explaining variation in stream condition among the various studies (for a comparison, see Roth et al. 1996 and Lee et al. 2001). Differences in results are not surprising given the wide range of scales and biophysical settings, and the potential for variation in environmental conditions (e.g., precipitation and flow) among the years in which these studies were conducted. Scaling is one of the top challenges facing environmental managers and ecologists alike (Wu 1999, Wu and Hobbs 2002). Stream chemistry, including nitrogen concentration, seems to be controlled by overall watershed conditions (Carpenter et al. 1998, Herlihy et al. 1998, Jones et al. 2001a), although point sources and atmospheric nitrogen deposition also can be significant sources of nitrogen in streams (Behrendt 1996 and Smith et al. 1997, respectively). Studies of the importance of land cover and land use in riparian zones is well documented (Lowrance et al. 1984, Peterjohn and Correll 1984), but most have been limited in geographic scope and biophysical variability. Moreover, little is known on how effective forested riparian buffers are in filtering nitrogen in different biophysical settings across broad regions. Excess nutrient loading into streams, from atmospheric inputs and land surfaces, is a key issue with regards to maintaining the chemical and biological condition of streams (Carpenter et al. 1998, Jones et al. 2001a). High levels of nutrients in streams can create both risks to human health and biological condition (Ator and Ferrari 1997). Smith et al. (2001) found a strong relationship between landscape characteristics, especially the amount of urban and agriculture on greater than 3% slopes, and relatively high concentrations of fecal coliforms in South Carolina streams. They hypothesized that excess loadings of nutrients from animal and human waste…","author":[{"dropping-particle":"","family":"Jones","given":"K. Bruce","non-dropping-particle":"","parse-names":false,"suffix":""},{"dropping-particle":"","family":"Neale","given":"Anne C.","non-dropping-particle":"","parse-names":false,"suffix":""},{"dropping-particle":"","family":"Wade","given":"Timothy G.","non-dropping-particle":"","parse-names":false,"suffix":""},{"dropping-particle":"","family":"Cross","given":"Chad L.","non-dropping-particle":"","parse-names":false,"suffix":""},{"dropping-particle":"","family":"Wickham","given":"James D.","non-dropping-particle":"","parse-names":false,"suffix":""},{"dropping-particle":"","family":"Nash","given":"Maliha S.","non-dropping-particle":"","parse-names":false,"suffix":""},{"dropping-particle":"","family":"Edmonds","given":"Curtis M.","non-dropping-particle":"","parse-names":false,"suffix":""},{"dropping-particle":"","family":"Riitters","given":"Kurt H.","non-dropping-particle":"","parse-names":false,"suffix":""},{"dropping-particle":"V.","family":"O'Neill","given":"Robert","non-dropping-particle":"","parse-names":false,"suffix":""},{"dropping-particle":"","family":"Smith","given":"Elizabeth R.","non-dropping-particle":"","parse-names":false,"suffix":""},{"dropping-particle":"","family":"Remortel","given":"Rick D.","non-dropping-particle":"Van","parse-names":false,"suffix":""}],"container-title":"Scaling and Uncertainty Analysis in Ecology: Methods and Applications","id":"ITEM-2","issued":{"date-parts":[["2006"]]},"page":"205-224","title":"Multiscale relationships between landscape characteristics and nitrogen concentrations in streams","type":"article-journal"},"uris":["http://www.mendeley.com/documents/?uuid=82b34131-bf95-4213-bc61-3c62615e9c54"]},{"id":"ITEM-3","itemData":{"DOI":"10.1111/j.1365-2486.2006.01129.x","ISBN":"13652486","ISSN":"13541013","abstract":"Abstract We compiled chemical data and phytoplankton biomass (PB) data (chlorophyll a) from unproductive lakes in 42 different regions in Europe and North America, and compared these data to inorganic nitrogen (N) deposition over these regions. We demonstrate that increased deposition of inorganic N over large areas of Europe and North America has caused elevated concentrations of inorganic N in lakes. In addition, the unproductive lakes in high N deposition areas had clearly higher PB relative to the total phosphorus (P) concentrations illustrating that the elevated inorganic N concentrations has resulted in eutrophication and increased biomass of phytoplankton. The eutrophication caused by inorganic N deposition indicates that PB yield in a majority of lakes in the northern hemisphere is (was) limited by N in their natural state. We, therefore, suggest that P limitation largely concerns lakes where the balance between N and P has been changed because of increased anthropogenic input of N.","author":[{"dropping-particle":"","family":"Bergström","given":"Ann Kristin","non-dropping-particle":"","parse-names":false,"suffix":""},{"dropping-particle":"","family":"Jansson","given":"Mats","non-dropping-particle":"","parse-names":false,"suffix":""}],"container-title":"Global Change Biology","id":"ITEM-3","issue":"4","issued":{"date-parts":[["2006"]]},"page":"635-643","title":"Atmospheric nitrogen deposition has caused nitrogen enrichment and eutrophication of lakes in the northern hemisphere","type":"article-journal","volume":"12"},"uris":["http://www.mendeley.com/documents/?uuid=b31226f1-7748-47cf-a199-2600c3de0b20"]}],"mendeley":{"formattedCitation":"&lt;sup&gt;39–41&lt;/sup&gt;","plainTextFormattedCitation":"39–41","previouslyFormattedCitation":"&lt;sup&gt;39–41&lt;/sup&gt;"},"properties":{"noteIndex":0},"schema":"https://github.com/citation-style-language/schema/raw/master/csl-citation.json"}</w:instrText>
      </w:r>
      <w:r w:rsidRPr="00DE5C02">
        <w:fldChar w:fldCharType="separate"/>
      </w:r>
      <w:r w:rsidR="00173667" w:rsidRPr="00DE5C02">
        <w:rPr>
          <w:noProof/>
          <w:vertAlign w:val="superscript"/>
        </w:rPr>
        <w:t>39–41</w:t>
      </w:r>
      <w:r w:rsidRPr="00DE5C02">
        <w:fldChar w:fldCharType="end"/>
      </w:r>
      <w:r w:rsidRPr="00DE5C02">
        <w:t>. Landscape-level drivers include the composition and configuration of land covers that act as sources and sinks of pollutants</w:t>
      </w:r>
      <w:r w:rsidR="00442D33" w:rsidRPr="00DE5C02">
        <w:t>, in addition to buffer vegetation</w:t>
      </w:r>
      <w:r w:rsidRPr="00DE5C02">
        <w:t xml:space="preserve">, and local drivers </w:t>
      </w:r>
      <w:r w:rsidR="009824B5" w:rsidRPr="00DE5C02">
        <w:t xml:space="preserve">comprise </w:t>
      </w:r>
      <w:r w:rsidRPr="00DE5C02">
        <w:t>the presence of an inflow and pond size</w:t>
      </w:r>
      <w:r w:rsidR="00072C7E" w:rsidRPr="00DE5C02">
        <w:t xml:space="preserve"> (Appendix S2.1)</w:t>
      </w:r>
      <w:r w:rsidRPr="00DE5C02">
        <w:t xml:space="preserve">. </w:t>
      </w:r>
    </w:p>
    <w:p w14:paraId="2DBD3780" w14:textId="647ECF38" w:rsidR="00CC0813" w:rsidRPr="00DE5C02" w:rsidRDefault="00CC0813" w:rsidP="00CC0813">
      <w:pPr>
        <w:pStyle w:val="Heading3"/>
      </w:pPr>
      <w:r w:rsidRPr="00DE5C02">
        <w:t>Generate hypotheses</w:t>
      </w:r>
    </w:p>
    <w:p w14:paraId="5279E786" w14:textId="4623CCEF" w:rsidR="00CC0813" w:rsidRPr="00DE5C02" w:rsidRDefault="00CC0813" w:rsidP="00CC0813">
      <w:r w:rsidRPr="00DE5C02">
        <w:t>Once all potential regional, landscape and local drivers and their hierarchies have been identified, it is possible to generate specific hypotheses about how these will affect a given ecosystem response, including cross-scale interactions. For, rhododendron, we hypothesized a cross-scale interaction between the regional favourability</w:t>
      </w:r>
      <w:r w:rsidR="00E37285" w:rsidRPr="00DE5C02">
        <w:t>, according to pH, moisture and elevation,</w:t>
      </w:r>
      <w:r w:rsidRPr="00DE5C02">
        <w:t xml:space="preserve"> and some stand-level and landscape-level variables known to affect rhododendron occurrence (tree stocking density, distance to propagule sources, see Table 1). In unfavourable regions, </w:t>
      </w:r>
      <w:r w:rsidR="00E37285" w:rsidRPr="00DE5C02">
        <w:t xml:space="preserve">the importance of </w:t>
      </w:r>
      <w:r w:rsidRPr="00DE5C02">
        <w:t xml:space="preserve">propagule sources might be </w:t>
      </w:r>
      <w:r w:rsidR="00E37285" w:rsidRPr="00DE5C02">
        <w:t>greater</w:t>
      </w:r>
      <w:r w:rsidRPr="00DE5C02">
        <w:t xml:space="preserve"> in facilitating successful establishment. In addition, we hypothesised that other local and landscape-level variables have a consistent effect on rhododendron establishment across broad extents. For pond water quality, our hypothesized cross-scale interaction was that  the negative effect of intensive land cover would be strongest in areas of high slope and high precipitation, where these variables might exacerbate pollution</w:t>
      </w:r>
      <w:r w:rsidRPr="00DE5C02">
        <w:fldChar w:fldCharType="begin" w:fldLock="1"/>
      </w:r>
      <w:r w:rsidR="00B81E3F" w:rsidRPr="00DE5C02">
        <w:instrText>ADDIN CSL_CITATION {"citationItems":[{"id":"ITEM-1","itemData":{"DOI":"10.1046/j.1526-0992.2001.01047.x","ISBN":"1076-2825","ISSN":"10762825","abstract":"Spatially explicit identification of changes in ecological conditions over large areas is key to targeting and prioritizing areas for environmental protection and restoration by managers at watershed, basin, and regional scales, A critical limitation to this point has been the development of methods to conduct such broad-scale assessments. Field-based methods have proven to be too costly and too inconsistent in their application to make estimates of ecological conditions over large areas. New spatial data derived from satellite imagery and other sources, the development of statistical models relating landscape composition and pattern to ecological endpoints, and geographic information systems (GIs) make it possible to evaluate ecological conditions at multiple scales over broad geographic regions, In this study, we demonstrate the application of spatially distributed models for bird habitat quality and nitrogen yield to streams to assess the consequences of landcover change across the mid-Atlantic region between the 1970s and 1990s. Moreover, we present a way to evaluate spatial concordance between models related to different environmental endpoints. Results of this study should help environmental managers in the mid-Atlantic region target those areas in need of conservation and protection","author":[{"dropping-particle":"","family":"Jones","given":"K. Bruce","non-dropping-particle":"","parse-names":false,"suffix":""},{"dropping-particle":"","family":"Neale","given":"Anne C.","non-dropping-particle":"","parse-names":false,"suffix":""},{"dropping-particle":"","family":"Wade","given":"Timothy G.","non-dropping-particle":"","parse-names":false,"suffix":""},{"dropping-particle":"","family":"Wickham","given":"James D.","non-dropping-particle":"","parse-names":false,"suffix":""},{"dropping-particle":"","family":"Cross","given":"Chad L.","non-dropping-particle":"","parse-names":false,"suffix":""},{"dropping-particle":"","family":"Edmonds","given":"Curtis M.","non-dropping-particle":"","parse-names":false,"suffix":""},{"dropping-particle":"","family":"Loveland","given":"Thomas R.","non-dropping-particle":"","parse-names":false,"suffix":""},{"dropping-particle":"","family":"Nash","given":"Maliha S.","non-dropping-particle":"","parse-names":false,"suffix":""},{"dropping-particle":"","family":"Riitters","given":"Kurt H.","non-dropping-particle":"","parse-names":false,"suffix":""},{"dropping-particle":"","family":"Smith","given":"Elizabeth R.","non-dropping-particle":"","parse-names":false,"suffix":""}],"container-title":"Ecosystem Health","id":"ITEM-1","issue":"4","issued":{"date-parts":[["2001"]]},"page":"229-242","title":"The consequences of landscape change on ecological resources: An assessment of the United States mid-Atlantic region, 1973-1993","type":"article-journal","volume":"7"},"uris":["http://www.mendeley.com/documents/?uuid=6fb4f937-6e15-40c4-a655-51634ec40cfe"]},{"id":"ITEM-2","itemData":{"DOI":"10.1007/1-4020-4663-4_11","ISBN":"1402046642","abstract":"There have been numerous papers reporting relationships between watershed and landscape characteristics and chemical, physical, and biological attributes of streams (see summary in Lee et al. 2001). Some of these studies have shown strong linkages between stream and near-site landscape conditions (Lammert et al. 1999, Stauffer et al. 2000, Talmage et al. 2002), while others show stronger linkages between stream and watershed-scale, landscape conditions (Roth et al. 1996, Allan et al. 1997, Herlihy et al. 1998, Davies et al. 2000, Jones et al. 2001a). Moreover, there are differences in the importance of environmental variables in explaining variation in stream condition among the various studies (for a comparison, see Roth et al. 1996 and Lee et al. 2001). Differences in results are not surprising given the wide range of scales and biophysical settings, and the potential for variation in environmental conditions (e.g., precipitation and flow) among the years in which these studies were conducted. Scaling is one of the top challenges facing environmental managers and ecologists alike (Wu 1999, Wu and Hobbs 2002). Stream chemistry, including nitrogen concentration, seems to be controlled by overall watershed conditions (Carpenter et al. 1998, Herlihy et al. 1998, Jones et al. 2001a), although point sources and atmospheric nitrogen deposition also can be significant sources of nitrogen in streams (Behrendt 1996 and Smith et al. 1997, respectively). Studies of the importance of land cover and land use in riparian zones is well documented (Lowrance et al. 1984, Peterjohn and Correll 1984), but most have been limited in geographic scope and biophysical variability. Moreover, little is known on how effective forested riparian buffers are in filtering nitrogen in different biophysical settings across broad regions. Excess nutrient loading into streams, from atmospheric inputs and land surfaces, is a key issue with regards to maintaining the chemical and biological condition of streams (Carpenter et al. 1998, Jones et al. 2001a). High levels of nutrients in streams can create both risks to human health and biological condition (Ator and Ferrari 1997). Smith et al. (2001) found a strong relationship between landscape characteristics, especially the amount of urban and agriculture on greater than 3% slopes, and relatively high concentrations of fecal coliforms in South Carolina streams. They hypothesized that excess loadings of nutrients from animal and human waste…","author":[{"dropping-particle":"","family":"Jones","given":"K. Bruce","non-dropping-particle":"","parse-names":false,"suffix":""},{"dropping-particle":"","family":"Neale","given":"Anne C.","non-dropping-particle":"","parse-names":false,"suffix":""},{"dropping-particle":"","family":"Wade","given":"Timothy G.","non-dropping-particle":"","parse-names":false,"suffix":""},{"dropping-particle":"","family":"Cross","given":"Chad L.","non-dropping-particle":"","parse-names":false,"suffix":""},{"dropping-particle":"","family":"Wickham","given":"James D.","non-dropping-particle":"","parse-names":false,"suffix":""},{"dropping-particle":"","family":"Nash","given":"Maliha S.","non-dropping-particle":"","parse-names":false,"suffix":""},{"dropping-particle":"","family":"Edmonds","given":"Curtis M.","non-dropping-particle":"","parse-names":false,"suffix":""},{"dropping-particle":"","family":"Riitters","given":"Kurt H.","non-dropping-particle":"","parse-names":false,"suffix":""},{"dropping-particle":"V.","family":"O'Neill","given":"Robert","non-dropping-particle":"","parse-names":false,"suffix":""},{"dropping-particle":"","family":"Smith","given":"Elizabeth R.","non-dropping-particle":"","parse-names":false,"suffix":""},{"dropping-particle":"","family":"Remortel","given":"Rick D.","non-dropping-particle":"Van","parse-names":false,"suffix":""}],"container-title":"Scaling and Uncertainty Analysis in Ecology: Methods and Applications","id":"ITEM-2","issued":{"date-parts":[["2006"]]},"page":"205-224","title":"Multiscale relationships between landscape characteristics and nitrogen concentrations in streams","type":"article-journal"},"uris":["http://www.mendeley.com/documents/?uuid=82b34131-bf95-4213-bc61-3c62615e9c54"]}],"mendeley":{"formattedCitation":"&lt;sup&gt;39,40&lt;/sup&gt;","plainTextFormattedCitation":"39,40","previouslyFormattedCitation":"&lt;sup&gt;39,40&lt;/sup&gt;"},"properties":{"noteIndex":0},"schema":"https://github.com/citation-style-language/schema/raw/master/csl-citation.json"}</w:instrText>
      </w:r>
      <w:r w:rsidRPr="00DE5C02">
        <w:fldChar w:fldCharType="separate"/>
      </w:r>
      <w:r w:rsidR="00173667" w:rsidRPr="00DE5C02">
        <w:rPr>
          <w:noProof/>
          <w:vertAlign w:val="superscript"/>
        </w:rPr>
        <w:t>39,40</w:t>
      </w:r>
      <w:r w:rsidRPr="00DE5C02">
        <w:fldChar w:fldCharType="end"/>
      </w:r>
      <w:r w:rsidRPr="00DE5C02">
        <w:t xml:space="preserve">. Moreover, the effectiveness of buffer vegetation was hypothesised to vary with these factors, with their ability to buffer against run-off potentially overwhelmed in high precipitation regions, </w:t>
      </w:r>
      <w:r w:rsidR="00D731D1" w:rsidRPr="00DE5C02">
        <w:t>suggesting</w:t>
      </w:r>
      <w:r w:rsidRPr="00DE5C02">
        <w:t xml:space="preserve"> a three-way interaction between buffer, precipitation gradient and landscape-level </w:t>
      </w:r>
      <w:r w:rsidR="00420628" w:rsidRPr="00DE5C02">
        <w:t xml:space="preserve">cover of </w:t>
      </w:r>
      <w:r w:rsidRPr="00DE5C02">
        <w:t xml:space="preserve">intensive land </w:t>
      </w:r>
      <w:r w:rsidR="00420628" w:rsidRPr="00DE5C02">
        <w:t>uses</w:t>
      </w:r>
      <w:r w:rsidRPr="00DE5C02">
        <w:t>.</w:t>
      </w:r>
    </w:p>
    <w:p w14:paraId="26EDC542" w14:textId="263997A6" w:rsidR="00897750" w:rsidRPr="00DE5C02" w:rsidRDefault="00897750" w:rsidP="00897750">
      <w:pPr>
        <w:pStyle w:val="Heading3"/>
      </w:pPr>
      <w:bookmarkStart w:id="11" w:name="_Toc517421407"/>
      <w:bookmarkStart w:id="12" w:name="_Toc517431822"/>
      <w:r w:rsidRPr="00DE5C02">
        <w:t>Define regional contexts</w:t>
      </w:r>
      <w:bookmarkEnd w:id="11"/>
      <w:bookmarkEnd w:id="12"/>
    </w:p>
    <w:p w14:paraId="0AB54ED2" w14:textId="04552422" w:rsidR="00897750" w:rsidRPr="00DE5C02" w:rsidRDefault="00897750" w:rsidP="00550676">
      <w:r w:rsidRPr="00DE5C02">
        <w:t>To understand regional differences in the effects of local- and landscape-level drivers, regional contexts must be appropriately defined. Delineating regional contexts has a long history in a range of disciplines from hydrology</w:t>
      </w:r>
      <w:r w:rsidRPr="00DE5C02">
        <w:fldChar w:fldCharType="begin" w:fldLock="1"/>
      </w:r>
      <w:r w:rsidR="00B81E3F" w:rsidRPr="00DE5C02">
        <w:instrText>ADDIN CSL_CITATION {"citationItems":[{"id":"ITEM-1","itemData":{"author":[{"dropping-particle":"","family":"Mosley","given":"MP","non-dropping-particle":"","parse-names":false,"suffix":""}],"container-title":"Journal of HydroIogy","id":"ITEM-1","issued":{"date-parts":[["1981"]]},"page":"173-192","title":"Delimitation of New Zealand hydrological regions","type":"article-journal","volume":"49"},"uris":["http://www.mendeley.com/documents/?uuid=7b68f30a-9a65-4214-b993-34b2180d8472","http://www.mendeley.com/documents/?uuid=61b72547-9ac2-494b-817c-8911868aa73c"]}],"mendeley":{"formattedCitation":"&lt;sup&gt;42&lt;/sup&gt;","plainTextFormattedCitation":"42","previouslyFormattedCitation":"&lt;sup&gt;42&lt;/sup&gt;"},"properties":{"noteIndex":0},"schema":"https://github.com/citation-style-language/schema/raw/master/csl-citation.json"}</w:instrText>
      </w:r>
      <w:r w:rsidRPr="00DE5C02">
        <w:fldChar w:fldCharType="separate"/>
      </w:r>
      <w:r w:rsidR="00173667" w:rsidRPr="00DE5C02">
        <w:rPr>
          <w:noProof/>
          <w:vertAlign w:val="superscript"/>
        </w:rPr>
        <w:t>42</w:t>
      </w:r>
      <w:r w:rsidRPr="00DE5C02">
        <w:fldChar w:fldCharType="end"/>
      </w:r>
      <w:r w:rsidRPr="00DE5C02">
        <w:t xml:space="preserve"> to economic planning</w:t>
      </w:r>
      <w:r w:rsidRPr="00DE5C02">
        <w:fldChar w:fldCharType="begin" w:fldLock="1"/>
      </w:r>
      <w:r w:rsidR="00B81E3F" w:rsidRPr="00DE5C02">
        <w:instrText>ADDIN CSL_CITATION {"citationItems":[{"id":"ITEM-1","itemData":{"DOI":"10.1080/09595236800185071","ISBN":"0959523680018","ISSN":"13600591","author":[{"dropping-particle":"","family":"Spence","given":"N. A.","non-dropping-particle":"","parse-names":false,"suffix":""}],"container-title":"Regional Studies","id":"ITEM-1","issue":"1","issued":{"date-parts":[["1968"]]},"page":"87-104","title":"A Multifactor Uniform Regionalization of British Counties on the Basis of Employment Data for 1961","type":"article-journal","volume":"2"},"uris":["http://www.mendeley.com/documents/?uuid=f0fab9d2-4877-437d-83cf-d3a92655007a"]}],"mendeley":{"formattedCitation":"&lt;sup&gt;43&lt;/sup&gt;","plainTextFormattedCitation":"43","previouslyFormattedCitation":"&lt;sup&gt;43&lt;/sup&gt;"},"properties":{"noteIndex":0},"schema":"https://github.com/citation-style-language/schema/raw/master/csl-citation.json"}</w:instrText>
      </w:r>
      <w:r w:rsidRPr="00DE5C02">
        <w:fldChar w:fldCharType="separate"/>
      </w:r>
      <w:r w:rsidR="00173667" w:rsidRPr="00DE5C02">
        <w:rPr>
          <w:noProof/>
          <w:vertAlign w:val="superscript"/>
        </w:rPr>
        <w:t>43</w:t>
      </w:r>
      <w:r w:rsidRPr="00DE5C02">
        <w:fldChar w:fldCharType="end"/>
      </w:r>
      <w:r w:rsidRPr="00DE5C02">
        <w:t xml:space="preserve">. </w:t>
      </w:r>
      <w:r w:rsidR="00E35B1B" w:rsidRPr="00DE5C02">
        <w:t>Multivariate approaches have been widely applied to define regional context</w:t>
      </w:r>
      <w:r w:rsidR="00EC410A" w:rsidRPr="00DE5C02">
        <w:t>s</w:t>
      </w:r>
      <w:r w:rsidR="00E35B1B" w:rsidRPr="00DE5C02">
        <w:t xml:space="preserve">. Cluster analysis (e.g. </w:t>
      </w:r>
      <w:r w:rsidR="00E35B1B" w:rsidRPr="00DE5C02">
        <w:rPr>
          <w:i/>
        </w:rPr>
        <w:t>k</w:t>
      </w:r>
      <w:r w:rsidR="00E35B1B" w:rsidRPr="00DE5C02">
        <w:t>-means, self-organizing maps) identifies regions by aggregating a large number of geographical units into a smaller number of regions by optimising some objective function</w:t>
      </w:r>
      <w:r w:rsidR="000B4182" w:rsidRPr="00DE5C02">
        <w:fldChar w:fldCharType="begin" w:fldLock="1"/>
      </w:r>
      <w:r w:rsidR="00B81E3F" w:rsidRPr="00DE5C02">
        <w:instrText>ADDIN CSL_CITATION {"citationItems":[{"id":"ITEM-1","itemData":{"DOI":"10.1002/ece3.2884","ISSN":"20457758","abstract":"© 2017 Published by John Wiley &amp; Sons Ltd.Understanding broad-scale ecological patterns and processes often involves accounting for regional-scale heterogeneity. A common way to do so is to include ecological regions in sampling schemes and empirical models. However, most existing ecological regions were developed for specific purposes, using a limited set of geospatial features and irreproducible methods. Our study purpose was to: (1) describe a method that takes advantage of recent computational advances and increased availability of regional and global data sets to create customizable and reproducible ecological regions, (2) make this algorithm available for use and modification by others studying different ecosystems, variables of interest, study extents, and macroscale ecology research questions, and (3) demonstrate the power of this approach for the research question-How well do these regions capture regional-scale variation in lake water quality? To achieve our purpose we: (1) used a spatially constrained spectral clustering algorithm that balances geospatial homogeneity and region contiguity to create ecological regions using multiple terrestrial, climatic, and freshwater geospatial data for 17 northeastern U.S. states (~1,800,000 km2); (2) identified which of the 52 geospatial features were most influential in creating the resulting 100 regions; and (3) tested the ability of these ecological regions to capture regional variation in water nutrients and clarity for ~6,000 lakes. We found that: (1) a combination of terrestrial, climatic, and freshwater geospatial features influenced region creation, suggesting that the oft-ignored freshwater landscape provides novel information on landscape variability not captured by traditionally used climate and terrestrial metrics; and (2) the delineated regions captured macroscale heterogeneity in ecosystem properties not included in region delineation-approximately 40% of the variation in total phosphorus and water clarity among lakes was at the regional scale. Our results demonstrate the usefulness of this method for creating customizable and reproducible regions for research and management applications.","author":[{"dropping-particle":"","family":"Cheruvelil","given":"Kendra Spence","non-dropping-particle":"","parse-names":false,"suffix":""},{"dropping-particle":"","family":"Yuan","given":"Shuai","non-dropping-particle":"","parse-names":false,"suffix":""},{"dropping-particle":"","family":"Webster","given":"Katherine E.","non-dropping-particle":"","parse-names":false,"suffix":""},{"dropping-particle":"","family":"Tan","given":"Pang Ning","non-dropping-particle":"","parse-names":false,"suffix":""},{"dropping-particle":"","family":"Lapierre","given":"Jean François","non-dropping-particle":"","parse-names":false,"suffix":""},{"dropping-particle":"","family":"Collins","given":"Sarah M.","non-dropping-particle":"","parse-names":false,"suffix":""},{"dropping-particle":"","family":"Fergus","given":"C. Emi","non-dropping-particle":"","parse-names":false,"suffix":""},{"dropping-particle":"","family":"Scott","given":"Caren E.","non-dropping-particle":"","parse-names":false,"suffix":""},{"dropping-particle":"","family":"Henry","given":"Emily Norton","non-dropping-particle":"","parse-names":false,"suffix":""},{"dropping-particle":"","family":"Soranno","given":"Patricia A.","non-dropping-particle":"","parse-names":false,"suffix":""},{"dropping-particle":"","family":"Filstrup","given":"Christopher T.","non-dropping-particle":"","parse-names":false,"suffix":""},{"dropping-particle":"","family":"Wagner","given":"Tyler","non-dropping-particle":"","parse-names":false,"suffix":""}],"container-title":"Ecology and Evolution","id":"ITEM-1","issue":"9","issued":{"date-parts":[["2017"]]},"page":"3046-3058","title":"Creating multithemed ecological regions for macroscale ecology: Testing a flexible, repeatable, and accessible clustering method","type":"article-journal","volume":"7"},"uris":["http://www.mendeley.com/documents/?uuid=bf9b398c-2ad1-49bc-bb12-af5ad114ad10"]}],"mendeley":{"formattedCitation":"&lt;sup&gt;44&lt;/sup&gt;","plainTextFormattedCitation":"44","previouslyFormattedCitation":"&lt;sup&gt;44&lt;/sup&gt;"},"properties":{"noteIndex":0},"schema":"https://github.com/citation-style-language/schema/raw/master/csl-citation.json"}</w:instrText>
      </w:r>
      <w:r w:rsidR="000B4182" w:rsidRPr="00DE5C02">
        <w:fldChar w:fldCharType="separate"/>
      </w:r>
      <w:r w:rsidR="00173667" w:rsidRPr="00DE5C02">
        <w:rPr>
          <w:noProof/>
          <w:vertAlign w:val="superscript"/>
        </w:rPr>
        <w:t>44</w:t>
      </w:r>
      <w:r w:rsidR="000B4182" w:rsidRPr="00DE5C02">
        <w:fldChar w:fldCharType="end"/>
      </w:r>
      <w:r w:rsidR="00E35B1B" w:rsidRPr="00DE5C02">
        <w:t>. Principal components analysis (PCA) has been used to set regional context by delineating continuous gradients</w:t>
      </w:r>
      <w:r w:rsidR="00F720F2" w:rsidRPr="00DE5C02">
        <w:fldChar w:fldCharType="begin" w:fldLock="1"/>
      </w:r>
      <w:r w:rsidR="00B81E3F" w:rsidRPr="00DE5C02">
        <w:instrText>ADDIN CSL_CITATION {"citationItems":[{"id":"ITEM-1","itemData":{"author":[{"dropping-particle":"","family":"White","given":"Dale","non-dropping-particle":"","parse-names":false,"suffix":""}],"id":"ITEM-1","issued":{"date-parts":[["1991"]]},"page":"1-25","title":"CLIMATE REGIONALIZATION AND ROTATION OF PRINCIPAL COMPONENTS *","type":"article-journal","volume":"11"},"uris":["http://www.mendeley.com/documents/?uuid=9fa28f34-1698-4b8e-9e12-e2bca4a65ba6"]}],"mendeley":{"formattedCitation":"&lt;sup&gt;45&lt;/sup&gt;","plainTextFormattedCitation":"45","previouslyFormattedCitation":"&lt;sup&gt;45&lt;/sup&gt;"},"properties":{"noteIndex":0},"schema":"https://github.com/citation-style-language/schema/raw/master/csl-citation.json"}</w:instrText>
      </w:r>
      <w:r w:rsidR="00F720F2" w:rsidRPr="00DE5C02">
        <w:fldChar w:fldCharType="separate"/>
      </w:r>
      <w:r w:rsidR="00173667" w:rsidRPr="00DE5C02">
        <w:rPr>
          <w:noProof/>
          <w:vertAlign w:val="superscript"/>
        </w:rPr>
        <w:t>45</w:t>
      </w:r>
      <w:r w:rsidR="00F720F2" w:rsidRPr="00DE5C02">
        <w:fldChar w:fldCharType="end"/>
      </w:r>
      <w:r w:rsidR="00E35B1B" w:rsidRPr="00DE5C02">
        <w:t>.</w:t>
      </w:r>
      <w:r w:rsidRPr="00DE5C02">
        <w:t xml:space="preserve"> A plethora of regionalisations now exist based on various combinations of social and ecological variables, and are becoming increasingly incorporated in macroscale studies to identify </w:t>
      </w:r>
      <w:r w:rsidR="002D2520" w:rsidRPr="00DE5C02">
        <w:t>cross-scale interactions</w:t>
      </w:r>
      <w:r w:rsidR="002D2520" w:rsidRPr="00DE5C02">
        <w:fldChar w:fldCharType="begin" w:fldLock="1"/>
      </w:r>
      <w:r w:rsidR="00B81E3F" w:rsidRPr="00DE5C02">
        <w:instrText>ADDIN CSL_CITATION {"citationItems":[{"id":"ITEM-1","itemData":{"DOI":"10.1002/ece3.2884","ISSN":"20457758","abstract":"© 2017 Published by John Wiley &amp; Sons Ltd.Understanding broad-scale ecological patterns and processes often involves accounting for regional-scale heterogeneity. A common way to do so is to include ecological regions in sampling schemes and empirical models. However, most existing ecological regions were developed for specific purposes, using a limited set of geospatial features and irreproducible methods. Our study purpose was to: (1) describe a method that takes advantage of recent computational advances and increased availability of regional and global data sets to create customizable and reproducible ecological regions, (2) make this algorithm available for use and modification by others studying different ecosystems, variables of interest, study extents, and macroscale ecology research questions, and (3) demonstrate the power of this approach for the research question-How well do these regions capture regional-scale variation in lake water quality? To achieve our purpose we: (1) used a spatially constrained spectral clustering algorithm that balances geospatial homogeneity and region contiguity to create ecological regions using multiple terrestrial, climatic, and freshwater geospatial data for 17 northeastern U.S. states (~1,800,000 km2); (2) identified which of the 52 geospatial features were most influential in creating the resulting 100 regions; and (3) tested the ability of these ecological regions to capture regional variation in water nutrients and clarity for ~6,000 lakes. We found that: (1) a combination of terrestrial, climatic, and freshwater geospatial features influenced region creation, suggesting that the oft-ignored freshwater landscape provides novel information on landscape variability not captured by traditionally used climate and terrestrial metrics; and (2) the delineated regions captured macroscale heterogeneity in ecosystem properties not included in region delineation-approximately 40% of the variation in total phosphorus and water clarity among lakes was at the regional scale. Our results demonstrate the usefulness of this method for creating customizable and reproducible regions for research and management applications.","author":[{"dropping-particle":"","family":"Cheruvelil","given":"Kendra Spence","non-dropping-particle":"","parse-names":false,"suffix":""},{"dropping-particle":"","family":"Yuan","given":"Shuai","non-dropping-particle":"","parse-names":false,"suffix":""},{"dropping-particle":"","family":"Webster","given":"Katherine E.","non-dropping-particle":"","parse-names":false,"suffix":""},{"dropping-particle":"","family":"Tan","given":"Pang Ning","non-dropping-particle":"","parse-names":false,"suffix":""},{"dropping-particle":"","family":"Lapierre","given":"Jean François","non-dropping-particle":"","parse-names":false,"suffix":""},{"dropping-particle":"","family":"Collins","given":"Sarah M.","non-dropping-particle":"","parse-names":false,"suffix":""},{"dropping-particle":"","family":"Fergus","given":"C. Emi","non-dropping-particle":"","parse-names":false,"suffix":""},{"dropping-particle":"","family":"Scott","given":"Caren E.","non-dropping-particle":"","parse-names":false,"suffix":""},{"dropping-particle":"","family":"Henry","given":"Emily Norton","non-dropping-particle":"","parse-names":false,"suffix":""},{"dropping-particle":"","family":"Soranno","given":"Patricia A.","non-dropping-particle":"","parse-names":false,"suffix":""},{"dropping-particle":"","family":"Filstrup","given":"Christopher T.","non-dropping-particle":"","parse-names":false,"suffix":""},{"dropping-particle":"","family":"Wagner","given":"Tyler","non-dropping-particle":"","parse-names":false,"suffix":""}],"container-title":"Ecology and Evolution","id":"ITEM-1","issue":"9","issued":{"date-parts":[["2017"]]},"page":"3046-3058","title":"Creating multithemed ecological regions for macroscale ecology: Testing a flexible, repeatable, and accessible clustering method","type":"article-journal","volume":"7"},"uris":["http://www.mendeley.com/documents/?uuid=bf9b398c-2ad1-49bc-bb12-af5ad114ad10"]},{"id":"ITEM-2","itemData":{"DOI":"10.1371/journal.pone.0135454","ISBN":"1932-6203","ISSN":"19326203","PMID":"26267813","abstract":"Catchment land uses, particularly agriculture and urban uses, have long been recognized as major drivers of nutrient concentrations in surface waters. However, few simple models have been developed that relate the amount of catchment land use to downstream freshwater nutrients. Nor are existing models applicable to large numbers of freshwaters across broad spatial extents such as regions or continents. This research aims to increase model performance by exploring three factors that affect the relationship between land use and downstream nutrients in freshwater: the spatial extent for measuring land use, hydrologic connectivity, and the regional differences in both the amount of nutrients and effects of land use on them. We quantified the effects of these three factors that relate land use to lake total phosphorus (TP) and total nitrogen (TN) in 346 north temperate lakes in 7 regions in Michigan, USA. We used a linear mixed modeling framework to examine the importance of spatial extent, lake hydrologic class, and region on models with individual lake nutrients as the response variable, and individual land use types as the predictor variables. Our modeling approach was chosen to avoid problems of multi-collinearity among predictor variables and a lack of independence of lakes within regions, both of which are common problems in broad-scale analyses of freshwaters. We found that all three factors influence land use-lake nutrient relationships. The strongest evidence was for the effect of lake hydrologic connectivity, followed by region, and finally, the spatial extent of land use measurements. Incorporating these three factors into relatively simple models of land use effects on lake nutrients should help to improve predictions and understanding of land use-lake nutrient interactions at broad scales.","author":[{"dropping-particle":"","family":"Soranno","given":"Patricia A.","non-dropping-particle":"","parse-names":false,"suffix":""},{"dropping-particle":"","family":"Cheruvelil","given":"Kendra Spence","non-dropping-particle":"","parse-names":false,"suffix":""},{"dropping-particle":"","family":"Wagner","given":"Tyler","non-dropping-particle":"","parse-names":false,"suffix":""},{"dropping-particle":"","family":"Webster","given":"Katherine E.","non-dropping-particle":"","parse-names":false,"suffix":""},{"dropping-particle":"","family":"Bremigan","given":"Mary Tate","non-dropping-particle":"","parse-names":false,"suffix":""}],"container-title":"PLoS ONE","id":"ITEM-2","issue":"8","issued":{"date-parts":[["2015"]]},"page":"1-22","title":"Effects of land use on lake nutrients: The importance of scale, hydrologic connectivity, and region","type":"article-journal","volume":"10"},"uris":["http://www.mendeley.com/documents/?uuid=5b5e01fb-7969-4f77-aac3-e9aa9258c138"]},{"id":"ITEM-3","itemData":{"DOI":"10.1007/s10980-015-0280-7","ISBN":"09212973 (ISSN)","ISSN":"15729761","abstract":"Context: Detecting biotic resistance to biological invasions across large geographic areas may require acknowledging multiple metrics of niche usage and potential spatial heterogeneity in associations between invasive and native species diversity and dominance. Objectives: Determine (1) if native communities are resistant to biological invasions at macroscales; (2) the metrics that best quantify biotic resistance at these scales; and (3) the degree to which the direction and magnitude of invader-native associations vary with scale and/or location. Methods: Using a mixed-effects modeling framework to account for potential sub-regional and cross-scale variability in invader-native associations, we modeled the species richness and cover of invasive plants in 42,626 plots located throughout Eastern USA forests in relationship to plot-level estimates of native tree biomass, species richness, and evolutionary diversity. Results: We found (1) native tree biomass and evolutionary diversity, but not species richness, to be negatively associated with invader establishment and dominance, and thus indicative of biotic resistance; (2) evidence that evolutionary diversity limits invader dominance more than it does invader establishment; (3) evidence of greater invasion resistance in parts of the agriculturally-dominated Midwest and in and around the more-contiguous forests of the Appalachian Mountains; and (4) the magnitude to which native tree biomass and evolutionary diversity limit invasion varies across the ranges of these metrics. Conclusions: These findings illustrate the improved understanding of biotic resistance to invasions that is gained by accounting for sub-regional variability in ecological processes, and underscores the need to determine the factors leading to spatial heterogeneity in biotic resistance. © 2015 Springer Science+Business Media Dordrecht","author":[{"dropping-particle":"V.","family":"Iannone","given":"Basil","non-dropping-particle":"","parse-names":false,"suffix":""},{"dropping-particle":"","family":"Potter","given":"Kevin M.","non-dropping-particle":"","parse-names":false,"suffix":""},{"dropping-particle":"","family":"Hamil","given":"Kelly Ann Dixon","non-dropping-particle":"","parse-names":false,"suffix":""},{"dropping-particle":"","family":"Huang","given":"Whitney","non-dropping-particle":"","parse-names":false,"suffix":""},{"dropping-particle":"","family":"Zhang","given":"Hao","non-dropping-particle":"","parse-names":false,"suffix":""},{"dropping-particle":"","family":"Guo","given":"Qinfeng","non-dropping-particle":"","parse-names":false,"suffix":""},{"dropping-particle":"","family":"Oswalt","given":"Christopher M.","non-dropping-particle":"","parse-names":false,"suffix":""},{"dropping-particle":"","family":"Woodall","given":"Christopher W.","non-dropping-particle":"","parse-names":false,"suffix":""},{"dropping-particle":"","family":"Fei","given":"Songlin","non-dropping-particle":"","parse-names":false,"suffix":""}],"container-title":"Landscape Ecology","id":"ITEM-3","issue":"1","issued":{"date-parts":[["2016"]]},"page":"85-99","publisher":"Springer Netherlands","title":"Evidence of biotic resistance to invasions in forests of the Eastern USA","type":"article-journal","volume":"31"},"uris":["http://www.mendeley.com/documents/?uuid=2ba3450b-65e2-433f-8cbf-049885cdcd11"]}],"mendeley":{"formattedCitation":"&lt;sup&gt;44,46,47&lt;/sup&gt;","plainTextFormattedCitation":"44,46,47","previouslyFormattedCitation":"&lt;sup&gt;44,46,47&lt;/sup&gt;"},"properties":{"noteIndex":0},"schema":"https://github.com/citation-style-language/schema/raw/master/csl-citation.json"}</w:instrText>
      </w:r>
      <w:r w:rsidR="002D2520" w:rsidRPr="00DE5C02">
        <w:fldChar w:fldCharType="separate"/>
      </w:r>
      <w:r w:rsidR="00173667" w:rsidRPr="00DE5C02">
        <w:rPr>
          <w:noProof/>
          <w:vertAlign w:val="superscript"/>
        </w:rPr>
        <w:t>44,46,47</w:t>
      </w:r>
      <w:r w:rsidR="002D2520" w:rsidRPr="00DE5C02">
        <w:fldChar w:fldCharType="end"/>
      </w:r>
      <w:r w:rsidRPr="00DE5C02">
        <w:t>. However, existing regionalisations have been derived from specific variables, for specific purposes, and are therefore unsuitable for research questions outside of those for which they were developed</w:t>
      </w:r>
      <w:r w:rsidRPr="00DE5C02">
        <w:fldChar w:fldCharType="begin" w:fldLock="1"/>
      </w:r>
      <w:r w:rsidR="00B81E3F" w:rsidRPr="00DE5C02">
        <w:instrText>ADDIN CSL_CITATION {"citationItems":[{"id":"ITEM-1","itemData":{"DOI":"10.1002/ece3.2884","ISSN":"20457758","abstract":"© 2017 Published by John Wiley &amp; Sons Ltd.Understanding broad-scale ecological patterns and processes often involves accounting for regional-scale heterogeneity. A common way to do so is to include ecological regions in sampling schemes and empirical models. However, most existing ecological regions were developed for specific purposes, using a limited set of geospatial features and irreproducible methods. Our study purpose was to: (1) describe a method that takes advantage of recent computational advances and increased availability of regional and global data sets to create customizable and reproducible ecological regions, (2) make this algorithm available for use and modification by others studying different ecosystems, variables of interest, study extents, and macroscale ecology research questions, and (3) demonstrate the power of this approach for the research question-How well do these regions capture regional-scale variation in lake water quality? To achieve our purpose we: (1) used a spatially constrained spectral clustering algorithm that balances geospatial homogeneity and region contiguity to create ecological regions using multiple terrestrial, climatic, and freshwater geospatial data for 17 northeastern U.S. states (~1,800,000 km2); (2) identified which of the 52 geospatial features were most influential in creating the resulting 100 regions; and (3) tested the ability of these ecological regions to capture regional variation in water nutrients and clarity for ~6,000 lakes. We found that: (1) a combination of terrestrial, climatic, and freshwater geospatial features influenced region creation, suggesting that the oft-ignored freshwater landscape provides novel information on landscape variability not captured by traditionally used climate and terrestrial metrics; and (2) the delineated regions captured macroscale heterogeneity in ecosystem properties not included in region delineation-approximately 40% of the variation in total phosphorus and water clarity among lakes was at the regional scale. Our results demonstrate the usefulness of this method for creating customizable and reproducible regions for research and management applications.","author":[{"dropping-particle":"","family":"Cheruvelil","given":"Kendra Spence","non-dropping-particle":"","parse-names":false,"suffix":""},{"dropping-particle":"","family":"Yuan","given":"Shuai","non-dropping-particle":"","parse-names":false,"suffix":""},{"dropping-particle":"","family":"Webster","given":"Katherine E.","non-dropping-particle":"","parse-names":false,"suffix":""},{"dropping-particle":"","family":"Tan","given":"Pang Ning","non-dropping-particle":"","parse-names":false,"suffix":""},{"dropping-particle":"","family":"Lapierre","given":"Jean François","non-dropping-particle":"","parse-names":false,"suffix":""},{"dropping-particle":"","family":"Collins","given":"Sarah M.","non-dropping-particle":"","parse-names":false,"suffix":""},{"dropping-particle":"","family":"Fergus","given":"C. Emi","non-dropping-particle":"","parse-names":false,"suffix":""},{"dropping-particle":"","family":"Scott","given":"Caren E.","non-dropping-particle":"","parse-names":false,"suffix":""},{"dropping-particle":"","family":"Henry","given":"Emily Norton","non-dropping-particle":"","parse-names":false,"suffix":""},{"dropping-particle":"","family":"Soranno","given":"Patricia A.","non-dropping-particle":"","parse-names":false,"suffix":""},{"dropping-particle":"","family":"Filstrup","given":"Christopher T.","non-dropping-particle":"","parse-names":false,"suffix":""},{"dropping-particle":"","family":"Wagner","given":"Tyler","non-dropping-particle":"","parse-names":false,"suffix":""}],"container-title":"Ecology and Evolution","id":"ITEM-1","issue":"9","issued":{"date-parts":[["2017"]]},"page":"3046-3058","title":"Creating multithemed ecological regions for macroscale ecology: Testing a flexible, repeatable, and accessible clustering method","type":"article-journal","volume":"7"},"uris":["http://www.mendeley.com/documents/?uuid=bf9b398c-2ad1-49bc-bb12-af5ad114ad10"]}],"mendeley":{"formattedCitation":"&lt;sup&gt;44&lt;/sup&gt;","plainTextFormattedCitation":"44","previouslyFormattedCitation":"&lt;sup&gt;44&lt;/sup&gt;"},"properties":{"noteIndex":0},"schema":"https://github.com/citation-style-language/schema/raw/master/csl-citation.json"}</w:instrText>
      </w:r>
      <w:r w:rsidRPr="00DE5C02">
        <w:fldChar w:fldCharType="separate"/>
      </w:r>
      <w:r w:rsidR="00173667" w:rsidRPr="00DE5C02">
        <w:rPr>
          <w:noProof/>
          <w:vertAlign w:val="superscript"/>
        </w:rPr>
        <w:t>44</w:t>
      </w:r>
      <w:r w:rsidRPr="00DE5C02">
        <w:fldChar w:fldCharType="end"/>
      </w:r>
      <w:r w:rsidRPr="00DE5C02">
        <w:t xml:space="preserve">. Moreover, different combinations of variables will result in different regionalisations. We </w:t>
      </w:r>
      <w:r w:rsidR="00E450A1" w:rsidRPr="00DE5C02">
        <w:t xml:space="preserve">therefore </w:t>
      </w:r>
      <w:r w:rsidRPr="00DE5C02">
        <w:t>concur with Cheruvelil et al.</w:t>
      </w:r>
      <w:r w:rsidRPr="00DE5C02">
        <w:fldChar w:fldCharType="begin" w:fldLock="1"/>
      </w:r>
      <w:r w:rsidR="006821F3" w:rsidRPr="00DE5C02">
        <w:instrText>ADDIN CSL_CITATION {"citationItems":[{"id":"ITEM-1","itemData":{"DOI":"10.1890/12-1872.1","ISBN":"1051-0761","ISSN":"10510761","PMID":"24261043","abstract":"The regional spatial scale is a vital linkage for the informed extrapolation of results from local to continental scales to address broad-scale environmental problems. Among-region variation in ecosystem state is commonly accounted for by using a regionalization framework, such as an ecoregion classification. Rarely have alternative regionalization frameworks been tested for variables measuring ecosystem state, nor have the underlying relationships with the variables that are used to define them been assessed. In this study, we asked two questions: (1) How much among-region variation is there for ecosystems and does it differ by regionalization framework? (2) What are the likely causes of this among- region variation? We present a case study using a large data set of lake water chemistry, uni- and multi-scaled hydrogeomorphic and anthropogenic driver variables that likely influence lake chemistry at the subcontinental scale, and seven existing regionalization frameworks. We used multilevel models to quantify and explain within- and among-region variation in lake water chemistry. Our models account for local driver variables of ecosystem variation within regions, differences in regional mean ecosystem state (i.e., random intercepts in multilevel models), and differences in relationships between local drivers and ecosystem state by region (i.e., random slopes in multilevel models). Using one of the best performing regionalization frameworks (Ecological Drainage Units), we found that for lake phosphorus and alkalinity: (1) a majority of all the variation in water chemistry among the studied lakes occurred among regions, (2) very few regional-scale landscape driver variables were required to explain among-region variation in lake water chemistry, (3) a much higher proportion of the total variation among lakes was explained at the regional scale than at the local scale, and (4) some relationships between local-scale driver variables and lake water chemistry varied by region. Our results demonstrate the importance of considering the regional spatial scale for broad-scale research and ecosystem management and conservation. Our quantitative approach can be easily applied to other response variables, ecosystem types, geographic areas, and spatial extents to inform ecosystem responses to global environmental stressors.","author":[{"dropping-particle":"","family":"Cheruvelil","given":"K. S.","non-dropping-particle":"","parse-names":false,"suffix":""},{"dropping-particle":"","family":"Soranno","given":"P. A.","non-dropping-particle":"","parse-names":false,"suffix":""},{"dropping-particle":"","family":"Webster","given":"K. E.","non-dropping-particle":"","parse-names":false,"suffix":""},{"dropping-particle":"","family":"Bremigan","given":"M. T.","non-dropping-particle":"","parse-names":false,"suffix":""}],"container-title":"Ecological Applications","id":"ITEM-1","issue":"7","issued":{"date-parts":[["2013"]]},"page":"1603-1618","title":"Multi-scaled drivers of ecosystem state: Quantifying the importance of the regional spatial scale","type":"article-journal","volume":"23"},"uris":["http://www.mendeley.com/documents/?uuid=04436d4c-8cdb-4dff-bc4e-60d8e2b8241d"]}],"mendeley":{"formattedCitation":"&lt;sup&gt;15&lt;/sup&gt;","plainTextFormattedCitation":"15","previouslyFormattedCitation":"&lt;sup&gt;15&lt;/sup&gt;"},"properties":{"noteIndex":0},"schema":"https://github.com/citation-style-language/schema/raw/master/csl-citation.json"}</w:instrText>
      </w:r>
      <w:r w:rsidRPr="00DE5C02">
        <w:fldChar w:fldCharType="separate"/>
      </w:r>
      <w:r w:rsidR="00A801AF" w:rsidRPr="00DE5C02">
        <w:rPr>
          <w:noProof/>
          <w:vertAlign w:val="superscript"/>
        </w:rPr>
        <w:t>15</w:t>
      </w:r>
      <w:r w:rsidRPr="00DE5C02">
        <w:fldChar w:fldCharType="end"/>
      </w:r>
      <w:r w:rsidRPr="00DE5C02">
        <w:rPr>
          <w:vertAlign w:val="superscript"/>
        </w:rPr>
        <w:t>,</w:t>
      </w:r>
      <w:r w:rsidRPr="00DE5C02">
        <w:fldChar w:fldCharType="begin" w:fldLock="1"/>
      </w:r>
      <w:r w:rsidR="00B81E3F" w:rsidRPr="00DE5C02">
        <w:instrText>ADDIN CSL_CITATION {"citationItems":[{"id":"ITEM-1","itemData":{"DOI":"10.1002/ece3.2884","ISSN":"20457758","abstract":"© 2017 Published by John Wiley &amp; Sons Ltd.Understanding broad-scale ecological patterns and processes often involves accounting for regional-scale heterogeneity. A common way to do so is to include ecological regions in sampling schemes and empirical models. However, most existing ecological regions were developed for specific purposes, using a limited set of geospatial features and irreproducible methods. Our study purpose was to: (1) describe a method that takes advantage of recent computational advances and increased availability of regional and global data sets to create customizable and reproducible ecological regions, (2) make this algorithm available for use and modification by others studying different ecosystems, variables of interest, study extents, and macroscale ecology research questions, and (3) demonstrate the power of this approach for the research question-How well do these regions capture regional-scale variation in lake water quality? To achieve our purpose we: (1) used a spatially constrained spectral clustering algorithm that balances geospatial homogeneity and region contiguity to create ecological regions using multiple terrestrial, climatic, and freshwater geospatial data for 17 northeastern U.S. states (~1,800,000 km2); (2) identified which of the 52 geospatial features were most influential in creating the resulting 100 regions; and (3) tested the ability of these ecological regions to capture regional variation in water nutrients and clarity for ~6,000 lakes. We found that: (1) a combination of terrestrial, climatic, and freshwater geospatial features influenced region creation, suggesting that the oft-ignored freshwater landscape provides novel information on landscape variability not captured by traditionally used climate and terrestrial metrics; and (2) the delineated regions captured macroscale heterogeneity in ecosystem properties not included in region delineation-approximately 40% of the variation in total phosphorus and water clarity among lakes was at the regional scale. Our results demonstrate the usefulness of this method for creating customizable and reproducible regions for research and management applications.","author":[{"dropping-particle":"","family":"Cheruvelil","given":"Kendra Spence","non-dropping-particle":"","parse-names":false,"suffix":""},{"dropping-particle":"","family":"Yuan","given":"Shuai","non-dropping-particle":"","parse-names":false,"suffix":""},{"dropping-particle":"","family":"Webster","given":"Katherine E.","non-dropping-particle":"","parse-names":false,"suffix":""},{"dropping-particle":"","family":"Tan","given":"Pang Ning","non-dropping-particle":"","parse-names":false,"suffix":""},{"dropping-particle":"","family":"Lapierre","given":"Jean François","non-dropping-particle":"","parse-names":false,"suffix":""},{"dropping-particle":"","family":"Collins","given":"Sarah M.","non-dropping-particle":"","parse-names":false,"suffix":""},{"dropping-particle":"","family":"Fergus","given":"C. Emi","non-dropping-particle":"","parse-names":false,"suffix":""},{"dropping-particle":"","family":"Scott","given":"Caren E.","non-dropping-particle":"","parse-names":false,"suffix":""},{"dropping-particle":"","family":"Henry","given":"Emily Norton","non-dropping-particle":"","parse-names":false,"suffix":""},{"dropping-particle":"","family":"Soranno","given":"Patricia A.","non-dropping-particle":"","parse-names":false,"suffix":""},{"dropping-particle":"","family":"Filstrup","given":"Christopher T.","non-dropping-particle":"","parse-names":false,"suffix":""},{"dropping-particle":"","family":"Wagner","given":"Tyler","non-dropping-particle":"","parse-names":false,"suffix":""}],"container-title":"Ecology and Evolution","id":"ITEM-1","issue":"9","issued":{"date-parts":[["2017"]]},"page":"3046-3058","title":"Creating multithemed ecological regions for macroscale ecology: Testing a flexible, repeatable, and accessible clustering method","type":"article-journal","volume":"7"},"uris":["http://www.mendeley.com/documents/?uuid=bf9b398c-2ad1-49bc-bb12-af5ad114ad10"]}],"mendeley":{"formattedCitation":"&lt;sup&gt;44&lt;/sup&gt;","plainTextFormattedCitation":"44","previouslyFormattedCitation":"&lt;sup&gt;44&lt;/sup&gt;"},"properties":{"noteIndex":0},"schema":"https://github.com/citation-style-language/schema/raw/master/csl-citation.json"}</w:instrText>
      </w:r>
      <w:r w:rsidRPr="00DE5C02">
        <w:fldChar w:fldCharType="separate"/>
      </w:r>
      <w:r w:rsidR="00173667" w:rsidRPr="00DE5C02">
        <w:rPr>
          <w:noProof/>
          <w:vertAlign w:val="superscript"/>
        </w:rPr>
        <w:t>44</w:t>
      </w:r>
      <w:r w:rsidRPr="00DE5C02">
        <w:fldChar w:fldCharType="end"/>
      </w:r>
      <w:r w:rsidRPr="00DE5C02">
        <w:t xml:space="preserve"> that it is important to generate regional contexts with </w:t>
      </w:r>
      <w:r w:rsidR="005B1FD4" w:rsidRPr="00DE5C02">
        <w:t xml:space="preserve">driver </w:t>
      </w:r>
      <w:r w:rsidRPr="00DE5C02">
        <w:t xml:space="preserve">variables related to the process of interest and that multiple regionalisations </w:t>
      </w:r>
      <w:r w:rsidR="00633A85" w:rsidRPr="00DE5C02">
        <w:t xml:space="preserve">generated from </w:t>
      </w:r>
      <w:r w:rsidR="00E35B1B" w:rsidRPr="00DE5C02">
        <w:t xml:space="preserve">various </w:t>
      </w:r>
      <w:r w:rsidRPr="00DE5C02">
        <w:t>combinations of these variables should be considered</w:t>
      </w:r>
      <w:r w:rsidR="006F4F07" w:rsidRPr="00DE5C02">
        <w:t xml:space="preserve">. </w:t>
      </w:r>
      <w:r w:rsidR="00550676" w:rsidRPr="00DE5C02" w:rsidDel="00550676">
        <w:t xml:space="preserve"> </w:t>
      </w:r>
      <w:r w:rsidR="00821831" w:rsidRPr="00DE5C02">
        <w:t>If</w:t>
      </w:r>
      <w:r w:rsidR="008A1184" w:rsidRPr="00DE5C02">
        <w:t xml:space="preserve"> discrete correlation structures are present amongst the regional drivers, </w:t>
      </w:r>
      <w:r w:rsidR="00821831" w:rsidRPr="00DE5C02">
        <w:t xml:space="preserve">cluster analysis is most appropriate and </w:t>
      </w:r>
      <w:r w:rsidR="008A1184" w:rsidRPr="00DE5C02">
        <w:t>different algorithms and clusters should be considered as candidates</w:t>
      </w:r>
      <w:r w:rsidR="00163C2E" w:rsidRPr="00DE5C02">
        <w:fldChar w:fldCharType="begin" w:fldLock="1"/>
      </w:r>
      <w:r w:rsidR="00B81E3F" w:rsidRPr="00DE5C02">
        <w:instrText>ADDIN CSL_CITATION {"citationItems":[{"id":"ITEM-1","itemData":{"DOI":"10.1016/j.gloenvcha.2017.08.004","ISBN":"0959-3780","ISSN":"09593780","abstract":"Multiple ecosystem services (ES) can respond similarly to social and ecological factors to form bundles. Identifying key social-ecological variables and understanding how they co-vary to produce these consistent sets of ES may ultimately allow the prediction and modelling of ES bundles, and thus, help us understand critical synergies and trade-offs across landscapes. Such an understanding is essential for informing better management of multi-functional landscapes and minimising costly trade-offs. However, the relative importance of different social and biophysical drivers of ES bundles in different types of social-ecological systems remains unclear. As such, a bottom-up understanding of the determinants of ES bundles is a critical research gap in ES and sustainability science. Here, we evaluate the current methods used in ES bundle science and synthesize these into four steps that capture the plurality of methods used to examine predictors of ES bundles. We then apply these four steps to a cross-study comparison (North and South French Alps) of relationships between social-ecological variables and ES bundles, as it is widely advocated that cross-study comparisons are necessary for achieving a general understanding of predictors of ES associations. We use the results of this case study to assess the strengths and limitations of current approaches for understanding distributions of ES bundles. We conclude that inconsistency of spatial scale remains the primary barrier for understanding and predicting ES bundles. We suggest a hypothesis-driven approach is required to predict relationships between ES, and we outline the research required for such an understanding to emerge.","author":[{"dropping-particle":"","family":"Spake","given":"Rebecca","non-dropping-particle":"","parse-names":false,"suffix":""},{"dropping-particle":"","family":"Lasseur","given":"Rémy","non-dropping-particle":"","parse-names":false,"suffix":""},{"dropping-particle":"","family":"Crouzat","given":"Emilie","non-dropping-particle":"","parse-names":false,"suffix":""},{"dropping-particle":"","family":"Bullock","given":"James M.","non-dropping-particle":"","parse-names":false,"suffix":""},{"dropping-particle":"","family":"Lavorel","given":"Sandra","non-dropping-particle":"","parse-names":false,"suffix":""},{"dropping-particle":"","family":"Parks","given":"Katherine E.","non-dropping-particle":"","parse-names":false,"suffix":""},{"dropping-particle":"","family":"Schaafsma","given":"Marije","non-dropping-particle":"","parse-names":false,"suffix":""},{"dropping-particle":"","family":"Bennett","given":"Elena M.","non-dropping-particle":"","parse-names":false,"suffix":""},{"dropping-particle":"","family":"Maes","given":"Joachim","non-dropping-particle":"","parse-names":false,"suffix":""},{"dropping-particle":"","family":"Mulligan","given":"Mark","non-dropping-particle":"","parse-names":false,"suffix":""},{"dropping-particle":"","family":"Mouchet","given":"Maud","non-dropping-particle":"","parse-names":false,"suffix":""},{"dropping-particle":"","family":"Peterson","given":"Garry D.","non-dropping-particle":"","parse-names":false,"suffix":""},{"dropping-particle":"","family":"Schulp","given":"Catharina J.E.","non-dropping-particle":"","parse-names":false,"suffix":""},{"dropping-particle":"","family":"Thuiller","given":"Wilfried","non-dropping-particle":"","parse-names":false,"suffix":""},{"dropping-particle":"","family":"Turner","given":"Monica G.","non-dropping-particle":"","parse-names":false,"suffix":""},{"dropping-particle":"","family":"Verburg","given":"Peter H.","non-dropping-particle":"","parse-names":false,"suffix":""},{"dropping-particle":"","family":"Eigenbrod","given":"Felix","non-dropping-particle":"","parse-names":false,"suffix":""}],"container-title":"Global Environmental Change","id":"ITEM-1","issue":"July","issued":{"date-parts":[["2017"]]},"page":"37-50","publisher":"Elsevier Ltd","title":"Unpacking ecosystem service bundles: Towards predictive mapping of synergies and trade-offs between ecosystem services","type":"article-journal","volume":"47"},"uris":["http://www.mendeley.com/documents/?uuid=74e66e2b-5454-496d-85e1-8448bcfd24ec"]}],"mendeley":{"formattedCitation":"&lt;sup&gt;48&lt;/sup&gt;","plainTextFormattedCitation":"48","previouslyFormattedCitation":"&lt;sup&gt;48&lt;/sup&gt;"},"properties":{"noteIndex":0},"schema":"https://github.com/citation-style-language/schema/raw/master/csl-citation.json"}</w:instrText>
      </w:r>
      <w:r w:rsidR="00163C2E" w:rsidRPr="00DE5C02">
        <w:fldChar w:fldCharType="separate"/>
      </w:r>
      <w:r w:rsidR="00173667" w:rsidRPr="00DE5C02">
        <w:rPr>
          <w:noProof/>
          <w:vertAlign w:val="superscript"/>
        </w:rPr>
        <w:t>48</w:t>
      </w:r>
      <w:r w:rsidR="00163C2E" w:rsidRPr="00DE5C02">
        <w:fldChar w:fldCharType="end"/>
      </w:r>
      <w:r w:rsidR="008A1184" w:rsidRPr="00DE5C02">
        <w:t xml:space="preserve"> (in </w:t>
      </w:r>
      <w:r w:rsidR="005D39E6" w:rsidRPr="00DE5C02">
        <w:t xml:space="preserve"> the statistical models)</w:t>
      </w:r>
      <w:r w:rsidR="008A1184" w:rsidRPr="00DE5C02">
        <w:t>.</w:t>
      </w:r>
      <w:r w:rsidR="005B1FD4" w:rsidRPr="00DE5C02">
        <w:t xml:space="preserve"> We note that regionalisations should be defined using the driver variables only, and not the response variable of interest.</w:t>
      </w:r>
    </w:p>
    <w:p w14:paraId="689D7998" w14:textId="590577C8" w:rsidR="00897750" w:rsidRPr="00DE5C02" w:rsidRDefault="00897750" w:rsidP="00E450A1">
      <w:r w:rsidRPr="00DE5C02">
        <w:t xml:space="preserve">We </w:t>
      </w:r>
      <w:r w:rsidR="00E35B1B" w:rsidRPr="00DE5C02">
        <w:t xml:space="preserve">used </w:t>
      </w:r>
      <w:r w:rsidRPr="00DE5C02">
        <w:t xml:space="preserve">three regional gradients related to rhododendron establishment across Great Britain: two gradients related to moisture and elevation, and a soil pH gradient. </w:t>
      </w:r>
      <w:r w:rsidR="00695377" w:rsidRPr="00DE5C02">
        <w:t>We calculated t</w:t>
      </w:r>
      <w:r w:rsidRPr="00DE5C02">
        <w:t xml:space="preserve">he first two gradients using a </w:t>
      </w:r>
      <w:r w:rsidR="00430E87" w:rsidRPr="00DE5C02">
        <w:t>PCA</w:t>
      </w:r>
      <w:r w:rsidRPr="00DE5C02">
        <w:t xml:space="preserve"> of elevation and soil moisture deficit (MD</w:t>
      </w:r>
      <w:r w:rsidR="00927333" w:rsidRPr="00DE5C02">
        <w:t>)</w:t>
      </w:r>
      <w:r w:rsidRPr="00DE5C02">
        <w:t xml:space="preserve">. The first component, the ‘moisture and elevation gradient’ from hereon, </w:t>
      </w:r>
      <w:r w:rsidRPr="00DE5C02">
        <w:rPr>
          <w:rFonts w:cs="Times New Roman"/>
          <w:szCs w:val="24"/>
        </w:rPr>
        <w:t xml:space="preserve">explained 90% of the variation </w:t>
      </w:r>
      <w:r w:rsidRPr="00DE5C02">
        <w:t xml:space="preserve">and represented increasing elevation and decreasing MD. The second component accounted for 10% of the </w:t>
      </w:r>
      <w:r w:rsidR="0098590E" w:rsidRPr="00DE5C02">
        <w:t>variation</w:t>
      </w:r>
      <w:r w:rsidRPr="00DE5C02">
        <w:t xml:space="preserve"> and identified </w:t>
      </w:r>
      <w:r w:rsidRPr="00DE5C02">
        <w:rPr>
          <w:rFonts w:cs="Times New Roman"/>
          <w:szCs w:val="24"/>
        </w:rPr>
        <w:t>a gradient of increasing elevation and MD, with both variables moving in a direction that is</w:t>
      </w:r>
      <w:r w:rsidR="00892EAF" w:rsidRPr="00DE5C02">
        <w:rPr>
          <w:rFonts w:cs="Times New Roman"/>
          <w:szCs w:val="24"/>
        </w:rPr>
        <w:t xml:space="preserve"> not</w:t>
      </w:r>
      <w:r w:rsidR="00695377" w:rsidRPr="00DE5C02">
        <w:rPr>
          <w:rFonts w:cs="Times New Roman"/>
          <w:szCs w:val="24"/>
        </w:rPr>
        <w:t xml:space="preserve"> </w:t>
      </w:r>
      <w:r w:rsidRPr="00DE5C02">
        <w:rPr>
          <w:rFonts w:cs="Times New Roman"/>
          <w:szCs w:val="24"/>
        </w:rPr>
        <w:t xml:space="preserve">conducive to rhododendron occurrence. </w:t>
      </w:r>
      <w:r w:rsidRPr="00DE5C02">
        <w:t xml:space="preserve">The second gradient was retained as </w:t>
      </w:r>
      <w:r w:rsidR="00321194" w:rsidRPr="00DE5C02">
        <w:t>it</w:t>
      </w:r>
      <w:r w:rsidRPr="00DE5C02">
        <w:t xml:space="preserve"> is meaningful as a favourability gradient</w:t>
      </w:r>
      <w:r w:rsidR="00072C7E" w:rsidRPr="00DE5C02">
        <w:t xml:space="preserve"> </w:t>
      </w:r>
      <w:r w:rsidR="00321194" w:rsidRPr="00DE5C02">
        <w:t xml:space="preserve">for rhododendron occurrence </w:t>
      </w:r>
      <w:r w:rsidR="00072C7E" w:rsidRPr="00DE5C02">
        <w:t>(Appendix S1.3)</w:t>
      </w:r>
      <w:r w:rsidR="0035182C" w:rsidRPr="00DE5C02">
        <w:t xml:space="preserve">. </w:t>
      </w:r>
    </w:p>
    <w:p w14:paraId="7C4EBBF8" w14:textId="19A20439" w:rsidR="00897750" w:rsidRPr="00DE5C02" w:rsidRDefault="00430E87" w:rsidP="00897750">
      <w:r w:rsidRPr="00DE5C02">
        <w:t xml:space="preserve">We found two </w:t>
      </w:r>
      <w:r w:rsidR="00897750" w:rsidRPr="00DE5C02">
        <w:t xml:space="preserve">PCA axes were sufficient to characterize the structure </w:t>
      </w:r>
      <w:r w:rsidR="007A1D42" w:rsidRPr="00DE5C02">
        <w:t xml:space="preserve">of </w:t>
      </w:r>
      <w:r w:rsidR="00897750" w:rsidRPr="00DE5C02">
        <w:t>the</w:t>
      </w:r>
      <w:r w:rsidR="00762739" w:rsidRPr="00DE5C02">
        <w:t xml:space="preserve"> regional</w:t>
      </w:r>
      <w:r w:rsidR="00897750" w:rsidRPr="00DE5C02">
        <w:t xml:space="preserve"> </w:t>
      </w:r>
      <w:r w:rsidR="00762739" w:rsidRPr="00DE5C02">
        <w:t xml:space="preserve">pond driver </w:t>
      </w:r>
      <w:r w:rsidR="00897750" w:rsidRPr="00DE5C02">
        <w:t>data, as they</w:t>
      </w:r>
      <w:r w:rsidR="00897750" w:rsidRPr="00DE5C02">
        <w:rPr>
          <w:rFonts w:cs="Times New Roman"/>
          <w:szCs w:val="24"/>
        </w:rPr>
        <w:t xml:space="preserve"> cumulatively explained 79% of the variation in precipitation, slope, temperature, soil type and atmospheric nitrogen deposition</w:t>
      </w:r>
      <w:r w:rsidR="00897750" w:rsidRPr="00DE5C02">
        <w:t xml:space="preserve">. The first axis represented </w:t>
      </w:r>
      <w:r w:rsidR="00762739" w:rsidRPr="00DE5C02">
        <w:t>a ‘precipitation gradient’</w:t>
      </w:r>
      <w:r w:rsidR="005A35DE" w:rsidRPr="00DE5C02">
        <w:t xml:space="preserve"> that correlated positively with precipitation</w:t>
      </w:r>
      <w:r w:rsidR="007A1D42" w:rsidRPr="00DE5C02">
        <w:t xml:space="preserve"> and</w:t>
      </w:r>
      <w:r w:rsidR="005A35DE" w:rsidRPr="00DE5C02">
        <w:t xml:space="preserve"> slope</w:t>
      </w:r>
      <w:r w:rsidR="007A1D42" w:rsidRPr="00DE5C02">
        <w:t>,</w:t>
      </w:r>
      <w:r w:rsidR="005A35DE" w:rsidRPr="00DE5C02">
        <w:t xml:space="preserve"> and negatively with temperature</w:t>
      </w:r>
      <w:r w:rsidR="007A1D42" w:rsidRPr="00DE5C02">
        <w:t>. T</w:t>
      </w:r>
      <w:r w:rsidR="00897750" w:rsidRPr="00DE5C02">
        <w:t>he second axis, the ‘soil gradient’, represented increasing</w:t>
      </w:r>
      <w:r w:rsidR="002C5343" w:rsidRPr="00DE5C02">
        <w:t xml:space="preserve"> cover of </w:t>
      </w:r>
      <w:r w:rsidR="00321194" w:rsidRPr="00DE5C02">
        <w:t xml:space="preserve">light </w:t>
      </w:r>
      <w:r w:rsidR="002C5343" w:rsidRPr="00DE5C02">
        <w:t xml:space="preserve">soils, and </w:t>
      </w:r>
      <w:r w:rsidR="005A35DE" w:rsidRPr="00DE5C02">
        <w:t>decreasing wet nitrate deposition</w:t>
      </w:r>
      <w:r w:rsidR="00072C7E" w:rsidRPr="00DE5C02">
        <w:t xml:space="preserve"> (Appendix S2.2)</w:t>
      </w:r>
      <w:r w:rsidR="005A35DE" w:rsidRPr="00DE5C02">
        <w:t>.</w:t>
      </w:r>
    </w:p>
    <w:p w14:paraId="738E0DAE" w14:textId="19D3E1FC" w:rsidR="00897750" w:rsidRPr="00DE5C02" w:rsidRDefault="00A65953" w:rsidP="00167CB5">
      <w:pPr>
        <w:pStyle w:val="Heading3"/>
      </w:pPr>
      <w:bookmarkStart w:id="13" w:name="_Toc517421408"/>
      <w:bookmarkStart w:id="14" w:name="_Toc517431823"/>
      <w:r w:rsidRPr="00DE5C02">
        <w:t xml:space="preserve">Measure landscape-level drivers </w:t>
      </w:r>
      <w:bookmarkEnd w:id="13"/>
      <w:bookmarkEnd w:id="14"/>
    </w:p>
    <w:p w14:paraId="2BAFBE54" w14:textId="039BF061" w:rsidR="00897750" w:rsidRPr="00DE5C02" w:rsidRDefault="00897750" w:rsidP="00E450A1">
      <w:pPr>
        <w:rPr>
          <w:rFonts w:ascii="Arial" w:hAnsi="Arial" w:cs="Arial"/>
          <w:sz w:val="20"/>
        </w:rPr>
      </w:pPr>
      <w:r w:rsidRPr="00DE5C02">
        <w:t>Landscape structure comprises the relative abundance and diversity of land cover types</w:t>
      </w:r>
      <w:r w:rsidR="00E450A1" w:rsidRPr="00DE5C02">
        <w:t xml:space="preserve"> (composition)</w:t>
      </w:r>
      <w:r w:rsidRPr="00DE5C02">
        <w:t xml:space="preserve"> and the spatial character, arrangement, or location of land cover type</w:t>
      </w:r>
      <w:r w:rsidR="00E450A1" w:rsidRPr="00DE5C02">
        <w:t xml:space="preserve"> (configuration)</w:t>
      </w:r>
      <w:r w:rsidRPr="00DE5C02">
        <w:fldChar w:fldCharType="begin" w:fldLock="1"/>
      </w:r>
      <w:r w:rsidR="00B81E3F" w:rsidRPr="00DE5C02">
        <w:instrText>ADDIN CSL_CITATION {"citationItems":[{"id":"ITEM-1","itemData":{"DOI":"10.1111/j.1461-0248.2010.01559.x","ISBN":"1461-023X","ISSN":"1461023X","PMID":"21087380","abstract":"Biodiversity in agricultural landscapes can be increased with conversion of some production lands into ?more- natural? – unmanaged or extensively managed – lands. However, it remains unknown to what extent biodiversity can be enhanced by altering landscape pattern without reducing agricultural production. We propose a framework for this problem, considering separately compositional heterogeneity (the number and proportions of different cover types) and configurational heterogeneity (the spatial arrangement of cover types). Cover type classification and mapping is based on species requirements, such as feeding and nesting, resulting in measures of ?functional landscape heterogeneity?. We then identify three important questions: does biodiversity increase with (1) increasing heterogeneity of the more-natural areas, (2) increasing compositional heterogeneity of production cover types and (3) increasing configurational heterogeneity of production cover types? We discuss approaches for addressing these questions. Such studies should have high priority because biodiversity protection globally depends increasingly on maintaining biodiversity in human-dominated landscapes. Keywords","author":[{"dropping-particle":"","family":"Fahrig","given":"Lenore","non-dropping-particle":"","parse-names":false,"suffix":""},{"dropping-particle":"","family":"Baudry","given":"Jacques","non-dropping-particle":"","parse-names":false,"suffix":""},{"dropping-particle":"","family":"Brotons","given":"Lluís","non-dropping-particle":"","parse-names":false,"suffix":""},{"dropping-particle":"","family":"Burel","given":"Françoise G.","non-dropping-particle":"","parse-names":false,"suffix":""},{"dropping-particle":"","family":"Crist","given":"Thomas O.","non-dropping-particle":"","parse-names":false,"suffix":""},{"dropping-particle":"","family":"Fuller","given":"Robert J.","non-dropping-particle":"","parse-names":false,"suffix":""},{"dropping-particle":"","family":"Sirami","given":"Clelia","non-dropping-particle":"","parse-names":false,"suffix":""},{"dropping-particle":"","family":"Siriwardena","given":"Gavin M.","non-dropping-particle":"","parse-names":false,"suffix":""},{"dropping-particle":"","family":"Martin","given":"Jean Louis","non-dropping-particle":"","parse-names":false,"suffix":""}],"container-title":"Ecology Letters","id":"ITEM-1","issue":"2","issued":{"date-parts":[["2011"]]},"page":"101-112","title":"Functional landscape heterogeneity and animal biodiversity in agricultural landscapes","type":"article-journal","volume":"14"},"uris":["http://www.mendeley.com/documents/?uuid=9c37079f-f9af-4297-b95c-b09ff47f8444"]}],"mendeley":{"formattedCitation":"&lt;sup&gt;49&lt;/sup&gt;","plainTextFormattedCitation":"49","previouslyFormattedCitation":"&lt;sup&gt;49&lt;/sup&gt;"},"properties":{"noteIndex":0},"schema":"https://github.com/citation-style-language/schema/raw/master/csl-citation.json"}</w:instrText>
      </w:r>
      <w:r w:rsidRPr="00DE5C02">
        <w:fldChar w:fldCharType="separate"/>
      </w:r>
      <w:r w:rsidR="00173667" w:rsidRPr="00DE5C02">
        <w:rPr>
          <w:noProof/>
          <w:vertAlign w:val="superscript"/>
        </w:rPr>
        <w:t>49</w:t>
      </w:r>
      <w:r w:rsidRPr="00DE5C02">
        <w:fldChar w:fldCharType="end"/>
      </w:r>
      <w:r w:rsidRPr="00DE5C02">
        <w:t xml:space="preserve">. </w:t>
      </w:r>
      <w:r w:rsidR="00E450A1" w:rsidRPr="00DE5C02">
        <w:t xml:space="preserve">Understanding how landscape structure affects natural capital is critical as it is amenable to management. </w:t>
      </w:r>
      <w:r w:rsidRPr="00DE5C02">
        <w:t>Landscape structure must be quantified at an extent appropriate to the phenomenon in question to maximise the probability of detecting a relationship if one exists</w:t>
      </w:r>
      <w:r w:rsidRPr="00DE5C02">
        <w:fldChar w:fldCharType="begin" w:fldLock="1"/>
      </w:r>
      <w:r w:rsidR="00B81E3F" w:rsidRPr="00DE5C02">
        <w:instrText>ADDIN CSL_CITATION {"citationItems":[{"id":"ITEM-1","itemData":{"DOI":"10.1007/s10980-015-0314-1","ISBN":"0143-6228","ISSN":"15729761","abstract":"Landscape ecologists are often interested in measuring the effects of an environmental variable on a biological response; however, the strength and direction of effect depend on the size of the area within which the environmental variable is measured. Thus a central objective is to identify the optimal spatial extent within which to measure the environmental variable, i.e. the ``scale of effect''.","author":[{"dropping-particle":"","family":"Miguet","given":"Paul","non-dropping-particle":"","parse-names":false,"suffix":""},{"dropping-particle":"","family":"Jackson","given":"Heather B.","non-dropping-particle":"","parse-names":false,"suffix":""},{"dropping-particle":"","family":"Jackson","given":"Nathan D.","non-dropping-particle":"","parse-names":false,"suffix":""},{"dropping-particle":"","family":"Martin","given":"Amanda E.","non-dropping-particle":"","parse-names":false,"suffix":""},{"dropping-particle":"","family":"Fahrig","given":"Lenore","non-dropping-particle":"","parse-names":false,"suffix":""}],"container-title":"Landscape Ecology","id":"ITEM-1","issue":"6","issued":{"date-parts":[["2016"]]},"page":"1177-1194","publisher":"Springer Netherlands","title":"What determines the spatial extent of landscape effects on species?","type":"article-journal","volume":"31"},"uris":["http://www.mendeley.com/documents/?uuid=017f50f4-3a22-48c5-9d29-1a4b8ac763cb"]}],"mendeley":{"formattedCitation":"&lt;sup&gt;50&lt;/sup&gt;","plainTextFormattedCitation":"50","previouslyFormattedCitation":"&lt;sup&gt;50&lt;/sup&gt;"},"properties":{"noteIndex":0},"schema":"https://github.com/citation-style-language/schema/raw/master/csl-citation.json"}</w:instrText>
      </w:r>
      <w:r w:rsidRPr="00DE5C02">
        <w:fldChar w:fldCharType="separate"/>
      </w:r>
      <w:r w:rsidR="00173667" w:rsidRPr="00DE5C02">
        <w:rPr>
          <w:noProof/>
          <w:vertAlign w:val="superscript"/>
        </w:rPr>
        <w:t>50</w:t>
      </w:r>
      <w:r w:rsidRPr="00DE5C02">
        <w:fldChar w:fldCharType="end"/>
      </w:r>
      <w:r w:rsidRPr="00DE5C02">
        <w:t>.</w:t>
      </w:r>
      <w:r w:rsidR="00F82870" w:rsidRPr="00DE5C02">
        <w:t xml:space="preserve"> For example, for biodiversity, circular buffers might be used, while for landscape aesthetic values, viewsheds may be appropriate</w:t>
      </w:r>
      <w:r w:rsidR="001D1CE8" w:rsidRPr="00DE5C02">
        <w:fldChar w:fldCharType="begin" w:fldLock="1"/>
      </w:r>
      <w:r w:rsidR="00C61FE8" w:rsidRPr="00DE5C02">
        <w:instrText>ADDIN CSL_CITATION {"citationItems":[{"id":"ITEM-1","itemData":{"DOI":"10.1016/j.landurbplan.2005.12.006","ISBN":"0169-2046","ISSN":"01692046","PMID":"79158800003","abstract":"There is increasing awareness of the need to monitor trends in our constantly changing agricultural landscapes. Monitoring programmes often use remote sensing data and focus on changes in land cover/land use in relation to values such as biodiversity, cultural heritage and recreation. Although a wide range of indicators is in use, landscape aesthetics is a topic that is frequently neglected. Our aim was to determine whether aspects of landscape content and configuration could be used as surrogate measures for visual landscape quality in monitoring programmes based on remote sensing. In this paper, we test whether map-derived indicators of landscape structure from the Norwegian monitoring programme for agricultural landscapes are correlated with visual landscape preferences. Two groups of people participated: (1) locals and (2) non-local students. Using the total dataset, we found significant positive correlations between preferences and spatial metrics, including number of land types, number of patches and land type diversity. In addition, preference scores were high where water was present within the mapped image area, even if the water itself was not visible in the images. When the dataset was split into two groups, we found no significant correlation between the preference scores of the students and locals. Whilst the student group preferred images portraying diverse and heterogeneous landscapes, neither diversity nor heterogeneity was correlated with the preference scores of the locals. We conclude that certain indicators based on spatial structure also have relevance in relation to landscape preferences in agricultural landscapes. However, the finding that different groups of people prefer different types of landscape underlines the need for care when interpreting indicator values. © 2006 Elsevier B.V. All rights reserved.","author":[{"dropping-particle":"","family":"Dramstad","given":"W. E.","non-dropping-particle":"","parse-names":false,"suffix":""},{"dropping-particle":"","family":"Tveit","given":"M. Sundli","non-dropping-particle":"","parse-names":false,"suffix":""},{"dropping-particle":"","family":"Fjellstad","given":"W. J.","non-dropping-particle":"","parse-names":false,"suffix":""},{"dropping-particle":"","family":"Fry","given":"G. L.A.","non-dropping-particle":"","parse-names":false,"suffix":""}],"container-title":"Landscape and Urban Planning","id":"ITEM-1","issue":"4","issued":{"date-parts":[["2006"]]},"page":"465-474","title":"Relationships between visual landscape preferences and map-based indicators of landscape structure","type":"article-journal","volume":"78"},"uris":["http://www.mendeley.com/documents/?uuid=a9719924-b8c6-406f-a4ca-320e5c55546b"]}],"mendeley":{"formattedCitation":"&lt;sup&gt;51&lt;/sup&gt;","plainTextFormattedCitation":"51"},"properties":{"noteIndex":0},"schema":"https://github.com/citation-style-language/schema/raw/master/csl-citation.json"}</w:instrText>
      </w:r>
      <w:r w:rsidR="001D1CE8" w:rsidRPr="00DE5C02">
        <w:fldChar w:fldCharType="separate"/>
      </w:r>
      <w:r w:rsidR="00C61FE8" w:rsidRPr="00DE5C02">
        <w:rPr>
          <w:noProof/>
          <w:vertAlign w:val="superscript"/>
        </w:rPr>
        <w:t>51</w:t>
      </w:r>
      <w:r w:rsidR="001D1CE8" w:rsidRPr="00DE5C02">
        <w:fldChar w:fldCharType="end"/>
      </w:r>
      <w:r w:rsidR="00F82870" w:rsidRPr="00DE5C02">
        <w:t xml:space="preserve">. </w:t>
      </w:r>
      <w:r w:rsidRPr="00DE5C02">
        <w:t xml:space="preserve"> </w:t>
      </w:r>
      <w:r w:rsidR="00F82870" w:rsidRPr="00DE5C02">
        <w:t>I</w:t>
      </w:r>
      <w:r w:rsidRPr="00DE5C02">
        <w:t>f unknown</w:t>
      </w:r>
      <w:r w:rsidRPr="00DE5C02">
        <w:rPr>
          <w:i/>
        </w:rPr>
        <w:t xml:space="preserve"> a priori</w:t>
      </w:r>
      <w:r w:rsidRPr="00DE5C02">
        <w:t>, a ‘multi-scale’ analysis can be applied, wherein landscape structure is quantified in multiple buffers surrounding a focal point</w:t>
      </w:r>
      <w:r w:rsidRPr="00DE5C02">
        <w:fldChar w:fldCharType="begin" w:fldLock="1"/>
      </w:r>
      <w:r w:rsidR="00C61FE8" w:rsidRPr="00DE5C02">
        <w:instrText>ADDIN CSL_CITATION {"citationItems":[{"id":"ITEM-1","itemData":{"DOI":"10.1641/0006-3568(2004)054[0227:DTSSOS]2.0.CO;2","ISBN":"0006-3568","ISSN":"0006-3568","PMID":"11649465","abstract":"Species respond to habitat at different spatial scales, yet many studies have considered this response only at relatively small scales. We developed a technique and accompanying software (Focus) that use a focal patch approach to select multiple sets of spatially independent sites. For each independent set, regressions are conducted between the habitat variable and counts of species abundance at different scales to determine the spatial scale at which species respond most strongly to an environmental or habitat variable of interest. We applied the technique to determine the spatial scales at which 12 different species of cerambycid beetles respond to forest cover. The beetles responded at different scales, from 20 to 2000 meters. We expect this technique and the accompanying software to be useful for a wide range of studies, including the analysis of existing data sets to answer questions related to the large-scale response of organisms to their environment.","author":[{"dropping-particle":"","family":"Holland","given":"Jeffrey D.","non-dropping-particle":"","parse-names":false,"suffix":""},{"dropping-particle":"","family":"Bert","given":"Daniel G.","non-dropping-particle":"","parse-names":false,"suffix":""},{"dropping-particle":"","family":"Fahrig","given":"Lenore","non-dropping-particle":"","parse-names":false,"suffix":""}],"container-title":"BioScience","id":"ITEM-1","issue":"3","issued":{"date-parts":[["2004"]]},"page":"227","title":"Determining the Spatial Scale of Species' Response to Habitat","type":"article-journal","volume":"54"},"uris":["http://www.mendeley.com/documents/?uuid=9f793945-b23a-4582-8a45-00d27e9d291b"]}],"mendeley":{"formattedCitation":"&lt;sup&gt;52&lt;/sup&gt;","plainTextFormattedCitation":"52","previouslyFormattedCitation":"&lt;sup&gt;51&lt;/sup&gt;"},"properties":{"noteIndex":0},"schema":"https://github.com/citation-style-language/schema/raw/master/csl-citation.json"}</w:instrText>
      </w:r>
      <w:r w:rsidRPr="00DE5C02">
        <w:fldChar w:fldCharType="separate"/>
      </w:r>
      <w:r w:rsidR="00C61FE8" w:rsidRPr="00DE5C02">
        <w:rPr>
          <w:noProof/>
          <w:vertAlign w:val="superscript"/>
        </w:rPr>
        <w:t>52</w:t>
      </w:r>
      <w:r w:rsidRPr="00DE5C02">
        <w:fldChar w:fldCharType="end"/>
      </w:r>
      <w:r w:rsidRPr="00DE5C02">
        <w:t xml:space="preserve">. </w:t>
      </w:r>
    </w:p>
    <w:p w14:paraId="10256892" w14:textId="4BFBCC35" w:rsidR="00897750" w:rsidRPr="00DE5C02" w:rsidRDefault="009644C6" w:rsidP="00897750">
      <w:r w:rsidRPr="00DE5C02">
        <w:t xml:space="preserve">We had no </w:t>
      </w:r>
      <w:r w:rsidRPr="00DE5C02">
        <w:rPr>
          <w:i/>
        </w:rPr>
        <w:t>a priori</w:t>
      </w:r>
      <w:r w:rsidRPr="00DE5C02">
        <w:t xml:space="preserve"> knowledge of the </w:t>
      </w:r>
      <w:r w:rsidR="00897750" w:rsidRPr="00DE5C02">
        <w:t xml:space="preserve">appropriate landscape extent relevant to rhododendron occurrence, so </w:t>
      </w:r>
      <w:r w:rsidRPr="00DE5C02">
        <w:t xml:space="preserve">we characterised </w:t>
      </w:r>
      <w:r w:rsidR="00897750" w:rsidRPr="00DE5C02">
        <w:t xml:space="preserve">landscape structure in circular buffers of size 250, 500, 750, 1000 and 2000-m with a thematic resolution that distinguished </w:t>
      </w:r>
      <w:r w:rsidR="00425075" w:rsidRPr="00DE5C02">
        <w:t>woodland</w:t>
      </w:r>
      <w:r w:rsidR="00897750" w:rsidRPr="00DE5C02">
        <w:t>, semi-natural and urban land covers</w:t>
      </w:r>
      <w:r w:rsidR="00072C7E" w:rsidRPr="00DE5C02">
        <w:t xml:space="preserve"> (Appendix S1.4)</w:t>
      </w:r>
      <w:r w:rsidR="00897750" w:rsidRPr="00DE5C02">
        <w:t xml:space="preserve">. We hypothesised that woodland and urban areas provide source propagules for rhododendron establishment. Several studies have found </w:t>
      </w:r>
      <w:r w:rsidR="00E95F0F" w:rsidRPr="00DE5C02">
        <w:t xml:space="preserve">that </w:t>
      </w:r>
      <w:r w:rsidR="00897750" w:rsidRPr="00DE5C02">
        <w:t>occurrence of invasive species declines from edge to interior of forest patches</w:t>
      </w:r>
      <w:r w:rsidR="00897750" w:rsidRPr="00DE5C02">
        <w:fldChar w:fldCharType="begin" w:fldLock="1"/>
      </w:r>
      <w:r w:rsidR="00C61FE8" w:rsidRPr="00DE5C02">
        <w:instrText>ADDIN CSL_CITATION {"citationItems":[{"id":"ITEM-1","itemData":{"DOI":"10.1007/s10980-011-9585-3","ISBN":"0921-2973","ISSN":"09212973","abstract":"Biological invasions and changes in land-use are two components of global change affecting biodiversity worldwide. There is overriding evidence that invasions can dramatically change the landscape and that particular land-use types facilitate invasions. Still, these issues have not formally percolated into risk analysis of biological invasions, and only recently has the influence of the surrounding landscape on invasive species spread started to be considered. In this paper we review the literature on the influence of the surrounding landscape on the local level of plant invasions (i.e., abundance and richness of alien plants in plant communities). Our review confirms that there are more alien plant species and they are more abundant at fragment edges than in the interior of fragments. The decline on the level of invasion towards the interior of fragments is sharp. To a lesser extent, there is higher invasion in small isolated fragments than in large connected patches. However, despite their relevance, the influence of connectivity and shape of the fragments have been scarcely explored. Besides the fact that a site has more invaders if surrounded by a human-dominated landscape than by a natural one, the past history and the configuration of that landscape are also important. Invasion within land-uses is often associated with the historical legacy of changes in land-use, indicating that current land-uses might represent an invasion credit to future invasions. Accurate accounts of the invasion process and effective conservation programs will depend on such considerations.","author":[{"dropping-particle":"","family":"Vilà","given":"Montserrat","non-dropping-particle":"","parse-names":false,"suffix":""},{"dropping-particle":"","family":"Ibáñez","given":"Inés","non-dropping-particle":"","parse-names":false,"suffix":""}],"container-title":"Landscape Ecology","id":"ITEM-1","issue":"4","issued":{"date-parts":[["2011"]]},"page":"461-472","title":"Plant invasions in the landscape","type":"article-journal","volume":"26"},"uris":["http://www.mendeley.com/documents/?uuid=bb159a08-f64b-4491-bcca-8b5623eaa93a"]}],"mendeley":{"formattedCitation":"&lt;sup&gt;53&lt;/sup&gt;","plainTextFormattedCitation":"53","previouslyFormattedCitation":"&lt;sup&gt;52&lt;/sup&gt;"},"properties":{"noteIndex":0},"schema":"https://github.com/citation-style-language/schema/raw/master/csl-citation.json"}</w:instrText>
      </w:r>
      <w:r w:rsidR="00897750" w:rsidRPr="00DE5C02">
        <w:fldChar w:fldCharType="separate"/>
      </w:r>
      <w:r w:rsidR="00C61FE8" w:rsidRPr="00DE5C02">
        <w:rPr>
          <w:noProof/>
          <w:vertAlign w:val="superscript"/>
        </w:rPr>
        <w:t>53</w:t>
      </w:r>
      <w:r w:rsidR="00897750" w:rsidRPr="00DE5C02">
        <w:fldChar w:fldCharType="end"/>
      </w:r>
      <w:r w:rsidR="00897750" w:rsidRPr="00DE5C02">
        <w:t xml:space="preserve">, so the distance of survey square section to a forest edge  was calculated. As another propagule source, measures of distance to historic gardens, where rhododendron </w:t>
      </w:r>
      <w:r w:rsidR="00E95F0F" w:rsidRPr="00DE5C02">
        <w:t xml:space="preserve">has </w:t>
      </w:r>
      <w:r w:rsidR="00897750" w:rsidRPr="00DE5C02">
        <w:t xml:space="preserve">often </w:t>
      </w:r>
      <w:r w:rsidR="00E95F0F" w:rsidRPr="00DE5C02">
        <w:t xml:space="preserve">been </w:t>
      </w:r>
      <w:r w:rsidR="00897750" w:rsidRPr="00DE5C02">
        <w:t xml:space="preserve">planted as an ornamental, were calculated. </w:t>
      </w:r>
    </w:p>
    <w:p w14:paraId="06296A88" w14:textId="1C63F646" w:rsidR="00897750" w:rsidRPr="00DE5C02" w:rsidRDefault="00897750" w:rsidP="00897750">
      <w:r w:rsidRPr="00DE5C02">
        <w:t>Previous studies of pond water quality have characterised landscape structure within buffer zones in addition to the pond</w:t>
      </w:r>
      <w:r w:rsidR="00B67ACE" w:rsidRPr="00DE5C02">
        <w:t>’</w:t>
      </w:r>
      <w:r w:rsidRPr="00DE5C02">
        <w:t xml:space="preserve">s </w:t>
      </w:r>
      <w:r w:rsidR="00B67ACE" w:rsidRPr="00DE5C02">
        <w:t xml:space="preserve">entire </w:t>
      </w:r>
      <w:r w:rsidRPr="00DE5C02">
        <w:t>catchment</w:t>
      </w:r>
      <w:r w:rsidRPr="00DE5C02">
        <w:fldChar w:fldCharType="begin" w:fldLock="1"/>
      </w:r>
      <w:r w:rsidR="00C61FE8" w:rsidRPr="00DE5C02">
        <w:instrText>ADDIN CSL_CITATION {"citationItems":[{"id":"ITEM-1","itemData":{"DOI":"10.1007/s10750-015-2514-8","ISSN":"15735117","abstract":"The information on both the catchment land use and catchment area has the potential to be adopted into the conservation and management of ponds. There have been, however, few attempts to describe the effects of land use acting at various spatial scales on ponds and the studies were restricted to specific categories of ponds. This paper presents a study on 92 ponds distributed over a broad range of environmental conditions in Central Europe. We combined an extensive field survey and a detailed analysis of sediment and water chemistry with GIS-derived data to estimate the relationship between the area of the ponds and the area of their catchments, and to assess the relationship between pond physico-chemical conditions and land use across multiple spatial scales. Relating the area of ponds to the area of their catchments, we found a significant positive relationship (r = 0.72). Considering land use effects on pond conditions, catchment-scale land use was the only significant spatial extent influencing the physico-chemical conditions. Most notably, the proportion of intensively exploited land (arable land, urban areas) in the catchment scale was positively correlated with the deterioration of pond physico-chemical properties. The results of the study suggest that effective conservation of ponds cannot be achieved merely through the management of narrow buffer zones around them but should involve maintenance of less intensive land use within the whole catchment. Moreover, easily accessible catchment-scale GIS data could serve as a decision-support tool for cost-effective management strategies aimed at improving pond physico-chemical conditions.","author":[{"dropping-particle":"","family":"Novikmec","given":"Milan","non-dropping-particle":"","parse-names":false,"suffix":""},{"dropping-particle":"","family":"Hamerl??k","given":"Ladislav","non-dropping-particle":"","parse-names":false,"suffix":""},{"dropping-particle":"","family":"Ko??ick??","given":"Du??an","non-dropping-particle":"","parse-names":false,"suffix":""},{"dropping-particle":"","family":"Hrivn??k","given":"Richard","non-dropping-particle":"","parse-names":false,"suffix":""},{"dropping-particle":"","family":"Kochjarov??","given":"Judita","non-dropping-particle":"","parse-names":false,"suffix":""},{"dropping-particle":"","family":"O??ahe??ov??","given":"Helena","non-dropping-particle":"","parse-names":false,"suffix":""},{"dropping-particle":"","family":"Pa??ove-Balang","given":"Peter","non-dropping-particle":"","parse-names":false,"suffix":""},{"dropping-particle":"","family":"Svitok","given":"Marek","non-dropping-particle":"","parse-names":false,"suffix":""}],"container-title":"Hydrobiologia","id":"ITEM-1","issued":{"date-parts":[["2015"]]},"page":"155-166","title":"Ponds and their catchments: size relationships and influence of land use across multiple spatial scales","type":"article-journal"},"uris":["http://www.mendeley.com/documents/?uuid=77d41d6b-f7ae-4ebd-a43d-2ad03c435f90","http://www.mendeley.com/documents/?uuid=98ceccb2-09f8-45e1-8be9-f3cd52686378"]}],"mendeley":{"formattedCitation":"&lt;sup&gt;54&lt;/sup&gt;","plainTextFormattedCitation":"54","previouslyFormattedCitation":"&lt;sup&gt;53&lt;/sup&gt;"},"properties":{"noteIndex":0},"schema":"https://github.com/citation-style-language/schema/raw/master/csl-citation.json"}</w:instrText>
      </w:r>
      <w:r w:rsidRPr="00DE5C02">
        <w:fldChar w:fldCharType="separate"/>
      </w:r>
      <w:r w:rsidR="00C61FE8" w:rsidRPr="00DE5C02">
        <w:rPr>
          <w:noProof/>
          <w:vertAlign w:val="superscript"/>
        </w:rPr>
        <w:t>54</w:t>
      </w:r>
      <w:r w:rsidRPr="00DE5C02">
        <w:fldChar w:fldCharType="end"/>
      </w:r>
      <w:r w:rsidRPr="00DE5C02">
        <w:t xml:space="preserve">. The cover of trees, scrub or woodland, ‘buffer vegetation’ from hereon, within 5 and 100-m of each pond was measured by visual assessment </w:t>
      </w:r>
      <w:r w:rsidR="00641E69" w:rsidRPr="00DE5C02">
        <w:t>by</w:t>
      </w:r>
      <w:r w:rsidRPr="00DE5C02">
        <w:t xml:space="preserve"> Countryside Survey</w:t>
      </w:r>
      <w:r w:rsidR="00641E69" w:rsidRPr="00DE5C02">
        <w:t xml:space="preserve"> surveyors</w:t>
      </w:r>
      <w:r w:rsidRPr="00DE5C02">
        <w:t xml:space="preserve">. In the absence of an existing pond catchment GIS layer, </w:t>
      </w:r>
      <w:r w:rsidR="00B67ACE" w:rsidRPr="00DE5C02">
        <w:t xml:space="preserve">we characterised </w:t>
      </w:r>
      <w:r w:rsidRPr="00DE5C02">
        <w:t>landscape structure within 250, 500, 750, and 1000-m buffers surrounding each pond. For these extents, we used</w:t>
      </w:r>
      <w:r w:rsidR="000B4182" w:rsidRPr="00DE5C02">
        <w:t xml:space="preserve"> Land Cover Map 2007 (</w:t>
      </w:r>
      <w:r w:rsidRPr="00DE5C02">
        <w:t>LCM2007</w:t>
      </w:r>
      <w:r w:rsidR="00645852" w:rsidRPr="00DE5C02">
        <w:fldChar w:fldCharType="begin" w:fldLock="1"/>
      </w:r>
      <w:r w:rsidR="00C61FE8" w:rsidRPr="00DE5C02">
        <w:instrText>ADDIN CSL_CITATION {"citationItems":[{"id":"ITEM-1","itemData":{"author":[{"dropping-particle":"","family":"Morton","given":"R.D.","non-dropping-particle":"","parse-names":false,"suffix":""},{"dropping-particle":"","family":"Rowland","given":"C.S.","non-dropping-particle":"","parse-names":false,"suffix":""},{"dropping-particle":"","family":"Wood","given":"C.M.","non-dropping-particle":"","parse-names":false,"suffix":""},{"dropping-particle":"","family":"Meek","given":"L.","non-dropping-particle":"","parse-names":false,"suffix":""},{"dropping-particle":"","family":"Marston","given":"C.G.","non-dropping-particle":"","parse-names":false,"suffix":""},{"dropping-particle":"","family":"Smith","given":"G.M.","non-dropping-particle":"","parse-names":false,"suffix":""}],"id":"ITEM-1","issued":{"date-parts":[["2014"]]},"publisher":"NERC Environmental Information Data Centre","title":"Land Cover Map 2007 (25m raster, GB) v1.2.","type":"article"},"uris":["http://www.mendeley.com/documents/?uuid=e9ec0758-8ce7-4197-9449-32137e3982f7"]}],"mendeley":{"formattedCitation":"&lt;sup&gt;55&lt;/sup&gt;","plainTextFormattedCitation":"55","previouslyFormattedCitation":"&lt;sup&gt;54&lt;/sup&gt;"},"properties":{"noteIndex":0},"schema":"https://github.com/citation-style-language/schema/raw/master/csl-citation.json"}</w:instrText>
      </w:r>
      <w:r w:rsidR="00645852" w:rsidRPr="00DE5C02">
        <w:fldChar w:fldCharType="separate"/>
      </w:r>
      <w:r w:rsidR="00C61FE8" w:rsidRPr="00DE5C02">
        <w:rPr>
          <w:noProof/>
          <w:vertAlign w:val="superscript"/>
        </w:rPr>
        <w:t>55</w:t>
      </w:r>
      <w:r w:rsidR="00645852" w:rsidRPr="00DE5C02">
        <w:fldChar w:fldCharType="end"/>
      </w:r>
      <w:r w:rsidR="000B4182" w:rsidRPr="00DE5C02">
        <w:t>)</w:t>
      </w:r>
      <w:r w:rsidRPr="00DE5C02">
        <w:t xml:space="preserve"> and distinguished between land covers </w:t>
      </w:r>
      <w:r w:rsidR="008E4C74" w:rsidRPr="00DE5C02">
        <w:t xml:space="preserve">putatively </w:t>
      </w:r>
      <w:r w:rsidRPr="00DE5C02">
        <w:t xml:space="preserve">acting as </w:t>
      </w:r>
      <w:r w:rsidR="00C218DB" w:rsidRPr="00DE5C02">
        <w:t xml:space="preserve">pollution </w:t>
      </w:r>
      <w:r w:rsidRPr="00DE5C02">
        <w:t xml:space="preserve">sources (intensive agricultural land </w:t>
      </w:r>
      <w:r w:rsidR="00C218DB" w:rsidRPr="00DE5C02">
        <w:t>of</w:t>
      </w:r>
      <w:r w:rsidRPr="00DE5C02">
        <w:t xml:space="preserve"> either arable or improved grassland), or </w:t>
      </w:r>
      <w:r w:rsidR="002D2520" w:rsidRPr="00DE5C02">
        <w:t xml:space="preserve">that tend towards acting as </w:t>
      </w:r>
      <w:r w:rsidRPr="00DE5C02">
        <w:t>sinks (</w:t>
      </w:r>
      <w:r w:rsidR="00425075" w:rsidRPr="00DE5C02">
        <w:t>woodland</w:t>
      </w:r>
      <w:r w:rsidR="00BA0457" w:rsidRPr="00DE5C02">
        <w:t xml:space="preserve"> and</w:t>
      </w:r>
      <w:r w:rsidR="00645852" w:rsidRPr="00DE5C02">
        <w:t xml:space="preserve"> wetlands</w:t>
      </w:r>
      <w:r w:rsidRPr="00DE5C02">
        <w:t xml:space="preserve">). In addition to the amount of source and sink land covers, we calculated edge density, as </w:t>
      </w:r>
      <w:r w:rsidR="004813B8" w:rsidRPr="00DE5C02">
        <w:t xml:space="preserve">we hypothesised </w:t>
      </w:r>
      <w:r w:rsidRPr="00DE5C02">
        <w:t>a positive edge effect of source covers and a negative effect of sink covers (e.g. forest or wetland), by facilitating nutrient absorption and retention</w:t>
      </w:r>
      <w:r w:rsidRPr="00DE5C02">
        <w:fldChar w:fldCharType="begin" w:fldLock="1"/>
      </w:r>
      <w:r w:rsidR="00C61FE8" w:rsidRPr="00DE5C02">
        <w:instrText>ADDIN CSL_CITATION {"citationItems":[{"id":"ITEM-1","itemData":{"DOI":"10.1890/ES15-00312.1","ISBN":"2150-8925","ISSN":"21508925","abstract":"The sustainability of hydrologic ecosystem services (freshwater benefits to people generated by terrestrial ecosystems) is challenged by human modification of landscapes. However, the role of landscape heterogeneity in sustaining hydrologic services at scales relevant to landscape management decisions is poorly understood. In particular, the relative importance of landscape composition (type and proportion of land cover) and configuration (spatial arrangement of cover types) is unclear. We analyzed indicators of production of three hydrologic services (freshwater supply, surface and ground water quality) in 100 subwatersheds in an urbanizing agricultural landscape (Yahara Watershed, Wisconsin, USA) and asked: (1) How do landscape composition and configuration affect supply of hydrologic services (i.e., does spatial pattern matter)? (2) Are there opportunities for small changes in landscape pattern to produce large gains in hydrologic services? Landscape composition and configuration both affected supply o...","author":[{"dropping-particle":"","family":"Qiu","given":"Jiangxiao","non-dropping-particle":"","parse-names":false,"suffix":""},{"dropping-particle":"","family":"Turner","given":"Monica G.","non-dropping-particle":"","parse-names":false,"suffix":""}],"container-title":"Ecosphere","id":"ITEM-1","issue":"11","issued":{"date-parts":[["2015"]]},"page":"1-19","title":"Importance of landscape heterogeneity in sustaining hydrologic ecosystem services in an agricultural watershed","type":"article-journal","volume":"6"},"uris":["http://www.mendeley.com/documents/?uuid=b1259598-7a75-4180-b60d-954234b51ba8"]}],"mendeley":{"formattedCitation":"&lt;sup&gt;56&lt;/sup&gt;","plainTextFormattedCitation":"56","previouslyFormattedCitation":"&lt;sup&gt;55&lt;/sup&gt;"},"properties":{"noteIndex":0},"schema":"https://github.com/citation-style-language/schema/raw/master/csl-citation.json"}</w:instrText>
      </w:r>
      <w:r w:rsidRPr="00DE5C02">
        <w:fldChar w:fldCharType="separate"/>
      </w:r>
      <w:r w:rsidR="00C61FE8" w:rsidRPr="00DE5C02">
        <w:rPr>
          <w:noProof/>
          <w:vertAlign w:val="superscript"/>
        </w:rPr>
        <w:t>56</w:t>
      </w:r>
      <w:r w:rsidRPr="00DE5C02">
        <w:fldChar w:fldCharType="end"/>
      </w:r>
      <w:r w:rsidRPr="00DE5C02">
        <w:t>.</w:t>
      </w:r>
    </w:p>
    <w:p w14:paraId="7DE88D70" w14:textId="486D040D" w:rsidR="00897750" w:rsidRPr="00DE5C02" w:rsidRDefault="00CC0813" w:rsidP="00167CB5">
      <w:pPr>
        <w:pStyle w:val="Heading3"/>
      </w:pPr>
      <w:r w:rsidRPr="00DE5C02">
        <w:t>Asses</w:t>
      </w:r>
      <w:r w:rsidR="00F52221" w:rsidRPr="00DE5C02">
        <w:t>s</w:t>
      </w:r>
      <w:r w:rsidR="00167CB5" w:rsidRPr="00DE5C02">
        <w:t xml:space="preserve"> </w:t>
      </w:r>
      <w:r w:rsidR="00FA7771" w:rsidRPr="00DE5C02">
        <w:t xml:space="preserve">data </w:t>
      </w:r>
      <w:r w:rsidR="00167CB5" w:rsidRPr="00DE5C02">
        <w:t>limitations</w:t>
      </w:r>
      <w:r w:rsidR="006B7BEB" w:rsidRPr="00DE5C02">
        <w:t xml:space="preserve"> </w:t>
      </w:r>
    </w:p>
    <w:p w14:paraId="1ECDC019" w14:textId="33B20669" w:rsidR="00897750" w:rsidRPr="00DE5C02" w:rsidRDefault="005178C0" w:rsidP="00CC0813">
      <w:r w:rsidRPr="00DE5C02">
        <w:t xml:space="preserve">Once </w:t>
      </w:r>
      <w:r w:rsidR="006B7BEB" w:rsidRPr="00DE5C02">
        <w:t>the regional gradients have been delineated</w:t>
      </w:r>
      <w:r w:rsidR="005D39E6" w:rsidRPr="00DE5C02">
        <w:t>,</w:t>
      </w:r>
      <w:r w:rsidR="006B7BEB" w:rsidRPr="00DE5C02">
        <w:t>and landscape structure characterised</w:t>
      </w:r>
      <w:r w:rsidR="005D39E6" w:rsidRPr="00DE5C02">
        <w:t>,</w:t>
      </w:r>
      <w:r w:rsidR="006B7BEB" w:rsidRPr="00DE5C02">
        <w:t xml:space="preserve"> it is necessary to </w:t>
      </w:r>
      <w:r w:rsidR="00CC0813" w:rsidRPr="00DE5C02">
        <w:t xml:space="preserve">assess </w:t>
      </w:r>
      <w:r w:rsidR="006B7BEB" w:rsidRPr="00DE5C02">
        <w:t>the data and establish whether it is feasible to model the hypothesised cross-scale i</w:t>
      </w:r>
      <w:r w:rsidR="006C4A51" w:rsidRPr="00DE5C02">
        <w:t>nteractions</w:t>
      </w:r>
      <w:r w:rsidR="006B7BEB" w:rsidRPr="00DE5C02">
        <w:t>. I</w:t>
      </w:r>
      <w:r w:rsidR="00FA23E7" w:rsidRPr="00DE5C02">
        <w:t xml:space="preserve">t </w:t>
      </w:r>
      <w:r w:rsidR="00A82348" w:rsidRPr="00DE5C02">
        <w:t>is important</w:t>
      </w:r>
      <w:r w:rsidR="00FA23E7" w:rsidRPr="00DE5C02">
        <w:t xml:space="preserve"> to be aware that </w:t>
      </w:r>
      <w:r w:rsidRPr="00DE5C02">
        <w:t xml:space="preserve">plausible theoretical predictions </w:t>
      </w:r>
      <w:r w:rsidR="00FA23E7" w:rsidRPr="00DE5C02">
        <w:t>might</w:t>
      </w:r>
      <w:r w:rsidRPr="00DE5C02">
        <w:t xml:space="preserve"> be constrained by the</w:t>
      </w:r>
      <w:r w:rsidR="00167CB5" w:rsidRPr="00DE5C02">
        <w:t xml:space="preserve"> limitations (</w:t>
      </w:r>
      <w:r w:rsidRPr="00DE5C02">
        <w:t>replication and representation</w:t>
      </w:r>
      <w:r w:rsidR="00167CB5" w:rsidRPr="00DE5C02">
        <w:t>)</w:t>
      </w:r>
      <w:r w:rsidRPr="00DE5C02">
        <w:t xml:space="preserve"> of available data. </w:t>
      </w:r>
      <w:r w:rsidR="006B7BEB" w:rsidRPr="00DE5C02">
        <w:t>For the cross-scale interactions hypothesi</w:t>
      </w:r>
      <w:r w:rsidR="00E52785" w:rsidRPr="00DE5C02">
        <w:t>z</w:t>
      </w:r>
      <w:r w:rsidR="006B7BEB" w:rsidRPr="00DE5C02">
        <w:t>ed (Table 1), w</w:t>
      </w:r>
      <w:r w:rsidR="00897750" w:rsidRPr="00DE5C02">
        <w:t xml:space="preserve">e established that replication and representation were sufficient to test for </w:t>
      </w:r>
      <w:r w:rsidR="002D2520" w:rsidRPr="00DE5C02">
        <w:t xml:space="preserve">interactions </w:t>
      </w:r>
      <w:r w:rsidR="00897750" w:rsidRPr="00DE5C02">
        <w:t xml:space="preserve">between regional gradients and the </w:t>
      </w:r>
      <w:r w:rsidR="00E52785" w:rsidRPr="00DE5C02">
        <w:t>local landscape variables</w:t>
      </w:r>
      <w:r w:rsidR="000C591F" w:rsidRPr="00DE5C02">
        <w:t>.</w:t>
      </w:r>
      <w:r w:rsidR="00E52785" w:rsidRPr="00DE5C02">
        <w:t xml:space="preserve"> For the analysis of rhododendron, however, while it was possible to test for an interaction be</w:t>
      </w:r>
      <w:r w:rsidR="00CC0813" w:rsidRPr="00DE5C02">
        <w:t>t</w:t>
      </w:r>
      <w:r w:rsidR="00E52785" w:rsidRPr="00DE5C02">
        <w:t xml:space="preserve">ween the regional gradient with aspect and landscape-level woodland cover, </w:t>
      </w:r>
      <w:r w:rsidR="00897750" w:rsidRPr="00DE5C02">
        <w:t>insufficient representation precluded the testing of a</w:t>
      </w:r>
      <w:r w:rsidR="002D2520" w:rsidRPr="00DE5C02">
        <w:t>n interaction</w:t>
      </w:r>
      <w:r w:rsidR="00695377" w:rsidRPr="00DE5C02">
        <w:t xml:space="preserve"> </w:t>
      </w:r>
      <w:r w:rsidR="00897750" w:rsidRPr="00DE5C02">
        <w:t xml:space="preserve">between regional favourability and </w:t>
      </w:r>
      <w:r w:rsidR="00340238" w:rsidRPr="00DE5C02">
        <w:t xml:space="preserve">tree </w:t>
      </w:r>
      <w:r w:rsidR="00897750" w:rsidRPr="00DE5C02">
        <w:t xml:space="preserve">stocking density. </w:t>
      </w:r>
      <w:r w:rsidR="00482C71" w:rsidRPr="00DE5C02">
        <w:t>High m</w:t>
      </w:r>
      <w:r w:rsidR="00897750" w:rsidRPr="00DE5C02">
        <w:t xml:space="preserve">ulti-collinearity between </w:t>
      </w:r>
      <w:r w:rsidR="00BA0457" w:rsidRPr="00DE5C02">
        <w:t xml:space="preserve">landscape </w:t>
      </w:r>
      <w:r w:rsidR="00897750" w:rsidRPr="00DE5C02">
        <w:t xml:space="preserve">composition and configuration metrics </w:t>
      </w:r>
      <w:r w:rsidR="00482C71" w:rsidRPr="00DE5C02">
        <w:t>meant that</w:t>
      </w:r>
      <w:r w:rsidR="00897750" w:rsidRPr="00DE5C02">
        <w:t xml:space="preserve"> only woodland cover </w:t>
      </w:r>
      <w:r w:rsidR="004E2980" w:rsidRPr="00DE5C02">
        <w:t>was</w:t>
      </w:r>
      <w:r w:rsidR="00897750" w:rsidRPr="00DE5C02">
        <w:t xml:space="preserve"> modelled</w:t>
      </w:r>
      <w:r w:rsidR="004E2980" w:rsidRPr="00DE5C02">
        <w:t xml:space="preserve"> at multiple scales</w:t>
      </w:r>
      <w:r w:rsidR="00897750" w:rsidRPr="00DE5C02">
        <w:t xml:space="preserve">. </w:t>
      </w:r>
      <w:r w:rsidR="004E2980" w:rsidRPr="00DE5C02">
        <w:t>Woodland size</w:t>
      </w:r>
      <w:r w:rsidR="00897750" w:rsidRPr="00DE5C02">
        <w:t xml:space="preserve"> was omitted from the analysis due to high correlation </w:t>
      </w:r>
      <w:r w:rsidR="004E2980" w:rsidRPr="00DE5C02">
        <w:t>with woodland cover</w:t>
      </w:r>
      <w:r w:rsidR="00A82348" w:rsidRPr="00DE5C02">
        <w:t xml:space="preserve"> (Appendix S1.</w:t>
      </w:r>
      <w:r w:rsidR="005D7435" w:rsidRPr="00DE5C02">
        <w:t>5</w:t>
      </w:r>
      <w:r w:rsidR="004E2980" w:rsidRPr="00DE5C02">
        <w:t>)</w:t>
      </w:r>
      <w:r w:rsidR="00897750" w:rsidRPr="00DE5C02">
        <w:t xml:space="preserve">. </w:t>
      </w:r>
    </w:p>
    <w:p w14:paraId="3A026AB6" w14:textId="4E6F6A59" w:rsidR="00897750" w:rsidRPr="00DE5C02" w:rsidRDefault="00897750" w:rsidP="00897750">
      <w:pPr>
        <w:pStyle w:val="Heading3"/>
      </w:pPr>
      <w:bookmarkStart w:id="15" w:name="_Toc517421410"/>
      <w:bookmarkStart w:id="16" w:name="_Toc517431825"/>
      <w:r w:rsidRPr="00DE5C02">
        <w:t>Specify appropriate statistical model</w:t>
      </w:r>
      <w:bookmarkEnd w:id="15"/>
      <w:bookmarkEnd w:id="16"/>
      <w:r w:rsidR="00B11FCA" w:rsidRPr="00DE5C02">
        <w:t>s</w:t>
      </w:r>
    </w:p>
    <w:p w14:paraId="4B7E5172" w14:textId="31C23D95" w:rsidR="004B4E67" w:rsidRPr="00DE5C02" w:rsidRDefault="005D39E6" w:rsidP="004B4E67">
      <w:pPr>
        <w:rPr>
          <w:rFonts w:cstheme="minorHAnsi"/>
          <w:color w:val="000000"/>
          <w:shd w:val="clear" w:color="auto" w:fill="FFFFFF"/>
        </w:rPr>
      </w:pPr>
      <w:r w:rsidRPr="00DE5C02">
        <w:t>The previous steps</w:t>
      </w:r>
      <w:r w:rsidR="006C4A51" w:rsidRPr="00DE5C02">
        <w:t xml:space="preserve"> </w:t>
      </w:r>
      <w:r w:rsidR="0088037D" w:rsidRPr="00DE5C02">
        <w:t>will likely generate multiple regional gradients and landscape metrics quantified at multiple extents</w:t>
      </w:r>
      <w:r w:rsidR="00CC0813" w:rsidRPr="00DE5C02">
        <w:t xml:space="preserve">, all of which are plausibly linked to the hypotheses </w:t>
      </w:r>
      <w:r w:rsidRPr="00DE5C02">
        <w:t>that have been generated</w:t>
      </w:r>
      <w:r w:rsidR="0088037D" w:rsidRPr="00DE5C02">
        <w:t xml:space="preserve">. </w:t>
      </w:r>
      <w:r w:rsidR="00897750" w:rsidRPr="00DE5C02">
        <w:t>To identify the appropriate</w:t>
      </w:r>
      <w:r w:rsidR="0088037D" w:rsidRPr="00DE5C02">
        <w:t xml:space="preserve"> regional gradients and</w:t>
      </w:r>
      <w:r w:rsidR="00897750" w:rsidRPr="00DE5C02">
        <w:t xml:space="preserve"> extents for each of the landscape-level drivers, we recommend creating a global model</w:t>
      </w:r>
      <w:r w:rsidR="0088037D" w:rsidRPr="00DE5C02">
        <w:t>, containing</w:t>
      </w:r>
      <w:r w:rsidR="00897750" w:rsidRPr="00DE5C02">
        <w:t xml:space="preserve"> all </w:t>
      </w:r>
      <w:r w:rsidR="0088037D" w:rsidRPr="00DE5C02">
        <w:t xml:space="preserve">potentially important drivers and their interactions </w:t>
      </w:r>
      <w:r w:rsidR="005178C0" w:rsidRPr="00DE5C02">
        <w:t>(</w:t>
      </w:r>
      <w:r w:rsidR="00897750" w:rsidRPr="00DE5C02">
        <w:t xml:space="preserve">identified in </w:t>
      </w:r>
      <w:r w:rsidR="0088037D" w:rsidRPr="00DE5C02">
        <w:t xml:space="preserve">Step </w:t>
      </w:r>
      <w:r w:rsidR="004B4E67" w:rsidRPr="00DE5C02">
        <w:t>3</w:t>
      </w:r>
      <w:r w:rsidR="005178C0" w:rsidRPr="00DE5C02">
        <w:t>)</w:t>
      </w:r>
      <w:r w:rsidR="0088037D" w:rsidRPr="00DE5C02">
        <w:t>,</w:t>
      </w:r>
      <w:r w:rsidR="00897750" w:rsidRPr="00DE5C02">
        <w:t xml:space="preserve"> for each </w:t>
      </w:r>
      <w:r w:rsidR="0088037D" w:rsidRPr="00DE5C02">
        <w:t xml:space="preserve">possible </w:t>
      </w:r>
      <w:r w:rsidR="00897750" w:rsidRPr="00DE5C02">
        <w:t>combination of extents</w:t>
      </w:r>
      <w:r w:rsidR="0088037D" w:rsidRPr="00DE5C02">
        <w:t xml:space="preserve"> of each landscape metrics</w:t>
      </w:r>
      <w:r w:rsidR="00897750" w:rsidRPr="00DE5C02">
        <w:t xml:space="preserve">. Such models </w:t>
      </w:r>
      <w:r w:rsidR="0088037D" w:rsidRPr="00DE5C02">
        <w:t xml:space="preserve">must </w:t>
      </w:r>
      <w:r w:rsidR="00897750" w:rsidRPr="00DE5C02">
        <w:t>not simultaneously consider the same landscape-level driver</w:t>
      </w:r>
      <w:r w:rsidR="00A4702A" w:rsidRPr="00DE5C02">
        <w:t xml:space="preserve"> </w:t>
      </w:r>
      <w:r w:rsidR="00897750" w:rsidRPr="00DE5C02">
        <w:t>calculated at multiple extents</w:t>
      </w:r>
      <w:r w:rsidR="0088037D" w:rsidRPr="00DE5C02">
        <w:t xml:space="preserve"> as they essentially measure the same thing and are highly correlated</w:t>
      </w:r>
      <w:r w:rsidR="00897750" w:rsidRPr="00DE5C02">
        <w:t xml:space="preserve">. </w:t>
      </w:r>
      <w:r w:rsidR="00E30FB3" w:rsidRPr="00DE5C02">
        <w:t>I</w:t>
      </w:r>
      <w:r w:rsidR="006751EF" w:rsidRPr="00DE5C02">
        <w:t xml:space="preserve">mportant drivers, including landscape metrics at their </w:t>
      </w:r>
      <w:r w:rsidR="00897750" w:rsidRPr="00DE5C02">
        <w:t xml:space="preserve">appropriate extents and </w:t>
      </w:r>
      <w:r w:rsidR="006751EF" w:rsidRPr="00DE5C02">
        <w:t xml:space="preserve">regional gradients, </w:t>
      </w:r>
      <w:r w:rsidR="00897750" w:rsidRPr="00DE5C02">
        <w:t xml:space="preserve">can be </w:t>
      </w:r>
      <w:r w:rsidR="006751EF" w:rsidRPr="00DE5C02">
        <w:t xml:space="preserve">identified </w:t>
      </w:r>
      <w:r w:rsidR="00897750" w:rsidRPr="00DE5C02">
        <w:t>by selecting the best model</w:t>
      </w:r>
      <w:r w:rsidR="0029329C" w:rsidRPr="00DE5C02">
        <w:t>(s)</w:t>
      </w:r>
      <w:r w:rsidR="00897750" w:rsidRPr="00DE5C02">
        <w:t xml:space="preserve"> using information theoretic approaches such as</w:t>
      </w:r>
      <w:r w:rsidR="006751EF" w:rsidRPr="00DE5C02">
        <w:t xml:space="preserve"> by ranking models according to</w:t>
      </w:r>
      <w:r w:rsidR="00897750" w:rsidRPr="00DE5C02">
        <w:t xml:space="preserve"> Akaike’s Information Criterion</w:t>
      </w:r>
      <w:r w:rsidR="00897750" w:rsidRPr="00DE5C02">
        <w:fldChar w:fldCharType="begin" w:fldLock="1"/>
      </w:r>
      <w:r w:rsidR="00C61FE8" w:rsidRPr="00DE5C02">
        <w:instrText>ADDIN CSL_CITATION {"citationItems":[{"id":"ITEM-1","itemData":{"DOI":"10.1016/j.ecolmodel.2003.11.004","ISBN":"978-0-387-22456-5","ISSN":"03043800","PMID":"48557578","abstract":"The second edition of this book is unique in that it focuses on methods for making formal statistical inference from all the models in an a priori set (Multi-Model Inference). A philosophy is presented for model-based data analysis and a general strategy outlined for the analysis of empirical data. The book invites increased attention on a priori science hypotheses and modeling.Kullback-Leibler Information represents a fundamental quantity in science and is Hirotugu Akaike's basis for model selection. The maximized log-likelihood function can be bias-corrected as an estimator of expected, relative Kullback-Leibler information. This leads to Akaike's Information Criterion (AIC) and various extensions. These methods are relatively simple and easy to use in practice, but based on deep statistical theory. The information theoretic approaches provide a unified and rigorous theory, an extension of likelihood theory, an important application of information theory, and are objective and practical to employ across a very wide class of empirical problems.The book presents several new ways to incorporate model selection uncertainty into parameter estimates and estimates of precision. An array of challenging examples is given to illustrate various technical issues.This is an applied book written primarily for biologists and statisticians wanting to make inferences from multiple models and is suitable as a graduate text or as a reference for professional analysts.","author":[{"dropping-particle":"","family":"Burnham","given":"K.P.","non-dropping-particle":"","parse-names":false,"suffix":""},{"dropping-particle":"","family":"Anderson","given":"D.R.","non-dropping-particle":"","parse-names":false,"suffix":""}],"container-title":"Ecological Modelling","id":"ITEM-1","issued":{"date-parts":[["2002"]]},"number-of-pages":"488","title":"Model Selection and Multimodel Inference: A Practical Information-Theoretic Approach (2nd ed)","type":"book","volume":"172"},"uris":["http://www.mendeley.com/documents/?uuid=c0c88d13-20d8-43f0-ad18-c9b0ae7e3fce"]}],"mendeley":{"formattedCitation":"&lt;sup&gt;57&lt;/sup&gt;","plainTextFormattedCitation":"57","previouslyFormattedCitation":"&lt;sup&gt;56&lt;/sup&gt;"},"properties":{"noteIndex":0},"schema":"https://github.com/citation-style-language/schema/raw/master/csl-citation.json"}</w:instrText>
      </w:r>
      <w:r w:rsidR="00897750" w:rsidRPr="00DE5C02">
        <w:fldChar w:fldCharType="separate"/>
      </w:r>
      <w:r w:rsidR="00C61FE8" w:rsidRPr="00DE5C02">
        <w:rPr>
          <w:noProof/>
          <w:vertAlign w:val="superscript"/>
        </w:rPr>
        <w:t>57</w:t>
      </w:r>
      <w:r w:rsidR="00897750" w:rsidRPr="00DE5C02">
        <w:fldChar w:fldCharType="end"/>
      </w:r>
      <w:r w:rsidR="00897750" w:rsidRPr="00DE5C02">
        <w:t xml:space="preserve"> (AIC). </w:t>
      </w:r>
      <w:r w:rsidR="006751EF" w:rsidRPr="00DE5C02">
        <w:t>We favour this approach over the usual practice of fitting multiple univariate models for each extent of each landscape driver</w:t>
      </w:r>
      <w:r w:rsidR="006751EF" w:rsidRPr="00DE5C02">
        <w:rPr>
          <w:vertAlign w:val="superscript"/>
        </w:rPr>
        <w:t>e.g.</w:t>
      </w:r>
      <w:r w:rsidR="006751EF" w:rsidRPr="00DE5C02">
        <w:fldChar w:fldCharType="begin" w:fldLock="1"/>
      </w:r>
      <w:r w:rsidR="00C61FE8" w:rsidRPr="00DE5C02">
        <w:instrText>ADDIN CSL_CITATION {"citationItems":[{"id":"ITEM-1","itemData":{"DOI":"10.1641/0006-3568(2004)054[0227:DTSSOS]2.0.CO;2","ISBN":"0006-3568","ISSN":"0006-3568","PMID":"11649465","abstract":"Species respond to habitat at different spatial scales, yet many studies have considered this response only at relatively small scales. We developed a technique and accompanying software (Focus) that use a focal patch approach to select multiple sets of spatially independent sites. For each independent set, regressions are conducted between the habitat variable and counts of species abundance at different scales to determine the spatial scale at which species respond most strongly to an environmental or habitat variable of interest. We applied the technique to determine the spatial scales at which 12 different species of cerambycid beetles respond to forest cover. The beetles responded at different scales, from 20 to 2000 meters. We expect this technique and the accompanying software to be useful for a wide range of studies, including the analysis of existing data sets to answer questions related to the large-scale response of organisms to their environment.","author":[{"dropping-particle":"","family":"Holland","given":"Jeffrey D.","non-dropping-particle":"","parse-names":false,"suffix":""},{"dropping-particle":"","family":"Bert","given":"Daniel G.","non-dropping-particle":"","parse-names":false,"suffix":""},{"dropping-particle":"","family":"Fahrig","given":"Lenore","non-dropping-particle":"","parse-names":false,"suffix":""}],"container-title":"BioScience","id":"ITEM-1","issue":"3","issued":{"date-parts":[["2004"]]},"page":"227","title":"Determining the Spatial Scale of Species' Response to Habitat","type":"article-journal","volume":"54"},"uris":["http://www.mendeley.com/documents/?uuid=9f793945-b23a-4582-8a45-00d27e9d291b"]},{"id":"ITEM-2","itemData":{"DOI":"10.1371/journal.pone.0135454","ISBN":"1932-6203","ISSN":"19326203","PMID":"26267813","abstract":"Catchment land uses, particularly agriculture and urban uses, have long been recognized as major drivers of nutrient concentrations in surface waters. However, few simple models have been developed that relate the amount of catchment land use to downstream freshwater nutrients. Nor are existing models applicable to large numbers of freshwaters across broad spatial extents such as regions or continents. This research aims to increase model performance by exploring three factors that affect the relationship between land use and downstream nutrients in freshwater: the spatial extent for measuring land use, hydrologic connectivity, and the regional differences in both the amount of nutrients and effects of land use on them. We quantified the effects of these three factors that relate land use to lake total phosphorus (TP) and total nitrogen (TN) in 346 north temperate lakes in 7 regions in Michigan, USA. We used a linear mixed modeling framework to examine the importance of spatial extent, lake hydrologic class, and region on models with individual lake nutrients as the response variable, and individual land use types as the predictor variables. Our modeling approach was chosen to avoid problems of multi-collinearity among predictor variables and a lack of independence of lakes within regions, both of which are common problems in broad-scale analyses of freshwaters. We found that all three factors influence land use-lake nutrient relationships. The strongest evidence was for the effect of lake hydrologic connectivity, followed by region, and finally, the spatial extent of land use measurements. Incorporating these three factors into relatively simple models of land use effects on lake nutrients should help to improve predictions and understanding of land use-lake nutrient interactions at broad scales.","author":[{"dropping-particle":"","family":"Soranno","given":"Patricia A.","non-dropping-particle":"","parse-names":false,"suffix":""},{"dropping-particle":"","family":"Cheruvelil","given":"Kendra Spence","non-dropping-particle":"","parse-names":false,"suffix":""},{"dropping-particle":"","family":"Wagner","given":"Tyler","non-dropping-particle":"","parse-names":false,"suffix":""},{"dropping-particle":"","family":"Webster","given":"Katherine E.","non-dropping-particle":"","parse-names":false,"suffix":""},{"dropping-particle":"","family":"Bremigan","given":"Mary Tate","non-dropping-particle":"","parse-names":false,"suffix":""}],"container-title":"PLoS ONE","id":"ITEM-2","issue":"8","issued":{"date-parts":[["2015"]]},"page":"1-22","title":"Effects of land use on lake nutrients: The importance of scale, hydrologic connectivity, and region","type":"article-journal","volume":"10"},"uris":["http://www.mendeley.com/documents/?uuid=5b5e01fb-7969-4f77-aac3-e9aa9258c138"]}],"mendeley":{"formattedCitation":"&lt;sup&gt;46,52&lt;/sup&gt;","plainTextFormattedCitation":"46,52","previouslyFormattedCitation":"&lt;sup&gt;46,51&lt;/sup&gt;"},"properties":{"noteIndex":0},"schema":"https://github.com/citation-style-language/schema/raw/master/csl-citation.json"}</w:instrText>
      </w:r>
      <w:r w:rsidR="006751EF" w:rsidRPr="00DE5C02">
        <w:fldChar w:fldCharType="separate"/>
      </w:r>
      <w:r w:rsidR="00C61FE8" w:rsidRPr="00DE5C02">
        <w:rPr>
          <w:noProof/>
          <w:vertAlign w:val="superscript"/>
        </w:rPr>
        <w:t>46,52</w:t>
      </w:r>
      <w:r w:rsidR="006751EF" w:rsidRPr="00DE5C02">
        <w:fldChar w:fldCharType="end"/>
      </w:r>
      <w:r w:rsidR="006751EF" w:rsidRPr="00DE5C02">
        <w:t>, because univariate models necessarily omit important variables and interactions, increasing residual variance and leading to a bias in the statistical inference</w:t>
      </w:r>
      <w:r w:rsidR="006751EF" w:rsidRPr="00DE5C02">
        <w:fldChar w:fldCharType="begin" w:fldLock="1"/>
      </w:r>
      <w:r w:rsidR="00C61FE8" w:rsidRPr="00DE5C02">
        <w:instrText>ADDIN CSL_CITATION {"citationItems":[{"id":"ITEM-1","itemData":{"DOI":"10.1111/j.2041-210x.2012.00253.x","ISBN":"2041-210X","ISSN":"2041210X","abstract":"* Including predictors in species distribution models at inappropriate spatial scales can decrease the variance explained, add residual spatial autocorrelation (RSA) and lead to the wrong conclusions. Some studies have measured predictors within different buffer sizes (scales) around sample locations, regressed each predictor against the response at each scale and selected the scale with the best model fit as the appropriate scale for this predictor. However, a predictor can influence a species at several scales or show several scales with good model fit due to a bias caused by RSA. This makes the evaluation of all scales with good model fit necessary. With potentially several scales per predictor and multiple predictors to evaluate, the number of predictors can be large relative to the number of data points, potentially impeding variable selection with traditional statistical techniques, such as logistic regression. * We trialled a variable selection process using the random forest algorithm, which allows the simultaneous evaluation of several scales of multiple predictors. Using simulated responses, we compared the performance of models resulting from this approach with models using the known predictors at arbitrary and at the known spatial scales. We also apply the proposed approach to a real data set of curlew (Numenius arquata). * AIC, AUC and Naglekerke's pseudo R2 of the models resulting from the proposed variable selection were often very similar to the models with the known predictors at known spatial scales. Only two of nine models required the addition of spatial eigenvectors to account for RSA. Arbitrary scale models always required the addition of spatial eigenvectors. 75% (50–100%) of the known predictors were selected at scales similar to the known scale (within 3 km). In the curlew model, predictors at large, medium and small spatial scales were selected, suggesting that for appropriate landscape-scale models multiple scales need to be evaluated. * The proposed approach selected several of the correct predictors at appropriate spatial scales out of 544 possible predictors. Thus, it facilitates the evaluation of multiple spatial scales of multiple predictors against each other in landscape-scale models.","author":[{"dropping-particle":"","family":"Bradter","given":"Ute","non-dropping-particle":"","parse-names":false,"suffix":""},{"dropping-particle":"","family":"Kunin","given":"William E.","non-dropping-particle":"","parse-names":false,"suffix":""},{"dropping-particle":"","family":"Altringham","given":"John D.","non-dropping-particle":"","parse-names":false,"suffix":""},{"dropping-particle":"","family":"Thom","given":"Tim J.","non-dropping-particle":"","parse-names":false,"suffix":""},{"dropping-particle":"","family":"Benton","given":"Tim G.","non-dropping-particle":"","parse-names":false,"suffix":""}],"container-title":"Methods in Ecology and Evolution","id":"ITEM-1","issue":"2","issued":{"date-parts":[["2013"]]},"page":"167-174","title":"Identifying appropriate spatial scales of predictors in species distribution models with the random forest algorithm","type":"article-journal","volume":"4"},"uris":["http://www.mendeley.com/documents/?uuid=0574bb2b-bb38-4ed9-953f-9c695dcc36d5"]}],"mendeley":{"formattedCitation":"&lt;sup&gt;58&lt;/sup&gt;","plainTextFormattedCitation":"58","previouslyFormattedCitation":"&lt;sup&gt;57&lt;/sup&gt;"},"properties":{"noteIndex":0},"schema":"https://github.com/citation-style-language/schema/raw/master/csl-citation.json"}</w:instrText>
      </w:r>
      <w:r w:rsidR="006751EF" w:rsidRPr="00DE5C02">
        <w:fldChar w:fldCharType="separate"/>
      </w:r>
      <w:r w:rsidR="00C61FE8" w:rsidRPr="00DE5C02">
        <w:rPr>
          <w:noProof/>
          <w:vertAlign w:val="superscript"/>
        </w:rPr>
        <w:t>58</w:t>
      </w:r>
      <w:r w:rsidR="006751EF" w:rsidRPr="00DE5C02">
        <w:fldChar w:fldCharType="end"/>
      </w:r>
      <w:r w:rsidR="006751EF" w:rsidRPr="00DE5C02">
        <w:t xml:space="preserve">. </w:t>
      </w:r>
      <w:r w:rsidR="00897750" w:rsidRPr="00DE5C02">
        <w:t xml:space="preserve">We suggest </w:t>
      </w:r>
      <w:r w:rsidR="006751EF" w:rsidRPr="00DE5C02">
        <w:t xml:space="preserve"> that model selection, rather than</w:t>
      </w:r>
      <w:r w:rsidR="00897750" w:rsidRPr="00DE5C02">
        <w:t xml:space="preserve"> model averaging</w:t>
      </w:r>
      <w:r w:rsidR="006751EF" w:rsidRPr="00DE5C02">
        <w:t xml:space="preserve">, is likely to be more </w:t>
      </w:r>
      <w:r w:rsidR="003F27F0" w:rsidRPr="00DE5C02">
        <w:t>useful</w:t>
      </w:r>
      <w:r w:rsidR="006751EF" w:rsidRPr="00DE5C02">
        <w:t>,</w:t>
      </w:r>
      <w:r w:rsidR="00897750" w:rsidRPr="00DE5C02">
        <w:t xml:space="preserve"> because</w:t>
      </w:r>
      <w:r w:rsidR="006751EF" w:rsidRPr="00DE5C02">
        <w:t xml:space="preserve"> models differing only in the extent of landscape variables are likely to have very similar support, and such models cannot be averaged as they are technically different variables measuring </w:t>
      </w:r>
      <w:r w:rsidR="00163C2E" w:rsidRPr="00DE5C02">
        <w:t>a similar</w:t>
      </w:r>
      <w:r w:rsidR="006751EF" w:rsidRPr="00DE5C02">
        <w:t xml:space="preserve"> quantity</w:t>
      </w:r>
      <w:r w:rsidR="006751EF" w:rsidRPr="00DE5C02">
        <w:fldChar w:fldCharType="begin" w:fldLock="1"/>
      </w:r>
      <w:r w:rsidR="00C61FE8" w:rsidRPr="00DE5C02">
        <w:instrText>ADDIN CSL_CITATION {"citationItems":[{"id":"ITEM-1","itemData":{"DOI":"10.1007/s00265-010-1045-6","ISBN":"0340-5443","ISSN":"03405443","PMID":"877","abstract":"There has been a great deal of recent discussion of the practice of regression analysis (or more generally, linear modelling) in behaviour and ecology. In this paper, I wish to highlight two factors that have been under- considered, collinearity and measurement error in predic- tors, as well as to consider what happens when both exist at the same time. I examine what the consequences are for conventional regression analysis (ordinary least squares, OLS) as well as model averaging methods, typified by information theoretic approaches based around Akaike’s information criterion. Collinearity causes variance inflation of estimated slopes in OLS analysis, as is well known. In the presence of collinearity, model averaging reduces this variance for predictors with weak effects, but also can lead to parameter bias. When collinearity is strong or when all predictors have strong effects, model averaging relies heavily on the full model including all predictors and hence the results from this and OLS are essentially the same. I highlight that it is not safe to simply eliminate collinear variables without due consideration of their likely independent effects as this can lead to biases. Measurement error is also considered and I show that when collinearity exists, this can lead to extreme biases when predictors are collinear, have strong effects but differ in their degree of measurement error. I highlight techniques for dealing with and diagnosing these prob- lems. These results reinforce that automated model selection techniques should not be relied on in the analysis of complex multivariable datasets.","author":[{"dropping-particle":"","family":"Freckleton","given":"Robert P.","non-dropping-particle":"","parse-names":false,"suffix":""}],"container-title":"Behavioral Ecology and Sociobiology","id":"ITEM-1","issue":"1","issued":{"date-parts":[["2011"]]},"page":"91-101","title":"Dealing with collinearity in behavioural and ecological data: Model averaging and the problems of measurement error","type":"article-journal","volume":"65"},"uris":["http://www.mendeley.com/documents/?uuid=3b97994f-97d1-443e-9761-7a329df747ec"]}],"mendeley":{"formattedCitation":"&lt;sup&gt;59&lt;/sup&gt;","plainTextFormattedCitation":"59","previouslyFormattedCitation":"&lt;sup&gt;58&lt;/sup&gt;"},"properties":{"noteIndex":0},"schema":"https://github.com/citation-style-language/schema/raw/master/csl-citation.json"}</w:instrText>
      </w:r>
      <w:r w:rsidR="006751EF" w:rsidRPr="00DE5C02">
        <w:fldChar w:fldCharType="separate"/>
      </w:r>
      <w:r w:rsidR="00C61FE8" w:rsidRPr="00DE5C02">
        <w:rPr>
          <w:noProof/>
          <w:vertAlign w:val="superscript"/>
        </w:rPr>
        <w:t>59</w:t>
      </w:r>
      <w:r w:rsidR="006751EF" w:rsidRPr="00DE5C02">
        <w:fldChar w:fldCharType="end"/>
      </w:r>
      <w:r w:rsidR="006751EF" w:rsidRPr="00DE5C02">
        <w:t xml:space="preserve">. </w:t>
      </w:r>
      <w:r w:rsidR="00897750" w:rsidRPr="00DE5C02">
        <w:t xml:space="preserve">We created global models </w:t>
      </w:r>
      <w:r w:rsidR="005178C0" w:rsidRPr="00DE5C02">
        <w:t xml:space="preserve">for both rhododendron and pond water quality </w:t>
      </w:r>
      <w:r w:rsidR="006751EF" w:rsidRPr="00DE5C02">
        <w:t>containing meaningful combinations of regional, landscape and local drivers</w:t>
      </w:r>
      <w:r w:rsidR="00F52221" w:rsidRPr="00DE5C02">
        <w:t xml:space="preserve"> (that translate to the hypotheses)</w:t>
      </w:r>
      <w:r w:rsidR="006751EF" w:rsidRPr="00DE5C02">
        <w:t xml:space="preserve">, </w:t>
      </w:r>
      <w:r w:rsidR="00897750" w:rsidRPr="00DE5C02">
        <w:t xml:space="preserve">for </w:t>
      </w:r>
      <w:r w:rsidR="006751EF" w:rsidRPr="00DE5C02">
        <w:t>all</w:t>
      </w:r>
      <w:r w:rsidR="00897750" w:rsidRPr="00DE5C02">
        <w:t xml:space="preserve"> </w:t>
      </w:r>
      <w:r w:rsidR="005D7435" w:rsidRPr="00DE5C02">
        <w:t>appropriate</w:t>
      </w:r>
      <w:r w:rsidR="00897750" w:rsidRPr="00DE5C02">
        <w:t xml:space="preserve"> extents</w:t>
      </w:r>
      <w:r w:rsidR="006751EF" w:rsidRPr="00DE5C02">
        <w:t xml:space="preserve"> for </w:t>
      </w:r>
      <w:r w:rsidR="0029329C" w:rsidRPr="00DE5C02">
        <w:t xml:space="preserve">each </w:t>
      </w:r>
      <w:r w:rsidR="006751EF" w:rsidRPr="00DE5C02">
        <w:t>landscape driver</w:t>
      </w:r>
      <w:r w:rsidR="00897750" w:rsidRPr="00DE5C02">
        <w:t>, and from these generated a full set</w:t>
      </w:r>
      <w:r w:rsidR="006751EF" w:rsidRPr="00DE5C02">
        <w:t xml:space="preserve"> of </w:t>
      </w:r>
      <w:r w:rsidR="00AD478D" w:rsidRPr="00DE5C02">
        <w:t xml:space="preserve">nested </w:t>
      </w:r>
      <w:r w:rsidR="006751EF" w:rsidRPr="00DE5C02">
        <w:t xml:space="preserve">models to be compared </w:t>
      </w:r>
      <w:r w:rsidR="00BF5FF0" w:rsidRPr="00DE5C02">
        <w:t>with</w:t>
      </w:r>
      <w:r w:rsidR="006751EF" w:rsidRPr="00DE5C02">
        <w:t xml:space="preserve"> AIC</w:t>
      </w:r>
      <w:r w:rsidR="00897750" w:rsidRPr="00DE5C02">
        <w:t xml:space="preserve"> using</w:t>
      </w:r>
      <w:r w:rsidR="00645852" w:rsidRPr="00DE5C02">
        <w:t xml:space="preserve"> R package</w:t>
      </w:r>
      <w:r w:rsidR="00897750" w:rsidRPr="00DE5C02">
        <w:t xml:space="preserve"> MuMIn</w:t>
      </w:r>
      <w:r w:rsidR="00897750" w:rsidRPr="00DE5C02">
        <w:fldChar w:fldCharType="begin" w:fldLock="1"/>
      </w:r>
      <w:r w:rsidR="00C61FE8" w:rsidRPr="00DE5C02">
        <w:instrText>ADDIN CSL_CITATION {"citationItems":[{"id":"ITEM-1","itemData":{"author":[{"dropping-particle":"","family":"Bartoń","given":"K","non-dropping-particle":"","parse-names":false,"suffix":""}],"id":"ITEM-1","issued":{"date-parts":[["2018"]]},"title":"MuMIn: model selection and model averaging based on information criteria (AICc and alike) R package version","type":"article"},"uris":["http://www.mendeley.com/documents/?uuid=ecabc4c0-8f4c-4ae0-b959-878bd78b4329"]}],"mendeley":{"formattedCitation":"&lt;sup&gt;60&lt;/sup&gt;","plainTextFormattedCitation":"60","previouslyFormattedCitation":"&lt;sup&gt;59&lt;/sup&gt;"},"properties":{"noteIndex":0},"schema":"https://github.com/citation-style-language/schema/raw/master/csl-citation.json"}</w:instrText>
      </w:r>
      <w:r w:rsidR="00897750" w:rsidRPr="00DE5C02">
        <w:fldChar w:fldCharType="separate"/>
      </w:r>
      <w:r w:rsidR="00C61FE8" w:rsidRPr="00DE5C02">
        <w:rPr>
          <w:noProof/>
          <w:vertAlign w:val="superscript"/>
        </w:rPr>
        <w:t>60</w:t>
      </w:r>
      <w:r w:rsidR="00897750" w:rsidRPr="00DE5C02">
        <w:fldChar w:fldCharType="end"/>
      </w:r>
      <w:r w:rsidR="00897750" w:rsidRPr="00DE5C02">
        <w:t xml:space="preserve">. </w:t>
      </w:r>
      <w:r w:rsidR="004B4E67" w:rsidRPr="00DE5C02">
        <w:rPr>
          <w:rFonts w:cstheme="minorHAnsi"/>
          <w:color w:val="000000"/>
          <w:shd w:val="clear" w:color="auto" w:fill="FFFFFF"/>
        </w:rPr>
        <w:t>Although in our illustration of the framework we focus specifically on GLM(M)s, it should be noted that any modelling framework where the effects of interactions can be estimated, such as structural equation modelling</w:t>
      </w:r>
      <w:r w:rsidR="00B81E3F" w:rsidRPr="00DE5C02">
        <w:rPr>
          <w:rFonts w:cstheme="minorHAnsi"/>
          <w:color w:val="000000"/>
          <w:shd w:val="clear" w:color="auto" w:fill="FFFFFF"/>
        </w:rPr>
        <w:fldChar w:fldCharType="begin" w:fldLock="1"/>
      </w:r>
      <w:r w:rsidR="00C61FE8" w:rsidRPr="00DE5C02">
        <w:rPr>
          <w:rFonts w:cstheme="minorHAnsi"/>
          <w:color w:val="000000"/>
          <w:shd w:val="clear" w:color="auto" w:fill="FFFFFF"/>
        </w:rPr>
        <w:instrText>ADDIN CSL_CITATION {"citationItems":[{"id":"ITEM-1","itemData":{"DOI":"10.1111/2041-210X.12512","author":[{"dropping-particle":"","family":"Lefcheck","given":"Jonathan S","non-dropping-particle":"","parse-names":false,"suffix":""}],"container-title":"Methods in Ecology and Evolution","id":"ITEM-1","issued":{"date-parts":[["2015"]]},"page":"2-7","title":"Piecewise SEM: Piecewise structural equation modelling in R for ecology, evolution, and systematics","type":"article-journal"},"uris":["http://www.mendeley.com/documents/?uuid=2c7070c5-4840-4ded-be6b-9cd785f4e343"]}],"mendeley":{"formattedCitation":"&lt;sup&gt;61&lt;/sup&gt;","plainTextFormattedCitation":"61","previouslyFormattedCitation":"&lt;sup&gt;60&lt;/sup&gt;"},"properties":{"noteIndex":0},"schema":"https://github.com/citation-style-language/schema/raw/master/csl-citation.json"}</w:instrText>
      </w:r>
      <w:r w:rsidR="00B81E3F" w:rsidRPr="00DE5C02">
        <w:rPr>
          <w:rFonts w:cstheme="minorHAnsi"/>
          <w:color w:val="000000"/>
          <w:shd w:val="clear" w:color="auto" w:fill="FFFFFF"/>
        </w:rPr>
        <w:fldChar w:fldCharType="separate"/>
      </w:r>
      <w:r w:rsidR="00C61FE8" w:rsidRPr="00DE5C02">
        <w:rPr>
          <w:rFonts w:cstheme="minorHAnsi"/>
          <w:noProof/>
          <w:color w:val="000000"/>
          <w:shd w:val="clear" w:color="auto" w:fill="FFFFFF"/>
          <w:vertAlign w:val="superscript"/>
        </w:rPr>
        <w:t>61</w:t>
      </w:r>
      <w:r w:rsidR="00B81E3F" w:rsidRPr="00DE5C02">
        <w:rPr>
          <w:rFonts w:cstheme="minorHAnsi"/>
          <w:color w:val="000000"/>
          <w:shd w:val="clear" w:color="auto" w:fill="FFFFFF"/>
        </w:rPr>
        <w:fldChar w:fldCharType="end"/>
      </w:r>
      <w:r w:rsidR="004B4E67" w:rsidRPr="00DE5C02">
        <w:rPr>
          <w:rFonts w:cstheme="minorHAnsi"/>
          <w:color w:val="000000"/>
          <w:shd w:val="clear" w:color="auto" w:fill="FFFFFF"/>
        </w:rPr>
        <w:t xml:space="preserve"> or boosted regression trees</w:t>
      </w:r>
      <w:r w:rsidR="00173667" w:rsidRPr="00DE5C02">
        <w:rPr>
          <w:rFonts w:cstheme="minorHAnsi"/>
          <w:color w:val="000000"/>
          <w:shd w:val="clear" w:color="auto" w:fill="FFFFFF"/>
        </w:rPr>
        <w:fldChar w:fldCharType="begin" w:fldLock="1"/>
      </w:r>
      <w:r w:rsidR="00C61FE8" w:rsidRPr="00DE5C02">
        <w:rPr>
          <w:rFonts w:cstheme="minorHAnsi"/>
          <w:color w:val="000000"/>
          <w:shd w:val="clear" w:color="auto" w:fill="FFFFFF"/>
        </w:rPr>
        <w:instrText>ADDIN CSL_CITATION {"citationItems":[{"id":"ITEM-1","itemData":{"DOI":"10.1111/j.1365-2656.2008.01390.x","ISBN":"1365-2656","ISSN":"00218790","PMID":"18397250","abstract":"1. Ecologists use statistical models for both explanation and prediction, and need techniques that are flexible enough to express typical features of their data, such as nonlinearities and interactions. 2. This study provides a working guide to boosted regression trees (BRT), an ensemble method for fitting statistical models that differs fundamentally from conventional techniques that aim to fit a single parsimonious model. Boosted regression trees combine the strengths of two algorithms: regression trees (models that relate a response to their predictors by recursive binary splits) and boosting (an adaptive method for combining many simple models to give improved predictive performance). The final BRT model can be understood as an additive regression model in which individual terms are simple trees, fitted in a forward, stagewise fashion. 3. Boosted regression trees incorporate important advantages of tree-based methods, handling different types of predictor variables and accommodating missing data. They have no need for prior data transformation or elimination of outliers, can fit complex nonlinear relationships, and automatically handle interaction effects between predictors. Fitting multiple trees in BRT overcomes the biggest drawback of single tree models: their relatively poor predictive performance. Although BRT models are complex, they can be summarized in ways that give powerful ecological insight, and their predictive performance is superior to most traditional modelling methods. 4. The unique features of BRT raise a number of practical issues in model fitting. We demonstrate the practicalities and advantages of using BRT through a distributional analysis of the short-finned eel (Anguilla australis Richardson), a native freshwater fish of New Zealand. We use a data set of over 13 000 sites to illustrate effects of several settings, and then fit and interpret a model using a subset of the data. We provide code and a tutorial to enable the wider use of BRT by ecologists.","author":[{"dropping-particle":"","family":"Elith","given":"J.","non-dropping-particle":"","parse-names":false,"suffix":""},{"dropping-particle":"","family":"Leathwick","given":"J. R.","non-dropping-particle":"","parse-names":false,"suffix":""},{"dropping-particle":"","family":"Hastie","given":"T.","non-dropping-particle":"","parse-names":false,"suffix":""}],"container-title":"Journal of Animal Ecology","id":"ITEM-1","issue":"4","issued":{"date-parts":[["2008"]]},"page":"802-813","title":"A working guide to boosted regression trees","type":"article-journal","volume":"77"},"uris":["http://www.mendeley.com/documents/?uuid=83864a74-f0d3-4da0-b68e-0a964964b6b0"]}],"mendeley":{"formattedCitation":"&lt;sup&gt;62&lt;/sup&gt;","plainTextFormattedCitation":"62","previouslyFormattedCitation":"&lt;sup&gt;61&lt;/sup&gt;"},"properties":{"noteIndex":0},"schema":"https://github.com/citation-style-language/schema/raw/master/csl-citation.json"}</w:instrText>
      </w:r>
      <w:r w:rsidR="00173667" w:rsidRPr="00DE5C02">
        <w:rPr>
          <w:rFonts w:cstheme="minorHAnsi"/>
          <w:color w:val="000000"/>
          <w:shd w:val="clear" w:color="auto" w:fill="FFFFFF"/>
        </w:rPr>
        <w:fldChar w:fldCharType="separate"/>
      </w:r>
      <w:r w:rsidR="00C61FE8" w:rsidRPr="00DE5C02">
        <w:rPr>
          <w:rFonts w:cstheme="minorHAnsi"/>
          <w:noProof/>
          <w:color w:val="000000"/>
          <w:shd w:val="clear" w:color="auto" w:fill="FFFFFF"/>
          <w:vertAlign w:val="superscript"/>
        </w:rPr>
        <w:t>62</w:t>
      </w:r>
      <w:r w:rsidR="00173667" w:rsidRPr="00DE5C02">
        <w:rPr>
          <w:rFonts w:cstheme="minorHAnsi"/>
          <w:color w:val="000000"/>
          <w:shd w:val="clear" w:color="auto" w:fill="FFFFFF"/>
        </w:rPr>
        <w:fldChar w:fldCharType="end"/>
      </w:r>
      <w:r w:rsidR="004B4E67" w:rsidRPr="00DE5C02">
        <w:rPr>
          <w:rFonts w:cstheme="minorHAnsi"/>
          <w:color w:val="000000"/>
          <w:shd w:val="clear" w:color="auto" w:fill="FFFFFF"/>
        </w:rPr>
        <w:t xml:space="preserve"> could be used</w:t>
      </w:r>
      <w:r w:rsidR="00B81E3F" w:rsidRPr="00DE5C02">
        <w:rPr>
          <w:rFonts w:cstheme="minorHAnsi"/>
          <w:color w:val="000000"/>
          <w:shd w:val="clear" w:color="auto" w:fill="FFFFFF"/>
        </w:rPr>
        <w:t>.</w:t>
      </w:r>
    </w:p>
    <w:p w14:paraId="134D8D21" w14:textId="3E64177D" w:rsidR="00897750" w:rsidRPr="00DE5C02" w:rsidRDefault="00891462" w:rsidP="00897750">
      <w:pPr>
        <w:pStyle w:val="Heading3"/>
      </w:pPr>
      <w:bookmarkStart w:id="17" w:name="_Toc517421411"/>
      <w:bookmarkStart w:id="18" w:name="_Toc517431826"/>
      <w:r w:rsidRPr="00DE5C02">
        <w:t>Produce effect map</w:t>
      </w:r>
      <w:r w:rsidR="00EC49B8" w:rsidRPr="00DE5C02">
        <w:t>s</w:t>
      </w:r>
      <w:r w:rsidR="00FA7771" w:rsidRPr="00DE5C02">
        <w:t xml:space="preserve"> and</w:t>
      </w:r>
      <w:r w:rsidRPr="00DE5C02">
        <w:t xml:space="preserve"> d</w:t>
      </w:r>
      <w:r w:rsidR="00897750" w:rsidRPr="00DE5C02">
        <w:t>raw inference</w:t>
      </w:r>
      <w:r w:rsidR="008D34AC" w:rsidRPr="00DE5C02">
        <w:t>s</w:t>
      </w:r>
      <w:r w:rsidR="00897750" w:rsidRPr="00DE5C02">
        <w:t xml:space="preserve"> </w:t>
      </w:r>
      <w:bookmarkEnd w:id="17"/>
      <w:bookmarkEnd w:id="18"/>
    </w:p>
    <w:p w14:paraId="212BE4C3" w14:textId="768192BE" w:rsidR="00897750" w:rsidRPr="00DE5C02" w:rsidRDefault="00897750" w:rsidP="00897750">
      <w:r w:rsidRPr="00DE5C02">
        <w:t>Reporting on how changes in driver</w:t>
      </w:r>
      <w:r w:rsidR="00EC49B8" w:rsidRPr="00DE5C02">
        <w:t>s</w:t>
      </w:r>
      <w:r w:rsidRPr="00DE5C02">
        <w:t xml:space="preserve"> affect ecosystem responses is necessary to provide practicable guidance for management actions and landscape design</w:t>
      </w:r>
      <w:r w:rsidRPr="00DE5C02">
        <w:fldChar w:fldCharType="begin" w:fldLock="1"/>
      </w:r>
      <w:r w:rsidR="006821F3" w:rsidRPr="00DE5C02">
        <w:instrText>ADDIN CSL_CITATION {"citationItems":[{"id":"ITEM-1","itemData":{"DOI":"10.1111/ele.12389","ISBN":"1461-0248 (Electronic)\\r1461-023X (Linking)","ISSN":"14610248","PMID":"25394857","abstract":"Governments worldwide are recognising ecosystem services as an approach to address sustainability challenges. Decision-makers need credible and legitimate measurements of ecosystem services to evaluate decisions for trade-offs to make wise choices. Managers lack these measurements because of a data gap linking ecosystem characteristics to final ecosystem services. The dominant method to address the data gap is benefit transfer using ecological data from one location to estimate ecosystem services at other locations with similar land cover. However, benefit transfer is only valid once the data gap is adequately resolved. Disciplinary frames separating ecology from economics and policy have resulted in confusion on concepts and methods preventing progress on the data gap. In this study, we present a 10-step approach to unify concepts, methods and data from the disparate disciplines to offer guidance on overcoming the data gap. We suggest: (1) estimate ecosystem characteristics using biophysical models, (2) identify final ecosystem services using endpoints and (3) connect them using ecological production functions to quantify biophysical trade-offs. The guidance is strategic for public policy because analysts need to be: (1) realistic when setting priorities, (2) attentive to timelines to acquire relevant data, given resources and (3) responsive to the needs of decision-makers.","author":[{"dropping-particle":"","family":"Wong","given":"Christina P.","non-dropping-particle":"","parse-names":false,"suffix":""},{"dropping-particle":"","family":"Jiang","given":"Bo","non-dropping-particle":"","parse-names":false,"suffix":""},{"dropping-particle":"","family":"Kinzig","given":"Ann P.","non-dropping-particle":"","parse-names":false,"suffix":""},{"dropping-particle":"","family":"Lee","given":"Kai N.","non-dropping-particle":"","parse-names":false,"suffix":""},{"dropping-particle":"","family":"Ouyang","given":"Zhiyun","non-dropping-particle":"","parse-names":false,"suffix":""}],"container-title":"Ecology Letters","id":"ITEM-1","issue":"1","issued":{"date-parts":[["2015"]]},"page":"108-118","title":"Linking ecosystem characteristics to final ecosystem services for public policy","type":"article-journal","volume":"18"},"uris":["http://www.mendeley.com/documents/?uuid=e55b8642-8662-4cf4-ba52-ef1c73377494"]}],"mendeley":{"formattedCitation":"&lt;sup&gt;9&lt;/sup&gt;","plainTextFormattedCitation":"9","previouslyFormattedCitation":"&lt;sup&gt;9&lt;/sup&gt;"},"properties":{"noteIndex":0},"schema":"https://github.com/citation-style-language/schema/raw/master/csl-citation.json"}</w:instrText>
      </w:r>
      <w:r w:rsidRPr="00DE5C02">
        <w:fldChar w:fldCharType="separate"/>
      </w:r>
      <w:r w:rsidR="00A801AF" w:rsidRPr="00DE5C02">
        <w:rPr>
          <w:noProof/>
          <w:vertAlign w:val="superscript"/>
        </w:rPr>
        <w:t>9</w:t>
      </w:r>
      <w:r w:rsidRPr="00DE5C02">
        <w:fldChar w:fldCharType="end"/>
      </w:r>
      <w:r w:rsidRPr="00DE5C02">
        <w:t>.</w:t>
      </w:r>
      <w:r w:rsidR="00AD478D" w:rsidRPr="00DE5C02">
        <w:t xml:space="preserve"> Interactions between multiple drivers operating at local, landscape and regional scales (cross-scale interactions) can lead to context dependency in these marginal effects.</w:t>
      </w:r>
      <w:r w:rsidRPr="00DE5C02">
        <w:t xml:space="preserve"> In this step, we describe how reporting and mapping of the regional variation </w:t>
      </w:r>
      <w:r w:rsidR="008D34AC" w:rsidRPr="00DE5C02">
        <w:t xml:space="preserve">in </w:t>
      </w:r>
      <w:r w:rsidR="00AD478D" w:rsidRPr="00DE5C02">
        <w:t>marginal effects</w:t>
      </w:r>
      <w:r w:rsidR="00891462" w:rsidRPr="00DE5C02">
        <w:t xml:space="preserve"> (i.e. estimated</w:t>
      </w:r>
      <w:r w:rsidR="00D8691A" w:rsidRPr="00DE5C02">
        <w:t xml:space="preserve"> regression</w:t>
      </w:r>
      <w:r w:rsidR="00891462" w:rsidRPr="00DE5C02">
        <w:t xml:space="preserve"> coefficient</w:t>
      </w:r>
      <w:r w:rsidR="00D8691A" w:rsidRPr="00DE5C02">
        <w:t>s, or slopes</w:t>
      </w:r>
      <w:r w:rsidR="00891462" w:rsidRPr="00DE5C02">
        <w:rPr>
          <w:vertAlign w:val="superscript"/>
        </w:rPr>
        <w:t>9</w:t>
      </w:r>
      <w:r w:rsidR="00891462" w:rsidRPr="00DE5C02">
        <w:t>)</w:t>
      </w:r>
      <w:r w:rsidR="00AD478D" w:rsidRPr="00DE5C02">
        <w:t xml:space="preserve"> </w:t>
      </w:r>
      <w:r w:rsidRPr="00DE5C02">
        <w:t xml:space="preserve">can identify where </w:t>
      </w:r>
      <w:r w:rsidR="00AD478D" w:rsidRPr="00DE5C02">
        <w:t xml:space="preserve">management resources should be targeted, or where </w:t>
      </w:r>
      <w:r w:rsidRPr="00DE5C02">
        <w:t xml:space="preserve">natural capital can </w:t>
      </w:r>
      <w:r w:rsidR="00AD478D" w:rsidRPr="00DE5C02">
        <w:t>be managed to enhance an ecosystem response</w:t>
      </w:r>
      <w:r w:rsidR="0035182C" w:rsidRPr="00DE5C02">
        <w:t>. I</w:t>
      </w:r>
      <w:r w:rsidRPr="00DE5C02">
        <w:t>ndeed humans can intervene in some contexts to manage natural capital and enhance ES but have little influence in others</w:t>
      </w:r>
      <w:r w:rsidRPr="00DE5C02">
        <w:fldChar w:fldCharType="begin" w:fldLock="1"/>
      </w:r>
      <w:r w:rsidR="00C61FE8" w:rsidRPr="00DE5C02">
        <w:instrText>ADDIN CSL_CITATION {"citationItems":[{"id":"ITEM-1","itemData":{"ISBN":"978-1-4939-2794-4","author":[{"dropping-particle":"","family":"Turner","given":"M.G.","non-dropping-particle":"","parse-names":false,"suffix":""},{"dropping-particle":"","family":"Gardner","given":"R.H.","non-dropping-particle":"","parse-names":false,"suffix":""}],"id":"ITEM-1","issued":{"date-parts":[["2015"]]},"publisher":"Springer-Verlag New York","title":"Landscape Ecology in Theory and Practice. Pattern and Process","type":"book"},"uris":["http://www.mendeley.com/documents/?uuid=00b4f044-b9f8-47c5-adc4-391e77c0e337"]},{"id":"ITEM-2","itemData":{"DOI":"10.1007/s10980-012-9741-4","ISBN":"0921-2973","ISSN":"09212973","abstract":"Changes in key drivers (e.g., climate, distur- bance regimes and land use)may affect the sustainability of forest landscapesandset the stagefor increasedtension amongcompeting ecosystemservices.We addressedtwo questions about a suite of supporting, regulating and provisioning ecosystem services in each of two well- studied forest landscapes in the western US: (1) How might the provision of ecosystem services change in the future given anticipated trajectories of climate, distur- bance regimes, and land use? (2) What is the role of spatial heterogeneity in sustaining future ecosystem services? We determined that future changes in each region are likely to be distinct, but spatial heterogeneity (e.g., the amount and arrangement of surviving forest patches or legacy trees after disturbance) will be important in both landscapes for sustaining forest regeneration, primary production, carbon storage, natural hazard regulation, insect and pathogen regulation, timber production and wildlife habitat. The paper closes by highlighting five general priorities for future research. The science of landscape ecology hasmuch to contribute toward understanding ecosystem services and how land management can enhance—or threaten—the sustainabil- ity of ecosystem services in changing landscapes.","author":[{"dropping-particle":"","family":"Turner","given":"Monica G.","non-dropping-particle":"","parse-names":false,"suffix":""},{"dropping-particle":"","family":"Donato","given":"Daniel C.","non-dropping-particle":"","parse-names":false,"suffix":""},{"dropping-particle":"","family":"Romme","given":"William H.","non-dropping-particle":"","parse-names":false,"suffix":""}],"container-title":"Landscape Ecology","id":"ITEM-2","issue":"6","issued":{"date-parts":[["2013"]]},"page":"1081-1097","title":"Consequences of spatial heterogeneity for ecosystem services in changing forest landscapes: Priorities for future research","type":"article-journal","volume":"28"},"uris":["http://www.mendeley.com/documents/?uuid=4fc0672f-2ea8-4e9f-b91d-3155c1809640"]}],"mendeley":{"formattedCitation":"&lt;sup&gt;63,64&lt;/sup&gt;","plainTextFormattedCitation":"63,64","previouslyFormattedCitation":"&lt;sup&gt;62,63&lt;/sup&gt;"},"properties":{"noteIndex":0},"schema":"https://github.com/citation-style-language/schema/raw/master/csl-citation.json"}</w:instrText>
      </w:r>
      <w:r w:rsidRPr="00DE5C02">
        <w:fldChar w:fldCharType="separate"/>
      </w:r>
      <w:r w:rsidR="00C61FE8" w:rsidRPr="00DE5C02">
        <w:rPr>
          <w:noProof/>
          <w:vertAlign w:val="superscript"/>
        </w:rPr>
        <w:t>63,64</w:t>
      </w:r>
      <w:r w:rsidRPr="00DE5C02">
        <w:fldChar w:fldCharType="end"/>
      </w:r>
      <w:r w:rsidRPr="00DE5C02">
        <w:t xml:space="preserve">. For local and landscape-level drivers that interact with regional gradients, it is possible to map </w:t>
      </w:r>
      <w:r w:rsidR="0077683C" w:rsidRPr="00DE5C02">
        <w:t xml:space="preserve">the  </w:t>
      </w:r>
      <w:r w:rsidR="0077683C" w:rsidRPr="00DE5C02">
        <w:rPr>
          <w:color w:val="000000"/>
          <w:shd w:val="clear" w:color="auto" w:fill="FFFFFF"/>
        </w:rPr>
        <w:t xml:space="preserve">direction and strength of their effect across the range </w:t>
      </w:r>
      <w:r w:rsidR="0077683C" w:rsidRPr="00DE5C02">
        <w:t xml:space="preserve">of the regional gradient, </w:t>
      </w:r>
      <w:r w:rsidRPr="00DE5C02">
        <w:t xml:space="preserve">within their </w:t>
      </w:r>
      <w:r w:rsidR="005D7435" w:rsidRPr="00DE5C02">
        <w:t>‘</w:t>
      </w:r>
      <w:r w:rsidRPr="00DE5C02">
        <w:t>zone of significance</w:t>
      </w:r>
      <w:r w:rsidR="005D7435" w:rsidRPr="00DE5C02">
        <w:t>’</w:t>
      </w:r>
      <w:r w:rsidRPr="00DE5C02">
        <w:t xml:space="preserve">, i.e. within the range </w:t>
      </w:r>
      <w:r w:rsidR="0077683C" w:rsidRPr="00DE5C02">
        <w:t>within which an effect was</w:t>
      </w:r>
      <w:r w:rsidRPr="00DE5C02">
        <w:t xml:space="preserve"> </w:t>
      </w:r>
      <w:r w:rsidR="0077683C" w:rsidRPr="00DE5C02">
        <w:t xml:space="preserve">detected </w:t>
      </w:r>
      <w:r w:rsidRPr="00DE5C02">
        <w:t>(i.e. the Johnson-Neyman interval</w:t>
      </w:r>
      <w:r w:rsidRPr="00DE5C02">
        <w:fldChar w:fldCharType="begin" w:fldLock="1"/>
      </w:r>
      <w:r w:rsidR="00C61FE8" w:rsidRPr="00DE5C02">
        <w:instrText>ADDIN CSL_CITATION {"citationItems":[{"id":"ITEM-1","itemData":{"author":[{"dropping-particle":"","family":"Johnson","given":"P. O.","non-dropping-particle":"","parse-names":false,"suffix":""},{"dropping-particle":"","family":"Neyman","given":"J.","non-dropping-particle":"","parse-names":false,"suffix":""}],"container-title":"Statistical research memoirs","id":"ITEM-1","issued":{"date-parts":[["1936"]]},"page":"57-93","title":"Tests of certain linear hypotheses and their application to some educational problems","type":"article-journal","volume":"1"},"uris":["http://www.mendeley.com/documents/?uuid=3b675107-52cb-4d86-861b-21bba10aa3bb"]}],"mendeley":{"formattedCitation":"&lt;sup&gt;65&lt;/sup&gt;","plainTextFormattedCitation":"65","previouslyFormattedCitation":"&lt;sup&gt;64&lt;/sup&gt;"},"properties":{"noteIndex":0},"schema":"https://github.com/citation-style-language/schema/raw/master/csl-citation.json"}</w:instrText>
      </w:r>
      <w:r w:rsidRPr="00DE5C02">
        <w:fldChar w:fldCharType="separate"/>
      </w:r>
      <w:r w:rsidR="00C61FE8" w:rsidRPr="00DE5C02">
        <w:rPr>
          <w:noProof/>
          <w:vertAlign w:val="superscript"/>
        </w:rPr>
        <w:t>65</w:t>
      </w:r>
      <w:r w:rsidRPr="00DE5C02">
        <w:fldChar w:fldCharType="end"/>
      </w:r>
      <w:r w:rsidR="008D34AC" w:rsidRPr="00DE5C02">
        <w:t>)</w:t>
      </w:r>
      <w:r w:rsidRPr="00DE5C02">
        <w:t xml:space="preserve">. </w:t>
      </w:r>
      <w:r w:rsidRPr="00DE5C02" w:rsidDel="007A23E1">
        <w:t>Mapping this regional variation in the effect of drivers</w:t>
      </w:r>
      <w:r w:rsidRPr="00DE5C02">
        <w:t xml:space="preserve"> provides a</w:t>
      </w:r>
      <w:r w:rsidR="00891462" w:rsidRPr="00DE5C02">
        <w:t>n</w:t>
      </w:r>
      <w:r w:rsidRPr="00DE5C02">
        <w:t xml:space="preserve"> </w:t>
      </w:r>
      <w:r w:rsidRPr="00DE5C02">
        <w:rPr>
          <w:b/>
          <w:bCs/>
        </w:rPr>
        <w:t>‘effect map</w:t>
      </w:r>
      <w:r w:rsidRPr="00DE5C02">
        <w:t xml:space="preserve">’ that highlights areas where management interventions targeting these drivers are most likely to be successful. These maps can also inform policy, the prioritisation of areas for grants and subsidies to support ecosystem management, and spatial targeting of monitoring schemes.  </w:t>
      </w:r>
      <w:r w:rsidR="001C3ACD" w:rsidRPr="00DE5C02">
        <w:t xml:space="preserve">Of course, for some drivers no cross-scale interactions may occur – for these, effect maps are unnecessary. </w:t>
      </w:r>
    </w:p>
    <w:p w14:paraId="6FAFE2D4" w14:textId="01C512BB" w:rsidR="005178C0" w:rsidRPr="00DE5C02" w:rsidRDefault="00897750" w:rsidP="001C3ACD">
      <w:r w:rsidRPr="00DE5C02">
        <w:t xml:space="preserve">We identified </w:t>
      </w:r>
      <w:r w:rsidR="00AD478D" w:rsidRPr="00DE5C02">
        <w:t>cross-scale interaction</w:t>
      </w:r>
      <w:r w:rsidR="0006697D" w:rsidRPr="00DE5C02">
        <w:t>s</w:t>
      </w:r>
      <w:r w:rsidR="00AD478D" w:rsidRPr="00DE5C02">
        <w:t xml:space="preserve"> </w:t>
      </w:r>
      <w:r w:rsidRPr="00DE5C02">
        <w:t xml:space="preserve">wherein the susceptibility to rhododendron invasion (within 500-m of a woodland site) depended on woodland cover only in regions with </w:t>
      </w:r>
      <w:r w:rsidR="0006697D" w:rsidRPr="00DE5C02">
        <w:t xml:space="preserve">unfavourable, </w:t>
      </w:r>
      <w:r w:rsidRPr="00DE5C02">
        <w:t>alkaline soils</w:t>
      </w:r>
      <w:r w:rsidR="005D7435" w:rsidRPr="00DE5C02">
        <w:t xml:space="preserve"> (details in Appendix S1.6)</w:t>
      </w:r>
      <w:r w:rsidRPr="00DE5C02">
        <w:t xml:space="preserve">. </w:t>
      </w:r>
      <w:r w:rsidR="006B639C" w:rsidRPr="00DE5C02">
        <w:t>Figure 2</w:t>
      </w:r>
      <w:r w:rsidR="005A35DE" w:rsidRPr="00DE5C02">
        <w:t>a</w:t>
      </w:r>
      <w:r w:rsidRPr="00DE5C02">
        <w:t xml:space="preserve"> displays a marginal effect plot (top) and </w:t>
      </w:r>
      <w:r w:rsidR="0077683C" w:rsidRPr="00DE5C02">
        <w:t xml:space="preserve">effect </w:t>
      </w:r>
      <w:r w:rsidRPr="00DE5C02">
        <w:t xml:space="preserve">map (centre) displaying </w:t>
      </w:r>
      <w:r w:rsidR="008D34AC" w:rsidRPr="00DE5C02">
        <w:t xml:space="preserve">this context dependent </w:t>
      </w:r>
      <w:r w:rsidRPr="00DE5C02">
        <w:t xml:space="preserve">effect of landscape-level woodland cover across Britain. In areas with alkaline soils, woodland sites should be prioritised or </w:t>
      </w:r>
      <w:r w:rsidR="00350DFE" w:rsidRPr="00DE5C02">
        <w:t xml:space="preserve">monitored to detect early establishment of seedlings </w:t>
      </w:r>
      <w:r w:rsidR="00AA252A" w:rsidRPr="00DE5C02">
        <w:t xml:space="preserve">and promote their removal </w:t>
      </w:r>
      <w:r w:rsidR="00350DFE" w:rsidRPr="00DE5C02">
        <w:t xml:space="preserve">before significant and costly growth occurs. </w:t>
      </w:r>
      <w:r w:rsidRPr="00DE5C02">
        <w:t xml:space="preserve">By contrast, in regions with acidic soils the degree of woodland cover in the landscape cannot be used to </w:t>
      </w:r>
      <w:r w:rsidR="00350DFE" w:rsidRPr="00DE5C02">
        <w:t xml:space="preserve">prioritise </w:t>
      </w:r>
      <w:r w:rsidRPr="00DE5C02">
        <w:t xml:space="preserve">woodlands </w:t>
      </w:r>
      <w:r w:rsidR="00350DFE" w:rsidRPr="00DE5C02">
        <w:t xml:space="preserve">for </w:t>
      </w:r>
      <w:r w:rsidRPr="00DE5C02">
        <w:t xml:space="preserve">monitoring for rhododendron. </w:t>
      </w:r>
      <w:r w:rsidR="005178C0" w:rsidRPr="00DE5C02">
        <w:t xml:space="preserve">Woodland susceptibility to rhododendron invasion responded consistently to several local variables across the regional gradients, wherein occurrence increased with stand vertical structural complexity and stand age, and varied according to forest type, with the highest probability of establishment in mixed species stands. Consistent landscape-level drivers included a negative effect of distance to historic gardens, and a positive effect of road density within 250-m. Occurrence probability exhibited a negative quadratic relationship with the regional moisture and elevation gradient and a positive quadratic relationship with the favourability gradient showing that moist, low elevation sites tend to have higher establishment probabilities. </w:t>
      </w:r>
      <w:r w:rsidR="001C3ACD" w:rsidRPr="00DE5C02">
        <w:t>As such, woodlands that should be prioritized for monitoring of rhododendron are old sites of conservation concern with complex vertical structure</w:t>
      </w:r>
      <w:r w:rsidR="00276044" w:rsidRPr="00DE5C02">
        <w:t xml:space="preserve">, located on alkaline soils and </w:t>
      </w:r>
      <w:r w:rsidR="001C3ACD" w:rsidRPr="00DE5C02">
        <w:t>near roads</w:t>
      </w:r>
      <w:r w:rsidR="00276044" w:rsidRPr="00DE5C02">
        <w:t xml:space="preserve">, with </w:t>
      </w:r>
      <w:r w:rsidR="001C3ACD" w:rsidRPr="00DE5C02">
        <w:t xml:space="preserve"> high levels of forest cover within </w:t>
      </w:r>
      <w:r w:rsidR="005757B3" w:rsidRPr="00DE5C02">
        <w:t>500-</w:t>
      </w:r>
      <w:r w:rsidR="001C3ACD" w:rsidRPr="00DE5C02">
        <w:t xml:space="preserve">m. </w:t>
      </w:r>
    </w:p>
    <w:p w14:paraId="4167D220" w14:textId="13D84E99" w:rsidR="00897750" w:rsidRPr="00DE5C02" w:rsidRDefault="00897750" w:rsidP="00B068AA">
      <w:r w:rsidRPr="00DE5C02">
        <w:rPr>
          <w:lang w:eastAsia="en-GB"/>
        </w:rPr>
        <w:t xml:space="preserve">For pond water quality, we </w:t>
      </w:r>
      <w:r w:rsidR="00062920" w:rsidRPr="00DE5C02">
        <w:rPr>
          <w:lang w:eastAsia="en-GB"/>
        </w:rPr>
        <w:t>i</w:t>
      </w:r>
      <w:r w:rsidRPr="00DE5C02">
        <w:rPr>
          <w:lang w:eastAsia="en-GB"/>
        </w:rPr>
        <w:t xml:space="preserve">dentified a </w:t>
      </w:r>
      <w:r w:rsidR="00062920" w:rsidRPr="00DE5C02">
        <w:rPr>
          <w:lang w:eastAsia="en-GB"/>
        </w:rPr>
        <w:t>cross-scale interaction</w:t>
      </w:r>
      <w:r w:rsidRPr="00DE5C02">
        <w:rPr>
          <w:lang w:eastAsia="en-GB"/>
        </w:rPr>
        <w:t xml:space="preserve"> wherein a regional soil gradient characterised by increasing soil sandiness and decreasing atmospheric nitrate deposition moderated the effect of the surrounding intensive land cover on pond </w:t>
      </w:r>
      <w:r w:rsidR="005A35DE" w:rsidRPr="00DE5C02">
        <w:rPr>
          <w:lang w:eastAsia="en-GB"/>
        </w:rPr>
        <w:t>SR</w:t>
      </w:r>
      <w:r w:rsidRPr="00DE5C02">
        <w:rPr>
          <w:lang w:eastAsia="en-GB"/>
        </w:rPr>
        <w:t>P</w:t>
      </w:r>
      <w:r w:rsidR="005D7435" w:rsidRPr="00DE5C02">
        <w:rPr>
          <w:lang w:eastAsia="en-GB"/>
        </w:rPr>
        <w:t xml:space="preserve"> (details in Appendix S2.3)</w:t>
      </w:r>
      <w:r w:rsidRPr="00DE5C02">
        <w:rPr>
          <w:lang w:eastAsia="en-GB"/>
        </w:rPr>
        <w:t>. The main effects were important as demonstrated by the decreasing intercept of the intensive land cover relationship with the increasing gradient of soil sandiness</w:t>
      </w:r>
      <w:r w:rsidR="0035182C" w:rsidRPr="00DE5C02">
        <w:rPr>
          <w:lang w:eastAsia="en-GB"/>
        </w:rPr>
        <w:t>:</w:t>
      </w:r>
      <w:r w:rsidRPr="00DE5C02">
        <w:rPr>
          <w:lang w:eastAsia="en-GB"/>
        </w:rPr>
        <w:t xml:space="preserve"> in areas with heavier soils, landscapes with low coverage of intensive land use still had elevated </w:t>
      </w:r>
      <w:r w:rsidR="00FF7AC5" w:rsidRPr="00DE5C02">
        <w:rPr>
          <w:lang w:eastAsia="en-GB"/>
        </w:rPr>
        <w:t xml:space="preserve">pond </w:t>
      </w:r>
      <w:r w:rsidRPr="00DE5C02">
        <w:rPr>
          <w:lang w:eastAsia="en-GB"/>
        </w:rPr>
        <w:t xml:space="preserve">SRP concentrations. The slope </w:t>
      </w:r>
      <w:r w:rsidR="00276F66" w:rsidRPr="00DE5C02">
        <w:rPr>
          <w:lang w:eastAsia="en-GB"/>
        </w:rPr>
        <w:t>wa</w:t>
      </w:r>
      <w:r w:rsidRPr="00DE5C02">
        <w:rPr>
          <w:lang w:eastAsia="en-GB"/>
        </w:rPr>
        <w:t>s higher in sandier regions, likely because SRP</w:t>
      </w:r>
      <w:r w:rsidRPr="00DE5C02">
        <w:t xml:space="preserve"> is more susceptible to leaching in sandy soils</w:t>
      </w:r>
      <w:r w:rsidRPr="00DE5C02">
        <w:fldChar w:fldCharType="begin" w:fldLock="1"/>
      </w:r>
      <w:r w:rsidR="00C61FE8" w:rsidRPr="00DE5C02">
        <w:instrText>ADDIN CSL_CITATION {"citationItems":[{"id":"ITEM-1","itemData":{"DOI":"10.1023/A:1014419206761","ISSN":"13851314","abstract":"Phosphorus (P) loss from agricultural land to surface waters is well known as an environmental issue because of the role of P in freshwater eutrophication. Much research has been conducted on the erosion and loss of P in sediments and surface runoff. Recently, P loss in sub-surface runoff via agricultural drainage has been identified as environmentally significant. High soil P levels are considered as a potential source of P loss. However, without favourable hydrological conditions P will not move. In this paper, we review the basis of soil P release into solution and transport in surface and sub-surface runoff. Our objectives are to outline the role of soil P and hydrology in P movement and management practices that can minimize P loss to surface waters. Remedial strategies to reduce the risk of P loss in the short-term are discussed, although it is acknowledged that long-term Solutions must focus on achieving a balance between P inputs in fertilizers and feed and P outputs in production systems.","author":[{"dropping-particle":"","family":"Mcdowell","given":"R.W.","non-dropping-particle":"","parse-names":false,"suffix":""},{"dropping-particle":"","family":"Sharpley","given":"A.N.","non-dropping-particle":"","parse-names":false,"suffix":""},{"dropping-particle":"","family":"Condron","given":"L.M.","non-dropping-particle":"","parse-names":false,"suffix":""},{"dropping-particle":"","family":"Haygarth","given":"P.M.","non-dropping-particle":"","parse-names":false,"suffix":""},{"dropping-particle":"","family":"Brookes","given":"P.C.","non-dropping-particle":"","parse-names":false,"suffix":""}],"container-title":"Nutrient Cycling in Agroecosystems","id":"ITEM-1","issue":"3","issued":{"date-parts":[["2001"]]},"page":"269-284","title":"Processes controlling soil phosphorus release to runoff and implications for agricultural management","type":"article-journal","volume":"59"},"uris":["http://www.mendeley.com/documents/?uuid=82d7f4bc-fd87-49b4-9cf2-7c1cae476887"]}],"mendeley":{"formattedCitation":"&lt;sup&gt;66&lt;/sup&gt;","plainTextFormattedCitation":"66","previouslyFormattedCitation":"&lt;sup&gt;65&lt;/sup&gt;"},"properties":{"noteIndex":0},"schema":"https://github.com/citation-style-language/schema/raw/master/csl-citation.json"}</w:instrText>
      </w:r>
      <w:r w:rsidRPr="00DE5C02">
        <w:fldChar w:fldCharType="separate"/>
      </w:r>
      <w:r w:rsidR="00C61FE8" w:rsidRPr="00DE5C02">
        <w:rPr>
          <w:noProof/>
          <w:vertAlign w:val="superscript"/>
        </w:rPr>
        <w:t>66</w:t>
      </w:r>
      <w:r w:rsidRPr="00DE5C02">
        <w:fldChar w:fldCharType="end"/>
      </w:r>
      <w:r w:rsidRPr="00DE5C02">
        <w:t xml:space="preserve">, and because low nitrate deposition here means that these ponds could be nitrogen-limited, and so unlikely to use up excess phosphorus. For pond water quality, the increase of intensive land cover within </w:t>
      </w:r>
      <w:r w:rsidR="00B26E65" w:rsidRPr="00DE5C02">
        <w:t>250</w:t>
      </w:r>
      <w:r w:rsidRPr="00DE5C02">
        <w:t xml:space="preserve">-m of a pond </w:t>
      </w:r>
      <w:r w:rsidR="00AF44E4" w:rsidRPr="00DE5C02">
        <w:t xml:space="preserve">had </w:t>
      </w:r>
      <w:r w:rsidRPr="00DE5C02">
        <w:t>the highest e</w:t>
      </w:r>
      <w:r w:rsidR="005A35DE" w:rsidRPr="00DE5C02">
        <w:t xml:space="preserve">ffect on pond water quality in </w:t>
      </w:r>
      <w:r w:rsidR="001C3ACD" w:rsidRPr="00DE5C02">
        <w:t xml:space="preserve">northern Britain </w:t>
      </w:r>
      <w:r w:rsidRPr="00DE5C02">
        <w:t>(</w:t>
      </w:r>
      <w:r w:rsidR="006B639C" w:rsidRPr="00DE5C02">
        <w:t>Figure 2</w:t>
      </w:r>
      <w:r w:rsidR="005A35DE" w:rsidRPr="00DE5C02">
        <w:t>b</w:t>
      </w:r>
      <w:r w:rsidRPr="00DE5C02">
        <w:t xml:space="preserve">), suggesting that agricultural intensification (and expansion) in these regions </w:t>
      </w:r>
      <w:r w:rsidR="00276F66" w:rsidRPr="00DE5C02">
        <w:t xml:space="preserve">would </w:t>
      </w:r>
      <w:r w:rsidRPr="00DE5C02">
        <w:t xml:space="preserve">be the most detrimental to water quality. </w:t>
      </w:r>
      <w:r w:rsidR="00B068AA" w:rsidRPr="00DE5C02">
        <w:t xml:space="preserve">By contrast, precipitation had a consistently positive relationship, and inflow presence a consistently negative relationship, with SRP.  </w:t>
      </w:r>
    </w:p>
    <w:p w14:paraId="46F4DCF5" w14:textId="28187CED" w:rsidR="00897750" w:rsidRPr="00DE5C02" w:rsidRDefault="00897750" w:rsidP="008A6D82">
      <w:pPr>
        <w:pStyle w:val="Heading2"/>
      </w:pPr>
      <w:bookmarkStart w:id="19" w:name="_Toc517421412"/>
      <w:bookmarkStart w:id="20" w:name="_Toc517431827"/>
      <w:r w:rsidRPr="00DE5C02">
        <w:t>Discussion</w:t>
      </w:r>
      <w:bookmarkEnd w:id="19"/>
      <w:bookmarkEnd w:id="20"/>
    </w:p>
    <w:p w14:paraId="587E7ED7" w14:textId="5E213319" w:rsidR="00897750" w:rsidRPr="00DE5C02" w:rsidRDefault="001313BE" w:rsidP="00B068AA">
      <w:r w:rsidRPr="00DE5C02">
        <w:rPr>
          <w:lang w:eastAsia="zh-CN"/>
        </w:rPr>
        <w:t>L</w:t>
      </w:r>
      <w:r w:rsidR="00062920" w:rsidRPr="00DE5C02">
        <w:rPr>
          <w:lang w:eastAsia="zh-CN"/>
        </w:rPr>
        <w:t>and resources</w:t>
      </w:r>
      <w:r w:rsidRPr="00DE5C02">
        <w:rPr>
          <w:lang w:eastAsia="zh-CN"/>
        </w:rPr>
        <w:t xml:space="preserve"> are finite, and a mechanistic understanding of the drivers of natural capital and the ES it provides is vital in the face of global environmental change</w:t>
      </w:r>
      <w:r w:rsidR="009E0F80" w:rsidRPr="00DE5C02">
        <w:rPr>
          <w:lang w:eastAsia="zh-CN"/>
        </w:rPr>
        <w:t xml:space="preserve"> and increasing human use of natural resources</w:t>
      </w:r>
      <w:r w:rsidRPr="00DE5C02">
        <w:rPr>
          <w:lang w:eastAsia="zh-CN"/>
        </w:rPr>
        <w:t xml:space="preserve">. We urgently need to </w:t>
      </w:r>
      <w:r w:rsidR="00062920" w:rsidRPr="00DE5C02">
        <w:rPr>
          <w:lang w:eastAsia="zh-CN"/>
        </w:rPr>
        <w:t xml:space="preserve">identify both </w:t>
      </w:r>
      <w:r w:rsidR="006B639C" w:rsidRPr="00DE5C02">
        <w:rPr>
          <w:i/>
          <w:lang w:eastAsia="zh-CN"/>
        </w:rPr>
        <w:t>why</w:t>
      </w:r>
      <w:r w:rsidR="006B639C" w:rsidRPr="00DE5C02">
        <w:rPr>
          <w:lang w:eastAsia="zh-CN"/>
        </w:rPr>
        <w:t xml:space="preserve"> </w:t>
      </w:r>
      <w:r w:rsidR="00B52164" w:rsidRPr="00DE5C02">
        <w:rPr>
          <w:lang w:eastAsia="zh-CN"/>
        </w:rPr>
        <w:t xml:space="preserve">and </w:t>
      </w:r>
      <w:r w:rsidR="00062920" w:rsidRPr="00DE5C02">
        <w:rPr>
          <w:i/>
          <w:lang w:eastAsia="zh-CN"/>
        </w:rPr>
        <w:t>where</w:t>
      </w:r>
      <w:r w:rsidR="00062920" w:rsidRPr="00DE5C02">
        <w:rPr>
          <w:lang w:eastAsia="zh-CN"/>
        </w:rPr>
        <w:t xml:space="preserve"> management actions should be allocated to enhance</w:t>
      </w:r>
      <w:r w:rsidR="009E0F80" w:rsidRPr="00DE5C02">
        <w:rPr>
          <w:lang w:eastAsia="zh-CN"/>
        </w:rPr>
        <w:t xml:space="preserve"> and allow sustainable use of</w:t>
      </w:r>
      <w:r w:rsidR="00062920" w:rsidRPr="00DE5C02">
        <w:rPr>
          <w:lang w:eastAsia="zh-CN"/>
        </w:rPr>
        <w:t xml:space="preserve"> ES</w:t>
      </w:r>
      <w:r w:rsidR="00062920" w:rsidRPr="00DE5C02">
        <w:rPr>
          <w:lang w:eastAsia="zh-CN"/>
        </w:rPr>
        <w:fldChar w:fldCharType="begin" w:fldLock="1"/>
      </w:r>
      <w:r w:rsidR="006821F3" w:rsidRPr="00DE5C02">
        <w:rPr>
          <w:lang w:eastAsia="zh-CN"/>
        </w:rPr>
        <w:instrText>ADDIN CSL_CITATION {"citationItems":[{"id":"ITEM-1","itemData":{"DOI":"10.1093/biosci/bix075","ISSN":"15253244","abstract":"Many decision-makers are looking to science to clarify how nature supports human well-being. Scientists' responses have typically focused on empirical models of the provision of ecosystem services (ES) and resulting decision-support tools. Although such tools have captured some of the complexities of ES, they can be difficult to adapt to new situations. Globally useful tools that predict the provision of multiple ES under different decision scenarios have proven challenging to develop. Questions from decision-makers and limitations of existing decision-support tools indicate three crucial research frontiers for incorporating cutting-edge ES science into decision-support tools: (1) understanding the complex dynamics of ES in space and time, (2) linking ES provision to human well-being, and (3) determining the potential for technology to substitute for or enhance ES. We explore these frontiers in-depth, explaining why each is important and how existing knowledge at their cutting edges can be incorporated to improve ES decision-making tools.","author":[{"dropping-particle":"","family":"Rieb","given":"Jesse T.","non-dropping-particle":"","parse-names":false,"suffix":""},{"dropping-particle":"","family":"Chaplin-Kramer","given":"Rebecca","non-dropping-particle":"","parse-names":false,"suffix":""},{"dropping-particle":"","family":"Daily","given":"Gretchen C.","non-dropping-particle":"","parse-names":false,"suffix":""},{"dropping-particle":"","family":"Armsworth","given":"Paul R.","non-dropping-particle":"","parse-names":false,"suffix":""},{"dropping-particle":"","family":"Böhning-Gaese","given":"Katrin","non-dropping-particle":"","parse-names":false,"suffix":""},{"dropping-particle":"","family":"Bonn","given":"Aletta","non-dropping-particle":"","parse-names":false,"suffix":""},{"dropping-particle":"","family":"Cumming","given":"Graeme S.","non-dropping-particle":"","parse-names":false,"suffix":""},{"dropping-particle":"","family":"Eigenbrod","given":"Felix","non-dropping-particle":"","parse-names":false,"suffix":""},{"dropping-particle":"","family":"Grimm","given":"Volker","non-dropping-particle":"","parse-names":false,"suffix":""},{"dropping-particle":"","family":"Jackson","given":"Bethanna M.","non-dropping-particle":"","parse-names":false,"suffix":""},{"dropping-particle":"","family":"Marques","given":"Alexandra","non-dropping-particle":"","parse-names":false,"suffix":""},{"dropping-particle":"","family":"Pattanayak","given":"Subhrendu K.","non-dropping-particle":"","parse-names":false,"suffix":""},{"dropping-particle":"","family":"Pereira","given":"Henrique M.","non-dropping-particle":"","parse-names":false,"suffix":""},{"dropping-particle":"","family":"Peterson","given":"Garry D.","non-dropping-particle":"","parse-names":false,"suffix":""},{"dropping-particle":"","family":"Ricketts","given":"Taylor H.","non-dropping-particle":"","parse-names":false,"suffix":""},{"dropping-particle":"","family":"Robinson","given":"Brian E.","non-dropping-particle":"","parse-names":false,"suffix":""},{"dropping-particle":"","family":"Schröter","given":"Matthias","non-dropping-particle":"","parse-names":false,"suffix":""},{"dropping-particle":"","family":"Schulte","given":"Lisa A.","non-dropping-particle":"","parse-names":false,"suffix":""},{"dropping-particle":"","family":"Seppelt","given":"Ralf","non-dropping-particle":"","parse-names":false,"suffix":""},{"dropping-particle":"","family":"Turner","given":"Monica G.","non-dropping-particle":"","parse-names":false,"suffix":""},{"dropping-particle":"","family":"Bennett","given":"Elena M.","non-dropping-particle":"","parse-names":false,"suffix":""}],"container-title":"BioScience","id":"ITEM-1","issue":"9","issued":{"date-parts":[["2017"]]},"page":"820-833","title":"When, Where, and How Nature Matters for Ecosystem Services: Challenges for the Next Generation of Ecosystem Service Models","type":"article-journal","volume":"67"},"uris":["http://www.mendeley.com/documents/?uuid=3c747272-8a2a-4013-8a35-3690d93bb6b2"]}],"mendeley":{"formattedCitation":"&lt;sup&gt;10&lt;/sup&gt;","plainTextFormattedCitation":"10","previouslyFormattedCitation":"&lt;sup&gt;10&lt;/sup&gt;"},"properties":{"noteIndex":0},"schema":"https://github.com/citation-style-language/schema/raw/master/csl-citation.json"}</w:instrText>
      </w:r>
      <w:r w:rsidR="00062920" w:rsidRPr="00DE5C02">
        <w:rPr>
          <w:lang w:eastAsia="zh-CN"/>
        </w:rPr>
        <w:fldChar w:fldCharType="separate"/>
      </w:r>
      <w:r w:rsidR="00A801AF" w:rsidRPr="00DE5C02">
        <w:rPr>
          <w:noProof/>
          <w:vertAlign w:val="superscript"/>
          <w:lang w:eastAsia="zh-CN"/>
        </w:rPr>
        <w:t>10</w:t>
      </w:r>
      <w:r w:rsidR="00062920" w:rsidRPr="00DE5C02">
        <w:rPr>
          <w:lang w:eastAsia="zh-CN"/>
        </w:rPr>
        <w:fldChar w:fldCharType="end"/>
      </w:r>
      <w:r w:rsidR="00062920" w:rsidRPr="00DE5C02">
        <w:rPr>
          <w:lang w:eastAsia="zh-CN"/>
        </w:rPr>
        <w:t xml:space="preserve">. </w:t>
      </w:r>
      <w:r w:rsidR="009E0F80" w:rsidRPr="00DE5C02">
        <w:rPr>
          <w:lang w:eastAsia="zh-CN"/>
        </w:rPr>
        <w:t xml:space="preserve">In our </w:t>
      </w:r>
      <w:r w:rsidR="00897750" w:rsidRPr="00DE5C02">
        <w:rPr>
          <w:lang w:eastAsia="zh-CN"/>
        </w:rPr>
        <w:t xml:space="preserve">framework </w:t>
      </w:r>
      <w:r w:rsidR="009E0F80" w:rsidRPr="00DE5C02">
        <w:rPr>
          <w:lang w:eastAsia="zh-CN"/>
        </w:rPr>
        <w:t>w</w:t>
      </w:r>
      <w:r w:rsidRPr="00DE5C02">
        <w:rPr>
          <w:lang w:eastAsia="zh-CN"/>
        </w:rPr>
        <w:t xml:space="preserve">e achieve the </w:t>
      </w:r>
      <w:r w:rsidR="006B639C" w:rsidRPr="00DE5C02">
        <w:rPr>
          <w:i/>
          <w:iCs/>
          <w:lang w:eastAsia="zh-CN"/>
        </w:rPr>
        <w:t>why</w:t>
      </w:r>
      <w:r w:rsidR="006B639C" w:rsidRPr="00DE5C02">
        <w:rPr>
          <w:lang w:eastAsia="zh-CN"/>
        </w:rPr>
        <w:t xml:space="preserve"> </w:t>
      </w:r>
      <w:r w:rsidR="0079787B" w:rsidRPr="00DE5C02">
        <w:rPr>
          <w:lang w:eastAsia="zh-CN"/>
        </w:rPr>
        <w:t xml:space="preserve">through </w:t>
      </w:r>
      <w:r w:rsidR="00B52164" w:rsidRPr="00DE5C02">
        <w:rPr>
          <w:lang w:eastAsia="zh-CN"/>
        </w:rPr>
        <w:t>formalising</w:t>
      </w:r>
      <w:r w:rsidR="00897750" w:rsidRPr="00DE5C02">
        <w:rPr>
          <w:lang w:eastAsia="zh-CN"/>
        </w:rPr>
        <w:t xml:space="preserve"> context-dependency of </w:t>
      </w:r>
      <w:r w:rsidR="00897750" w:rsidRPr="00DE5C02">
        <w:t>ecosystem responses to key drivers at local, landscape and regional scales</w:t>
      </w:r>
      <w:r w:rsidR="0079787B" w:rsidRPr="00DE5C02">
        <w:t xml:space="preserve">. </w:t>
      </w:r>
      <w:r w:rsidRPr="00DE5C02">
        <w:t xml:space="preserve">We achieve the </w:t>
      </w:r>
      <w:r w:rsidRPr="00DE5C02">
        <w:rPr>
          <w:i/>
        </w:rPr>
        <w:t>where</w:t>
      </w:r>
      <w:r w:rsidR="00730E86" w:rsidRPr="00DE5C02">
        <w:t xml:space="preserve"> </w:t>
      </w:r>
      <w:r w:rsidR="009E0F80" w:rsidRPr="00DE5C02">
        <w:t>using</w:t>
      </w:r>
      <w:r w:rsidR="009E0F80" w:rsidRPr="00DE5C02">
        <w:rPr>
          <w:lang w:eastAsia="zh-CN"/>
        </w:rPr>
        <w:t xml:space="preserve"> effect maps of </w:t>
      </w:r>
      <w:r w:rsidR="00897750" w:rsidRPr="00DE5C02">
        <w:rPr>
          <w:lang w:eastAsia="zh-CN"/>
        </w:rPr>
        <w:t>regional variation in the effect of local and landscape-level drivers</w:t>
      </w:r>
      <w:r w:rsidR="0018095E" w:rsidRPr="00DE5C02">
        <w:rPr>
          <w:lang w:eastAsia="zh-CN"/>
        </w:rPr>
        <w:t xml:space="preserve"> that represent key characteristics of natural capital at local and landscape scales</w:t>
      </w:r>
      <w:r w:rsidR="0079787B" w:rsidRPr="00DE5C02">
        <w:rPr>
          <w:lang w:eastAsia="zh-CN"/>
        </w:rPr>
        <w:t xml:space="preserve"> </w:t>
      </w:r>
      <w:r w:rsidR="00897750" w:rsidRPr="00DE5C02">
        <w:rPr>
          <w:lang w:eastAsia="zh-CN"/>
        </w:rPr>
        <w:t>(</w:t>
      </w:r>
      <w:r w:rsidR="00D4686A" w:rsidRPr="00DE5C02">
        <w:rPr>
          <w:lang w:eastAsia="zh-CN"/>
        </w:rPr>
        <w:t>the final step</w:t>
      </w:r>
      <w:r w:rsidR="00897750" w:rsidRPr="00DE5C02">
        <w:rPr>
          <w:lang w:eastAsia="zh-CN"/>
        </w:rPr>
        <w:t xml:space="preserve"> of our framework</w:t>
      </w:r>
      <w:r w:rsidR="0079787B" w:rsidRPr="00DE5C02">
        <w:rPr>
          <w:lang w:eastAsia="zh-CN"/>
        </w:rPr>
        <w:t xml:space="preserve">; Fig. </w:t>
      </w:r>
      <w:r w:rsidR="00A031A2" w:rsidRPr="00DE5C02">
        <w:rPr>
          <w:lang w:eastAsia="zh-CN"/>
        </w:rPr>
        <w:t>3</w:t>
      </w:r>
      <w:r w:rsidR="00897750" w:rsidRPr="00DE5C02">
        <w:rPr>
          <w:lang w:eastAsia="zh-CN"/>
        </w:rPr>
        <w:t>)</w:t>
      </w:r>
      <w:r w:rsidRPr="00DE5C02">
        <w:rPr>
          <w:lang w:eastAsia="zh-CN"/>
        </w:rPr>
        <w:t xml:space="preserve">, </w:t>
      </w:r>
      <w:r w:rsidR="00897750" w:rsidRPr="00DE5C02">
        <w:rPr>
          <w:lang w:eastAsia="zh-CN"/>
        </w:rPr>
        <w:t xml:space="preserve">providing practicable spatially-targeted management recommendations. </w:t>
      </w:r>
      <w:r w:rsidR="00897750" w:rsidRPr="00DE5C02">
        <w:t xml:space="preserve">Our framework </w:t>
      </w:r>
      <w:r w:rsidR="00B068AA" w:rsidRPr="00DE5C02">
        <w:t xml:space="preserve">also </w:t>
      </w:r>
      <w:r w:rsidR="00897750" w:rsidRPr="00DE5C02">
        <w:t xml:space="preserve">imposes </w:t>
      </w:r>
      <w:r w:rsidR="005D7435" w:rsidRPr="00DE5C02">
        <w:t>an</w:t>
      </w:r>
      <w:r w:rsidR="00897750" w:rsidRPr="00DE5C02">
        <w:t xml:space="preserve"> </w:t>
      </w:r>
      <w:r w:rsidR="00B068AA" w:rsidRPr="00DE5C02">
        <w:t xml:space="preserve">explicit </w:t>
      </w:r>
      <w:r w:rsidR="00897750" w:rsidRPr="00DE5C02">
        <w:t>consideration of scale</w:t>
      </w:r>
      <w:r w:rsidR="00B068AA" w:rsidRPr="00DE5C02">
        <w:t xml:space="preserve"> in two ways. </w:t>
      </w:r>
      <w:r w:rsidR="00897750" w:rsidRPr="00DE5C02">
        <w:t>Firstly, the application of hierarchy theory</w:t>
      </w:r>
      <w:r w:rsidR="00897750" w:rsidRPr="00DE5C02">
        <w:fldChar w:fldCharType="begin" w:fldLock="1"/>
      </w:r>
      <w:r w:rsidR="00B81E3F" w:rsidRPr="00DE5C02">
        <w:instrText>ADDIN CSL_CITATION {"citationItems":[{"id":"ITEM-1","itemData":{"author":[{"dropping-particle":"","family":"Allen","given":"T.F.H","non-dropping-particle":"","parse-names":false,"suffix":""},{"dropping-particle":"","family":"Starr","given":"T.B","non-dropping-particle":"","parse-names":false,"suffix":""}],"id":"ITEM-1","issued":{"date-parts":[["1982"]]},"publisher":"University of Chicago Press","publisher-place":"Chicago","title":"Hierarchy: perspectives for ecological complexity.","type":"book"},"uris":["http://www.mendeley.com/documents/?uuid=928b9bbe-0077-411c-ab33-3aed7ea617d8"]}],"mendeley":{"formattedCitation":"&lt;sup&gt;29&lt;/sup&gt;","plainTextFormattedCitation":"29","previouslyFormattedCitation":"&lt;sup&gt;29&lt;/sup&gt;"},"properties":{"noteIndex":0},"schema":"https://github.com/citation-style-language/schema/raw/master/csl-citation.json"}</w:instrText>
      </w:r>
      <w:r w:rsidR="00897750" w:rsidRPr="00DE5C02">
        <w:fldChar w:fldCharType="separate"/>
      </w:r>
      <w:r w:rsidR="00173667" w:rsidRPr="00DE5C02">
        <w:rPr>
          <w:noProof/>
          <w:vertAlign w:val="superscript"/>
        </w:rPr>
        <w:t>29</w:t>
      </w:r>
      <w:r w:rsidR="00897750" w:rsidRPr="00DE5C02">
        <w:fldChar w:fldCharType="end"/>
      </w:r>
      <w:r w:rsidR="00897750" w:rsidRPr="00DE5C02">
        <w:t xml:space="preserve"> (</w:t>
      </w:r>
      <w:r w:rsidR="00D4686A" w:rsidRPr="00DE5C02">
        <w:t>second step</w:t>
      </w:r>
      <w:r w:rsidR="00897750" w:rsidRPr="00DE5C02">
        <w:t xml:space="preserve">) distils ecosystem complexity and compels the researcher to make </w:t>
      </w:r>
      <w:r w:rsidR="00456B99" w:rsidRPr="00DE5C02">
        <w:t xml:space="preserve">alternative </w:t>
      </w:r>
      <w:r w:rsidR="00897750" w:rsidRPr="00DE5C02">
        <w:rPr>
          <w:i/>
        </w:rPr>
        <w:t>a priori</w:t>
      </w:r>
      <w:r w:rsidR="00897750" w:rsidRPr="00DE5C02">
        <w:t xml:space="preserve"> hypotheses</w:t>
      </w:r>
      <w:r w:rsidR="008C12D2" w:rsidRPr="00DE5C02">
        <w:t xml:space="preserve"> (</w:t>
      </w:r>
      <w:r w:rsidR="00D4686A" w:rsidRPr="00DE5C02">
        <w:t>third step</w:t>
      </w:r>
      <w:r w:rsidR="008C12D2" w:rsidRPr="00DE5C02">
        <w:t>)</w:t>
      </w:r>
      <w:r w:rsidR="00897750" w:rsidRPr="00DE5C02">
        <w:t xml:space="preserve"> </w:t>
      </w:r>
      <w:r w:rsidR="00456B99" w:rsidRPr="00DE5C02">
        <w:t>and so set up alternative hierarchies and interactions</w:t>
      </w:r>
      <w:r w:rsidR="00897750" w:rsidRPr="00DE5C02">
        <w:t>. Secondly, the comparison of multiple models  containing drivers characterised at a range of ecologically meaningful landscape extents</w:t>
      </w:r>
      <w:r w:rsidR="00897750" w:rsidRPr="00DE5C02">
        <w:fldChar w:fldCharType="begin" w:fldLock="1"/>
      </w:r>
      <w:r w:rsidR="00C61FE8" w:rsidRPr="00DE5C02">
        <w:instrText>ADDIN CSL_CITATION {"citationItems":[{"id":"ITEM-1","itemData":{"DOI":"10.1641/0006-3568(2004)054[0227:DTSSOS]2.0.CO;2","ISBN":"0006-3568","ISSN":"0006-3568","PMID":"11649465","abstract":"Species respond to habitat at different spatial scales, yet many studies have considered this response only at relatively small scales. We developed a technique and accompanying software (Focus) that use a focal patch approach to select multiple sets of spatially independent sites. For each independent set, regressions are conducted between the habitat variable and counts of species abundance at different scales to determine the spatial scale at which species respond most strongly to an environmental or habitat variable of interest. We applied the technique to determine the spatial scales at which 12 different species of cerambycid beetles respond to forest cover. The beetles responded at different scales, from 20 to 2000 meters. We expect this technique and the accompanying software to be useful for a wide range of studies, including the analysis of existing data sets to answer questions related to the large-scale response of organisms to their environment.","author":[{"dropping-particle":"","family":"Holland","given":"Jeffrey D.","non-dropping-particle":"","parse-names":false,"suffix":""},{"dropping-particle":"","family":"Bert","given":"Daniel G.","non-dropping-particle":"","parse-names":false,"suffix":""},{"dropping-particle":"","family":"Fahrig","given":"Lenore","non-dropping-particle":"","parse-names":false,"suffix":""}],"container-title":"BioScience","id":"ITEM-1","issue":"3","issued":{"date-parts":[["2004"]]},"page":"227","title":"Determining the Spatial Scale of Species' Response to Habitat","type":"article-journal","volume":"54"},"uris":["http://www.mendeley.com/documents/?uuid=9f793945-b23a-4582-8a45-00d27e9d291b"]}],"mendeley":{"formattedCitation":"&lt;sup&gt;52&lt;/sup&gt;","plainTextFormattedCitation":"52","previouslyFormattedCitation":"&lt;sup&gt;51&lt;/sup&gt;"},"properties":{"noteIndex":0},"schema":"https://github.com/citation-style-language/schema/raw/master/csl-citation.json"}</w:instrText>
      </w:r>
      <w:r w:rsidR="00897750" w:rsidRPr="00DE5C02">
        <w:fldChar w:fldCharType="separate"/>
      </w:r>
      <w:r w:rsidR="00C61FE8" w:rsidRPr="00DE5C02">
        <w:rPr>
          <w:noProof/>
          <w:vertAlign w:val="superscript"/>
        </w:rPr>
        <w:t>52</w:t>
      </w:r>
      <w:r w:rsidR="00897750" w:rsidRPr="00DE5C02">
        <w:fldChar w:fldCharType="end"/>
      </w:r>
      <w:r w:rsidR="00897750" w:rsidRPr="00DE5C02">
        <w:t xml:space="preserve"> (</w:t>
      </w:r>
      <w:r w:rsidR="005D39E6" w:rsidRPr="00DE5C02">
        <w:t>fifth step</w:t>
      </w:r>
      <w:r w:rsidR="00897750" w:rsidRPr="00DE5C02">
        <w:t>), in addition to multiple regional gradients or contexts (</w:t>
      </w:r>
      <w:r w:rsidR="005D39E6" w:rsidRPr="00DE5C02">
        <w:t>fourth step</w:t>
      </w:r>
      <w:r w:rsidR="00897750" w:rsidRPr="00DE5C02">
        <w:t xml:space="preserve">), allows for the identification of </w:t>
      </w:r>
      <w:r w:rsidR="00727026" w:rsidRPr="00DE5C02">
        <w:t>the ‘scales of effect’ (</w:t>
      </w:r>
      <w:r w:rsidR="00897750" w:rsidRPr="00DE5C02">
        <w:t>the extents at which effects are strongest</w:t>
      </w:r>
      <w:r w:rsidR="00727026" w:rsidRPr="00DE5C02">
        <w:t>;</w:t>
      </w:r>
      <w:r w:rsidR="002D2520" w:rsidRPr="00DE5C02">
        <w:t xml:space="preserve"> different extents may be observed for each driver),</w:t>
      </w:r>
      <w:r w:rsidR="00897750" w:rsidRPr="00DE5C02">
        <w:t xml:space="preserve"> and </w:t>
      </w:r>
      <w:r w:rsidR="00B068AA" w:rsidRPr="00DE5C02">
        <w:t xml:space="preserve">the </w:t>
      </w:r>
      <w:r w:rsidR="00897750" w:rsidRPr="00DE5C02">
        <w:t>changing importance of drivers across regional contexts.  Knowledge of the scale</w:t>
      </w:r>
      <w:r w:rsidR="005757B3" w:rsidRPr="00DE5C02">
        <w:t>s</w:t>
      </w:r>
      <w:r w:rsidR="00897750" w:rsidRPr="00DE5C02">
        <w:t xml:space="preserve"> of effect of landscape</w:t>
      </w:r>
      <w:r w:rsidR="005757B3" w:rsidRPr="00DE5C02">
        <w:t>-level drivers</w:t>
      </w:r>
      <w:r w:rsidR="00897750" w:rsidRPr="00DE5C02">
        <w:t xml:space="preserve"> has the potential to advance sustainability science </w:t>
      </w:r>
      <w:r w:rsidR="00FF4855" w:rsidRPr="00DE5C02">
        <w:t xml:space="preserve">substantially </w:t>
      </w:r>
      <w:r w:rsidR="00897750" w:rsidRPr="00DE5C02">
        <w:t>regarding both modelling and management</w:t>
      </w:r>
      <w:r w:rsidR="00897750" w:rsidRPr="00DE5C02">
        <w:fldChar w:fldCharType="begin" w:fldLock="1"/>
      </w:r>
      <w:r w:rsidR="00C61FE8" w:rsidRPr="00DE5C02">
        <w:instrText>ADDIN CSL_CITATION {"citationItems":[{"id":"ITEM-1","itemData":{"DOI":"10.1007/s10980-016-0345-2","ISBN":"1572-9761","ISSN":"0921-2973","abstract":"Context Humans structure landscapes for the pro- duction of food, fibre and fuel, commonly resulting in declines of non-provisioning ecosystem services (ESs). Heterogeneous landscapes are capable of providing multiple ESs, and landscape configura- tion—spatial arrangement of land cover in the land- scape—is expected to affect ES capacity. However, the majority of ES mapping studies have not accounted for landscape configuration. Objectives Our objective is to assess and quantify the relevance of configuration for mapping ES capac- ity. A review of empirical evidence for configuration effects on the capacity of ten ESs reveals that for four ESs configuration is relevant but typically ignored in ES quantification. For four ESs we quantify the relevance of configuration for mapping ESs using Scotland as a case study. Methods Each ES was quantified through modelling, respectively ignoring or accounting for configuration. The difference in ES capacity between the two ES models was determined at multiple spatial scales. Results Configuration affected the capacity of all four ESs mapped, particularly at the cell and water- shed scale. At the scale of Scotland most local effects averaged out. Flood control and sediment retention responded strongest to configuration. ESs were affected by different aspects of configuration, thus requiring specific methods for mapping each ES. Conclusions Accounting for configuration is impor- tant for the assessment of certain ESs at the cell and watershed scale. Incorporating configuration in land- scape management provides opportunities for spatial optimization of ES capacity, but the diverging response of ESs to configuration suggests that account- ing for configuration involves trade-offs between ESs","author":[{"dropping-particle":"","family":"Verhagen","given":"Willem","non-dropping-particle":"","parse-names":false,"suffix":""},{"dropping-particle":"","family":"Teeffelen","given":"Astrid J. A.","non-dropping-particle":"Van","parse-names":false,"suffix":""},{"dropping-particle":"","family":"Baggio Compagnucci","given":"Andrea","non-dropping-particle":"","parse-names":false,"suffix":""},{"dropping-particle":"","family":"Poggio","given":"Laura","non-dropping-particle":"","parse-names":false,"suffix":""},{"dropping-particle":"","family":"Gimona","given":"Alessandro","non-dropping-particle":"","parse-names":false,"suffix":""},{"dropping-particle":"","family":"Verburg","given":"Peter H.","non-dropping-particle":"","parse-names":false,"suffix":""}],"container-title":"Landscape Ecology","id":"ITEM-1","issue":"7","issued":{"date-parts":[["2016"]]},"page":"1457-1479","publisher":"Springer Netherlands","title":"Effects of landscape configuration on mapping ecosystem service capacity: a review of evidence and a case study in Scotland","type":"article-journal","volume":"31"},"uris":["http://www.mendeley.com/documents/?uuid=e637cd51-bbd4-4892-92c3-9e57f069ad21"]},{"id":"ITEM-2","itemData":{"DOI":"10.1007/s10980-012-9794-4","ISBN":"0921-2973","ISSN":"09212973","abstract":"Over the last decade we have seen an increased emphasis in environmental management and policies aimed at maintaining and restoring multiple ecosystem services at landscape scales. This emphasis has resulted from the recognition that management of specific environmental targets and ecosystem services requires an understanding of landscape processes and the spatial scales that maintain those targets and services. Moreover, we have become increasingly aware of the influence of broad-scale drivers such as climate change on landscape processes and the ecosystem services they support. Studies and assessments on the relative success of environmental policies and landscape designs in maintaining landscape processes and ecosystem services is mostly lacking. This likely reflects the relatively high cost of maintaining a commitment to implement and maintain monitoring programs that document responses of landscape processes and ecosystem services to different landscape policies and designs. However, we argue that there is considerable variation in natural and human-caused landscape pattern at local to continental scales and that this variation may facilitate analyses of how environmental targets and ecosystem services have responded to such patterns. Moreover, wall-to-wall spatial data on land cover and land use at national scales may permit characterization and mapping of different landscape pattern gradients. We discuss four broad and interrelated focus areas that should enhance our understanding of how landscape pattern influences ecosystem services: (1) characterizing and mapping landscape pattern gradients; (2) quantifying relationships between landscape patterns and environmental targets and ecosystem services, (3) evaluating landscape patterns with regards to multiple ecosystem services, and (4) applying adaptive management concepts to improve the effectiveness of specific landscape designs in sustaining ecosystem services. We discuss opportunities as well as challenges in each of these four areas. We believe that this agenda could lead to spatially explicit solutions in managing a range of environmental targets and ecosystem services. Spatially explicit options are critical in managing and protecting landscapes, especially given that communities and organizations are often limited in their capacity to make changes at landscape scales. The issues and potential solutions discussed in this paper expand upon the call by Nassauer and Opdam (Landscape Ecol 23:63…","author":[{"dropping-particle":"","family":"Jones","given":"K. Bruce","non-dropping-particle":"","parse-names":false,"suffix":""},{"dropping-particle":"","family":"Zurlini","given":"Giovanni","non-dropping-particle":"","parse-names":false,"suffix":""},{"dropping-particle":"","family":"Kienast","given":"Felix","non-dropping-particle":"","parse-names":false,"suffix":""},{"dropping-particle":"","family":"Petrosillo","given":"Irene","non-dropping-particle":"","parse-names":false,"suffix":""},{"dropping-particle":"","family":"Edwards","given":"Thomas","non-dropping-particle":"","parse-names":false,"suffix":""},{"dropping-particle":"","family":"Wade","given":"Timothy G.","non-dropping-particle":"","parse-names":false,"suffix":""},{"dropping-particle":"","family":"Li","given":"Bai lian","non-dropping-particle":"","parse-names":false,"suffix":""},{"dropping-particle":"","family":"Zaccarelli","given":"Nicola","non-dropping-particle":"","parse-names":false,"suffix":""}],"container-title":"Landscape Ecology","id":"ITEM-2","issue":"6","issued":{"date-parts":[["2013"]]},"page":"1175-1192","title":"Informing landscape planning and design for sustaining ecosystem services from existing spatial patterns and knowledge","type":"article-journal","volume":"28"},"uris":["http://www.mendeley.com/documents/?uuid=62a85745-ad07-4afe-bb2d-3fd6e21a36b3"]}],"mendeley":{"formattedCitation":"&lt;sup&gt;13,67&lt;/sup&gt;","plainTextFormattedCitation":"13,67","previouslyFormattedCitation":"&lt;sup&gt;13,66&lt;/sup&gt;"},"properties":{"noteIndex":0},"schema":"https://github.com/citation-style-language/schema/raw/master/csl-citation.json"}</w:instrText>
      </w:r>
      <w:r w:rsidR="00897750" w:rsidRPr="00DE5C02">
        <w:fldChar w:fldCharType="separate"/>
      </w:r>
      <w:r w:rsidR="00C61FE8" w:rsidRPr="00DE5C02">
        <w:rPr>
          <w:noProof/>
          <w:vertAlign w:val="superscript"/>
        </w:rPr>
        <w:t>13,67</w:t>
      </w:r>
      <w:r w:rsidR="00897750" w:rsidRPr="00DE5C02">
        <w:fldChar w:fldCharType="end"/>
      </w:r>
      <w:r w:rsidR="00897750" w:rsidRPr="00DE5C02">
        <w:t xml:space="preserve">. In terms of modelling,  including drivers at their </w:t>
      </w:r>
      <w:r w:rsidR="00FF4855" w:rsidRPr="00DE5C02">
        <w:t xml:space="preserve">appropriate </w:t>
      </w:r>
      <w:r w:rsidR="00897750" w:rsidRPr="00DE5C02">
        <w:t xml:space="preserve">scale of effect reduces residual spatial autocorrelation </w:t>
      </w:r>
      <w:r w:rsidR="00FF4855" w:rsidRPr="00DE5C02">
        <w:t xml:space="preserve">in </w:t>
      </w:r>
      <w:r w:rsidR="00897750" w:rsidRPr="00DE5C02">
        <w:t>statistical models</w:t>
      </w:r>
      <w:r w:rsidR="00897750" w:rsidRPr="00DE5C02">
        <w:fldChar w:fldCharType="begin" w:fldLock="1"/>
      </w:r>
      <w:r w:rsidR="00C61FE8" w:rsidRPr="00DE5C02">
        <w:instrText>ADDIN CSL_CITATION {"citationItems":[{"id":"ITEM-1","itemData":{"DOI":"doi:10.1890/09-1359.1","ISBN":"0012-9658","ISSN":"0012-9658","PMID":"20836467","abstract":"Issues of residual spatial autocorrelation (RSA) and spatial scale are critical to the study of species–environment relationships, because RSA invalidates many statistical procedures, while the scale of analysis affects the quantification of these relationships. Although these issues independently are widely covered in the literature, only sparse attention is given to their integration. This paper focuses on the interplay between RSA and the spatial scaling of species–environment relationships. Using a hypothetical species in an artificial landscape, we show that a mismatch between the scale of analysis and the scale of a species’ response to its environment leads to a decrease in the portion of variation explained by environmental predictors. Moreover, it results in RSA and biased regression coefficients. This bias stems from error-predictor dependencies due to the scale mismatch, the magnitude of which depends on the interaction between the scale of landscape heterogeneity and the scale of a species’ response to this heterogeneity. We show that explicitly considering scale effects on RSA can reveal the characteristic scale of a species’ response to its environment. This is important, because the estimation of species–environment relationships using spatial regression methods proves to be erroneous in case of a scale mismatch, leading to spurious conclusions when scaling issues are not explicitly considered. The findings presented here highlight the importance of examining the appropriateness of the spatial scales used in analyses, since scale mismatches affect the rigor of statistical analyses and thereby the ability to understand the processes underlying spatial patterning in ecological phenomena.","author":[{"dropping-particle":"","family":"Knegt","given":"H. J.","non-dropping-particle":"De","parse-names":false,"suffix":""},{"dropping-particle":"Van","family":"Langevelde","given":"F.","non-dropping-particle":"","parse-names":false,"suffix":""},{"dropping-particle":"","family":"M. B. Coughenour","given":"a. K. Skidmore","non-dropping-particle":"","parse-names":false,"suffix":""},{"dropping-particle":"","family":"W. F. De Boer","given":"N. M. a. Heitkönig","non-dropping-particle":"","parse-names":false,"suffix":""},{"dropping-particle":"","family":"Knox","given":"N. M.","non-dropping-particle":"","parse-names":false,"suffix":""},{"dropping-particle":"","family":"Slotow","given":"R.","non-dropping-particle":"","parse-names":false,"suffix":""},{"dropping-particle":"Der","family":"C. Waal","given":"Van","non-dropping-particle":"","parse-names":false,"suffix":""},{"dropping-particle":"","family":"Prins1","given":"H. H. T.","non-dropping-particle":"","parse-names":false,"suffix":""},{"dropping-particle":"","family":"1Resource","given":"","non-dropping-particle":"","parse-names":false,"suffix":""}],"container-title":"Ecology","id":"ITEM-1","issue":"8","issued":{"date-parts":[["2010"]]},"page":"2455-2465","title":"Spatial autocorrelation and the scaling of species – environment relationships","type":"article-journal","volume":"91"},"uris":["http://www.mendeley.com/documents/?uuid=03af3569-146a-4aa0-ae88-b757b78d17c9"]}],"mendeley":{"formattedCitation":"&lt;sup&gt;68&lt;/sup&gt;","plainTextFormattedCitation":"68","previouslyFormattedCitation":"&lt;sup&gt;67&lt;/sup&gt;"},"properties":{"noteIndex":0},"schema":"https://github.com/citation-style-language/schema/raw/master/csl-citation.json"}</w:instrText>
      </w:r>
      <w:r w:rsidR="00897750" w:rsidRPr="00DE5C02">
        <w:fldChar w:fldCharType="separate"/>
      </w:r>
      <w:r w:rsidR="00C61FE8" w:rsidRPr="00DE5C02">
        <w:rPr>
          <w:noProof/>
          <w:vertAlign w:val="superscript"/>
        </w:rPr>
        <w:t>68</w:t>
      </w:r>
      <w:r w:rsidR="00897750" w:rsidRPr="00DE5C02">
        <w:fldChar w:fldCharType="end"/>
      </w:r>
      <w:r w:rsidR="00897750" w:rsidRPr="00DE5C02">
        <w:t>. Moreover, accounting for the scale of effect will likely transform ES modelling</w:t>
      </w:r>
      <w:r w:rsidR="0035182C" w:rsidRPr="00DE5C02">
        <w:t>:</w:t>
      </w:r>
      <w:r w:rsidR="00897750" w:rsidRPr="00DE5C02">
        <w:t xml:space="preserve"> a study using process models to map ES in Scotland obtained very different values of landscape aesthetic value after incorporating landscape structure metrics at the scale of effect, corresponding to the viewshed</w:t>
      </w:r>
      <w:r w:rsidR="00897750" w:rsidRPr="00DE5C02">
        <w:fldChar w:fldCharType="begin" w:fldLock="1"/>
      </w:r>
      <w:r w:rsidR="00C61FE8" w:rsidRPr="00DE5C02">
        <w:instrText>ADDIN CSL_CITATION {"citationItems":[{"id":"ITEM-1","itemData":{"DOI":"10.1007/s10980-016-0345-2","ISBN":"1572-9761","ISSN":"0921-2973","abstract":"Context Humans structure landscapes for the pro- duction of food, fibre and fuel, commonly resulting in declines of non-provisioning ecosystem services (ESs). Heterogeneous landscapes are capable of providing multiple ESs, and landscape configura- tion—spatial arrangement of land cover in the land- scape—is expected to affect ES capacity. However, the majority of ES mapping studies have not accounted for landscape configuration. Objectives Our objective is to assess and quantify the relevance of configuration for mapping ES capac- ity. A review of empirical evidence for configuration effects on the capacity of ten ESs reveals that for four ESs configuration is relevant but typically ignored in ES quantification. For four ESs we quantify the relevance of configuration for mapping ESs using Scotland as a case study. Methods Each ES was quantified through modelling, respectively ignoring or accounting for configuration. The difference in ES capacity between the two ES models was determined at multiple spatial scales. Results Configuration affected the capacity of all four ESs mapped, particularly at the cell and water- shed scale. At the scale of Scotland most local effects averaged out. Flood control and sediment retention responded strongest to configuration. ESs were affected by different aspects of configuration, thus requiring specific methods for mapping each ES. Conclusions Accounting for configuration is impor- tant for the assessment of certain ESs at the cell and watershed scale. Incorporating configuration in land- scape management provides opportunities for spatial optimization of ES capacity, but the diverging response of ESs to configuration suggests that account- ing for configuration involves trade-offs between ESs","author":[{"dropping-particle":"","family":"Verhagen","given":"Willem","non-dropping-particle":"","parse-names":false,"suffix":""},{"dropping-particle":"","family":"Teeffelen","given":"Astrid J. A.","non-dropping-particle":"Van","parse-names":false,"suffix":""},{"dropping-particle":"","family":"Baggio Compagnucci","given":"Andrea","non-dropping-particle":"","parse-names":false,"suffix":""},{"dropping-particle":"","family":"Poggio","given":"Laura","non-dropping-particle":"","parse-names":false,"suffix":""},{"dropping-particle":"","family":"Gimona","given":"Alessandro","non-dropping-particle":"","parse-names":false,"suffix":""},{"dropping-particle":"","family":"Verburg","given":"Peter H.","non-dropping-particle":"","parse-names":false,"suffix":""}],"container-title":"Landscape Ecology","id":"ITEM-1","issue":"7","issued":{"date-parts":[["2016"]]},"page":"1457-1479","publisher":"Springer Netherlands","title":"Effects of landscape configuration on mapping ecosystem service capacity: a review of evidence and a case study in Scotland","type":"article-journal","volume":"31"},"uris":["http://www.mendeley.com/documents/?uuid=87d44bac-5963-48de-8875-9b4a12454a8d"]}],"mendeley":{"formattedCitation":"&lt;sup&gt;67&lt;/sup&gt;","plainTextFormattedCitation":"67","previouslyFormattedCitation":"&lt;sup&gt;66&lt;/sup&gt;"},"properties":{"noteIndex":0},"schema":"https://github.com/citation-style-language/schema/raw/master/csl-citation.json"}</w:instrText>
      </w:r>
      <w:r w:rsidR="00897750" w:rsidRPr="00DE5C02">
        <w:fldChar w:fldCharType="separate"/>
      </w:r>
      <w:r w:rsidR="00C61FE8" w:rsidRPr="00DE5C02">
        <w:rPr>
          <w:noProof/>
          <w:vertAlign w:val="superscript"/>
        </w:rPr>
        <w:t>67</w:t>
      </w:r>
      <w:r w:rsidR="00897750" w:rsidRPr="00DE5C02">
        <w:fldChar w:fldCharType="end"/>
      </w:r>
      <w:r w:rsidR="00897750" w:rsidRPr="00DE5C02">
        <w:t xml:space="preserve">. </w:t>
      </w:r>
      <w:r w:rsidR="00695377" w:rsidRPr="00DE5C02">
        <w:t>I</w:t>
      </w:r>
      <w:r w:rsidR="00897750" w:rsidRPr="00DE5C02">
        <w:rPr>
          <w:lang w:eastAsia="zh-CN"/>
        </w:rPr>
        <w:t xml:space="preserve">dentifying the scales of effect of drivers </w:t>
      </w:r>
      <w:r w:rsidR="00695377" w:rsidRPr="00DE5C02">
        <w:rPr>
          <w:lang w:eastAsia="zh-CN"/>
        </w:rPr>
        <w:t>is also important for management, as it means that</w:t>
      </w:r>
      <w:r w:rsidR="00A57E41" w:rsidRPr="00DE5C02">
        <w:rPr>
          <w:lang w:eastAsia="zh-CN"/>
        </w:rPr>
        <w:t xml:space="preserve"> the correct </w:t>
      </w:r>
      <w:r w:rsidR="00897750" w:rsidRPr="00DE5C02">
        <w:rPr>
          <w:lang w:eastAsia="zh-CN"/>
        </w:rPr>
        <w:t xml:space="preserve">landscape extent </w:t>
      </w:r>
      <w:r w:rsidR="00A57E41" w:rsidRPr="00DE5C02">
        <w:rPr>
          <w:lang w:eastAsia="zh-CN"/>
        </w:rPr>
        <w:t xml:space="preserve">can be identified for </w:t>
      </w:r>
      <w:r w:rsidR="00897750" w:rsidRPr="00DE5C02">
        <w:rPr>
          <w:lang w:eastAsia="zh-CN"/>
        </w:rPr>
        <w:t xml:space="preserve">managing natural capital at a particular location. </w:t>
      </w:r>
      <w:r w:rsidR="00B068AA" w:rsidRPr="00DE5C02">
        <w:rPr>
          <w:lang w:eastAsia="zh-CN"/>
        </w:rPr>
        <w:t xml:space="preserve">Our framework therefore provides a way to operationalize the ‘multi-scale’ approach </w:t>
      </w:r>
      <w:r w:rsidR="003670C8" w:rsidRPr="00DE5C02">
        <w:rPr>
          <w:lang w:eastAsia="zh-CN"/>
        </w:rPr>
        <w:t xml:space="preserve">that is </w:t>
      </w:r>
      <w:r w:rsidR="00B068AA" w:rsidRPr="00DE5C02">
        <w:rPr>
          <w:lang w:eastAsia="zh-CN"/>
        </w:rPr>
        <w:t>increasingly advocated for ecosystem modelling and management</w:t>
      </w:r>
      <w:r w:rsidR="00B068AA" w:rsidRPr="00DE5C02">
        <w:fldChar w:fldCharType="begin" w:fldLock="1"/>
      </w:r>
      <w:r w:rsidR="00C61FE8" w:rsidRPr="00DE5C02">
        <w:instrText>ADDIN CSL_CITATION {"citationItems":[{"id":"ITEM-1","itemData":{"DOI":"10.1016/j.cosust.2013.01.004","ISBN":"1877-3435","ISSN":"18773435","abstract":"It is often either undesirable or unfeasible to conduct an assessment of ecological or social systems, independently or jointly, at a single scale and resolution in time and space. This paper outlines the alternatives, which include 'multi-scale assessments' (conducting the assessment at two or more discrete scales) and 'cross-scale assessments' (multi-scale assessments which deliberately look for cross-scale interactions), and points to some methods which may be useful in conducting them. The additional work and complexity that result from taking a multi-scale or cross-scale approach, while necessary and realistic, needs to be managed. This can be achieved by the informed choice of scales, a priori consideration of the scale-related properties of the phenomena being assessed, and paying attention to the ways in which information and control pass between scales. The conceptual issues associated with choosing the scales and resolutions at which to work are discussed, as are strategies for aggregation and disaggregation and for linking studies at different scales. ?? 2013 Elsevier B.V.","author":[{"dropping-particle":"","family":"Scholes","given":"R. J.","non-dropping-particle":"","parse-names":false,"suffix":""},{"dropping-particle":"","family":"Reyers","given":"B.","non-dropping-particle":"","parse-names":false,"suffix":""},{"dropping-particle":"","family":"Biggs","given":"R.","non-dropping-particle":"","parse-names":false,"suffix":""},{"dropping-particle":"","family":"Spierenburg","given":"M. J.","non-dropping-particle":"","parse-names":false,"suffix":""},{"dropping-particle":"","family":"Duriappah","given":"A.","non-dropping-particle":"","parse-names":false,"suffix":""}],"container-title":"Current Opinion in Environmental Sustainability","id":"ITEM-1","issue":"1","issued":{"date-parts":[["2013"]]},"page":"16-25","publisher":"Elsevier B.V.","title":"Multi-scale and cross-scale assessments of social-ecological systems and their ecosystem services","type":"article-journal","volume":"5"},"uris":["http://www.mendeley.com/documents/?uuid=3330669d-15fd-4c3d-ae79-022dc19eae21"]}],"mendeley":{"formattedCitation":"&lt;sup&gt;69&lt;/sup&gt;","plainTextFormattedCitation":"69","previouslyFormattedCitation":"&lt;sup&gt;68&lt;/sup&gt;"},"properties":{"noteIndex":0},"schema":"https://github.com/citation-style-language/schema/raw/master/csl-citation.json"}</w:instrText>
      </w:r>
      <w:r w:rsidR="00B068AA" w:rsidRPr="00DE5C02">
        <w:fldChar w:fldCharType="separate"/>
      </w:r>
      <w:r w:rsidR="00C61FE8" w:rsidRPr="00DE5C02">
        <w:rPr>
          <w:noProof/>
          <w:vertAlign w:val="superscript"/>
        </w:rPr>
        <w:t>69</w:t>
      </w:r>
      <w:r w:rsidR="00B068AA" w:rsidRPr="00DE5C02">
        <w:fldChar w:fldCharType="end"/>
      </w:r>
      <w:r w:rsidR="00B068AA" w:rsidRPr="00DE5C02">
        <w:rPr>
          <w:lang w:eastAsia="zh-CN"/>
        </w:rPr>
        <w:t xml:space="preserve">, </w:t>
      </w:r>
      <w:r w:rsidR="003670C8" w:rsidRPr="00DE5C02">
        <w:rPr>
          <w:lang w:eastAsia="zh-CN"/>
        </w:rPr>
        <w:t>and</w:t>
      </w:r>
      <w:r w:rsidR="00B068AA" w:rsidRPr="00DE5C02">
        <w:rPr>
          <w:lang w:eastAsia="zh-CN"/>
        </w:rPr>
        <w:t xml:space="preserve"> help</w:t>
      </w:r>
      <w:r w:rsidR="003670C8" w:rsidRPr="00DE5C02">
        <w:rPr>
          <w:lang w:eastAsia="zh-CN"/>
        </w:rPr>
        <w:t>s</w:t>
      </w:r>
      <w:r w:rsidR="00B068AA" w:rsidRPr="00DE5C02">
        <w:rPr>
          <w:lang w:eastAsia="zh-CN"/>
        </w:rPr>
        <w:t xml:space="preserve"> </w:t>
      </w:r>
      <w:r w:rsidR="003670C8" w:rsidRPr="00DE5C02">
        <w:rPr>
          <w:lang w:eastAsia="zh-CN"/>
        </w:rPr>
        <w:t>provide</w:t>
      </w:r>
      <w:r w:rsidR="00B068AA" w:rsidRPr="00DE5C02">
        <w:rPr>
          <w:lang w:eastAsia="zh-CN"/>
        </w:rPr>
        <w:t xml:space="preserve"> clarity and consistency by what is meant by this</w:t>
      </w:r>
      <w:r w:rsidR="00B068AA" w:rsidRPr="00DE5C02">
        <w:fldChar w:fldCharType="begin" w:fldLock="1"/>
      </w:r>
      <w:r w:rsidR="00B81E3F" w:rsidRPr="00DE5C02">
        <w:instrText>ADDIN CSL_CITATION {"citationItems":[{"id":"ITEM-1","itemData":{"DOI":"10.1007/s40823-016-0015-8","ISSN":"2364-494X","abstract":"Multi-scale landscape studies are becoming a well-used way to examine the influence of environmental, landscape, or habitat factors on the abundance or occurrence of species. Multi-scale studies are especially useful when the ecological neighborhood of the organism–landscape interaction is unknown. We review the development of multi-scale approaches and further clarify the associated terminology applied to different aspects of spatial scale. In particular, we argue that ecological neighborhood and analytical focus are not equivalent, although analytical focus may be used to infer ecological neighborhood. We suggest several potential improvements to multi-scale landscape studies that remain to be explored. Results from multi-scale studies could be used to guide ecologically sustainable landscape planning by identifying local management practices that are suited to the landscape context.","author":[{"dropping-particle":"","family":"Holland","given":"Jeffrey D.","non-dropping-particle":"","parse-names":false,"suffix":""},{"dropping-particle":"","family":"Yang","given":"Shulin","non-dropping-particle":"","parse-names":false,"suffix":""}],"container-title":"Current Landscape Ecology Reports","id":"ITEM-1","issue":"4","issued":{"date-parts":[["2016"]]},"page":"135-145","publisher":"Current Landscape Ecology Reports","title":"Multi-scale Studies and the Ecological Neighborhood","type":"article-journal","volume":"1"},"uris":["http://www.mendeley.com/documents/?uuid=7d72e74e-c0f6-4f26-80cd-86e531857c59"]}],"mendeley":{"formattedCitation":"&lt;sup&gt;35&lt;/sup&gt;","plainTextFormattedCitation":"35","previouslyFormattedCitation":"&lt;sup&gt;35&lt;/sup&gt;"},"properties":{"noteIndex":0},"schema":"https://github.com/citation-style-language/schema/raw/master/csl-citation.json"}</w:instrText>
      </w:r>
      <w:r w:rsidR="00B068AA" w:rsidRPr="00DE5C02">
        <w:fldChar w:fldCharType="separate"/>
      </w:r>
      <w:r w:rsidR="00173667" w:rsidRPr="00DE5C02">
        <w:rPr>
          <w:noProof/>
          <w:vertAlign w:val="superscript"/>
        </w:rPr>
        <w:t>35</w:t>
      </w:r>
      <w:r w:rsidR="00B068AA" w:rsidRPr="00DE5C02">
        <w:fldChar w:fldCharType="end"/>
      </w:r>
      <w:r w:rsidR="00B068AA" w:rsidRPr="00DE5C02">
        <w:t>.</w:t>
      </w:r>
    </w:p>
    <w:p w14:paraId="07D4E3C9" w14:textId="77777777" w:rsidR="00897750" w:rsidRPr="00DE5C02" w:rsidRDefault="00897750" w:rsidP="00897750">
      <w:pPr>
        <w:pStyle w:val="Heading3"/>
        <w:rPr>
          <w:lang w:eastAsia="zh-CN"/>
        </w:rPr>
      </w:pPr>
      <w:bookmarkStart w:id="21" w:name="_Toc517421413"/>
      <w:bookmarkStart w:id="22" w:name="_Toc517431828"/>
      <w:r w:rsidRPr="00DE5C02">
        <w:rPr>
          <w:lang w:eastAsia="zh-CN"/>
        </w:rPr>
        <w:t>Caveats and the need for cautious inference</w:t>
      </w:r>
      <w:bookmarkEnd w:id="21"/>
      <w:bookmarkEnd w:id="22"/>
      <w:r w:rsidRPr="00DE5C02">
        <w:rPr>
          <w:lang w:eastAsia="zh-CN"/>
        </w:rPr>
        <w:t xml:space="preserve"> </w:t>
      </w:r>
    </w:p>
    <w:p w14:paraId="0D335C28" w14:textId="08314231" w:rsidR="00897750" w:rsidRPr="00DE5C02" w:rsidRDefault="00897750" w:rsidP="00897750">
      <w:r w:rsidRPr="00DE5C02">
        <w:t>Unlike designed experiments, observational studies comprise data wherein the identity, crossing, replication and interspersion of driving variables are outside the control of the observer</w:t>
      </w:r>
      <w:r w:rsidRPr="00DE5C02">
        <w:fldChar w:fldCharType="begin" w:fldLock="1"/>
      </w:r>
      <w:r w:rsidR="006821F3" w:rsidRPr="00DE5C02">
        <w:instrText>ADDIN CSL_CITATION {"citationItems":[{"id":"ITEM-1","itemData":{"DOI":"10.1016/j.ecolind.2012.01.022","ISBN":"1470-160X","ISSN":"1470160X","abstract":"Ways of reducing the drivers of global biodiversity loss and degradation of ecosystem services are needed more than ever before. Policy options must be based on the best evidence of the role of multiple driving forces. Increasingly, a significant part of the evidence base comes from attributing signals of biological change detected in large-scale analytical surveys to a range of possible causal factors. We highlight a number of subtle difficulties that can beset the challenge of detecting such correlative relationships. These are as follows: (1) The Modifiable Area Unit Problem. (2) Incomplete explanatory variable data. (3) Lack of control over the replication and crossing of driving variables. In most cases these problems can be avoided by more careful specification of the scientific question and application of relatively new analytical techniques. Ignoring them can lead to mis-specification of hypothesised driver-state-impact relationships and flawed conclusions as to the most important causes of change. © 2012 Elsevier Ltd.","author":[{"dropping-particle":"","family":"Smart","given":"S. M.","non-dropping-particle":"","parse-names":false,"suffix":""},{"dropping-particle":"","family":"Henrys","given":"P. A.","non-dropping-particle":"","parse-names":false,"suffix":""},{"dropping-particle":"V.","family":"Purse","given":"B.","non-dropping-particle":"","parse-names":false,"suffix":""},{"dropping-particle":"","family":"Murphy","given":"J. M.","non-dropping-particle":"","parse-names":false,"suffix":""},{"dropping-particle":"","family":"Bailey","given":"M. J.","non-dropping-particle":"","parse-names":false,"suffix":""},{"dropping-particle":"","family":"Marrs","given":"R. H.","non-dropping-particle":"","parse-names":false,"suffix":""}],"container-title":"Ecological Indicators","id":"ITEM-1","issued":{"date-parts":[["2012"]]},"page":"51-56","publisher":"Elsevier Ltd","title":"Clarity or confusion? - Problems in attributing large-scale ecological changes to anthropogenic drivers","type":"article-journal","volume":"20"},"uris":["http://www.mendeley.com/documents/?uuid=44e177c4-6b79-475e-a616-bf00de56ab40"]}],"mendeley":{"formattedCitation":"&lt;sup&gt;14&lt;/sup&gt;","plainTextFormattedCitation":"14","previouslyFormattedCitation":"&lt;sup&gt;14&lt;/sup&gt;"},"properties":{"noteIndex":0},"schema":"https://github.com/citation-style-language/schema/raw/master/csl-citation.json"}</w:instrText>
      </w:r>
      <w:r w:rsidRPr="00DE5C02">
        <w:fldChar w:fldCharType="separate"/>
      </w:r>
      <w:r w:rsidR="00A801AF" w:rsidRPr="00DE5C02">
        <w:rPr>
          <w:noProof/>
          <w:vertAlign w:val="superscript"/>
        </w:rPr>
        <w:t>14</w:t>
      </w:r>
      <w:r w:rsidRPr="00DE5C02">
        <w:fldChar w:fldCharType="end"/>
      </w:r>
      <w:r w:rsidRPr="00DE5C02">
        <w:t>, and trade-offs and compromises will inevitably produce a less-than-optimal study design</w:t>
      </w:r>
      <w:r w:rsidRPr="00DE5C02">
        <w:fldChar w:fldCharType="begin" w:fldLock="1"/>
      </w:r>
      <w:r w:rsidR="00B81E3F" w:rsidRPr="00DE5C02">
        <w:instrText>ADDIN CSL_CITATION {"citationItems":[{"id":"ITEM-1","itemData":{"DOI":"10.1111/j.1461-0248.2010.01559.x","ISBN":"1461-023X","ISSN":"1461023X","PMID":"21087380","abstract":"Biodiversity in agricultural landscapes can be increased with conversion of some production lands into ?more- natural? – unmanaged or extensively managed – lands. However, it remains unknown to what extent biodiversity can be enhanced by altering landscape pattern without reducing agricultural production. We propose a framework for this problem, considering separately compositional heterogeneity (the number and proportions of different cover types) and configurational heterogeneity (the spatial arrangement of cover types). Cover type classification and mapping is based on species requirements, such as feeding and nesting, resulting in measures of ?functional landscape heterogeneity?. We then identify three important questions: does biodiversity increase with (1) increasing heterogeneity of the more-natural areas, (2) increasing compositional heterogeneity of production cover types and (3) increasing configurational heterogeneity of production cover types? We discuss approaches for addressing these questions. Such studies should have high priority because biodiversity protection globally depends increasingly on maintaining biodiversity in human-dominated landscapes. Keywords","author":[{"dropping-particle":"","family":"Fahrig","given":"Lenore","non-dropping-particle":"","parse-names":false,"suffix":""},{"dropping-particle":"","family":"Baudry","given":"Jacques","non-dropping-particle":"","parse-names":false,"suffix":""},{"dropping-particle":"","family":"Brotons","given":"Lluís","non-dropping-particle":"","parse-names":false,"suffix":""},{"dropping-particle":"","family":"Burel","given":"Françoise G.","non-dropping-particle":"","parse-names":false,"suffix":""},{"dropping-particle":"","family":"Crist","given":"Thomas O.","non-dropping-particle":"","parse-names":false,"suffix":""},{"dropping-particle":"","family":"Fuller","given":"Robert J.","non-dropping-particle":"","parse-names":false,"suffix":""},{"dropping-particle":"","family":"Sirami","given":"Clelia","non-dropping-particle":"","parse-names":false,"suffix":""},{"dropping-particle":"","family":"Siriwardena","given":"Gavin M.","non-dropping-particle":"","parse-names":false,"suffix":""},{"dropping-particle":"","family":"Martin","given":"Jean Louis","non-dropping-particle":"","parse-names":false,"suffix":""}],"container-title":"Ecology Letters","id":"ITEM-1","issue":"2","issued":{"date-parts":[["2011"]]},"page":"101-112","title":"Functional landscape heterogeneity and animal biodiversity in agricultural landscapes","type":"article-journal","volume":"14"},"uris":["http://www.mendeley.com/documents/?uuid=9c37079f-f9af-4297-b95c-b09ff47f8444"]}],"mendeley":{"formattedCitation":"&lt;sup&gt;49&lt;/sup&gt;","plainTextFormattedCitation":"49","previouslyFormattedCitation":"&lt;sup&gt;49&lt;/sup&gt;"},"properties":{"noteIndex":0},"schema":"https://github.com/citation-style-language/schema/raw/master/csl-citation.json"}</w:instrText>
      </w:r>
      <w:r w:rsidRPr="00DE5C02">
        <w:fldChar w:fldCharType="separate"/>
      </w:r>
      <w:r w:rsidR="00173667" w:rsidRPr="00DE5C02">
        <w:rPr>
          <w:noProof/>
          <w:vertAlign w:val="superscript"/>
        </w:rPr>
        <w:t>49</w:t>
      </w:r>
      <w:r w:rsidRPr="00DE5C02">
        <w:fldChar w:fldCharType="end"/>
      </w:r>
      <w:r w:rsidRPr="00DE5C02">
        <w:t>. For example, landscape composition and configuration metrics are correlated in real landscapes, including those in our study. As these phenomena are confounded in nature and therefore hard to separate empirically, existing studies</w:t>
      </w:r>
      <w:r w:rsidR="00F771D6" w:rsidRPr="00DE5C02">
        <w:t xml:space="preserve"> (including ours)</w:t>
      </w:r>
      <w:r w:rsidRPr="00DE5C02">
        <w:t xml:space="preserve"> of ecosystem response–landscape structure relationships have focused on landscape composition rather than configuration</w:t>
      </w:r>
      <w:r w:rsidR="00F771D6" w:rsidRPr="00DE5C02">
        <w:t xml:space="preserve">, due to </w:t>
      </w:r>
      <w:r w:rsidR="003670C8" w:rsidRPr="00DE5C02">
        <w:t>much</w:t>
      </w:r>
      <w:r w:rsidR="00F771D6" w:rsidRPr="00DE5C02">
        <w:t xml:space="preserve"> evidence of composition having a greater effect than configuration on natural capital and ecosystem services</w:t>
      </w:r>
      <w:r w:rsidRPr="00DE5C02">
        <w:t xml:space="preserve">. </w:t>
      </w:r>
      <w:r w:rsidR="00F771D6" w:rsidRPr="00DE5C02">
        <w:t>T</w:t>
      </w:r>
      <w:r w:rsidRPr="00DE5C02">
        <w:t>heoretical studies suggest that landscape composition in general exerts a stronger influence, with landscape configuration effects most apparent at intermediate levels of land cover types</w:t>
      </w:r>
      <w:r w:rsidRPr="00DE5C02">
        <w:fldChar w:fldCharType="begin" w:fldLock="1"/>
      </w:r>
      <w:r w:rsidR="00C61FE8" w:rsidRPr="00DE5C02">
        <w:instrText>ADDIN CSL_CITATION {"citationItems":[{"id":"ITEM-1","itemData":{"DOI":"10.1007/s10980-004-2263-y","ISBN":"0921-2973","ISSN":"09212973","abstract":"The percentage of a watershed occupied by agricultural areas is widely used to predict nutrient loadings and in-stream water chemistry because water quality is often linked to non-point sources in a watershed. Measures of the spatial location of source areas have generally not been incorporated into such landscape indicators although empirical evidence and watershed loading models suggest that spatially explicit information is useful for predicting loadings. I created a heuristic grid-based surface-flow model to address the discrepancies between spatially explicit and non-spatial approaches to understanding watershed loading. The mean and variance in loading were compared among thousands of simulated watersheds with varying percentages of randomly located source and sinks. The variability in loading among replicate landscapes was greatest for those landscapes with similar to 65% source areas. This variance peak suggests that considering the spatial arrangement of cover types is most important for watersheds with intermediate relative abundances of sources and sinks as the wide variety of different spatial configurations can lead to either very high or very low loading. Increasing the output from source pixels (relative to the amount absorbed by sink pixels) among different landscapes moved the peak in variance to landscape</w:instrText>
      </w:r>
      <w:r w:rsidR="00C61FE8" w:rsidRPr="00DE5C02">
        <w:rPr>
          <w:lang w:val="it-IT"/>
        </w:rPr>
        <w:instrText>s with lower percentages of sources. A final scenario examined both broad- and fine-scale heterogeneity in source output to disentangle the relative contributions of spatial configuration, percentage of source covers, and heterogeneity of sources in governing variability in loading. In landscapes with high percentages of source pixels, fine-scale heterogeneity in source output was responsible for a greater portion of the total variability in loading among different watersheds than was spatial arrangement. These results provide several testable hypotheses for when spatial and non-spatial approaches might be most useful in relating land cover to water chemistry and suggest improvements for the spatial sensitivity analyses of eco-hydrologic watershed models.","author":[{"dropping-particle":"","family":"Gergel","given":"Sarah E.","non-dropping-particle":"","parse-names":false,"suffix":""}],"container-title":"Landscape Ecology","id":"ITEM-1","issue":"2","issued":{"date-parts":[["2005"]]},"page":"177-189","title":"Spatial and non-spatial factors: When do they affect landscape indicators of watershed loading?","type":"article-journal","volume":"20"},"uris":["http://www.mendeley.com/documents/?uuid=798438c0-2ee1-45a2-831f-3e5d1dd484e7"]}],"mendeley":{"formattedCitation":"&lt;sup&gt;70&lt;/sup&gt;","plainTextFormattedCitation":"70","previouslyFormattedCitation":"&lt;sup&gt;69&lt;/sup&gt;"},"properties":{"noteIndex":0},"schema":"https://github.com/citation-style-language/schema/raw/master/csl-citation.json"}</w:instrText>
      </w:r>
      <w:r w:rsidRPr="00DE5C02">
        <w:fldChar w:fldCharType="separate"/>
      </w:r>
      <w:r w:rsidR="00C61FE8" w:rsidRPr="00DE5C02">
        <w:rPr>
          <w:noProof/>
          <w:vertAlign w:val="superscript"/>
          <w:lang w:val="it-IT"/>
        </w:rPr>
        <w:t>70</w:t>
      </w:r>
      <w:r w:rsidRPr="00DE5C02">
        <w:fldChar w:fldCharType="end"/>
      </w:r>
      <w:r w:rsidRPr="00DE5C02">
        <w:rPr>
          <w:lang w:val="it-IT"/>
        </w:rPr>
        <w:t>. Qiu &amp; Turner (2015)</w:t>
      </w:r>
      <w:r w:rsidRPr="00DE5C02">
        <w:fldChar w:fldCharType="begin" w:fldLock="1"/>
      </w:r>
      <w:r w:rsidR="00C61FE8" w:rsidRPr="00DE5C02">
        <w:rPr>
          <w:lang w:val="it-IT"/>
        </w:rPr>
        <w:instrText>ADDIN CSL_CITATION {"citationItems":[{"id":"ITEM-1","itemData":{"DOI":"10.1890/ES15-00312.1","ISBN":"2150-8925","ISSN":"21508925","abstract":"The sustainability of hydrologic ecosystem services (freshwater benefits to people generated by terrestrial ecosystems) is challenged by human modification of landscapes. However, the role of landscape heterogeneity in sustaining hydrologic services at scales relevant to landscape management decisions is poorly understood. In particular, the relative importance of landscape composition (type and proportion of land cover) and configuration (spatial arrangement of cover types) is unclear. We analyzed indicators of production of three hydrologic services (freshwater supply, surface and ground water quality) in 100 subwatersheds in an urbanizing agricultural landscape (Yahara Watershed, Wisconsin, USA) and asked: (1) How do landscape composition and configuration affect supply of hydrologic services (i.e., does spatial pattern matter)? (2) Are there opportunities for small changes in landscape pattern to produce large gains in hydrologic services? Landscape composition and configuration both affected supply o...","author":[{"dropping-particle":"","family":"Qiu","given":"Jiangxiao","non-dropping-particle":"","parse-names":false,"suffix":""},{"dropping-particle":"","family":"Turner","given":"Monica G.","non-dropping-particle":"","parse-names":false,"suffix":""}],"container-title":"Ecosphere","id":"ITEM-1","issue":"11","issued":{"date-parts":[["2015"]]},"page":"1-19","title":"Importance of landscape heterogeneity in sustaining hydrologic ecosystem services in an agricultural watershed","type":"article-journal","volume":"6"},"uris":["http://www.mendeley.com/documents/?uuid=b1259598-7a75-4180-b60d-954234b51ba8"]}],"mendeley":{"formattedCitation":"&lt;sup&gt;56&lt;/sup&gt;","plainTextFormattedCitation":"56","previouslyFormattedCitation":"&lt;sup&gt;55&lt;/sup&gt;"},"properties":{"noteIndex":0},"schema":"https://github.com/citation-style-language/schema/raw/master/csl-citation.json"}</w:instrText>
      </w:r>
      <w:r w:rsidRPr="00DE5C02">
        <w:fldChar w:fldCharType="separate"/>
      </w:r>
      <w:r w:rsidR="00C61FE8" w:rsidRPr="00DE5C02">
        <w:rPr>
          <w:noProof/>
          <w:vertAlign w:val="superscript"/>
          <w:lang w:val="it-IT"/>
        </w:rPr>
        <w:t>56</w:t>
      </w:r>
      <w:r w:rsidRPr="00DE5C02">
        <w:fldChar w:fldCharType="end"/>
      </w:r>
      <w:r w:rsidRPr="00DE5C02">
        <w:rPr>
          <w:lang w:val="it-IT"/>
        </w:rPr>
        <w:t xml:space="preserve"> demonstrated </w:t>
      </w:r>
      <w:r w:rsidR="005757B3" w:rsidRPr="00DE5C02">
        <w:rPr>
          <w:lang w:val="it-IT"/>
        </w:rPr>
        <w:t xml:space="preserve">this </w:t>
      </w:r>
      <w:r w:rsidRPr="00DE5C02">
        <w:rPr>
          <w:lang w:val="it-IT"/>
        </w:rPr>
        <w:t>empirically</w:t>
      </w:r>
      <w:r w:rsidR="005757B3" w:rsidRPr="00DE5C02">
        <w:rPr>
          <w:lang w:val="it-IT"/>
        </w:rPr>
        <w:t>,</w:t>
      </w:r>
      <w:r w:rsidRPr="00DE5C02">
        <w:rPr>
          <w:lang w:val="it-IT"/>
        </w:rPr>
        <w:t xml:space="preserve"> showing that where agricultural or urban cover dominate watersheds (&gt;60% cover), landscape composition has a greater effect on hydrologic</w:t>
      </w:r>
      <w:r w:rsidR="000109B9" w:rsidRPr="00DE5C02">
        <w:rPr>
          <w:lang w:val="it-IT"/>
        </w:rPr>
        <w:t>al</w:t>
      </w:r>
      <w:r w:rsidRPr="00DE5C02">
        <w:rPr>
          <w:lang w:val="it-IT"/>
        </w:rPr>
        <w:t xml:space="preserve"> services and configuration matters less</w:t>
      </w:r>
      <w:r w:rsidR="000109B9" w:rsidRPr="00DE5C02">
        <w:rPr>
          <w:lang w:val="it-IT"/>
        </w:rPr>
        <w:t>.</w:t>
      </w:r>
      <w:r w:rsidRPr="00DE5C02">
        <w:rPr>
          <w:lang w:val="it-IT"/>
        </w:rPr>
        <w:t xml:space="preserve"> </w:t>
      </w:r>
      <w:r w:rsidR="000109B9" w:rsidRPr="00DE5C02">
        <w:t>A</w:t>
      </w:r>
      <w:r w:rsidRPr="00DE5C02">
        <w:t>t high coverage, croplands coalesce into larger patches, reducing edge effects and nutrient retention by other land covers such as forest. It is critical to determine when configuration is important</w:t>
      </w:r>
      <w:r w:rsidRPr="00DE5C02">
        <w:fldChar w:fldCharType="begin" w:fldLock="1"/>
      </w:r>
      <w:r w:rsidR="006821F3" w:rsidRPr="00DE5C02">
        <w:instrText>ADDIN CSL_CITATION {"citationItems":[{"id":"ITEM-1","itemData":{"DOI":"10.1007/s10980-012-9794-4","ISBN":"0921-2973","ISSN":"09212973","abstract":"Over the last decade we have seen an increased emphasis in environmental management and policies aimed at maintaining and restoring multiple ecosystem services at landscape scales. This emphasis has resulted from the recognition that management of specific environmental targets and ecosystem services requires an understanding of landscape processes and the spatial scales that maintain those targets and services. Moreover, we have become increasingly aware of the influence of broad-scale drivers such as climate change on landscape processes and the ecosystem services they support. Studies and assessments on the relative success of environmental policies and landscape designs in maintaining landscape processes and ecosystem services is mostly lacking. This likely reflects the relatively high cost of maintaining a commitment to implement and maintain monitoring programs that document responses of landscape processes and ecosystem services to different landscape policies and designs. However, we argue that there is considerable variation in natural and human-caused landscape pattern at local to continental scales and that this variation may facilitate analyses of how environmental targets and ecosystem services have responded to such patterns. Moreover, wall-to-wall spatial data on land cover and land use at national scales may permit characterization and mapping of different landscape pattern gradients. We discuss four broad and interrelated focus areas that should enhance our understanding of how landscape pattern influences ecosystem services: (1) characterizing and mapping landscape pattern gradients; (2) quantifying relationships between landscape patterns and environmental targets and ecosystem services, (3) evaluating landscape patterns with regards to multiple ecosystem services, and (4) applying adaptive management concepts to improve the effectiveness of specific landscape designs in sustaining ecosystem services. We discuss opportunities as well as challenges in each of these four areas. We believe that this agenda could lead to spatially explicit solutions in managing a range of environmental targets and ecosystem services. Spatially explicit options are critical in managing and protecting landscapes, especially given that communities and organizations are often limited in their capacity to make changes at landscape scales. The issues and potential solutions discussed in this paper expand upon the call by Nassauer and Opdam (Landscape Ecol 23:63…","author":[{"dropping-particle":"","family":"Jones","given":"K. Bruce","non-dropping-particle":"","parse-names":false,"suffix":""},{"dropping-particle":"","family":"Zurlini","given":"Giovanni","non-dropping-particle":"","parse-names":false,"suffix":""},{"dropping-particle":"","family":"Kienast","given":"Felix","non-dropping-particle":"","parse-names":false,"suffix":""},{"dropping-particle":"","family":"Petrosillo","given":"Irene","non-dropping-particle":"","parse-names":false,"suffix":""},{"dropping-particle":"","family":"Edwards","given":"Thomas","non-dropping-particle":"","parse-names":false,"suffix":""},{"dropping-particle":"","family":"Wade","given":"Timothy G.","non-dropping-particle":"","parse-names":false,"suffix":""},{"dropping-particle":"","family":"Li","given":"Bai lian","non-dropping-particle":"","parse-names":false,"suffix":""},{"dropping-particle":"","family":"Zaccarelli","given":"Nicola","non-dropping-particle":"","parse-names":false,"suffix":""}],"container-title":"Landscape Ecology","id":"ITEM-1","issue":"6","issued":{"date-parts":[["2013"]]},"page":"1175-1192","title":"Informing landscape planning and design for sustaining ecosystem services from existing spatial patterns and knowledge","type":"article-journal","volume":"28"},"uris":["http://www.mendeley.com/documents/?uuid=62a85745-ad07-4afe-bb2d-3fd6e21a36b3"]}],"mendeley":{"formattedCitation":"&lt;sup&gt;13&lt;/sup&gt;","plainTextFormattedCitation":"13","previouslyFormattedCitation":"&lt;sup&gt;13&lt;/sup&gt;"},"properties":{"noteIndex":0},"schema":"https://github.com/citation-style-language/schema/raw/master/csl-citation.json"}</w:instrText>
      </w:r>
      <w:r w:rsidRPr="00DE5C02">
        <w:fldChar w:fldCharType="separate"/>
      </w:r>
      <w:r w:rsidR="00A801AF" w:rsidRPr="00DE5C02">
        <w:rPr>
          <w:noProof/>
          <w:vertAlign w:val="superscript"/>
        </w:rPr>
        <w:t>13</w:t>
      </w:r>
      <w:r w:rsidRPr="00DE5C02">
        <w:fldChar w:fldCharType="end"/>
      </w:r>
      <w:r w:rsidR="00F771D6" w:rsidRPr="00DE5C02">
        <w:t xml:space="preserve"> for natural capital</w:t>
      </w:r>
      <w:r w:rsidRPr="00DE5C02">
        <w:t>, and is likely to be possible in the future, given that monitoring programmes are increasingly incorporating regional and landscape-level considerations in their sampling strategies</w:t>
      </w:r>
      <w:r w:rsidRPr="00DE5C02">
        <w:fldChar w:fldCharType="begin" w:fldLock="1"/>
      </w:r>
      <w:r w:rsidR="00C61FE8" w:rsidRPr="00DE5C02">
        <w:instrText>ADDIN CSL_CITATION {"citationItems":[{"id":"ITEM-1","itemData":{"DOI":"10.1002/ece3.2066","ISBN":"0003844380000","ISSN":"20457758","PMID":"27217949","abstract":"Natural experiments have been proposed as a way of complementing manipulative experiments to improve ecological understanding and guide management. There is a pressing need for evidence from such studies to inform a shift to landscape-scale conservation, including the design of ecological networks. Although this shift has been widely embraced by conservation communities worldwide, the empirical evidence is limited and equivocal, and may be limiting effective conservation. We present principles for well-designed natural experiments to inform landscape-scale conservation and outline how they are being applied in the WrEN project, which is studying the effects of 160 years of woodland creation on biodiversity in UK landscapes. We describe the study areas and outline the systematic process used to select suitable historical woodland creation sites based on key site- and landscape-scale variables – including size, age, and proximity to other woodland. We present the results of an analysis to explore variation in these variables across sites to test their suitability as a basis for a natural experiment. Our results confirm that this landscape satisfies the principles we have identified and provides an ideal study system for a long-term, large-scale natural experiment to explore how woodland biodiversity is affected by different site and landscape attributes. The WrEN sites are now being surveyed for a wide selection of species that are likely to respond differently to site- and landscape-scale attributes and at different spatial and temporal scales. The results from WrEN will help develop detailed recommendations to guide landscape-scale conservation, including the design of ecological networks. We also believe that the approach presented demonstrates the wider utility of well-designed natural experiments to improve our understanding of ecological systems and inform policy and practice.","author":[{"dropping-particle":"","family":"Watts","given":"Kevin","non-dropping-particle":"","parse-names":false,"suffix":""},{"dropping-particle":"","family":"Fuentes-Montemayor","given":"Elisa","non-dropping-particle":"","parse-names":false,"suffix":""},{"dropping-particle":"","family":"Macgregor","given":"Nicholas A.","non-dropping-particle":"","parse-names":false,"suffix":""},{"dropping-particle":"","family":"Peredo-Alvarez","given":"Victor","non-dropping-particle":"","parse-names":false,"suffix":""},{"dropping-particle":"","family":"Ferryman","given":"Mark","non-dropping-particle":"","parse-names":false,"suffix":""},{"dropping-particle":"","family":"Bellamy","given":"Chloe","non-dropping-particle":"","parse-names":false,"suffix":""},{"dropping-particle":"","family":"Brown","given":"Nigel","non-dropping-particle":"","parse-names":false,"suffix":""},{"dropping-particle":"","family":"Park","given":"Kirsty J.","non-dropping-particle":"","parse-names":false,"suffix":""}],"container-title":"Ecology and Evolution","id":"ITEM-1","issue":"9","issued":{"date-parts":[["2016"]]},"page":"3012-3025","title":"Using historical woodland creation to construct a long-term, large-scale natural experiment: The WrEN project","type":"article-journal","volume":"6"},"uris":["http://www.mendeley.com/documents/?uuid=af3c693c-9fd8-49d1-8aa1-d5600b70f968"]},{"id":"ITEM-2","itemData":{"DOI":"10.1111/2041-210X.12779","ISBN":"4955139574","ISSN":"2041210X","PMID":"28199780","abstract":"1) Ecological processes operating on large spatio-temporal scales are difficult to disentangle with traditional empirical approaches. Alternatively, researchers can take advantage of “natural” experiments, where experimental control is exercised by careful site selection. Recent advances in developing protocols for designing these “pseudo-experiments” commonly do not consider the selection of the focal region and predictor variables are usually restricted to two. Here we advance this type of site selection protocol to study the impact of multiple landscape scale factors on pollinator abundance and diversity across multiple regions. 2) Using datasets of geographic and ecological variables with national coverage, we applied a novel hierarchical computation approach to select study sites that contrast as much as possible in four key variables, while attempting to maintain regional comparability and national representativeness. There were three main steps to the protocol: i) selection of six 100 km x 100 km regions that collectively provided land cover representative of the national land average, ii) mapping of potential sites into a multivariate space with axes representing four key factors potentially influencing insect pollinator abundance, and iii) applying a selection algorithm which maximised differences between the four key variables, while controlling for a set of external constraints. 3) Validation data for the site selection metrics were recorded alongside the collection of data on pollinator populations during two field campaigns. While the accuracy of the metric estimates varied, the site selection succeeded in objectively identifying field sites that differed significantly in values for each of the four key variables. Between variable correlations were also reduced or eliminated, thus facilitating analysis of their separate effects. 4) This study has shown that national datasets can be used to select randomised and Accepted Article replicated field sites objectively within multiple regions and along multiple interacting gradients. Similar protocols could be used for studying a range of alternative research questions related to land use or other spatially explicit environmental variables, and to identify networks of field sites for other countries, regions, drivers, and response taxa in a wide range of scenarios.","author":[{"dropping-particle":"","family":"Gillespie","given":"Mark A.K.","non-dropping-particle":"","parse-names":false,"suffix":""},{"dropping-particle":"","family":"Baude","given":"Mathilde","non-dropping-particle":"","parse-names":false,"suffix":""},{"dropping-particle":"","family":"Biesmeijer","given":"Jacobus","non-dropping-particle":"","parse-names":false,"suffix":""},{"dropping-particle":"","family":"Boatman","given":"Nigel","non-dropping-particle":"","parse-names":false,"suffix":""},{"dropping-particle":"","family":"Budge","given":"Giles E.","non-dropping-particle":"","parse-names":false,"suffix":""},{"dropping-particle":"","family":"Crowe","given":"Andrew","non-dropping-particle":"","parse-names":false,"suffix":""},{"dropping-particle":"","family":"Memmott","given":"Jane","non-dropping-particle":"","parse-names":false,"suffix":""},{"dropping-particle":"","family":"Morton","given":"R. Daniel","non-dropping-particle":"","parse-names":false,"suffix":""},{"dropping-particle":"","family":"Pietravalle","given":"Stephane","non-dropping-particle":"","parse-names":false,"suffix":""},{"dropping-particle":"","family":"Potts","given":"Simon G.","non-dropping-particle":"","parse-names":false,"suffix":""},{"dropping-particle":"","family":"Senapathi","given":"Deepa","non-dropping-particle":"","parse-names":false,"suffix":""},{"dropping-particle":"","family":"Smart","given":"Simon M.","non-dropping-particle":"","parse-names":false,"suffix":""},{"dropping-particle":"","family":"Kunin","given":"William E.","non-dropping-particle":"","parse-names":false,"suffix":""}],"container-title":"Methods in Ecology and Evolution","id":"ITEM-2","issue":"11","issued":{"date-parts":[["2017"]]},"page":"1468-1476","title":"A method for the objective selection of landscape-scale study regions and sites at the national level","type":"article-journal","volume":"8"},"uris":["http://www.mendeley.com/documents/?uuid=1eac0a5f-c5fa-4c9d-9df7-2f9dd94db884"]}],"mendeley":{"formattedCitation":"&lt;sup&gt;71,72&lt;/sup&gt;","plainTextFormattedCitation":"71,72","previouslyFormattedCitation":"&lt;sup&gt;70,71&lt;/sup&gt;"},"properties":{"noteIndex":0},"schema":"https://github.com/citation-style-language/schema/raw/master/csl-citation.json"}</w:instrText>
      </w:r>
      <w:r w:rsidRPr="00DE5C02">
        <w:fldChar w:fldCharType="separate"/>
      </w:r>
      <w:r w:rsidR="00C61FE8" w:rsidRPr="00DE5C02">
        <w:rPr>
          <w:noProof/>
          <w:vertAlign w:val="superscript"/>
        </w:rPr>
        <w:t>71,72</w:t>
      </w:r>
      <w:r w:rsidRPr="00DE5C02">
        <w:fldChar w:fldCharType="end"/>
      </w:r>
      <w:r w:rsidRPr="00DE5C02">
        <w:t>.</w:t>
      </w:r>
    </w:p>
    <w:p w14:paraId="06631E9C" w14:textId="2B38F762" w:rsidR="00897750" w:rsidRPr="00DE5C02" w:rsidRDefault="00567BA1" w:rsidP="00A7511B">
      <w:r w:rsidRPr="00DE5C02">
        <w:rPr>
          <w:lang w:eastAsia="zh-CN"/>
        </w:rPr>
        <w:t>W</w:t>
      </w:r>
      <w:r w:rsidR="000614B3" w:rsidRPr="00DE5C02" w:rsidDel="00A7511B">
        <w:rPr>
          <w:lang w:eastAsia="zh-CN"/>
        </w:rPr>
        <w:t xml:space="preserve">e stress that inferences made from applying our framework, which specifies the regional context as a fixed effect, must not extrapolate beyond the sampled range of the drivers. That is, inference cannot be </w:t>
      </w:r>
      <w:r w:rsidR="003B2889" w:rsidRPr="00DE5C02">
        <w:rPr>
          <w:lang w:eastAsia="zh-CN"/>
        </w:rPr>
        <w:t>extended to other areas</w:t>
      </w:r>
      <w:r w:rsidR="003B2889" w:rsidRPr="00DE5C02" w:rsidDel="00A7511B">
        <w:rPr>
          <w:lang w:eastAsia="zh-CN"/>
        </w:rPr>
        <w:t xml:space="preserve"> </w:t>
      </w:r>
      <w:r w:rsidR="003B2889" w:rsidRPr="00DE5C02">
        <w:rPr>
          <w:lang w:eastAsia="zh-CN"/>
        </w:rPr>
        <w:t>with</w:t>
      </w:r>
      <w:r w:rsidR="000614B3" w:rsidRPr="00DE5C02" w:rsidDel="00A7511B">
        <w:rPr>
          <w:lang w:eastAsia="zh-CN"/>
        </w:rPr>
        <w:t xml:space="preserve"> regional contexts which are outside of the range of the data</w:t>
      </w:r>
      <w:r w:rsidR="003B2889" w:rsidRPr="00DE5C02">
        <w:rPr>
          <w:lang w:eastAsia="zh-CN"/>
        </w:rPr>
        <w:t xml:space="preserve"> (i.e. study extent)</w:t>
      </w:r>
      <w:r w:rsidR="000614B3" w:rsidRPr="00DE5C02" w:rsidDel="00A7511B">
        <w:rPr>
          <w:lang w:eastAsia="zh-CN"/>
        </w:rPr>
        <w:t xml:space="preserve"> used to build the regional gradients and the statistical models, which could comprise new correlation structures</w:t>
      </w:r>
      <w:r w:rsidR="006821F3" w:rsidRPr="00DE5C02" w:rsidDel="00A7511B">
        <w:rPr>
          <w:lang w:eastAsia="zh-CN"/>
        </w:rPr>
        <w:fldChar w:fldCharType="begin" w:fldLock="1"/>
      </w:r>
      <w:r w:rsidR="00C61FE8" w:rsidRPr="00DE5C02">
        <w:rPr>
          <w:lang w:eastAsia="zh-CN"/>
        </w:rPr>
        <w:instrText>ADDIN CSL_CITATION {"citationItems":[{"id":"ITEM-1","itemData":{"author":[{"dropping-particle":"","family":"Steel","given":"A.","non-dropping-particle":"","parse-names":false,"suffix":""},{"dropping-particle":"","family":"Kennedy","given":"M.C.","non-dropping-particle":"","parse-names":false,"suffix":""},{"dropping-particle":"","family":"Cunningham","given":"P.G.","non-dropping-particle":"","parse-names":false,"suffix":""},{"dropping-particle":"","family":"Stanovick","given":"J.S.","non-dropping-particle":"","parse-names":false,"suffix":""}],"container-title":"Ecosphere","id":"ITEM-1","issue":"September","issued":{"date-parts":[["2013"]]},"page":"1-13","title":"Applied statistics in ecology : common pitfalls and simple solutions","type":"article-journal","volume":"4"},"uris":["http://www.mendeley.com/documents/?uuid=af303327-2fcd-47fb-bcc0-72a3a05098da"]},{"id":"ITEM-2","itemData":{"DOI":"10.1016/j.ecolind.2012.01.022","ISBN":"1470-160X","ISSN":"1470160X","abstract":"Ways of reducing the drivers of global biodiversity loss and degradation of ecosystem services are needed more than ever before. Policy options must be based on the best evidence of the role of multiple driving forces. Increasingly, a significant part of the evidence base comes from attributing signals of biological change detected in large-scale analytical surveys to a range of possible causal factors. We highlight a number of subtle difficulties that can beset the challenge of detecting such correlative relationships. These are as follows: (1) The Modifiable Area Unit Problem. (2) Incomplete explanatory variable data. (3) Lack of control over the replication and crossing of driving variables. In most cases these problems can be avoided by more careful specification of the scientific question and application of relatively new analytical techniques. Ignoring them can lead to mis-specification of hypothesised driver-state-impact relationships and flawed conclusions as to the most important causes of change. © 2012 Elsevier Ltd.","author":[{"dropping-particle":"","family":"Smart","given":"S. M.","non-dropping-particle":"","parse-names":false,"suffix":""},{"dropping-particle":"","family":"Henrys","given":"P. A.","non-dropping-particle":"","parse-names":false,"suffix":""},{"dropping-particle":"V.","family":"Purse","given":"B.","non-dropping-particle":"","parse-names":false,"suffix":""},{"dropping-particle":"","family":"Murphy","given":"J. M.","non-dropping-particle":"","parse-names":false,"suffix":""},{"dropping-particle":"","family":"Bailey","given":"M. J.","non-dropping-particle":"","parse-names":false,"suffix":""},{"dropping-particle":"","family":"Marrs","given":"R. H.","non-dropping-particle":"","parse-names":false,"suffix":""}],"container-title":"Ecological Indicators","id":"ITEM-2","issued":{"date-parts":[["2012"]]},"page":"51-56","publisher":"Elsevier Ltd","title":"Clarity or confusion? - Problems in attributing large-scale ecological changes to anthropogenic drivers","type":"article-journal","volume":"20"},"uris":["http://www.mendeley.com/documents/?uuid=44e177c4-6b79-475e-a616-bf00de56ab40"]}],"mendeley":{"formattedCitation":"&lt;sup&gt;14,73&lt;/sup&gt;","plainTextFormattedCitation":"14,73","previouslyFormattedCitation":"&lt;sup&gt;14,72&lt;/sup&gt;"},"properties":{"noteIndex":0},"schema":"https://github.com/citation-style-language/schema/raw/master/csl-citation.json"}</w:instrText>
      </w:r>
      <w:r w:rsidR="006821F3" w:rsidRPr="00DE5C02" w:rsidDel="00A7511B">
        <w:rPr>
          <w:lang w:eastAsia="zh-CN"/>
        </w:rPr>
        <w:fldChar w:fldCharType="separate"/>
      </w:r>
      <w:r w:rsidR="00C61FE8" w:rsidRPr="00DE5C02">
        <w:rPr>
          <w:noProof/>
          <w:vertAlign w:val="superscript"/>
          <w:lang w:eastAsia="zh-CN"/>
        </w:rPr>
        <w:t>14,73</w:t>
      </w:r>
      <w:r w:rsidR="006821F3" w:rsidRPr="00DE5C02" w:rsidDel="00A7511B">
        <w:rPr>
          <w:lang w:eastAsia="zh-CN"/>
        </w:rPr>
        <w:fldChar w:fldCharType="end"/>
      </w:r>
      <w:r w:rsidR="006821F3" w:rsidRPr="00DE5C02">
        <w:rPr>
          <w:lang w:eastAsia="zh-CN"/>
        </w:rPr>
        <w:t>.</w:t>
      </w:r>
      <w:r w:rsidR="00897750" w:rsidRPr="00DE5C02">
        <w:rPr>
          <w:lang w:eastAsia="zh-CN"/>
        </w:rPr>
        <w:t xml:space="preserve"> </w:t>
      </w:r>
      <w:r w:rsidR="000109B9" w:rsidRPr="00DE5C02">
        <w:rPr>
          <w:lang w:eastAsia="zh-CN"/>
        </w:rPr>
        <w:t>For example, i</w:t>
      </w:r>
      <w:r w:rsidR="00897750" w:rsidRPr="00DE5C02">
        <w:rPr>
          <w:lang w:eastAsia="zh-CN"/>
        </w:rPr>
        <w:t>n studies of plant diversity along a productivity gradient in Britain a quadratic relationship was found at the national level</w:t>
      </w:r>
      <w:r w:rsidR="00897750" w:rsidRPr="00DE5C02">
        <w:rPr>
          <w:lang w:eastAsia="zh-CN"/>
        </w:rPr>
        <w:fldChar w:fldCharType="begin" w:fldLock="1"/>
      </w:r>
      <w:r w:rsidR="00C61FE8" w:rsidRPr="00DE5C02">
        <w:rPr>
          <w:lang w:eastAsia="zh-CN"/>
        </w:rPr>
        <w:instrText>ADDIN CSL_CITATION {"citationItems":[{"id":"ITEM-1","itemData":{"DOI":"10.1111/1365-2664.12085","ISBN":"1365-2664","ISSN":"00218901","abstract":"* Understanding and quantifying constraints to multiple ecosystem service delivery and biodiversity is vital for developing management strategies for current and future human well-being. A particular challenge is to reconcile demand for increased food production with provision of other ecosystem services and biodiversity. * Using a spatially extensive data base (covering Great Britain) of co-located biophysical measurements (collected in the Countryside Survey), we explore the relationships between ecosystem service indicators and biodiversity across a temperate ecosystem productivity gradient. * Each service indicator has an individual response curve demonstrating that simultaneous analysis of multiple ecosystem services is essential for optimal service management. The shape of the response curve can be used to indicate whether ‘land sharing’ (provision of multiple services from the same land parcel) or ‘land sparing’ (single service prioritization) is the most appropriate option. * Soil carbon storage and above-ground net primary production indicators were found to define opposing ends of a primary gradient in service provision. Biodiversity and water quality indicators were highest at intermediate levels of both factors, consistent with a unimodal relationship along a productivity gradient. * Positive relationships occurred between multiple components of biodiversity, measured as taxon richness of all plants, bee and butterfly nectar plants, soil invertebrates and freshwater macroinvertebrates, indicating potential for management measures directed at one aspect of biodiversity to deliver wider ecosystem biodiversity. * We demonstrate that in temperate, human-dominated landscapes, ecosystem services are highly constrained by a fundamental productivity gradient. There are immediate trade-offs between productivity and soil carbon storage but potential synergies with services with different shaped relationships to production. * Synthesis and applications. Using techniques such as response curves to analyse multiple service interactions can inform the development of Spatial Decision Support tools and landscape-scale ecosystem service management options. At intermediate productivity, ‘land-sharing’ would optimize multiple services, however, to deliver significant soil carbon storage ‘land-sparing’ is required, that is, resources focused in low productivity areas with high carbon to maximize investment return. This study emphasizes that targets for services…","author":[{"dropping-particle":"","family":"Maskell","given":"Lindsay C.","non-dropping-particle":"","parse-names":false,"suffix":""},{"dropping-particle":"","family":"Crowe","given":"Andrew","non-dropping-particle":"","parse-names":false,"suffix":""},{"dropping-particle":"","family":"Dunbar","given":"Michael J.","non-dropping-particle":"","parse-names":false,"suffix":""},{"dropping-particle":"","family":"Emmett","given":"Bridget","non-dropping-particle":"","parse-names":false,"suffix":""},{"dropping-particle":"","family":"Henrys","given":"Peter","non-dropping-particle":"","parse-names":false,"suffix":""},{"dropping-particle":"","family":"Keith","given":"Aidan M.","non-dropping-particle":"","parse-names":false,"suffix":""},{"dropping-particle":"","family":"Norton","given":"Lisa R.","non-dropping-particle":"","parse-names":false,"suffix":""},{"dropping-particle":"","family":"Scholefield","given":"Paul","non-dropping-particle":"","parse-names":false,"suffix":""},{"dropping-particle":"","family":"Clark","given":"Douglas B.","non-dropping-particle":"","parse-names":false,"suffix":""},{"dropping-particle":"","family":"Simpson","given":"Ian C.","non-dropping-particle":"","parse-names":false,"suffix":""},{"dropping-particle":"","family":"Smart","given":"Simon M.","non-dropping-particle":"","parse-names":false,"suffix":""}],"container-title":"Journal of Applied Ecology","id":"ITEM-1","issue":"3","issued":{"date-parts":[["2013"]]},"page":"561-571","title":"Exploring the ecological constraints to multiple ecosystem service delivery and biodiversity","type":"article-journal","volume":"50"},"uris":["http://www.mendeley.com/documents/?uuid=97c6a83c-8b95-4930-96a7-f2f7a243adf5"]}],"mendeley":{"formattedCitation":"&lt;sup&gt;74&lt;/sup&gt;","plainTextFormattedCitation":"74","previouslyFormattedCitation":"&lt;sup&gt;73&lt;/sup&gt;"},"properties":{"noteIndex":0},"schema":"https://github.com/citation-style-language/schema/raw/master/csl-citation.json"}</w:instrText>
      </w:r>
      <w:r w:rsidR="00897750" w:rsidRPr="00DE5C02">
        <w:rPr>
          <w:lang w:eastAsia="zh-CN"/>
        </w:rPr>
        <w:fldChar w:fldCharType="separate"/>
      </w:r>
      <w:r w:rsidR="00C61FE8" w:rsidRPr="00DE5C02">
        <w:rPr>
          <w:noProof/>
          <w:vertAlign w:val="superscript"/>
          <w:lang w:eastAsia="zh-CN"/>
        </w:rPr>
        <w:t>74</w:t>
      </w:r>
      <w:r w:rsidR="00897750" w:rsidRPr="00DE5C02">
        <w:rPr>
          <w:lang w:eastAsia="zh-CN"/>
        </w:rPr>
        <w:fldChar w:fldCharType="end"/>
      </w:r>
      <w:r w:rsidR="00897750" w:rsidRPr="00DE5C02">
        <w:rPr>
          <w:lang w:eastAsia="zh-CN"/>
        </w:rPr>
        <w:t>, and a negative linear relationship was found at the catchment level</w:t>
      </w:r>
      <w:r w:rsidR="00897750" w:rsidRPr="00DE5C02">
        <w:rPr>
          <w:lang w:eastAsia="zh-CN"/>
        </w:rPr>
        <w:fldChar w:fldCharType="begin" w:fldLock="1"/>
      </w:r>
      <w:r w:rsidR="00C61FE8" w:rsidRPr="00DE5C02">
        <w:rPr>
          <w:lang w:eastAsia="zh-CN"/>
        </w:rPr>
        <w:instrText>ADDIN CSL_CITATION {"citationItems":[{"id":"ITEM-1","itemData":{"DOI":"10.1016/j.scitotenv.2016.04.004","ISSN":"18791026","PMID":"27156120","abstract":"Improved understanding and prediction of the fundamental environmental controls on ecosystem service supply across the landscape will help to inform decisions made by policy makers and land-water managers. To evaluate this issue for a local catchment case study, we explored metrics and spatial patterns of service supply for water quality regulation, agriculture production, carbon storage, and biodiversity for the Macronutrient Conwy catchment. Methods included using ecosystem models such as LUCI and JULES, integration of national scale field survey datasets, earth observation products and plant trait databases, to produce finely resolved maps of species richness and primary production. Analyses were done with both 1 × 1 km gridded and subcatchment data. A common single gradient characterised catchment scale ecosystem services supply with agricultural production and carbon storage at opposing ends of the gradient as reported for a national-scale assessment. Species diversity was positively related to production due to the below national average productivity levels in the Conwy combined with the unimodal relationship between biodiversity and productivity at the national scale. In contrast to the national scale assessment, a strong reduction in water quality as production increased was observed in these low productive systems. Various soil variables were tested for their predictive power of ecosystem service supply. Soil carbon, nitrogen, their ratio and soil pH all had double the power of rainfall and altitude, each explaining around 45% of variation but soil pH is proposed as a potential metric for ecosystem service supply potential as it is a simple and practical metric which can be carried out in the field with crowd-sourcing technologies now available. The study emphasises the importance of considering multiple ecosystem services together due to the complexity of covariation at local and national scales, and the benefits of exploiting a wide range of metrics for each service to enhance data robustness.","author":[{"dropping-particle":"","family":"Emmett","given":"Bridget A.","non-dropping-particle":"","parse-names":false,"suffix":""},{"dropping-particle":"","family":"Cooper","given":"David","non-dropping-particle":"","parse-names":false,"suffix":""},{"dropping-particle":"","family":"Smart","given":"Simon","non-dropping-particle":"","parse-names":false,"suffix":""},{"dropping-particle":"","family":"Jackson","given":"Bethanna","non-dropping-particle":"","parse-names":false,"suffix":""},{"dropping-particle":"","family":"Thomas","given":"Amy","non-dropping-particle":"","parse-names":false,"suffix":""},{"dropping-particle":"","family":"Cosby","given":"Bernard","non-dropping-particle":"","parse-names":false,"suffix":""},{"dropping-particle":"","family":"Evans","given":"Chris","non-dropping-particle":"","parse-names":false,"suffix":""},{"dropping-particle":"","family":"Glanville","given":"Helen","non-dropping-particle":"","parse-names":false,"suffix":""},{"dropping-particle":"","family":"McDonald","given":"James E.","non-dropping-particle":"","parse-names":false,"suffix":""},{"dropping-particle":"","family":"Malham","given":"Shelagh K.","non-dropping-particle":"","parse-names":false,"suffix":""},{"dropping-particle":"","family":"Marshall","given":"Miles","non-dropping-particle":"","parse-names":false,"suffix":""},{"dropping-particle":"","family":"Jarvis","given":"Susan","non-dropping-particle":"","parse-names":false,"suffix":""},{"dropping-particle":"","family":"Rajko-Nenow","given":"Paulina","non-dropping-particle":"","parse-names":false,"suffix":""},{"dropping-particle":"","family":"Webb","given":"Gearoid P.","non-dropping-particle":"","parse-names":false,"suffix":""},{"dropping-particle":"","family":"Ward","given":"Sue","non-dropping-particle":"","parse-names":false,"suffix":""},{"dropping-particle":"","family":"Rowe","given":"Ed","non-dropping-particle":"","parse-names":false,"suffix":""},{"dropping-particle":"","family":"Jones","given":"Laurence","non-dropping-particle":"","parse-names":false,"suffix":""},{"dropping-particle":"","family":"Vanbergen","given":"Adam J.","non-dropping-particle":"","parse-names":false,"suffix":""},{"dropping-particle":"","family":"Keith","given":"Aidan","non-dropping-particle":"","parse-names":false,"suffix":""},{"dropping-particle":"","family":"Carter","given":"Heather","non-dropping-particle":"","parse-names":false,"suffix":""},{"dropping-particle":"","family":"Pereira","given":"M. Glória","non-dropping-particle":"","parse-names":false,"suffix":""},{"dropping-particle":"","family":"Hughes","given":"Steve","non-dropping-particle":"","parse-names":false,"suffix":""},{"dropping-particle":"","family":"Lebron","given":"Inma","non-dropping-particle":"","parse-names":false,"suffix":""},{"dropping-particle":"","family":"Wade","given":"Andrew","non-dropping-particle":"","parse-names":false,"suffix":""},{"dropping-particle":"","family":"Jones","given":"David L.","non-dropping-particle":"","parse-names":false,"suffix":""}],"container-title":"Science of the Total Environment","id":"ITEM-1","issued":{"date-parts":[["2016"]]},"page":"1586-1600","publisher":"Elsevier B.V.","title":"Spatial patterns and environmental constraints on ecosystem services at a catchment scale","type":"article-journal","volume":"572"},"uris":["http://www.mendeley.com/documents/?uuid=09f4d404-3f3f-48b5-980f-cbb8f3bf590c"]}],"mendeley":{"formattedCitation":"&lt;sup&gt;75&lt;/sup&gt;","plainTextFormattedCitation":"75","previouslyFormattedCitation":"&lt;sup&gt;74&lt;/sup&gt;"},"properties":{"noteIndex":0},"schema":"https://github.com/citation-style-language/schema/raw/master/csl-citation.json"}</w:instrText>
      </w:r>
      <w:r w:rsidR="00897750" w:rsidRPr="00DE5C02">
        <w:rPr>
          <w:lang w:eastAsia="zh-CN"/>
        </w:rPr>
        <w:fldChar w:fldCharType="separate"/>
      </w:r>
      <w:r w:rsidR="00C61FE8" w:rsidRPr="00DE5C02">
        <w:rPr>
          <w:noProof/>
          <w:vertAlign w:val="superscript"/>
          <w:lang w:eastAsia="zh-CN"/>
        </w:rPr>
        <w:t>75</w:t>
      </w:r>
      <w:r w:rsidR="00897750" w:rsidRPr="00DE5C02">
        <w:rPr>
          <w:lang w:eastAsia="zh-CN"/>
        </w:rPr>
        <w:fldChar w:fldCharType="end"/>
      </w:r>
      <w:r w:rsidR="00897750" w:rsidRPr="00DE5C02">
        <w:rPr>
          <w:lang w:eastAsia="zh-CN"/>
        </w:rPr>
        <w:t xml:space="preserve">. </w:t>
      </w:r>
      <w:r w:rsidR="00897750" w:rsidRPr="00DE5C02">
        <w:t xml:space="preserve">Whilst these results appear contradictory, they are entirely consistent: the smaller extent of the catchment-level study captured only a subset of the range of the national productivity gradient, falling in the right-hand side of the quadratic curve observed at the national scale. </w:t>
      </w:r>
      <w:r w:rsidR="00593E61" w:rsidRPr="00DE5C02">
        <w:t xml:space="preserve">Therefore, the effect maps created in </w:t>
      </w:r>
      <w:r w:rsidR="005D39E6" w:rsidRPr="00DE5C02">
        <w:t>the final step</w:t>
      </w:r>
      <w:r w:rsidR="00593E61" w:rsidRPr="00DE5C02">
        <w:t xml:space="preserve"> must not map the effects of drivers beyond their sampled ranges. </w:t>
      </w:r>
      <w:r w:rsidR="00897750" w:rsidRPr="00DE5C02">
        <w:t>In our case study of rhododendron establishment, we note that the NFI limits sampling to woodland plots only, so we cannot make inference</w:t>
      </w:r>
      <w:r w:rsidR="000109B9" w:rsidRPr="00DE5C02">
        <w:t>s</w:t>
      </w:r>
      <w:r w:rsidR="00897750" w:rsidRPr="00DE5C02">
        <w:t xml:space="preserve"> about the effects of drivers on rhododendron</w:t>
      </w:r>
      <w:r w:rsidR="005757B3" w:rsidRPr="00DE5C02">
        <w:t xml:space="preserve"> establishment</w:t>
      </w:r>
      <w:r w:rsidR="00897750" w:rsidRPr="00DE5C02">
        <w:t xml:space="preserve"> in other focal ecosystems, such as heathland. As for regional gradients, we do not extend our inference beyond the range of the regional drivers sampled by the NFI </w:t>
      </w:r>
      <w:r w:rsidR="004B1A87" w:rsidRPr="00DE5C02">
        <w:t xml:space="preserve">or Countryside </w:t>
      </w:r>
      <w:r w:rsidR="000109B9" w:rsidRPr="00DE5C02">
        <w:t xml:space="preserve">Survey </w:t>
      </w:r>
      <w:r w:rsidR="00897750" w:rsidRPr="00DE5C02">
        <w:t>(the effect map</w:t>
      </w:r>
      <w:r w:rsidR="004B1A87" w:rsidRPr="00DE5C02">
        <w:t>s</w:t>
      </w:r>
      <w:r w:rsidR="00897750" w:rsidRPr="00DE5C02">
        <w:t xml:space="preserve"> in </w:t>
      </w:r>
      <w:r w:rsidR="006B639C" w:rsidRPr="00DE5C02">
        <w:t>Figure 2</w:t>
      </w:r>
      <w:r w:rsidR="00897750" w:rsidRPr="00DE5C02">
        <w:t xml:space="preserve"> contains missing raster cells corresponding to values beyond the sampled range, and missing data).</w:t>
      </w:r>
    </w:p>
    <w:p w14:paraId="5A2355D5" w14:textId="5D75767B" w:rsidR="00A57E41" w:rsidRPr="00DE5C02" w:rsidRDefault="007B24A1" w:rsidP="008A2739">
      <w:bookmarkStart w:id="23" w:name="_Toc517431829"/>
      <w:bookmarkStart w:id="24" w:name="_Toc517421414"/>
      <w:r w:rsidRPr="00DE5C02">
        <w:t>A</w:t>
      </w:r>
      <w:r w:rsidR="009A281A" w:rsidRPr="00DE5C02">
        <w:t xml:space="preserve"> key strength of our framework is that it enables us to understand – not just control</w:t>
      </w:r>
      <w:r w:rsidR="006C4A51" w:rsidRPr="00DE5C02">
        <w:t xml:space="preserve"> for</w:t>
      </w:r>
      <w:r w:rsidR="009A281A" w:rsidRPr="00DE5C02">
        <w:t xml:space="preserve"> </w:t>
      </w:r>
      <w:r w:rsidR="000E337F" w:rsidRPr="00DE5C02">
        <w:t xml:space="preserve">– </w:t>
      </w:r>
      <w:r w:rsidR="009A281A" w:rsidRPr="00DE5C02">
        <w:t>interactions</w:t>
      </w:r>
      <w:r w:rsidR="008C12D2" w:rsidRPr="00DE5C02">
        <w:t>.</w:t>
      </w:r>
      <w:r w:rsidR="00D8691A" w:rsidRPr="00DE5C02">
        <w:t xml:space="preserve"> </w:t>
      </w:r>
      <w:r w:rsidR="003401BE" w:rsidRPr="00DE5C02">
        <w:t>Mechanistically</w:t>
      </w:r>
      <w:r w:rsidR="00B14E67" w:rsidRPr="00DE5C02">
        <w:t xml:space="preserve"> understanding the hypothesised interactions between drivers at multiple scales (cross-scale interactions) requires that there is not only sufficient sampling across the gradient of the local and landscape-level drivers of interest (the focal drivers)</w:t>
      </w:r>
      <w:r w:rsidR="00B14E67" w:rsidRPr="00DE5C02">
        <w:fldChar w:fldCharType="begin" w:fldLock="1"/>
      </w:r>
      <w:r w:rsidR="00C61FE8" w:rsidRPr="00DE5C02">
        <w:instrText>ADDIN CSL_CITATION {"citationItems":[{"id":"ITEM-1","itemData":{"DOI":"10.1016/j.biocon.2010.09.007","ISBN":"0006-3207","ISSN":"00063207","abstract":"Landscape-scale processes (e.g. habitat loss) are major drivers of the global biodiversity crisis, but the complexity and size of landscapes makes study design at this scale difficult. However, the impact of statistical problems associated with sub-optimal study design on inferences drawn from landscape-scale studies is poorly understood. Here, we examine how three common statistical 'pitfalls' associated with sub-optimal study design - (1) using landscapes that overlap in space; (2) using only a portion of the potential range of the landscape predictor variable(s) of interest; (3) failing to account for correlations among landscape predictor variables - affect the inferred relationships between the abundances of six species of anurans and the amount of forest in the landscape using a large (n = 1141) empirical dataset from Wisconsin and Michigan, USA. We show that sub-optimal study design alone can be sufficient to cause a switch in the sign of the inferred relationship between a species response and landscape structure, and that using only a portion of the potential range of a predictor variable, and correlations between predictor variables, are particularly likely to affect inferences. Our results also provide the first evidence of a non-monotonic relationship between forest amount and gray treefrog abundance, and suggest that inconsistencies in the literature about the inferred relationships between anuran presence/abundance and forest amount in the Great Lakes basin are likely largely due to sampling design issues. Increased attention to study design is therefore necessary for the development of robust generalizations in landscape ecology. ?? 2010 Elsevier Ltd.","author":[{"dropping-particle":"","family":"Eigenbrod","given":"Felix","non-dropping-particle":"","parse-names":false,"suffix":""},{"dropping-particle":"","family":"Hecnar","given":"Stephen J.","non-dropping-particle":"","parse-names":false,"suffix":""},{"dropping-particle":"","family":"Fahrig","given":"Lenore","non-dropping-particle":"","parse-names":false,"suffix":""}],"container-title":"Biological Conservation","id":"ITEM-1","issue":"1","issued":{"date-parts":[["2011"]]},"page":"298-305","publisher":"Elsevier Ltd","title":"Sub-optimal study design has major impacts on landscape-scale inference","type":"article-journal","volume":"144"},"uris":["http://www.mendeley.com/documents/?uuid=63852f3c-5c43-434e-973b-e00f2b6c1063"]}],"mendeley":{"formattedCitation":"&lt;sup&gt;76&lt;/sup&gt;","plainTextFormattedCitation":"76","previouslyFormattedCitation":"&lt;sup&gt;75&lt;/sup&gt;"},"properties":{"noteIndex":0},"schema":"https://github.com/citation-style-language/schema/raw/master/csl-citation.json"}</w:instrText>
      </w:r>
      <w:r w:rsidR="00B14E67" w:rsidRPr="00DE5C02">
        <w:fldChar w:fldCharType="separate"/>
      </w:r>
      <w:r w:rsidR="00C61FE8" w:rsidRPr="00DE5C02">
        <w:rPr>
          <w:noProof/>
          <w:vertAlign w:val="superscript"/>
        </w:rPr>
        <w:t>76</w:t>
      </w:r>
      <w:r w:rsidR="00B14E67" w:rsidRPr="00DE5C02">
        <w:fldChar w:fldCharType="end"/>
      </w:r>
      <w:r w:rsidR="00B14E67" w:rsidRPr="00DE5C02">
        <w:t>, but also that the full range of these drivers are represented across the regional gradient in question (the moderating driver)</w:t>
      </w:r>
      <w:r w:rsidR="00B14E67" w:rsidRPr="00DE5C02">
        <w:fldChar w:fldCharType="begin" w:fldLock="1"/>
      </w:r>
      <w:r w:rsidR="00B81E3F" w:rsidRPr="00DE5C02">
        <w:instrText>ADDIN CSL_CITATION {"citationItems":[{"id":"ITEM-1","itemData":{"DOI":"10.1890/070098","ISBN":"1540-9295","ISSN":"15409295","abstract":"The global environment is changing rapidly, as the result of factors that act at multiple spatial and temporal \\nscales. It is now clear that local processes can affect broad-scale ecological dynamics, and that broad-scale dri- \\nvers can overwhelm local patterns and processes. Understanding these cross-scale interactions requires a con- \\nceptual framework based on connectivity in material and information flow across scales. In this introductory \\npaper to Frontiers’ Special Issue on Continental-scale ecology in an increasingly connected world, we (1) discuss \\na multi-scale framework, including the key drivers and consequences of connectivity acting across spatial and \\ntemporal scales, (2) provide a series of testable hypotheses, predictions, and an approach, and (3) propose the \\ndevelopment of a “network of networks”, which would take advantage of existing research facilities and \\ncyberinfrastructure. This unique framework and associated technology will enable us to better forecast global \\nenvironmental change at multiple spatial scales, from local sites to regions and continents.","author":[{"dropping-particle":"","family":"Peters","given":"Debra P C","non-dropping-particle":"","parse-names":false,"suffix":""},{"dropping-particle":"","family":"Groffman","given":"Peter M.","non-dropping-particle":"","parse-names":false,"suffix":""},{"dropping-particle":"","family":"Nadelhoffer","given":"Knute J.","non-dropping-particle":"","parse-names":false,"suffix":""},{"dropping-particle":"","family":"Grimm","given":"Nancy B.","non-dropping-particle":"","parse-names":false,"suffix":""},{"dropping-particle":"","family":"Collins","given":"Scott L.","non-dropping-particle":"","parse-names":false,"suffix":""},{"dropping-particle":"","family":"Michener","given":"William K.","non-dropping-particle":"","parse-names":false,"suffix":""},{"dropping-particle":"","family":"Huston","given":"Michael A.","non-dropping-particle":"","parse-names":false,"suffix":""}],"container-title":"Frontiers in Ecology and the Environment","id":"ITEM-1","issue":"5","issued":{"date-parts":[["2008"]]},"page":"229-237","title":"Living in an increasingly connected world: A framework for continental-scale environmental science","type":"article-journal","volume":"6"},"uris":["http://www.mendeley.com/documents/?uuid=5c6d0bc5-d079-4acf-b5bb-7378e700fe66"]}],"mendeley":{"formattedCitation":"&lt;sup&gt;33&lt;/sup&gt;","plainTextFormattedCitation":"33","previouslyFormattedCitation":"&lt;sup&gt;33&lt;/sup&gt;"},"properties":{"noteIndex":0},"schema":"https://github.com/citation-style-language/schema/raw/master/csl-citation.json"}</w:instrText>
      </w:r>
      <w:r w:rsidR="00B14E67" w:rsidRPr="00DE5C02">
        <w:fldChar w:fldCharType="separate"/>
      </w:r>
      <w:r w:rsidR="00173667" w:rsidRPr="00DE5C02">
        <w:rPr>
          <w:noProof/>
          <w:vertAlign w:val="superscript"/>
        </w:rPr>
        <w:t>33</w:t>
      </w:r>
      <w:r w:rsidR="00B14E67" w:rsidRPr="00DE5C02">
        <w:fldChar w:fldCharType="end"/>
      </w:r>
      <w:r w:rsidR="00567BA1" w:rsidRPr="00DE5C02">
        <w:t xml:space="preserve"> </w:t>
      </w:r>
      <w:r w:rsidR="00B14E67" w:rsidRPr="00DE5C02">
        <w:t>. If a focal driver is not well represented across the range of a moderator, it is more difficult to distinguish whether an apparent interaction is due to a true interaction, or because of between-region differences in the range of the focal driver</w:t>
      </w:r>
      <w:r w:rsidR="003670C8" w:rsidRPr="00DE5C02">
        <w:t>. This is particularly important</w:t>
      </w:r>
      <w:r w:rsidR="00B14E67" w:rsidRPr="00DE5C02">
        <w:t xml:space="preserve"> if the shape of the relationship, whether linear, asymptotic or quadratic, changes with the moderator driver among different regional contexts</w:t>
      </w:r>
      <w:r w:rsidR="00B14E67" w:rsidRPr="00DE5C02">
        <w:fldChar w:fldCharType="begin" w:fldLock="1"/>
      </w:r>
      <w:r w:rsidR="006821F3" w:rsidRPr="00DE5C02">
        <w:instrText>ADDIN CSL_CITATION {"citationItems":[{"id":"ITEM-1","itemData":{"DOI":"10.1016/j.ecolind.2012.01.022","ISBN":"1470-160X","ISSN":"1470160X","abstract":"Ways of reducing the drivers of global biodiversity loss and degradation of ecosystem services are needed more than ever before. Policy options must be based on the best evidence of the role of multiple driving forces. Increasingly, a significant part of the evidence base comes from attributing signals of biological change detected in large-scale analytical surveys to a range of possible causal factors. We highlight a number of subtle difficulties that can beset the challenge of detecting such correlative relationships. These are as follows: (1) The Modifiable Area Unit Problem. (2) Incomplete explanatory variable data. (3) Lack of control over the replication and crossing of driving variables. In most cases these problems can be avoided by more careful specification of the scientific question and application of relatively new analytical techniques. Ignoring them can lead to mis-specification of hypothesised driver-state-impact relationships and flawed conclusions as to the most important causes of change. © 2012 Elsevier Ltd.","author":[{"dropping-particle":"","family":"Smart","given":"S. M.","non-dropping-particle":"","parse-names":false,"suffix":""},{"dropping-particle":"","family":"Henrys","given":"P. A.","non-dropping-particle":"","parse-names":false,"suffix":""},{"dropping-particle":"V.","family":"Purse","given":"B.","non-dropping-particle":"","parse-names":false,"suffix":""},{"dropping-particle":"","family":"Murphy","given":"J. M.","non-dropping-particle":"","parse-names":false,"suffix":""},{"dropping-particle":"","family":"Bailey","given":"M. J.","non-dropping-particle":"","parse-names":false,"suffix":""},{"dropping-particle":"","family":"Marrs","given":"R. H.","non-dropping-particle":"","parse-names":false,"suffix":""}],"container-title":"Ecological Indicators","id":"ITEM-1","issued":{"date-parts":[["2012"]]},"page":"51-56","publisher":"Elsevier Ltd","title":"Clarity or confusion? - Problems in attributing large-scale ecological changes to anthropogenic drivers","type":"article-journal","volume":"20"},"uris":["http://www.mendeley.com/documents/?uuid=44e177c4-6b79-475e-a616-bf00de56ab40"]}],"mendeley":{"formattedCitation":"&lt;sup&gt;14&lt;/sup&gt;","plainTextFormattedCitation":"14","previouslyFormattedCitation":"&lt;sup&gt;14&lt;/sup&gt;"},"properties":{"noteIndex":0},"schema":"https://github.com/citation-style-language/schema/raw/master/csl-citation.json"}</w:instrText>
      </w:r>
      <w:r w:rsidR="00B14E67" w:rsidRPr="00DE5C02">
        <w:fldChar w:fldCharType="separate"/>
      </w:r>
      <w:r w:rsidR="00A801AF" w:rsidRPr="00DE5C02">
        <w:rPr>
          <w:noProof/>
          <w:vertAlign w:val="superscript"/>
        </w:rPr>
        <w:t>14</w:t>
      </w:r>
      <w:r w:rsidR="00B14E67" w:rsidRPr="00DE5C02">
        <w:fldChar w:fldCharType="end"/>
      </w:r>
      <w:r w:rsidR="00B14E67" w:rsidRPr="00DE5C02">
        <w:t>. Without strong inference, one could make misleading conclusions about the changing importance of a driver. For discrete regions and drivers, representation can be ensured by checking the data have a cross-factored structure</w:t>
      </w:r>
      <w:r w:rsidR="00B14E67" w:rsidRPr="00DE5C02">
        <w:fldChar w:fldCharType="begin" w:fldLock="1"/>
      </w:r>
      <w:r w:rsidR="00C61FE8" w:rsidRPr="00DE5C02">
        <w:instrText>ADDIN CSL_CITATION {"citationItems":[{"id":"ITEM-1","itemData":{"DOI":"10.1111/j.2041-210X.2009.00001.x","ISBN":"2041210X","ISSN":"2041210X","PMID":"18401120","abstract":"1. While teaching statistics to ecologists, the lead authors of this paper have noticed common statistical problems. If a random sample of their work (including scientific papers) produced before doing these courses were selected, half would probably contain violations of the underlying assumptions of the statistical techniques employed. 2. Some violations have little impact on the results or ecological conclusions; yet others increase type I or type II errors, potentially resulting in wrong ecological conclusions. Most of these violations can be avoided by applying better data exploration. These problems are especially troublesome in applied ecology, where management and policy decisions are often at stake. 3. Here, we provide a protocol for data exploration; discuss current tools to detect outliers, heterogeneity of variance, collinearity, dependence of observations, problems with interactions, double zeros in multivariate analysis, zero inflation in generalized linear modelling, and the correct type of relationships between dependent and independent variables; and provide advice on how to address these problems when they arise. We also address misconceptions about normality, and provide advice on data transformations. 4. Data exploration avoids type I and type II errors, among other problems, thereby reducing the chance of making wrong ecological conclusions and poor recommendations. It is therefore essential for good quality management and policy based on statistical analyses.","author":[{"dropping-particle":"","family":"Zuur","given":"Alain F.","non-dropping-particle":"","parse-names":false,"suffix":""},{"dropping-particle":"","family":"Ieno","given":"Elena N.","non-dropping-particle":"","parse-names":false,"suffix":""},{"dropping-particle":"","family":"Elphick","given":"Chris S.","non-dropping-particle":"","parse-names":false,"suffix":""}],"container-title":"Methods in Ecology and Evolution","id":"ITEM-1","issue":"1","issued":{"date-parts":[["2010"]]},"page":"3-14","title":"A protocol for data exploration to avoid common statistical problems","type":"article-journal","volume":"1"},"uris":["http://www.mendeley.com/documents/?uuid=253024a4-9186-427a-b5ee-8c3f9f56ee81"]}],"mendeley":{"formattedCitation":"&lt;sup&gt;77&lt;/sup&gt;","plainTextFormattedCitation":"77","previouslyFormattedCitation":"&lt;sup&gt;76&lt;/sup&gt;"},"properties":{"noteIndex":0},"schema":"https://github.com/citation-style-language/schema/raw/master/csl-citation.json"}</w:instrText>
      </w:r>
      <w:r w:rsidR="00B14E67" w:rsidRPr="00DE5C02">
        <w:fldChar w:fldCharType="separate"/>
      </w:r>
      <w:r w:rsidR="00C61FE8" w:rsidRPr="00DE5C02">
        <w:rPr>
          <w:noProof/>
          <w:vertAlign w:val="superscript"/>
        </w:rPr>
        <w:t>77</w:t>
      </w:r>
      <w:r w:rsidR="00B14E67" w:rsidRPr="00DE5C02">
        <w:fldChar w:fldCharType="end"/>
      </w:r>
      <w:r w:rsidR="00B14E67" w:rsidRPr="00DE5C02">
        <w:t xml:space="preserve">. For continuous regions and drivers, or a mixture of continuous and discrete variables, this can be </w:t>
      </w:r>
      <w:r w:rsidR="00D50E1C" w:rsidRPr="00DE5C02">
        <w:t xml:space="preserve">done </w:t>
      </w:r>
      <w:r w:rsidR="00B14E67" w:rsidRPr="00DE5C02">
        <w:t>by checking that regression assumptions are met</w:t>
      </w:r>
      <w:r w:rsidR="00D50E1C" w:rsidRPr="00DE5C02">
        <w:t xml:space="preserve"> </w:t>
      </w:r>
      <w:r w:rsidR="00B14E67" w:rsidRPr="00DE5C02">
        <w:t>and</w:t>
      </w:r>
      <w:r w:rsidR="00D50E1C" w:rsidRPr="00DE5C02">
        <w:t xml:space="preserve"> by</w:t>
      </w:r>
      <w:r w:rsidR="00B14E67" w:rsidRPr="00DE5C02">
        <w:t xml:space="preserve"> visually </w:t>
      </w:r>
      <w:r w:rsidR="00D50E1C" w:rsidRPr="00DE5C02">
        <w:t>assessing</w:t>
      </w:r>
      <w:r w:rsidR="00B14E67" w:rsidRPr="00DE5C02">
        <w:t xml:space="preserve"> scatterplots and histograms.</w:t>
      </w:r>
      <w:bookmarkEnd w:id="23"/>
      <w:r w:rsidR="00B14E67" w:rsidRPr="00DE5C02">
        <w:t xml:space="preserve"> </w:t>
      </w:r>
      <w:bookmarkEnd w:id="24"/>
    </w:p>
    <w:p w14:paraId="239A035E" w14:textId="135A1FF4" w:rsidR="00897750" w:rsidRPr="00DE5C02" w:rsidRDefault="008A2739" w:rsidP="00072C7E">
      <w:pPr>
        <w:pStyle w:val="Heading3"/>
      </w:pPr>
      <w:bookmarkStart w:id="25" w:name="_Toc517421415"/>
      <w:bookmarkStart w:id="26" w:name="_Toc517431830"/>
      <w:r w:rsidRPr="00DE5C02">
        <w:t>T</w:t>
      </w:r>
      <w:r w:rsidR="00897750" w:rsidRPr="00DE5C02">
        <w:t>owards multifunctional landscapes</w:t>
      </w:r>
      <w:bookmarkEnd w:id="25"/>
      <w:bookmarkEnd w:id="26"/>
    </w:p>
    <w:p w14:paraId="7F2B82E7" w14:textId="4AF44051" w:rsidR="006A65CB" w:rsidRPr="00DE5C02" w:rsidRDefault="00897750">
      <w:r w:rsidRPr="00DE5C02">
        <w:t xml:space="preserve">A question at the frontier of </w:t>
      </w:r>
      <w:r w:rsidR="00BC2DF3" w:rsidRPr="00DE5C02">
        <w:t xml:space="preserve">sustainability science </w:t>
      </w:r>
      <w:r w:rsidRPr="00DE5C02">
        <w:t xml:space="preserve">and </w:t>
      </w:r>
      <w:r w:rsidR="00BC2DF3" w:rsidRPr="00DE5C02">
        <w:t xml:space="preserve">landscape ecology </w:t>
      </w:r>
      <w:r w:rsidRPr="00DE5C02">
        <w:t>is concerned with whether certain landscape patterns at multiple scales result in synergies</w:t>
      </w:r>
      <w:r w:rsidR="00062920" w:rsidRPr="00DE5C02">
        <w:t xml:space="preserve"> </w:t>
      </w:r>
      <w:r w:rsidR="00BC2DF3" w:rsidRPr="00DE5C02">
        <w:t xml:space="preserve">or </w:t>
      </w:r>
      <w:r w:rsidR="00062920" w:rsidRPr="00DE5C02">
        <w:t>trade-offs</w:t>
      </w:r>
      <w:r w:rsidRPr="00DE5C02">
        <w:t xml:space="preserve"> among multiple ES</w:t>
      </w:r>
      <w:r w:rsidRPr="00DE5C02">
        <w:fldChar w:fldCharType="begin" w:fldLock="1"/>
      </w:r>
      <w:r w:rsidR="006821F3" w:rsidRPr="00DE5C02">
        <w:instrText>ADDIN CSL_CITATION {"citationItems":[{"id":"ITEM-1","itemData":{"DOI":"10.1007/s10980-012-9794-4","ISBN":"0921-2973","ISSN":"09212973","abstract":"Over the last decade we have seen an increased emphasis in environmental management and policies aimed at maintaining and restoring multiple ecosystem services at landscape scales. This emphasis has resulted from the recognition that management of specific environmental targets and ecosystem services requires an understanding of landscape processes and the spatial scales that maintain those targets and services. Moreover, we have become increasingly aware of the influence of broad-scale drivers such as climate change on landscape processes and the ecosystem services they support. Studies and assessments on the relative success of environmental policies and landscape designs in maintaining landscape processes and ecosystem services is mostly lacking. This likely reflects the relatively high cost of maintaining a commitment to implement and maintain monitoring programs that document responses of landscape processes and ecosystem services to different landscape policies and designs. However, we argue that there is considerable variation in natural and human-caused landscape pattern at local to continental scales and that this variation may facilitate analyses of how environmental targets and ecosystem services have responded to such patterns. Moreover, wall-to-wall spatial data on land cover and land use at national scales may permit characterization and mapping of different landscape pattern gradients. We discuss four broad and interrelated focus areas that should enhance our understanding of how landscape pattern influences ecosystem services: (1) characterizing and mapping landscape pattern gradients; (2) quantifying relationships between landscape patterns and environmental targets and ecosystem services, (3) evaluating landscape patterns with regards to multiple ecosystem services, and (4) applying adaptive management concepts to improve the effectiveness of specific landscape designs in sustaining ecosystem services. We discuss opportunities as well as challenges in each of these four areas. We believe that this agenda could lead to spatially explicit solutions in managing a range of environmental targets and ecosystem services. Spatially explicit options are critical in managing and protecting landscapes, especially given that communities and organizations are often limited in their capacity to make changes at landscape scales. The issues and potential solutions discussed in this paper expand upon the call by Nassauer and Opdam (Landscape Ecol 23:63…","author":[{"dropping-particle":"","family":"Jones","given":"K. Bruce","non-dropping-particle":"","parse-names":false,"suffix":""},{"dropping-particle":"","family":"Zurlini","given":"Giovanni","non-dropping-particle":"","parse-names":false,"suffix":""},{"dropping-particle":"","family":"Kienast","given":"Felix","non-dropping-particle":"","parse-names":false,"suffix":""},{"dropping-particle":"","family":"Petrosillo","given":"Irene","non-dropping-particle":"","parse-names":false,"suffix":""},{"dropping-particle":"","family":"Edwards","given":"Thomas","non-dropping-particle":"","parse-names":false,"suffix":""},{"dropping-particle":"","family":"Wade","given":"Timothy G.","non-dropping-particle":"","parse-names":false,"suffix":""},{"dropping-particle":"","family":"Li","given":"Bai lian","non-dropping-particle":"","parse-names":false,"suffix":""},{"dropping-particle":"","family":"Zaccarelli","given":"Nicola","non-dropping-particle":"","parse-names":false,"suffix":""}],"container-title":"Landscape Ecology","id":"ITEM-1","issue":"6","issued":{"date-parts":[["2013"]]},"page":"1175-1192","title":"Informing landscape planning and design for sustaining ecosystem services from existing spatial patterns and knowledge","type":"article-journal","volume":"28"},"uris":["http://www.mendeley.com/documents/?uuid=62a85745-ad07-4afe-bb2d-3fd6e21a36b3"]}],"mendeley":{"formattedCitation":"&lt;sup&gt;13&lt;/sup&gt;","plainTextFormattedCitation":"13","previouslyFormattedCitation":"&lt;sup&gt;13&lt;/sup&gt;"},"properties":{"noteIndex":0},"schema":"https://github.com/citation-style-language/schema/raw/master/csl-citation.json"}</w:instrText>
      </w:r>
      <w:r w:rsidRPr="00DE5C02">
        <w:fldChar w:fldCharType="separate"/>
      </w:r>
      <w:r w:rsidR="00A801AF" w:rsidRPr="00DE5C02">
        <w:rPr>
          <w:noProof/>
          <w:vertAlign w:val="superscript"/>
        </w:rPr>
        <w:t>13</w:t>
      </w:r>
      <w:r w:rsidRPr="00DE5C02">
        <w:fldChar w:fldCharType="end"/>
      </w:r>
      <w:r w:rsidRPr="00DE5C02">
        <w:rPr>
          <w:vertAlign w:val="superscript"/>
        </w:rPr>
        <w:t>,</w:t>
      </w:r>
      <w:r w:rsidRPr="00DE5C02">
        <w:fldChar w:fldCharType="begin" w:fldLock="1"/>
      </w:r>
      <w:r w:rsidR="00C61FE8" w:rsidRPr="00DE5C02">
        <w:instrText>ADDIN CSL_CITATION {"citationItems":[{"id":"ITEM-1","itemData":{"ISBN":"978-1-4939-2794-4","author":[{"dropping-particle":"","family":"Turner","given":"M.G.","non-dropping-particle":"","parse-names":false,"suffix":""},{"dropping-particle":"","family":"Gardner","given":"R.H.","non-dropping-particle":"","parse-names":false,"suffix":""}],"id":"ITEM-1","issued":{"date-parts":[["2015"]]},"publisher":"Springer-Verlag New York","title":"Landscape Ecology in Theory and Practice. Pattern and Process","type":"book"},"uris":["http://www.mendeley.com/documents/?uuid=00b4f044-b9f8-47c5-adc4-391e77c0e337"]},{"id":"ITEM-2","itemData":{"DOI":"10.1007/s10980-012-9741-4","ISBN":"0921-2973","ISSN":"09212973","abstract":"Changes in key drivers (e.g., climate, distur- bance regimes and land use)may affect the sustainability of forest landscapesandset the stagefor increasedtension amongcompeting ecosystemservices.We addressedtwo questions about a suite of supporting, regulating and provisioning ecosystem services in each of two well- studied forest landscapes in the western US: (1) How might the provision of ecosystem services change in the future given anticipated trajectories of climate, distur- bance regimes, and land use? (2) What is the role of spatial heterogeneity in sustaining future ecosystem services? We determined that future changes in each region are likely to be distinct, but spatial heterogeneity (e.g., the amount and arrangement of surviving forest patches or legacy trees after disturbance) will be important in both landscapes for sustaining forest regeneration, primary production, carbon storage, natural hazard regulation, insect and pathogen regulation, timber production and wildlife habitat. The paper closes by highlighting five general priorities for future research. The science of landscape ecology hasmuch to contribute toward understanding ecosystem services and how land management can enhance—or threaten—the sustainabil- ity of ecosystem services in changing landscapes.","author":[{"dropping-particle":"","family":"Turner","given":"Monica G.","non-dropping-particle":"","parse-names":false,"suffix":""},{"dropping-particle":"","family":"Donato","given":"Daniel C.","non-dropping-particle":"","parse-names":false,"suffix":""},{"dropping-particle":"","family":"Romme","given":"William H.","non-dropping-particle":"","parse-names":false,"suffix":""}],"container-title":"Landscape Ecology","id":"ITEM-2","issue":"6","issued":{"date-parts":[["2013"]]},"page":"1081-1097","title":"Consequences of spatial heterogeneity for ecosystem services in changing forest landscapes: Priorities for future research","type":"article-journal","volume":"28"},"uris":["http://www.mendeley.com/documents/?uuid=4fc0672f-2ea8-4e9f-b91d-3155c1809640"]}],"mendeley":{"formattedCitation":"&lt;sup&gt;63,64&lt;/sup&gt;","plainTextFormattedCitation":"63,64","previouslyFormattedCitation":"&lt;sup&gt;62,63&lt;/sup&gt;"},"properties":{"noteIndex":0},"schema":"https://github.com/citation-style-language/schema/raw/master/csl-citation.json"}</w:instrText>
      </w:r>
      <w:r w:rsidRPr="00DE5C02">
        <w:fldChar w:fldCharType="separate"/>
      </w:r>
      <w:r w:rsidR="00C61FE8" w:rsidRPr="00DE5C02">
        <w:rPr>
          <w:noProof/>
          <w:vertAlign w:val="superscript"/>
        </w:rPr>
        <w:t>63,64</w:t>
      </w:r>
      <w:r w:rsidRPr="00DE5C02">
        <w:fldChar w:fldCharType="end"/>
      </w:r>
      <w:r w:rsidRPr="00DE5C02">
        <w:t>.  For example, do agri-environment schemes, which aim to balance conservation and agriculture, lead to enhance</w:t>
      </w:r>
      <w:r w:rsidR="00062920" w:rsidRPr="00DE5C02">
        <w:t>d</w:t>
      </w:r>
      <w:r w:rsidRPr="00DE5C02">
        <w:t xml:space="preserve"> yield through pest control, </w:t>
      </w:r>
      <w:r w:rsidR="00062920" w:rsidRPr="00DE5C02">
        <w:t>in addition to</w:t>
      </w:r>
      <w:r w:rsidR="008F64EB" w:rsidRPr="00DE5C02">
        <w:t xml:space="preserve"> improving</w:t>
      </w:r>
      <w:r w:rsidRPr="00DE5C02">
        <w:t xml:space="preserve"> water quality and </w:t>
      </w:r>
      <w:r w:rsidR="008F64EB" w:rsidRPr="00DE5C02">
        <w:t xml:space="preserve">maintaining </w:t>
      </w:r>
      <w:r w:rsidRPr="00DE5C02">
        <w:t xml:space="preserve">biodiversity? </w:t>
      </w:r>
      <w:r w:rsidRPr="00DE5C02">
        <w:rPr>
          <w:lang w:eastAsia="zh-CN"/>
        </w:rPr>
        <w:t>The most common way to infer trade-offs and synergies between ES has been from spatial overlays of ES indicators, that have been harmonised to a common grain, using bivariate or multivariate analyses to identify ES bundles</w:t>
      </w:r>
      <w:r w:rsidRPr="00DE5C02">
        <w:rPr>
          <w:lang w:eastAsia="zh-CN"/>
        </w:rPr>
        <w:fldChar w:fldCharType="begin" w:fldLock="1"/>
      </w:r>
      <w:r w:rsidR="00C61FE8" w:rsidRPr="00DE5C02">
        <w:rPr>
          <w:lang w:eastAsia="zh-CN"/>
        </w:rPr>
        <w:instrText>ADDIN CSL_CITATION {"citationItems":[{"id":"ITEM-1","itemData":{"DOI":"10.1073/pnas.0907284107","ISBN":"0027-8424","ISSN":"1091-6490","PMID":"20194739","abstract":"A key challenge of ecosystem management is determining how to manage multiple ecosystem services across landscapes. Enhancing important provisioning ecosystem services, such as food and timber, often leads to tradeoffs between regulating and cultural ecosystem services, such as nutrient cycling, flood protection, and tourism. We developed a framework for analyzing the provision of multiple ecosystem services across landscapes and present an empirical demonstration of ecosystem service bundles, sets of services that appear together repeatedly. Ecosystem service bundles were identified by analyzing the spatial patterns of 12 ecosystem services in a mixed-use landscape consisting of 137 municipalities in Quebec, Canada. We identified six types of ecosystem service bundles and were able to link these bundles to areas on the landscape characterized by distinct social-ecological dynamics. Our results show landscape-scale tradeoffs between provisioning and almost all regulating and cultural ecosystem services, and they show that a greater diversity of ecosystem services is positively correlated with the provision of regulating ecosystem services. Ecosystem service-bundle analysis can identify areas on a landscape where ecosystem management has produced exceptionally desirable or undesirable sets of ecosystem services.","author":[{"dropping-particle":"","family":"Raudsepp-Hearne","given":"C","non-dropping-particle":"","parse-names":false,"suffix":""},{"dropping-particle":"","family":"Peterson","given":"G D","non-dropping-particle":"","parse-names":false,"suffix":""},{"dropping-particle":"","family":"Bennett","given":"E M","non-dropping-particle":"","parse-names":false,"suffix":""}],"container-title":"Proceedings of the National Academy of Sciences of the United States of America","id":"ITEM-1","issue":"11","issued":{"date-parts":[["2010"]]},"page":"5242-7","title":"Ecosystem service bundles for analyzing tradeoffs in diverse landscapes.","type":"article-journal","volume":"107"},"uris":["http://www.mendeley.com/documents/?uuid=f38c8698-058e-45c8-b43d-a26fafa643a8"]}],"mendeley":{"formattedCitation":"&lt;sup&gt;78&lt;/sup&gt;","plainTextFormattedCitation":"78","previouslyFormattedCitation":"&lt;sup&gt;77&lt;/sup&gt;"},"properties":{"noteIndex":0},"schema":"https://github.com/citation-style-language/schema/raw/master/csl-citation.json"}</w:instrText>
      </w:r>
      <w:r w:rsidRPr="00DE5C02">
        <w:rPr>
          <w:lang w:eastAsia="zh-CN"/>
        </w:rPr>
        <w:fldChar w:fldCharType="separate"/>
      </w:r>
      <w:r w:rsidR="00C61FE8" w:rsidRPr="00DE5C02">
        <w:rPr>
          <w:noProof/>
          <w:vertAlign w:val="superscript"/>
          <w:lang w:eastAsia="zh-CN"/>
        </w:rPr>
        <w:t>78</w:t>
      </w:r>
      <w:r w:rsidRPr="00DE5C02">
        <w:rPr>
          <w:lang w:eastAsia="zh-CN"/>
        </w:rPr>
        <w:fldChar w:fldCharType="end"/>
      </w:r>
      <w:r w:rsidRPr="00DE5C02">
        <w:rPr>
          <w:lang w:eastAsia="zh-CN"/>
        </w:rPr>
        <w:t xml:space="preserve">. Only weak inference can be drawn from such </w:t>
      </w:r>
      <w:r w:rsidRPr="00DE5C02">
        <w:t>simplistic correlational analyses</w:t>
      </w:r>
      <w:r w:rsidRPr="00DE5C02">
        <w:rPr>
          <w:lang w:eastAsia="zh-CN"/>
        </w:rPr>
        <w:t>, as direct causal relationships between ES and social-ecological variables are not assessed</w:t>
      </w:r>
      <w:r w:rsidRPr="00DE5C02">
        <w:rPr>
          <w:lang w:eastAsia="zh-CN"/>
        </w:rPr>
        <w:fldChar w:fldCharType="begin" w:fldLock="1"/>
      </w:r>
      <w:r w:rsidR="00B81E3F" w:rsidRPr="00DE5C02">
        <w:rPr>
          <w:lang w:eastAsia="zh-CN"/>
        </w:rPr>
        <w:instrText>ADDIN CSL_CITATION {"citationItems":[{"id":"ITEM-1","itemData":{"DOI":"10.1016/j.gloenvcha.2017.08.004","ISBN":"0959-3780","ISSN":"09593780","abstract":"Multiple ecosystem services (ES) can respond similarly to social and ecological factors to form bundles. Identifying key social-ecological variables and understanding how they co-vary to produce these consistent sets of ES may ultimately allow the prediction and modelling of ES bundles, and thus, help us understand critical synergies and trade-offs across landscapes. Such an understanding is essential for informing better management of multi-functional landscapes and minimising costly trade-offs. However, the relative importance of different social and biophysical drivers of ES bundles in different types of social-ecological systems remains unclear. As such, a bottom-up understanding of the determinants of ES bundles is a critical research gap in ES and sustainability science. Here, we evaluate the current methods used in ES bundle science and synthesize these into four steps that capture the plurality of methods used to examine predictors of ES bundles. We then apply these four steps to a cross-study comparison (North and South French Alps) of relationships between social-ecological variables and ES bundles, as it is widely advocated that cross-study comparisons are necessary for achieving a general understanding of predictors of ES associations. We use the results of this case study to assess the strengths and limitations of current approaches for understanding distributions of ES bundles. We conclude that inconsistency of spatial scale remains the primary barrier for understanding and predicting ES bundles. We suggest a hypothesis-driven approach is required to predict relationships between ES, and we outline the research required for such an understanding to emerge.","author":[{"dropping-particle":"","family":"Spake","given":"Rebecca","non-dropping-particle":"","parse-names":false,"suffix":""},{"dropping-particle":"","family":"Lasseur","given":"Rémy","non-dropping-particle":"","parse-names":false,"suffix":""},{"dropping-particle":"","family":"Crouzat","given":"Emilie","non-dropping-particle":"","parse-names":false,"suffix":""},{"dropping-particle":"","family":"Bullock","given":"James M.","non-dropping-particle":"","parse-names":false,"suffix":""},{"dropping-particle":"","family":"Lavorel","given":"Sandra","non-dropping-particle":"","parse-names":false,"suffix":""},{"dropping-particle":"","family":"Parks","given":"Katherine E.","non-dropping-particle":"","parse-names":false,"suffix":""},{"dropping-particle":"","family":"Schaafsma","given":"Marije","non-dropping-particle":"","parse-names":false,"suffix":""},{"dropping-particle":"","family":"Bennett","given":"Elena M.","non-dropping-particle":"","parse-names":false,"suffix":""},{"dropping-particle":"","family":"Maes","given":"Joachim","non-dropping-particle":"","parse-names":false,"suffix":""},{"dropping-particle":"","family":"Mulligan","given":"Mark","non-dropping-particle":"","parse-names":false,"suffix":""},{"dropping-particle":"","family":"Mouchet","given":"Maud","non-dropping-particle":"","parse-names":false,"suffix":""},{"dropping-particle":"","family":"Peterson","given":"Garry D.","non-dropping-particle":"","parse-names":false,"suffix":""},{"dropping-particle":"","family":"Schulp","given":"Catharina J.E.","non-dropping-particle":"","parse-names":false,"suffix":""},{"dropping-particle":"","family":"Thuiller","given":"Wilfried","non-dropping-particle":"","parse-names":false,"suffix":""},{"dropping-particle":"","family":"Turner","given":"Monica G.","non-dropping-particle":"","parse-names":false,"suffix":""},{"dropping-particle":"","family":"Verburg","given":"Peter H.","non-dropping-particle":"","parse-names":false,"suffix":""},{"dropping-particle":"","family":"Eigenbrod","given":"Felix","non-dropping-particle":"","parse-names":false,"suffix":""}],"container-title":"Global Environmental Change","id":"ITEM-1","issue":"July","issued":{"date-parts":[["2017"]]},"page":"37-50","publisher":"Elsevier Ltd","title":"Unpacking ecosystem service bundles: Towards predictive mapping of synergies and trade-offs between ecosystem services","type":"article-journal","volume":"47"},"uris":["http://www.mendeley.com/documents/?uuid=74e66e2b-5454-496d-85e1-8448bcfd24ec"]}],"mendeley":{"formattedCitation":"&lt;sup&gt;48&lt;/sup&gt;","plainTextFormattedCitation":"48","previouslyFormattedCitation":"&lt;sup&gt;48&lt;/sup&gt;"},"properties":{"noteIndex":0},"schema":"https://github.com/citation-style-language/schema/raw/master/csl-citation.json"}</w:instrText>
      </w:r>
      <w:r w:rsidRPr="00DE5C02">
        <w:rPr>
          <w:lang w:eastAsia="zh-CN"/>
        </w:rPr>
        <w:fldChar w:fldCharType="separate"/>
      </w:r>
      <w:r w:rsidR="00173667" w:rsidRPr="00DE5C02">
        <w:rPr>
          <w:noProof/>
          <w:vertAlign w:val="superscript"/>
          <w:lang w:eastAsia="zh-CN"/>
        </w:rPr>
        <w:t>48</w:t>
      </w:r>
      <w:r w:rsidRPr="00DE5C02">
        <w:rPr>
          <w:lang w:eastAsia="zh-CN"/>
        </w:rPr>
        <w:fldChar w:fldCharType="end"/>
      </w:r>
      <w:r w:rsidRPr="00DE5C02">
        <w:rPr>
          <w:lang w:eastAsia="zh-CN"/>
        </w:rPr>
        <w:t xml:space="preserve">. </w:t>
      </w:r>
    </w:p>
    <w:p w14:paraId="2CFA50C0" w14:textId="14D9B2A1" w:rsidR="00072C7E" w:rsidRPr="00DE5C02" w:rsidRDefault="008F64EB">
      <w:r w:rsidRPr="00DE5C02">
        <w:t>O</w:t>
      </w:r>
      <w:r w:rsidR="00D741E9" w:rsidRPr="00DE5C02">
        <w:t>ur framewor</w:t>
      </w:r>
      <w:r w:rsidR="006B639C" w:rsidRPr="00DE5C02">
        <w:rPr>
          <w:lang w:eastAsia="zh-CN"/>
        </w:rPr>
        <w:t xml:space="preserve">k, </w:t>
      </w:r>
      <w:r w:rsidR="006A65CB" w:rsidRPr="00DE5C02">
        <w:rPr>
          <w:lang w:eastAsia="zh-CN"/>
        </w:rPr>
        <w:t xml:space="preserve">with its focus on </w:t>
      </w:r>
      <w:r w:rsidR="00E30FB3" w:rsidRPr="00DE5C02">
        <w:rPr>
          <w:lang w:eastAsia="zh-CN"/>
        </w:rPr>
        <w:t>the effect</w:t>
      </w:r>
      <w:r w:rsidR="00B00F24" w:rsidRPr="00DE5C02">
        <w:rPr>
          <w:lang w:eastAsia="zh-CN"/>
        </w:rPr>
        <w:t>s</w:t>
      </w:r>
      <w:r w:rsidR="00E30FB3" w:rsidRPr="00DE5C02">
        <w:rPr>
          <w:lang w:eastAsia="zh-CN"/>
        </w:rPr>
        <w:t xml:space="preserve"> of </w:t>
      </w:r>
      <w:r w:rsidR="006A65CB" w:rsidRPr="00DE5C02">
        <w:rPr>
          <w:lang w:eastAsia="zh-CN"/>
        </w:rPr>
        <w:t>drivers of natural capital and ES, rather than ES</w:t>
      </w:r>
      <w:r w:rsidR="00B00F24" w:rsidRPr="00DE5C02">
        <w:rPr>
          <w:lang w:eastAsia="zh-CN"/>
        </w:rPr>
        <w:t xml:space="preserve"> valuation</w:t>
      </w:r>
      <w:r w:rsidR="006A65CB" w:rsidRPr="00DE5C02">
        <w:rPr>
          <w:lang w:eastAsia="zh-CN"/>
        </w:rPr>
        <w:t xml:space="preserve"> </w:t>
      </w:r>
      <w:r w:rsidR="006A65CB" w:rsidRPr="00DE5C02">
        <w:rPr>
          <w:i/>
          <w:lang w:eastAsia="zh-CN"/>
        </w:rPr>
        <w:t>per se</w:t>
      </w:r>
      <w:r w:rsidR="006B639C" w:rsidRPr="00DE5C02">
        <w:rPr>
          <w:i/>
          <w:lang w:eastAsia="zh-CN"/>
        </w:rPr>
        <w:t xml:space="preserve">, </w:t>
      </w:r>
      <w:r w:rsidR="006A65CB" w:rsidRPr="00DE5C02">
        <w:rPr>
          <w:lang w:eastAsia="zh-CN"/>
        </w:rPr>
        <w:t xml:space="preserve">is well suited to gaining true understanding of the reasons for trade-offs and synergies </w:t>
      </w:r>
      <w:r w:rsidR="00A15D3D" w:rsidRPr="00DE5C02">
        <w:rPr>
          <w:lang w:eastAsia="zh-CN"/>
        </w:rPr>
        <w:t>among</w:t>
      </w:r>
      <w:r w:rsidR="006A65CB" w:rsidRPr="00DE5C02">
        <w:rPr>
          <w:lang w:eastAsia="zh-CN"/>
        </w:rPr>
        <w:t xml:space="preserve"> multiple ES. </w:t>
      </w:r>
      <w:r w:rsidR="003670C8" w:rsidRPr="00DE5C02">
        <w:t>If</w:t>
      </w:r>
      <w:r w:rsidR="00CE7B5C" w:rsidRPr="00DE5C02">
        <w:t xml:space="preserve"> two or more ecosystem responses share a common driver (e.g. the amount of </w:t>
      </w:r>
      <w:r w:rsidR="00A15D3D" w:rsidRPr="00DE5C02">
        <w:t>woodland</w:t>
      </w:r>
      <w:r w:rsidR="00CE7B5C" w:rsidRPr="00DE5C02">
        <w:t xml:space="preserve"> cover in the landscape), the effect maps of the different ecosystem responses of this common driver can be </w:t>
      </w:r>
      <w:r w:rsidR="00BC2DF3" w:rsidRPr="00DE5C02">
        <w:t>overlaid</w:t>
      </w:r>
      <w:r w:rsidR="00CE7B5C" w:rsidRPr="00DE5C02">
        <w:t>. These combined effect maps can then be used to identify</w:t>
      </w:r>
      <w:r w:rsidR="006A65CB" w:rsidRPr="00DE5C02">
        <w:t xml:space="preserve"> both why current trade-offs exist, and </w:t>
      </w:r>
      <w:r w:rsidR="003668F6" w:rsidRPr="00DE5C02">
        <w:t xml:space="preserve">the locational-specific effects of </w:t>
      </w:r>
      <w:r w:rsidR="006A65CB" w:rsidRPr="00DE5C02">
        <w:t xml:space="preserve">a given management action </w:t>
      </w:r>
      <w:r w:rsidR="003668F6" w:rsidRPr="00DE5C02">
        <w:t>on multiple</w:t>
      </w:r>
      <w:r w:rsidR="006A65CB" w:rsidRPr="00DE5C02">
        <w:t xml:space="preserve"> ES shar</w:t>
      </w:r>
      <w:r w:rsidR="003668F6" w:rsidRPr="00DE5C02">
        <w:t>ing</w:t>
      </w:r>
      <w:r w:rsidR="006A65CB" w:rsidRPr="00DE5C02">
        <w:t xml:space="preserve"> the same common driver. Such an understanding is critical to truly </w:t>
      </w:r>
      <w:r w:rsidR="00D50E1C" w:rsidRPr="00DE5C02">
        <w:t xml:space="preserve">sustainable </w:t>
      </w:r>
      <w:r w:rsidR="006A65CB" w:rsidRPr="00DE5C02">
        <w:t>natural capital</w:t>
      </w:r>
      <w:r w:rsidR="00D50E1C" w:rsidRPr="00DE5C02">
        <w:t xml:space="preserve"> management</w:t>
      </w:r>
      <w:r w:rsidR="006A65CB" w:rsidRPr="00DE5C02">
        <w:t xml:space="preserve">, and </w:t>
      </w:r>
      <w:r w:rsidR="00D50E1C" w:rsidRPr="00DE5C02">
        <w:t xml:space="preserve">enables us to </w:t>
      </w:r>
      <w:r w:rsidR="006A65CB" w:rsidRPr="00DE5C02">
        <w:t xml:space="preserve">quantify </w:t>
      </w:r>
      <w:r w:rsidR="0069029B" w:rsidRPr="00DE5C02">
        <w:t xml:space="preserve">the degree to which multifunctionality is achievable in our landscapes. </w:t>
      </w:r>
      <w:bookmarkStart w:id="27" w:name="_Toc517421416"/>
      <w:r w:rsidR="00072C7E" w:rsidRPr="00DE5C02">
        <w:br w:type="page"/>
      </w:r>
    </w:p>
    <w:p w14:paraId="3BB64C1C" w14:textId="4F488A9C" w:rsidR="00897750" w:rsidRPr="00DE5C02" w:rsidRDefault="00F75DB1" w:rsidP="008A6D82">
      <w:pPr>
        <w:pStyle w:val="Heading2"/>
      </w:pPr>
      <w:bookmarkStart w:id="28" w:name="_Toc517431831"/>
      <w:r w:rsidRPr="00DE5C02">
        <w:t>References</w:t>
      </w:r>
      <w:bookmarkEnd w:id="27"/>
      <w:bookmarkEnd w:id="28"/>
    </w:p>
    <w:p w14:paraId="6CEFDB13" w14:textId="7E02CA53" w:rsidR="00C61FE8" w:rsidRPr="00DE5C02" w:rsidRDefault="00897750" w:rsidP="00C61FE8">
      <w:pPr>
        <w:widowControl w:val="0"/>
        <w:autoSpaceDE w:val="0"/>
        <w:autoSpaceDN w:val="0"/>
        <w:adjustRightInd w:val="0"/>
        <w:spacing w:line="240" w:lineRule="auto"/>
        <w:ind w:left="640" w:hanging="640"/>
        <w:rPr>
          <w:rFonts w:ascii="Calibri" w:hAnsi="Calibri" w:cs="Calibri"/>
          <w:noProof/>
          <w:szCs w:val="24"/>
        </w:rPr>
      </w:pPr>
      <w:r w:rsidRPr="00DE5C02">
        <w:fldChar w:fldCharType="begin" w:fldLock="1"/>
      </w:r>
      <w:r w:rsidRPr="00DE5C02">
        <w:instrText xml:space="preserve">ADDIN Mendeley Bibliography CSL_BIBLIOGRAPHY </w:instrText>
      </w:r>
      <w:r w:rsidRPr="00DE5C02">
        <w:fldChar w:fldCharType="separate"/>
      </w:r>
      <w:r w:rsidR="00C61FE8" w:rsidRPr="00DE5C02">
        <w:rPr>
          <w:rFonts w:ascii="Calibri" w:hAnsi="Calibri" w:cs="Calibri"/>
          <w:noProof/>
          <w:szCs w:val="24"/>
        </w:rPr>
        <w:t>1.</w:t>
      </w:r>
      <w:r w:rsidR="00C61FE8" w:rsidRPr="00DE5C02">
        <w:rPr>
          <w:rFonts w:ascii="Calibri" w:hAnsi="Calibri" w:cs="Calibri"/>
          <w:noProof/>
          <w:szCs w:val="24"/>
        </w:rPr>
        <w:tab/>
        <w:t xml:space="preserve">Seppelt, R., Lautenbach, S. &amp; Volk, M. Identifying trade-offs between ecosystem services, land use, and biodiversity: A plea for combining scenario analysis and optimization on different spatial scales. </w:t>
      </w:r>
      <w:r w:rsidR="00C61FE8" w:rsidRPr="00DE5C02">
        <w:rPr>
          <w:rFonts w:ascii="Calibri" w:hAnsi="Calibri" w:cs="Calibri"/>
          <w:i/>
          <w:iCs/>
          <w:noProof/>
          <w:szCs w:val="24"/>
        </w:rPr>
        <w:t>Curr. Opin. Environ. Sustain.</w:t>
      </w:r>
      <w:r w:rsidR="00C61FE8" w:rsidRPr="00DE5C02">
        <w:rPr>
          <w:rFonts w:ascii="Calibri" w:hAnsi="Calibri" w:cs="Calibri"/>
          <w:noProof/>
          <w:szCs w:val="24"/>
        </w:rPr>
        <w:t xml:space="preserve"> </w:t>
      </w:r>
      <w:r w:rsidR="00C61FE8" w:rsidRPr="00DE5C02">
        <w:rPr>
          <w:rFonts w:ascii="Calibri" w:hAnsi="Calibri" w:cs="Calibri"/>
          <w:b/>
          <w:bCs/>
          <w:noProof/>
          <w:szCs w:val="24"/>
        </w:rPr>
        <w:t>5,</w:t>
      </w:r>
      <w:r w:rsidR="00C61FE8" w:rsidRPr="00DE5C02">
        <w:rPr>
          <w:rFonts w:ascii="Calibri" w:hAnsi="Calibri" w:cs="Calibri"/>
          <w:noProof/>
          <w:szCs w:val="24"/>
        </w:rPr>
        <w:t xml:space="preserve"> 458–463 (2013).</w:t>
      </w:r>
    </w:p>
    <w:p w14:paraId="48B45C57" w14:textId="77777777" w:rsidR="00C61FE8" w:rsidRPr="00DE5C02" w:rsidRDefault="00C61FE8" w:rsidP="00C61FE8">
      <w:pPr>
        <w:widowControl w:val="0"/>
        <w:autoSpaceDE w:val="0"/>
        <w:autoSpaceDN w:val="0"/>
        <w:adjustRightInd w:val="0"/>
        <w:spacing w:line="240" w:lineRule="auto"/>
        <w:ind w:left="640" w:hanging="640"/>
        <w:rPr>
          <w:rFonts w:ascii="Calibri" w:hAnsi="Calibri" w:cs="Calibri"/>
          <w:noProof/>
          <w:szCs w:val="24"/>
        </w:rPr>
      </w:pPr>
      <w:r w:rsidRPr="00DE5C02">
        <w:rPr>
          <w:rFonts w:ascii="Calibri" w:hAnsi="Calibri" w:cs="Calibri"/>
          <w:noProof/>
          <w:szCs w:val="24"/>
        </w:rPr>
        <w:t>2.</w:t>
      </w:r>
      <w:r w:rsidRPr="00DE5C02">
        <w:rPr>
          <w:rFonts w:ascii="Calibri" w:hAnsi="Calibri" w:cs="Calibri"/>
          <w:noProof/>
          <w:szCs w:val="24"/>
        </w:rPr>
        <w:tab/>
        <w:t xml:space="preserve">Mace, G. M., Hails, R. S., Cryle, P., Harlow, J. &amp; Clarke, S. J. Towards a risk register for natural capital. </w:t>
      </w:r>
      <w:r w:rsidRPr="00DE5C02">
        <w:rPr>
          <w:rFonts w:ascii="Calibri" w:hAnsi="Calibri" w:cs="Calibri"/>
          <w:i/>
          <w:iCs/>
          <w:noProof/>
          <w:szCs w:val="24"/>
        </w:rPr>
        <w:t>J. Appl. Ecol.</w:t>
      </w:r>
      <w:r w:rsidRPr="00DE5C02">
        <w:rPr>
          <w:rFonts w:ascii="Calibri" w:hAnsi="Calibri" w:cs="Calibri"/>
          <w:noProof/>
          <w:szCs w:val="24"/>
        </w:rPr>
        <w:t xml:space="preserve"> </w:t>
      </w:r>
      <w:r w:rsidRPr="00DE5C02">
        <w:rPr>
          <w:rFonts w:ascii="Calibri" w:hAnsi="Calibri" w:cs="Calibri"/>
          <w:b/>
          <w:bCs/>
          <w:noProof/>
          <w:szCs w:val="24"/>
        </w:rPr>
        <w:t>52,</w:t>
      </w:r>
      <w:r w:rsidRPr="00DE5C02">
        <w:rPr>
          <w:rFonts w:ascii="Calibri" w:hAnsi="Calibri" w:cs="Calibri"/>
          <w:noProof/>
          <w:szCs w:val="24"/>
        </w:rPr>
        <w:t xml:space="preserve"> 641–653 (2015).</w:t>
      </w:r>
    </w:p>
    <w:p w14:paraId="4A4759EF" w14:textId="77777777" w:rsidR="00C61FE8" w:rsidRPr="00DE5C02" w:rsidRDefault="00C61FE8" w:rsidP="00C61FE8">
      <w:pPr>
        <w:widowControl w:val="0"/>
        <w:autoSpaceDE w:val="0"/>
        <w:autoSpaceDN w:val="0"/>
        <w:adjustRightInd w:val="0"/>
        <w:spacing w:line="240" w:lineRule="auto"/>
        <w:ind w:left="640" w:hanging="640"/>
        <w:rPr>
          <w:rFonts w:ascii="Calibri" w:hAnsi="Calibri" w:cs="Calibri"/>
          <w:noProof/>
          <w:szCs w:val="24"/>
        </w:rPr>
      </w:pPr>
      <w:r w:rsidRPr="00DE5C02">
        <w:rPr>
          <w:rFonts w:ascii="Calibri" w:hAnsi="Calibri" w:cs="Calibri"/>
          <w:noProof/>
          <w:szCs w:val="24"/>
        </w:rPr>
        <w:t>3.</w:t>
      </w:r>
      <w:r w:rsidRPr="00DE5C02">
        <w:rPr>
          <w:rFonts w:ascii="Calibri" w:hAnsi="Calibri" w:cs="Calibri"/>
          <w:noProof/>
          <w:szCs w:val="24"/>
        </w:rPr>
        <w:tab/>
        <w:t xml:space="preserve">Maseyk, F. J. F., Mackay, A. D., Possingham, H. P., Dominati, E. J. &amp; Buckley, Y. M. Managing Natural Capital Stocks for the Provision of Ecosystem Services. </w:t>
      </w:r>
      <w:r w:rsidRPr="00DE5C02">
        <w:rPr>
          <w:rFonts w:ascii="Calibri" w:hAnsi="Calibri" w:cs="Calibri"/>
          <w:i/>
          <w:iCs/>
          <w:noProof/>
          <w:szCs w:val="24"/>
        </w:rPr>
        <w:t>Conserv. Lett.</w:t>
      </w:r>
      <w:r w:rsidRPr="00DE5C02">
        <w:rPr>
          <w:rFonts w:ascii="Calibri" w:hAnsi="Calibri" w:cs="Calibri"/>
          <w:noProof/>
          <w:szCs w:val="24"/>
        </w:rPr>
        <w:t xml:space="preserve"> </w:t>
      </w:r>
      <w:r w:rsidRPr="00DE5C02">
        <w:rPr>
          <w:rFonts w:ascii="Calibri" w:hAnsi="Calibri" w:cs="Calibri"/>
          <w:b/>
          <w:bCs/>
          <w:noProof/>
          <w:szCs w:val="24"/>
        </w:rPr>
        <w:t>10,</w:t>
      </w:r>
      <w:r w:rsidRPr="00DE5C02">
        <w:rPr>
          <w:rFonts w:ascii="Calibri" w:hAnsi="Calibri" w:cs="Calibri"/>
          <w:noProof/>
          <w:szCs w:val="24"/>
        </w:rPr>
        <w:t xml:space="preserve"> 211–220 (2017).</w:t>
      </w:r>
    </w:p>
    <w:p w14:paraId="2E5207FB" w14:textId="77777777" w:rsidR="00C61FE8" w:rsidRPr="00DE5C02" w:rsidRDefault="00C61FE8" w:rsidP="00C61FE8">
      <w:pPr>
        <w:widowControl w:val="0"/>
        <w:autoSpaceDE w:val="0"/>
        <w:autoSpaceDN w:val="0"/>
        <w:adjustRightInd w:val="0"/>
        <w:spacing w:line="240" w:lineRule="auto"/>
        <w:ind w:left="640" w:hanging="640"/>
        <w:rPr>
          <w:rFonts w:ascii="Calibri" w:hAnsi="Calibri" w:cs="Calibri"/>
          <w:noProof/>
          <w:szCs w:val="24"/>
        </w:rPr>
      </w:pPr>
      <w:r w:rsidRPr="00DE5C02">
        <w:rPr>
          <w:rFonts w:ascii="Calibri" w:hAnsi="Calibri" w:cs="Calibri"/>
          <w:noProof/>
          <w:szCs w:val="24"/>
        </w:rPr>
        <w:t>4.</w:t>
      </w:r>
      <w:r w:rsidRPr="00DE5C02">
        <w:rPr>
          <w:rFonts w:ascii="Calibri" w:hAnsi="Calibri" w:cs="Calibri"/>
          <w:noProof/>
          <w:szCs w:val="24"/>
        </w:rPr>
        <w:tab/>
        <w:t xml:space="preserve">Darling, E. S. &amp; Côté, I. M. Quantifying the evidence for ecological synergies. </w:t>
      </w:r>
      <w:r w:rsidRPr="00DE5C02">
        <w:rPr>
          <w:rFonts w:ascii="Calibri" w:hAnsi="Calibri" w:cs="Calibri"/>
          <w:i/>
          <w:iCs/>
          <w:noProof/>
          <w:szCs w:val="24"/>
        </w:rPr>
        <w:t>Ecol. Lett.</w:t>
      </w:r>
      <w:r w:rsidRPr="00DE5C02">
        <w:rPr>
          <w:rFonts w:ascii="Calibri" w:hAnsi="Calibri" w:cs="Calibri"/>
          <w:noProof/>
          <w:szCs w:val="24"/>
        </w:rPr>
        <w:t xml:space="preserve"> </w:t>
      </w:r>
      <w:r w:rsidRPr="00DE5C02">
        <w:rPr>
          <w:rFonts w:ascii="Calibri" w:hAnsi="Calibri" w:cs="Calibri"/>
          <w:b/>
          <w:bCs/>
          <w:noProof/>
          <w:szCs w:val="24"/>
        </w:rPr>
        <w:t>11,</w:t>
      </w:r>
      <w:r w:rsidRPr="00DE5C02">
        <w:rPr>
          <w:rFonts w:ascii="Calibri" w:hAnsi="Calibri" w:cs="Calibri"/>
          <w:noProof/>
          <w:szCs w:val="24"/>
        </w:rPr>
        <w:t xml:space="preserve"> 1278–1286 (2008).</w:t>
      </w:r>
    </w:p>
    <w:p w14:paraId="1C090014" w14:textId="32D2E90E" w:rsidR="00C61FE8" w:rsidRPr="00DE5C02" w:rsidRDefault="00C61FE8" w:rsidP="00C61FE8">
      <w:pPr>
        <w:widowControl w:val="0"/>
        <w:autoSpaceDE w:val="0"/>
        <w:autoSpaceDN w:val="0"/>
        <w:adjustRightInd w:val="0"/>
        <w:spacing w:line="240" w:lineRule="auto"/>
        <w:ind w:left="640" w:hanging="640"/>
        <w:rPr>
          <w:rFonts w:ascii="Calibri" w:hAnsi="Calibri" w:cs="Calibri"/>
          <w:noProof/>
          <w:szCs w:val="24"/>
        </w:rPr>
      </w:pPr>
      <w:r w:rsidRPr="00DE5C02">
        <w:rPr>
          <w:rFonts w:ascii="Calibri" w:hAnsi="Calibri" w:cs="Calibri"/>
          <w:noProof/>
          <w:szCs w:val="24"/>
        </w:rPr>
        <w:t>5.</w:t>
      </w:r>
      <w:r w:rsidRPr="00DE5C02">
        <w:rPr>
          <w:rFonts w:ascii="Calibri" w:hAnsi="Calibri" w:cs="Calibri"/>
          <w:noProof/>
          <w:szCs w:val="24"/>
        </w:rPr>
        <w:tab/>
        <w:t>Levin, S. A. The Problem of Pattern and Scale in Eco</w:t>
      </w:r>
      <w:r w:rsidR="00A110AD" w:rsidRPr="00DE5C02">
        <w:rPr>
          <w:rFonts w:ascii="Calibri" w:hAnsi="Calibri" w:cs="Calibri"/>
          <w:noProof/>
          <w:szCs w:val="24"/>
        </w:rPr>
        <w:t xml:space="preserve">logy, </w:t>
      </w:r>
      <w:r w:rsidRPr="00DE5C02">
        <w:rPr>
          <w:rFonts w:ascii="Calibri" w:hAnsi="Calibri" w:cs="Calibri"/>
          <w:i/>
          <w:iCs/>
          <w:noProof/>
          <w:szCs w:val="24"/>
        </w:rPr>
        <w:t>Ecology</w:t>
      </w:r>
      <w:r w:rsidRPr="00DE5C02">
        <w:rPr>
          <w:rFonts w:ascii="Calibri" w:hAnsi="Calibri" w:cs="Calibri"/>
          <w:noProof/>
          <w:szCs w:val="24"/>
        </w:rPr>
        <w:t xml:space="preserve"> </w:t>
      </w:r>
      <w:r w:rsidRPr="00DE5C02">
        <w:rPr>
          <w:rFonts w:ascii="Calibri" w:hAnsi="Calibri" w:cs="Calibri"/>
          <w:b/>
          <w:bCs/>
          <w:noProof/>
          <w:szCs w:val="24"/>
        </w:rPr>
        <w:t>73,</w:t>
      </w:r>
      <w:r w:rsidRPr="00DE5C02">
        <w:rPr>
          <w:rFonts w:ascii="Calibri" w:hAnsi="Calibri" w:cs="Calibri"/>
          <w:noProof/>
          <w:szCs w:val="24"/>
        </w:rPr>
        <w:t xml:space="preserve"> 1943–1967 (1992).</w:t>
      </w:r>
    </w:p>
    <w:p w14:paraId="2054B537" w14:textId="77777777" w:rsidR="00C61FE8" w:rsidRPr="00DE5C02" w:rsidRDefault="00C61FE8" w:rsidP="00C61FE8">
      <w:pPr>
        <w:widowControl w:val="0"/>
        <w:autoSpaceDE w:val="0"/>
        <w:autoSpaceDN w:val="0"/>
        <w:adjustRightInd w:val="0"/>
        <w:spacing w:line="240" w:lineRule="auto"/>
        <w:ind w:left="640" w:hanging="640"/>
        <w:rPr>
          <w:rFonts w:ascii="Calibri" w:hAnsi="Calibri" w:cs="Calibri"/>
          <w:noProof/>
          <w:szCs w:val="24"/>
        </w:rPr>
      </w:pPr>
      <w:r w:rsidRPr="00DE5C02">
        <w:rPr>
          <w:rFonts w:ascii="Calibri" w:hAnsi="Calibri" w:cs="Calibri"/>
          <w:noProof/>
          <w:szCs w:val="24"/>
        </w:rPr>
        <w:t>6.</w:t>
      </w:r>
      <w:r w:rsidRPr="00DE5C02">
        <w:rPr>
          <w:rFonts w:ascii="Calibri" w:hAnsi="Calibri" w:cs="Calibri"/>
          <w:noProof/>
          <w:szCs w:val="24"/>
        </w:rPr>
        <w:tab/>
        <w:t xml:space="preserve">Peters, D. P. C., Bestelmeyer, B. T. &amp; Turner, M. G. Cross-scale interactions and changing pattern-process relationships: Consequences for system dynamics. </w:t>
      </w:r>
      <w:r w:rsidRPr="00DE5C02">
        <w:rPr>
          <w:rFonts w:ascii="Calibri" w:hAnsi="Calibri" w:cs="Calibri"/>
          <w:i/>
          <w:iCs/>
          <w:noProof/>
          <w:szCs w:val="24"/>
        </w:rPr>
        <w:t>Ecosystems</w:t>
      </w:r>
      <w:r w:rsidRPr="00DE5C02">
        <w:rPr>
          <w:rFonts w:ascii="Calibri" w:hAnsi="Calibri" w:cs="Calibri"/>
          <w:noProof/>
          <w:szCs w:val="24"/>
        </w:rPr>
        <w:t xml:space="preserve"> </w:t>
      </w:r>
      <w:r w:rsidRPr="00DE5C02">
        <w:rPr>
          <w:rFonts w:ascii="Calibri" w:hAnsi="Calibri" w:cs="Calibri"/>
          <w:b/>
          <w:bCs/>
          <w:noProof/>
          <w:szCs w:val="24"/>
        </w:rPr>
        <w:t>10,</w:t>
      </w:r>
      <w:r w:rsidRPr="00DE5C02">
        <w:rPr>
          <w:rFonts w:ascii="Calibri" w:hAnsi="Calibri" w:cs="Calibri"/>
          <w:noProof/>
          <w:szCs w:val="24"/>
        </w:rPr>
        <w:t xml:space="preserve"> 790–796 (2007).</w:t>
      </w:r>
    </w:p>
    <w:p w14:paraId="6CB8D06D" w14:textId="77777777" w:rsidR="00C61FE8" w:rsidRPr="00DE5C02" w:rsidRDefault="00C61FE8" w:rsidP="00C61FE8">
      <w:pPr>
        <w:widowControl w:val="0"/>
        <w:autoSpaceDE w:val="0"/>
        <w:autoSpaceDN w:val="0"/>
        <w:adjustRightInd w:val="0"/>
        <w:spacing w:line="240" w:lineRule="auto"/>
        <w:ind w:left="640" w:hanging="640"/>
        <w:rPr>
          <w:rFonts w:ascii="Calibri" w:hAnsi="Calibri" w:cs="Calibri"/>
          <w:noProof/>
          <w:szCs w:val="24"/>
        </w:rPr>
      </w:pPr>
      <w:r w:rsidRPr="00DE5C02">
        <w:rPr>
          <w:rFonts w:ascii="Calibri" w:hAnsi="Calibri" w:cs="Calibri"/>
          <w:noProof/>
          <w:szCs w:val="24"/>
        </w:rPr>
        <w:t>7.</w:t>
      </w:r>
      <w:r w:rsidRPr="00DE5C02">
        <w:rPr>
          <w:rFonts w:ascii="Calibri" w:hAnsi="Calibri" w:cs="Calibri"/>
          <w:noProof/>
          <w:szCs w:val="24"/>
        </w:rPr>
        <w:tab/>
        <w:t xml:space="preserve">Boerema, A., Rebelo, A. J., Bodi, M. B., Esler, K. J. &amp; Meire, P. Are ecosystem services adequately quantified? </w:t>
      </w:r>
      <w:r w:rsidRPr="00DE5C02">
        <w:rPr>
          <w:rFonts w:ascii="Calibri" w:hAnsi="Calibri" w:cs="Calibri"/>
          <w:i/>
          <w:iCs/>
          <w:noProof/>
          <w:szCs w:val="24"/>
        </w:rPr>
        <w:t>J. Appl. Ecol.</w:t>
      </w:r>
      <w:r w:rsidRPr="00DE5C02">
        <w:rPr>
          <w:rFonts w:ascii="Calibri" w:hAnsi="Calibri" w:cs="Calibri"/>
          <w:noProof/>
          <w:szCs w:val="24"/>
        </w:rPr>
        <w:t xml:space="preserve"> </w:t>
      </w:r>
      <w:r w:rsidRPr="00DE5C02">
        <w:rPr>
          <w:rFonts w:ascii="Calibri" w:hAnsi="Calibri" w:cs="Calibri"/>
          <w:b/>
          <w:bCs/>
          <w:noProof/>
          <w:szCs w:val="24"/>
        </w:rPr>
        <w:t>54,</w:t>
      </w:r>
      <w:r w:rsidRPr="00DE5C02">
        <w:rPr>
          <w:rFonts w:ascii="Calibri" w:hAnsi="Calibri" w:cs="Calibri"/>
          <w:noProof/>
          <w:szCs w:val="24"/>
        </w:rPr>
        <w:t xml:space="preserve"> 358–370 (2017).</w:t>
      </w:r>
    </w:p>
    <w:p w14:paraId="0920D073" w14:textId="77777777" w:rsidR="00C61FE8" w:rsidRPr="00DE5C02" w:rsidRDefault="00C61FE8" w:rsidP="00C61FE8">
      <w:pPr>
        <w:widowControl w:val="0"/>
        <w:autoSpaceDE w:val="0"/>
        <w:autoSpaceDN w:val="0"/>
        <w:adjustRightInd w:val="0"/>
        <w:spacing w:line="240" w:lineRule="auto"/>
        <w:ind w:left="640" w:hanging="640"/>
        <w:rPr>
          <w:rFonts w:ascii="Calibri" w:hAnsi="Calibri" w:cs="Calibri"/>
          <w:noProof/>
          <w:szCs w:val="24"/>
        </w:rPr>
      </w:pPr>
      <w:r w:rsidRPr="00DE5C02">
        <w:rPr>
          <w:rFonts w:ascii="Calibri" w:hAnsi="Calibri" w:cs="Calibri"/>
          <w:noProof/>
          <w:szCs w:val="24"/>
        </w:rPr>
        <w:t>8.</w:t>
      </w:r>
      <w:r w:rsidRPr="00DE5C02">
        <w:rPr>
          <w:rFonts w:ascii="Calibri" w:hAnsi="Calibri" w:cs="Calibri"/>
          <w:noProof/>
          <w:szCs w:val="24"/>
        </w:rPr>
        <w:tab/>
        <w:t xml:space="preserve">Maes, J. </w:t>
      </w:r>
      <w:r w:rsidRPr="00DE5C02">
        <w:rPr>
          <w:rFonts w:ascii="Calibri" w:hAnsi="Calibri" w:cs="Calibri"/>
          <w:i/>
          <w:iCs/>
          <w:noProof/>
          <w:szCs w:val="24"/>
        </w:rPr>
        <w:t>et al.</w:t>
      </w:r>
      <w:r w:rsidRPr="00DE5C02">
        <w:rPr>
          <w:rFonts w:ascii="Calibri" w:hAnsi="Calibri" w:cs="Calibri"/>
          <w:noProof/>
          <w:szCs w:val="24"/>
        </w:rPr>
        <w:t xml:space="preserve"> Mapping ecosystem services for policy support and decision making in the European Union. </w:t>
      </w:r>
      <w:r w:rsidRPr="00DE5C02">
        <w:rPr>
          <w:rFonts w:ascii="Calibri" w:hAnsi="Calibri" w:cs="Calibri"/>
          <w:i/>
          <w:iCs/>
          <w:noProof/>
          <w:szCs w:val="24"/>
        </w:rPr>
        <w:t>Ecosyst. Serv.</w:t>
      </w:r>
      <w:r w:rsidRPr="00DE5C02">
        <w:rPr>
          <w:rFonts w:ascii="Calibri" w:hAnsi="Calibri" w:cs="Calibri"/>
          <w:noProof/>
          <w:szCs w:val="24"/>
        </w:rPr>
        <w:t xml:space="preserve"> </w:t>
      </w:r>
      <w:r w:rsidRPr="00DE5C02">
        <w:rPr>
          <w:rFonts w:ascii="Calibri" w:hAnsi="Calibri" w:cs="Calibri"/>
          <w:b/>
          <w:bCs/>
          <w:noProof/>
          <w:szCs w:val="24"/>
        </w:rPr>
        <w:t>1,</w:t>
      </w:r>
      <w:r w:rsidRPr="00DE5C02">
        <w:rPr>
          <w:rFonts w:ascii="Calibri" w:hAnsi="Calibri" w:cs="Calibri"/>
          <w:noProof/>
          <w:szCs w:val="24"/>
        </w:rPr>
        <w:t xml:space="preserve"> 31–39 (2012).</w:t>
      </w:r>
    </w:p>
    <w:p w14:paraId="4AE98027" w14:textId="77777777" w:rsidR="00C61FE8" w:rsidRPr="00DE5C02" w:rsidRDefault="00C61FE8" w:rsidP="00C61FE8">
      <w:pPr>
        <w:widowControl w:val="0"/>
        <w:autoSpaceDE w:val="0"/>
        <w:autoSpaceDN w:val="0"/>
        <w:adjustRightInd w:val="0"/>
        <w:spacing w:line="240" w:lineRule="auto"/>
        <w:ind w:left="640" w:hanging="640"/>
        <w:rPr>
          <w:rFonts w:ascii="Calibri" w:hAnsi="Calibri" w:cs="Calibri"/>
          <w:noProof/>
          <w:szCs w:val="24"/>
        </w:rPr>
      </w:pPr>
      <w:r w:rsidRPr="00DE5C02">
        <w:rPr>
          <w:rFonts w:ascii="Calibri" w:hAnsi="Calibri" w:cs="Calibri"/>
          <w:noProof/>
          <w:szCs w:val="24"/>
        </w:rPr>
        <w:t>9.</w:t>
      </w:r>
      <w:r w:rsidRPr="00DE5C02">
        <w:rPr>
          <w:rFonts w:ascii="Calibri" w:hAnsi="Calibri" w:cs="Calibri"/>
          <w:noProof/>
          <w:szCs w:val="24"/>
        </w:rPr>
        <w:tab/>
        <w:t xml:space="preserve">Wong, C. P., Jiang, B., Kinzig, A. P., Lee, K. N. &amp; Ouyang, Z. Linking ecosystem characteristics to final ecosystem services for public policy. </w:t>
      </w:r>
      <w:r w:rsidRPr="00DE5C02">
        <w:rPr>
          <w:rFonts w:ascii="Calibri" w:hAnsi="Calibri" w:cs="Calibri"/>
          <w:i/>
          <w:iCs/>
          <w:noProof/>
          <w:szCs w:val="24"/>
        </w:rPr>
        <w:t>Ecol. Lett.</w:t>
      </w:r>
      <w:r w:rsidRPr="00DE5C02">
        <w:rPr>
          <w:rFonts w:ascii="Calibri" w:hAnsi="Calibri" w:cs="Calibri"/>
          <w:noProof/>
          <w:szCs w:val="24"/>
        </w:rPr>
        <w:t xml:space="preserve"> </w:t>
      </w:r>
      <w:r w:rsidRPr="00DE5C02">
        <w:rPr>
          <w:rFonts w:ascii="Calibri" w:hAnsi="Calibri" w:cs="Calibri"/>
          <w:b/>
          <w:bCs/>
          <w:noProof/>
          <w:szCs w:val="24"/>
        </w:rPr>
        <w:t>18,</w:t>
      </w:r>
      <w:r w:rsidRPr="00DE5C02">
        <w:rPr>
          <w:rFonts w:ascii="Calibri" w:hAnsi="Calibri" w:cs="Calibri"/>
          <w:noProof/>
          <w:szCs w:val="24"/>
        </w:rPr>
        <w:t xml:space="preserve"> 108–118 (2015).</w:t>
      </w:r>
    </w:p>
    <w:p w14:paraId="7AE630BB" w14:textId="77777777" w:rsidR="00C61FE8" w:rsidRPr="00DE5C02" w:rsidRDefault="00C61FE8" w:rsidP="00C61FE8">
      <w:pPr>
        <w:widowControl w:val="0"/>
        <w:autoSpaceDE w:val="0"/>
        <w:autoSpaceDN w:val="0"/>
        <w:adjustRightInd w:val="0"/>
        <w:spacing w:line="240" w:lineRule="auto"/>
        <w:ind w:left="640" w:hanging="640"/>
        <w:rPr>
          <w:rFonts w:ascii="Calibri" w:hAnsi="Calibri" w:cs="Calibri"/>
          <w:noProof/>
          <w:szCs w:val="24"/>
        </w:rPr>
      </w:pPr>
      <w:r w:rsidRPr="00DE5C02">
        <w:rPr>
          <w:rFonts w:ascii="Calibri" w:hAnsi="Calibri" w:cs="Calibri"/>
          <w:noProof/>
          <w:szCs w:val="24"/>
        </w:rPr>
        <w:t>10.</w:t>
      </w:r>
      <w:r w:rsidRPr="00DE5C02">
        <w:rPr>
          <w:rFonts w:ascii="Calibri" w:hAnsi="Calibri" w:cs="Calibri"/>
          <w:noProof/>
          <w:szCs w:val="24"/>
        </w:rPr>
        <w:tab/>
        <w:t xml:space="preserve">Rieb, J. T. </w:t>
      </w:r>
      <w:r w:rsidRPr="00DE5C02">
        <w:rPr>
          <w:rFonts w:ascii="Calibri" w:hAnsi="Calibri" w:cs="Calibri"/>
          <w:i/>
          <w:iCs/>
          <w:noProof/>
          <w:szCs w:val="24"/>
        </w:rPr>
        <w:t>et al.</w:t>
      </w:r>
      <w:r w:rsidRPr="00DE5C02">
        <w:rPr>
          <w:rFonts w:ascii="Calibri" w:hAnsi="Calibri" w:cs="Calibri"/>
          <w:noProof/>
          <w:szCs w:val="24"/>
        </w:rPr>
        <w:t xml:space="preserve"> When, Where, and How Nature Matters for Ecosystem Services: Challenges for the Next Generation of Ecosystem Service Models. </w:t>
      </w:r>
      <w:r w:rsidRPr="00DE5C02">
        <w:rPr>
          <w:rFonts w:ascii="Calibri" w:hAnsi="Calibri" w:cs="Calibri"/>
          <w:i/>
          <w:iCs/>
          <w:noProof/>
          <w:szCs w:val="24"/>
        </w:rPr>
        <w:t>Bioscience</w:t>
      </w:r>
      <w:r w:rsidRPr="00DE5C02">
        <w:rPr>
          <w:rFonts w:ascii="Calibri" w:hAnsi="Calibri" w:cs="Calibri"/>
          <w:noProof/>
          <w:szCs w:val="24"/>
        </w:rPr>
        <w:t xml:space="preserve"> </w:t>
      </w:r>
      <w:r w:rsidRPr="00DE5C02">
        <w:rPr>
          <w:rFonts w:ascii="Calibri" w:hAnsi="Calibri" w:cs="Calibri"/>
          <w:b/>
          <w:bCs/>
          <w:noProof/>
          <w:szCs w:val="24"/>
        </w:rPr>
        <w:t>67,</w:t>
      </w:r>
      <w:r w:rsidRPr="00DE5C02">
        <w:rPr>
          <w:rFonts w:ascii="Calibri" w:hAnsi="Calibri" w:cs="Calibri"/>
          <w:noProof/>
          <w:szCs w:val="24"/>
        </w:rPr>
        <w:t xml:space="preserve"> 820–833 (2017).</w:t>
      </w:r>
    </w:p>
    <w:p w14:paraId="6BE86A98" w14:textId="77777777" w:rsidR="00C61FE8" w:rsidRPr="00DE5C02" w:rsidRDefault="00C61FE8" w:rsidP="00C61FE8">
      <w:pPr>
        <w:widowControl w:val="0"/>
        <w:autoSpaceDE w:val="0"/>
        <w:autoSpaceDN w:val="0"/>
        <w:adjustRightInd w:val="0"/>
        <w:spacing w:line="240" w:lineRule="auto"/>
        <w:ind w:left="640" w:hanging="640"/>
        <w:rPr>
          <w:rFonts w:ascii="Calibri" w:hAnsi="Calibri" w:cs="Calibri"/>
          <w:noProof/>
          <w:szCs w:val="24"/>
        </w:rPr>
      </w:pPr>
      <w:r w:rsidRPr="00DE5C02">
        <w:rPr>
          <w:rFonts w:ascii="Calibri" w:hAnsi="Calibri" w:cs="Calibri"/>
          <w:noProof/>
          <w:szCs w:val="24"/>
        </w:rPr>
        <w:t>11.</w:t>
      </w:r>
      <w:r w:rsidRPr="00DE5C02">
        <w:rPr>
          <w:rFonts w:ascii="Calibri" w:hAnsi="Calibri" w:cs="Calibri"/>
          <w:noProof/>
          <w:szCs w:val="24"/>
        </w:rPr>
        <w:tab/>
        <w:t xml:space="preserve">Soranno, P. A. </w:t>
      </w:r>
      <w:r w:rsidRPr="00DE5C02">
        <w:rPr>
          <w:rFonts w:ascii="Calibri" w:hAnsi="Calibri" w:cs="Calibri"/>
          <w:i/>
          <w:iCs/>
          <w:noProof/>
          <w:szCs w:val="24"/>
        </w:rPr>
        <w:t>et al.</w:t>
      </w:r>
      <w:r w:rsidRPr="00DE5C02">
        <w:rPr>
          <w:rFonts w:ascii="Calibri" w:hAnsi="Calibri" w:cs="Calibri"/>
          <w:noProof/>
          <w:szCs w:val="24"/>
        </w:rPr>
        <w:t xml:space="preserve"> Cross-scale interactions: Quantifying multi-scaled cause-effect relationships in macrosystems. </w:t>
      </w:r>
      <w:r w:rsidRPr="00DE5C02">
        <w:rPr>
          <w:rFonts w:ascii="Calibri" w:hAnsi="Calibri" w:cs="Calibri"/>
          <w:i/>
          <w:iCs/>
          <w:noProof/>
          <w:szCs w:val="24"/>
        </w:rPr>
        <w:t>Front. Ecol. Environ.</w:t>
      </w:r>
      <w:r w:rsidRPr="00DE5C02">
        <w:rPr>
          <w:rFonts w:ascii="Calibri" w:hAnsi="Calibri" w:cs="Calibri"/>
          <w:noProof/>
          <w:szCs w:val="24"/>
        </w:rPr>
        <w:t xml:space="preserve"> </w:t>
      </w:r>
      <w:r w:rsidRPr="00DE5C02">
        <w:rPr>
          <w:rFonts w:ascii="Calibri" w:hAnsi="Calibri" w:cs="Calibri"/>
          <w:b/>
          <w:bCs/>
          <w:noProof/>
          <w:szCs w:val="24"/>
        </w:rPr>
        <w:t>12,</w:t>
      </w:r>
      <w:r w:rsidRPr="00DE5C02">
        <w:rPr>
          <w:rFonts w:ascii="Calibri" w:hAnsi="Calibri" w:cs="Calibri"/>
          <w:noProof/>
          <w:szCs w:val="24"/>
        </w:rPr>
        <w:t xml:space="preserve"> 65–73 (2014).</w:t>
      </w:r>
    </w:p>
    <w:p w14:paraId="4E4E4261" w14:textId="77777777" w:rsidR="00C61FE8" w:rsidRPr="00DE5C02" w:rsidRDefault="00C61FE8" w:rsidP="00C61FE8">
      <w:pPr>
        <w:widowControl w:val="0"/>
        <w:autoSpaceDE w:val="0"/>
        <w:autoSpaceDN w:val="0"/>
        <w:adjustRightInd w:val="0"/>
        <w:spacing w:line="240" w:lineRule="auto"/>
        <w:ind w:left="640" w:hanging="640"/>
        <w:rPr>
          <w:rFonts w:ascii="Calibri" w:hAnsi="Calibri" w:cs="Calibri"/>
          <w:noProof/>
          <w:szCs w:val="24"/>
          <w:lang w:val="fr-FR"/>
        </w:rPr>
      </w:pPr>
      <w:r w:rsidRPr="00DE5C02">
        <w:rPr>
          <w:rFonts w:ascii="Calibri" w:hAnsi="Calibri" w:cs="Calibri"/>
          <w:noProof/>
          <w:szCs w:val="24"/>
        </w:rPr>
        <w:t>12.</w:t>
      </w:r>
      <w:r w:rsidRPr="00DE5C02">
        <w:rPr>
          <w:rFonts w:ascii="Calibri" w:hAnsi="Calibri" w:cs="Calibri"/>
          <w:noProof/>
          <w:szCs w:val="24"/>
        </w:rPr>
        <w:tab/>
        <w:t xml:space="preserve">Oliver, T. H. &amp; Morecroft, M. D. Interactions between climate change and land use change on biodiversity: attribution problems, risks, and opportunities. </w:t>
      </w:r>
      <w:r w:rsidRPr="00DE5C02">
        <w:rPr>
          <w:rFonts w:ascii="Calibri" w:hAnsi="Calibri" w:cs="Calibri"/>
          <w:i/>
          <w:iCs/>
          <w:noProof/>
          <w:szCs w:val="24"/>
          <w:lang w:val="fr-FR"/>
        </w:rPr>
        <w:t>WIREs Clim Chang.</w:t>
      </w:r>
      <w:r w:rsidRPr="00DE5C02">
        <w:rPr>
          <w:rFonts w:ascii="Calibri" w:hAnsi="Calibri" w:cs="Calibri"/>
          <w:noProof/>
          <w:szCs w:val="24"/>
          <w:lang w:val="fr-FR"/>
        </w:rPr>
        <w:t xml:space="preserve"> n/a (2014). doi:10.1002/wcc.271</w:t>
      </w:r>
    </w:p>
    <w:p w14:paraId="2B555224" w14:textId="77777777" w:rsidR="00C61FE8" w:rsidRPr="00DE5C02" w:rsidRDefault="00C61FE8" w:rsidP="00C61FE8">
      <w:pPr>
        <w:widowControl w:val="0"/>
        <w:autoSpaceDE w:val="0"/>
        <w:autoSpaceDN w:val="0"/>
        <w:adjustRightInd w:val="0"/>
        <w:spacing w:line="240" w:lineRule="auto"/>
        <w:ind w:left="640" w:hanging="640"/>
        <w:rPr>
          <w:rFonts w:ascii="Calibri" w:hAnsi="Calibri" w:cs="Calibri"/>
          <w:noProof/>
          <w:szCs w:val="24"/>
        </w:rPr>
      </w:pPr>
      <w:r w:rsidRPr="00DE5C02">
        <w:rPr>
          <w:rFonts w:ascii="Calibri" w:hAnsi="Calibri" w:cs="Calibri"/>
          <w:noProof/>
          <w:szCs w:val="24"/>
          <w:lang w:val="fr-FR"/>
        </w:rPr>
        <w:t>13.</w:t>
      </w:r>
      <w:r w:rsidRPr="00DE5C02">
        <w:rPr>
          <w:rFonts w:ascii="Calibri" w:hAnsi="Calibri" w:cs="Calibri"/>
          <w:noProof/>
          <w:szCs w:val="24"/>
          <w:lang w:val="fr-FR"/>
        </w:rPr>
        <w:tab/>
        <w:t xml:space="preserve">Jones, K. B. </w:t>
      </w:r>
      <w:r w:rsidRPr="00DE5C02">
        <w:rPr>
          <w:rFonts w:ascii="Calibri" w:hAnsi="Calibri" w:cs="Calibri"/>
          <w:i/>
          <w:iCs/>
          <w:noProof/>
          <w:szCs w:val="24"/>
          <w:lang w:val="fr-FR"/>
        </w:rPr>
        <w:t>et al.</w:t>
      </w:r>
      <w:r w:rsidRPr="00DE5C02">
        <w:rPr>
          <w:rFonts w:ascii="Calibri" w:hAnsi="Calibri" w:cs="Calibri"/>
          <w:noProof/>
          <w:szCs w:val="24"/>
          <w:lang w:val="fr-FR"/>
        </w:rPr>
        <w:t xml:space="preserve"> </w:t>
      </w:r>
      <w:r w:rsidRPr="00DE5C02">
        <w:rPr>
          <w:rFonts w:ascii="Calibri" w:hAnsi="Calibri" w:cs="Calibri"/>
          <w:noProof/>
          <w:szCs w:val="24"/>
        </w:rPr>
        <w:t xml:space="preserve">Informing landscape planning and design for sustaining ecosystem services from existing spatial patterns and knowledge. </w:t>
      </w:r>
      <w:r w:rsidRPr="00DE5C02">
        <w:rPr>
          <w:rFonts w:ascii="Calibri" w:hAnsi="Calibri" w:cs="Calibri"/>
          <w:i/>
          <w:iCs/>
          <w:noProof/>
          <w:szCs w:val="24"/>
        </w:rPr>
        <w:t>Landsc. Ecol.</w:t>
      </w:r>
      <w:r w:rsidRPr="00DE5C02">
        <w:rPr>
          <w:rFonts w:ascii="Calibri" w:hAnsi="Calibri" w:cs="Calibri"/>
          <w:noProof/>
          <w:szCs w:val="24"/>
        </w:rPr>
        <w:t xml:space="preserve"> </w:t>
      </w:r>
      <w:r w:rsidRPr="00DE5C02">
        <w:rPr>
          <w:rFonts w:ascii="Calibri" w:hAnsi="Calibri" w:cs="Calibri"/>
          <w:b/>
          <w:bCs/>
          <w:noProof/>
          <w:szCs w:val="24"/>
        </w:rPr>
        <w:t>28,</w:t>
      </w:r>
      <w:r w:rsidRPr="00DE5C02">
        <w:rPr>
          <w:rFonts w:ascii="Calibri" w:hAnsi="Calibri" w:cs="Calibri"/>
          <w:noProof/>
          <w:szCs w:val="24"/>
        </w:rPr>
        <w:t xml:space="preserve"> 1175–1192 (2013).</w:t>
      </w:r>
    </w:p>
    <w:p w14:paraId="033CECD3" w14:textId="77777777" w:rsidR="00C61FE8" w:rsidRPr="00DE5C02" w:rsidRDefault="00C61FE8" w:rsidP="00C61FE8">
      <w:pPr>
        <w:widowControl w:val="0"/>
        <w:autoSpaceDE w:val="0"/>
        <w:autoSpaceDN w:val="0"/>
        <w:adjustRightInd w:val="0"/>
        <w:spacing w:line="240" w:lineRule="auto"/>
        <w:ind w:left="640" w:hanging="640"/>
        <w:rPr>
          <w:rFonts w:ascii="Calibri" w:hAnsi="Calibri" w:cs="Calibri"/>
          <w:noProof/>
          <w:szCs w:val="24"/>
        </w:rPr>
      </w:pPr>
      <w:r w:rsidRPr="00DE5C02">
        <w:rPr>
          <w:rFonts w:ascii="Calibri" w:hAnsi="Calibri" w:cs="Calibri"/>
          <w:noProof/>
          <w:szCs w:val="24"/>
        </w:rPr>
        <w:t>14.</w:t>
      </w:r>
      <w:r w:rsidRPr="00DE5C02">
        <w:rPr>
          <w:rFonts w:ascii="Calibri" w:hAnsi="Calibri" w:cs="Calibri"/>
          <w:noProof/>
          <w:szCs w:val="24"/>
        </w:rPr>
        <w:tab/>
        <w:t xml:space="preserve">Smart, S. M. </w:t>
      </w:r>
      <w:r w:rsidRPr="00DE5C02">
        <w:rPr>
          <w:rFonts w:ascii="Calibri" w:hAnsi="Calibri" w:cs="Calibri"/>
          <w:i/>
          <w:iCs/>
          <w:noProof/>
          <w:szCs w:val="24"/>
        </w:rPr>
        <w:t>et al.</w:t>
      </w:r>
      <w:r w:rsidRPr="00DE5C02">
        <w:rPr>
          <w:rFonts w:ascii="Calibri" w:hAnsi="Calibri" w:cs="Calibri"/>
          <w:noProof/>
          <w:szCs w:val="24"/>
        </w:rPr>
        <w:t xml:space="preserve"> Clarity or confusion? - Problems in attributing large-scale ecological changes to anthropogenic drivers. </w:t>
      </w:r>
      <w:r w:rsidRPr="00DE5C02">
        <w:rPr>
          <w:rFonts w:ascii="Calibri" w:hAnsi="Calibri" w:cs="Calibri"/>
          <w:i/>
          <w:iCs/>
          <w:noProof/>
          <w:szCs w:val="24"/>
        </w:rPr>
        <w:t>Ecol. Indic.</w:t>
      </w:r>
      <w:r w:rsidRPr="00DE5C02">
        <w:rPr>
          <w:rFonts w:ascii="Calibri" w:hAnsi="Calibri" w:cs="Calibri"/>
          <w:noProof/>
          <w:szCs w:val="24"/>
        </w:rPr>
        <w:t xml:space="preserve"> </w:t>
      </w:r>
      <w:r w:rsidRPr="00DE5C02">
        <w:rPr>
          <w:rFonts w:ascii="Calibri" w:hAnsi="Calibri" w:cs="Calibri"/>
          <w:b/>
          <w:bCs/>
          <w:noProof/>
          <w:szCs w:val="24"/>
        </w:rPr>
        <w:t>20,</w:t>
      </w:r>
      <w:r w:rsidRPr="00DE5C02">
        <w:rPr>
          <w:rFonts w:ascii="Calibri" w:hAnsi="Calibri" w:cs="Calibri"/>
          <w:noProof/>
          <w:szCs w:val="24"/>
        </w:rPr>
        <w:t xml:space="preserve"> 51–56 (2012).</w:t>
      </w:r>
    </w:p>
    <w:p w14:paraId="5356018A" w14:textId="77777777" w:rsidR="00C61FE8" w:rsidRPr="00DE5C02" w:rsidRDefault="00C61FE8" w:rsidP="00C61FE8">
      <w:pPr>
        <w:widowControl w:val="0"/>
        <w:autoSpaceDE w:val="0"/>
        <w:autoSpaceDN w:val="0"/>
        <w:adjustRightInd w:val="0"/>
        <w:spacing w:line="240" w:lineRule="auto"/>
        <w:ind w:left="640" w:hanging="640"/>
        <w:rPr>
          <w:rFonts w:ascii="Calibri" w:hAnsi="Calibri" w:cs="Calibri"/>
          <w:noProof/>
          <w:szCs w:val="24"/>
        </w:rPr>
      </w:pPr>
      <w:r w:rsidRPr="00DE5C02">
        <w:rPr>
          <w:rFonts w:ascii="Calibri" w:hAnsi="Calibri" w:cs="Calibri"/>
          <w:noProof/>
          <w:szCs w:val="24"/>
        </w:rPr>
        <w:t>15.</w:t>
      </w:r>
      <w:r w:rsidRPr="00DE5C02">
        <w:rPr>
          <w:rFonts w:ascii="Calibri" w:hAnsi="Calibri" w:cs="Calibri"/>
          <w:noProof/>
          <w:szCs w:val="24"/>
        </w:rPr>
        <w:tab/>
        <w:t xml:space="preserve">Cheruvelil, K. S., Soranno, P. A., Webster, K. E. &amp; Bremigan, M. T. Multi-scaled drivers of ecosystem state: Quantifying the importance of the regional spatial scale. </w:t>
      </w:r>
      <w:r w:rsidRPr="00DE5C02">
        <w:rPr>
          <w:rFonts w:ascii="Calibri" w:hAnsi="Calibri" w:cs="Calibri"/>
          <w:i/>
          <w:iCs/>
          <w:noProof/>
          <w:szCs w:val="24"/>
        </w:rPr>
        <w:t>Ecol. Appl.</w:t>
      </w:r>
      <w:r w:rsidRPr="00DE5C02">
        <w:rPr>
          <w:rFonts w:ascii="Calibri" w:hAnsi="Calibri" w:cs="Calibri"/>
          <w:noProof/>
          <w:szCs w:val="24"/>
        </w:rPr>
        <w:t xml:space="preserve"> </w:t>
      </w:r>
      <w:r w:rsidRPr="00DE5C02">
        <w:rPr>
          <w:rFonts w:ascii="Calibri" w:hAnsi="Calibri" w:cs="Calibri"/>
          <w:b/>
          <w:bCs/>
          <w:noProof/>
          <w:szCs w:val="24"/>
        </w:rPr>
        <w:t>23,</w:t>
      </w:r>
      <w:r w:rsidRPr="00DE5C02">
        <w:rPr>
          <w:rFonts w:ascii="Calibri" w:hAnsi="Calibri" w:cs="Calibri"/>
          <w:noProof/>
          <w:szCs w:val="24"/>
        </w:rPr>
        <w:t xml:space="preserve"> 1603–1618 (2013).</w:t>
      </w:r>
    </w:p>
    <w:p w14:paraId="2585EF64" w14:textId="77777777" w:rsidR="00C61FE8" w:rsidRPr="00DE5C02" w:rsidRDefault="00C61FE8" w:rsidP="00C61FE8">
      <w:pPr>
        <w:widowControl w:val="0"/>
        <w:autoSpaceDE w:val="0"/>
        <w:autoSpaceDN w:val="0"/>
        <w:adjustRightInd w:val="0"/>
        <w:spacing w:line="240" w:lineRule="auto"/>
        <w:ind w:left="640" w:hanging="640"/>
        <w:rPr>
          <w:rFonts w:ascii="Calibri" w:hAnsi="Calibri" w:cs="Calibri"/>
          <w:noProof/>
          <w:szCs w:val="24"/>
        </w:rPr>
      </w:pPr>
      <w:r w:rsidRPr="00DE5C02">
        <w:rPr>
          <w:rFonts w:ascii="Calibri" w:hAnsi="Calibri" w:cs="Calibri"/>
          <w:noProof/>
          <w:szCs w:val="24"/>
        </w:rPr>
        <w:t>16.</w:t>
      </w:r>
      <w:r w:rsidRPr="00DE5C02">
        <w:rPr>
          <w:rFonts w:ascii="Calibri" w:hAnsi="Calibri" w:cs="Calibri"/>
          <w:noProof/>
          <w:szCs w:val="24"/>
        </w:rPr>
        <w:tab/>
        <w:t xml:space="preserve">Iannone, B. V. </w:t>
      </w:r>
      <w:r w:rsidRPr="00DE5C02">
        <w:rPr>
          <w:rFonts w:ascii="Calibri" w:hAnsi="Calibri" w:cs="Calibri"/>
          <w:i/>
          <w:iCs/>
          <w:noProof/>
          <w:szCs w:val="24"/>
        </w:rPr>
        <w:t>et al.</w:t>
      </w:r>
      <w:r w:rsidRPr="00DE5C02">
        <w:rPr>
          <w:rFonts w:ascii="Calibri" w:hAnsi="Calibri" w:cs="Calibri"/>
          <w:noProof/>
          <w:szCs w:val="24"/>
        </w:rPr>
        <w:t xml:space="preserve"> Region-specific patterns and drivers of macroscale forest plant invasions. </w:t>
      </w:r>
      <w:r w:rsidRPr="00DE5C02">
        <w:rPr>
          <w:rFonts w:ascii="Calibri" w:hAnsi="Calibri" w:cs="Calibri"/>
          <w:i/>
          <w:iCs/>
          <w:noProof/>
          <w:szCs w:val="24"/>
        </w:rPr>
        <w:t>Divers. Distrib.</w:t>
      </w:r>
      <w:r w:rsidRPr="00DE5C02">
        <w:rPr>
          <w:rFonts w:ascii="Calibri" w:hAnsi="Calibri" w:cs="Calibri"/>
          <w:noProof/>
          <w:szCs w:val="24"/>
        </w:rPr>
        <w:t xml:space="preserve"> </w:t>
      </w:r>
      <w:r w:rsidRPr="00DE5C02">
        <w:rPr>
          <w:rFonts w:ascii="Calibri" w:hAnsi="Calibri" w:cs="Calibri"/>
          <w:b/>
          <w:bCs/>
          <w:noProof/>
          <w:szCs w:val="24"/>
        </w:rPr>
        <w:t>21,</w:t>
      </w:r>
      <w:r w:rsidRPr="00DE5C02">
        <w:rPr>
          <w:rFonts w:ascii="Calibri" w:hAnsi="Calibri" w:cs="Calibri"/>
          <w:noProof/>
          <w:szCs w:val="24"/>
        </w:rPr>
        <w:t xml:space="preserve"> 1181–1192 (2015).</w:t>
      </w:r>
    </w:p>
    <w:p w14:paraId="1E3D9B28" w14:textId="77777777" w:rsidR="00C61FE8" w:rsidRPr="00DE5C02" w:rsidRDefault="00C61FE8" w:rsidP="00C61FE8">
      <w:pPr>
        <w:widowControl w:val="0"/>
        <w:autoSpaceDE w:val="0"/>
        <w:autoSpaceDN w:val="0"/>
        <w:adjustRightInd w:val="0"/>
        <w:spacing w:line="240" w:lineRule="auto"/>
        <w:ind w:left="640" w:hanging="640"/>
        <w:rPr>
          <w:rFonts w:ascii="Calibri" w:hAnsi="Calibri" w:cs="Calibri"/>
          <w:noProof/>
          <w:szCs w:val="24"/>
        </w:rPr>
      </w:pPr>
      <w:r w:rsidRPr="00DE5C02">
        <w:rPr>
          <w:rFonts w:ascii="Calibri" w:hAnsi="Calibri" w:cs="Calibri"/>
          <w:noProof/>
          <w:szCs w:val="24"/>
        </w:rPr>
        <w:t>17.</w:t>
      </w:r>
      <w:r w:rsidRPr="00DE5C02">
        <w:rPr>
          <w:rFonts w:ascii="Calibri" w:hAnsi="Calibri" w:cs="Calibri"/>
          <w:noProof/>
          <w:szCs w:val="24"/>
        </w:rPr>
        <w:tab/>
        <w:t xml:space="preserve">Dixon Hamil, K. A., Iannone, B. V., Huang, W. K., Fei, S. &amp; Zhang, H. Cross-scale contradictions in ecological relationships. </w:t>
      </w:r>
      <w:r w:rsidRPr="00DE5C02">
        <w:rPr>
          <w:rFonts w:ascii="Calibri" w:hAnsi="Calibri" w:cs="Calibri"/>
          <w:i/>
          <w:iCs/>
          <w:noProof/>
          <w:szCs w:val="24"/>
        </w:rPr>
        <w:t>Landsc. Ecol.</w:t>
      </w:r>
      <w:r w:rsidRPr="00DE5C02">
        <w:rPr>
          <w:rFonts w:ascii="Calibri" w:hAnsi="Calibri" w:cs="Calibri"/>
          <w:noProof/>
          <w:szCs w:val="24"/>
        </w:rPr>
        <w:t xml:space="preserve"> </w:t>
      </w:r>
      <w:r w:rsidRPr="00DE5C02">
        <w:rPr>
          <w:rFonts w:ascii="Calibri" w:hAnsi="Calibri" w:cs="Calibri"/>
          <w:b/>
          <w:bCs/>
          <w:noProof/>
          <w:szCs w:val="24"/>
        </w:rPr>
        <w:t>31,</w:t>
      </w:r>
      <w:r w:rsidRPr="00DE5C02">
        <w:rPr>
          <w:rFonts w:ascii="Calibri" w:hAnsi="Calibri" w:cs="Calibri"/>
          <w:noProof/>
          <w:szCs w:val="24"/>
        </w:rPr>
        <w:t xml:space="preserve"> 7–18 (2016).</w:t>
      </w:r>
    </w:p>
    <w:p w14:paraId="3C76207A" w14:textId="77777777" w:rsidR="00C61FE8" w:rsidRPr="00DE5C02" w:rsidRDefault="00C61FE8" w:rsidP="00C61FE8">
      <w:pPr>
        <w:widowControl w:val="0"/>
        <w:autoSpaceDE w:val="0"/>
        <w:autoSpaceDN w:val="0"/>
        <w:adjustRightInd w:val="0"/>
        <w:spacing w:line="240" w:lineRule="auto"/>
        <w:ind w:left="640" w:hanging="640"/>
        <w:rPr>
          <w:rFonts w:ascii="Calibri" w:hAnsi="Calibri" w:cs="Calibri"/>
          <w:noProof/>
          <w:szCs w:val="24"/>
        </w:rPr>
      </w:pPr>
      <w:r w:rsidRPr="00DE5C02">
        <w:rPr>
          <w:rFonts w:ascii="Calibri" w:hAnsi="Calibri" w:cs="Calibri"/>
          <w:noProof/>
          <w:szCs w:val="24"/>
        </w:rPr>
        <w:t>18.</w:t>
      </w:r>
      <w:r w:rsidRPr="00DE5C02">
        <w:rPr>
          <w:rFonts w:ascii="Calibri" w:hAnsi="Calibri" w:cs="Calibri"/>
          <w:noProof/>
          <w:szCs w:val="24"/>
        </w:rPr>
        <w:tab/>
        <w:t xml:space="preserve">Dorioz, J. M., Wang, D., Poulenard, J. &amp; Trévisan, D. The effect of grass buffer strips on phosphorus dynamics-A critical review and synthesis as a basis for application in agricultural landscapes in France. </w:t>
      </w:r>
      <w:r w:rsidRPr="00DE5C02">
        <w:rPr>
          <w:rFonts w:ascii="Calibri" w:hAnsi="Calibri" w:cs="Calibri"/>
          <w:i/>
          <w:iCs/>
          <w:noProof/>
          <w:szCs w:val="24"/>
        </w:rPr>
        <w:t>Agric. Ecosyst. Environ.</w:t>
      </w:r>
      <w:r w:rsidRPr="00DE5C02">
        <w:rPr>
          <w:rFonts w:ascii="Calibri" w:hAnsi="Calibri" w:cs="Calibri"/>
          <w:noProof/>
          <w:szCs w:val="24"/>
        </w:rPr>
        <w:t xml:space="preserve"> </w:t>
      </w:r>
      <w:r w:rsidRPr="00DE5C02">
        <w:rPr>
          <w:rFonts w:ascii="Calibri" w:hAnsi="Calibri" w:cs="Calibri"/>
          <w:b/>
          <w:bCs/>
          <w:noProof/>
          <w:szCs w:val="24"/>
        </w:rPr>
        <w:t>117,</w:t>
      </w:r>
      <w:r w:rsidRPr="00DE5C02">
        <w:rPr>
          <w:rFonts w:ascii="Calibri" w:hAnsi="Calibri" w:cs="Calibri"/>
          <w:noProof/>
          <w:szCs w:val="24"/>
        </w:rPr>
        <w:t xml:space="preserve"> 4–21 (2006).</w:t>
      </w:r>
    </w:p>
    <w:p w14:paraId="1AC8C516" w14:textId="03418E93" w:rsidR="00C61FE8" w:rsidRPr="00DE5C02" w:rsidRDefault="00C61FE8" w:rsidP="00C61FE8">
      <w:pPr>
        <w:widowControl w:val="0"/>
        <w:autoSpaceDE w:val="0"/>
        <w:autoSpaceDN w:val="0"/>
        <w:adjustRightInd w:val="0"/>
        <w:spacing w:line="240" w:lineRule="auto"/>
        <w:ind w:left="640" w:hanging="640"/>
        <w:rPr>
          <w:rFonts w:ascii="Calibri" w:hAnsi="Calibri" w:cs="Calibri"/>
          <w:noProof/>
          <w:szCs w:val="24"/>
        </w:rPr>
      </w:pPr>
      <w:r w:rsidRPr="00DE5C02">
        <w:rPr>
          <w:rFonts w:ascii="Calibri" w:hAnsi="Calibri" w:cs="Calibri"/>
          <w:noProof/>
          <w:szCs w:val="24"/>
        </w:rPr>
        <w:t>19.</w:t>
      </w:r>
      <w:r w:rsidRPr="00DE5C02">
        <w:rPr>
          <w:rFonts w:ascii="Calibri" w:hAnsi="Calibri" w:cs="Calibri"/>
          <w:noProof/>
          <w:szCs w:val="24"/>
        </w:rPr>
        <w:tab/>
        <w:t>Bolker, B. M.</w:t>
      </w:r>
      <w:r w:rsidR="00A110AD" w:rsidRPr="00DE5C02">
        <w:rPr>
          <w:rFonts w:ascii="Calibri" w:hAnsi="Calibri" w:cs="Calibri"/>
          <w:noProof/>
          <w:szCs w:val="24"/>
        </w:rPr>
        <w:t xml:space="preserve"> </w:t>
      </w:r>
      <w:r w:rsidR="00A110AD" w:rsidRPr="00DE5C02">
        <w:rPr>
          <w:rFonts w:ascii="Calibri" w:hAnsi="Calibri" w:cs="Calibri"/>
          <w:i/>
          <w:noProof/>
          <w:szCs w:val="24"/>
        </w:rPr>
        <w:t xml:space="preserve">et al. </w:t>
      </w:r>
      <w:r w:rsidR="00A110AD" w:rsidRPr="00DE5C02">
        <w:rPr>
          <w:rFonts w:ascii="Calibri" w:hAnsi="Calibri" w:cs="Calibri"/>
          <w:noProof/>
          <w:szCs w:val="24"/>
        </w:rPr>
        <w:t>Generalized linear mixed models: a practical guide for ecology and evolution.</w:t>
      </w:r>
      <w:r w:rsidR="00A110AD" w:rsidRPr="00DE5C02">
        <w:rPr>
          <w:rFonts w:ascii="Calibri" w:hAnsi="Calibri" w:cs="Calibri"/>
          <w:i/>
          <w:noProof/>
          <w:szCs w:val="24"/>
        </w:rPr>
        <w:t xml:space="preserve"> Trends in Ecology and Evolution</w:t>
      </w:r>
      <w:r w:rsidR="00A110AD" w:rsidRPr="00DE5C02">
        <w:rPr>
          <w:rFonts w:ascii="Calibri" w:hAnsi="Calibri" w:cs="Calibri"/>
          <w:noProof/>
          <w:szCs w:val="24"/>
        </w:rPr>
        <w:t>, 127–135.</w:t>
      </w:r>
      <w:r w:rsidRPr="00DE5C02">
        <w:rPr>
          <w:rFonts w:ascii="Calibri" w:hAnsi="Calibri" w:cs="Calibri"/>
          <w:noProof/>
          <w:szCs w:val="24"/>
        </w:rPr>
        <w:t xml:space="preserve"> (20</w:t>
      </w:r>
      <w:r w:rsidR="00A110AD" w:rsidRPr="00DE5C02">
        <w:rPr>
          <w:rFonts w:ascii="Calibri" w:hAnsi="Calibri" w:cs="Calibri"/>
          <w:noProof/>
          <w:szCs w:val="24"/>
        </w:rPr>
        <w:t>08</w:t>
      </w:r>
      <w:r w:rsidRPr="00DE5C02">
        <w:rPr>
          <w:rFonts w:ascii="Calibri" w:hAnsi="Calibri" w:cs="Calibri"/>
          <w:noProof/>
          <w:szCs w:val="24"/>
        </w:rPr>
        <w:t>).</w:t>
      </w:r>
    </w:p>
    <w:p w14:paraId="233D8B86" w14:textId="77777777" w:rsidR="00C61FE8" w:rsidRPr="00DE5C02" w:rsidRDefault="00C61FE8" w:rsidP="00C61FE8">
      <w:pPr>
        <w:widowControl w:val="0"/>
        <w:autoSpaceDE w:val="0"/>
        <w:autoSpaceDN w:val="0"/>
        <w:adjustRightInd w:val="0"/>
        <w:spacing w:line="240" w:lineRule="auto"/>
        <w:ind w:left="640" w:hanging="640"/>
        <w:rPr>
          <w:rFonts w:ascii="Calibri" w:hAnsi="Calibri" w:cs="Calibri"/>
          <w:noProof/>
          <w:szCs w:val="24"/>
        </w:rPr>
      </w:pPr>
      <w:r w:rsidRPr="00DE5C02">
        <w:rPr>
          <w:rFonts w:ascii="Calibri" w:hAnsi="Calibri" w:cs="Calibri"/>
          <w:noProof/>
          <w:szCs w:val="24"/>
        </w:rPr>
        <w:t>20.</w:t>
      </w:r>
      <w:r w:rsidRPr="00DE5C02">
        <w:rPr>
          <w:rFonts w:ascii="Calibri" w:hAnsi="Calibri" w:cs="Calibri"/>
          <w:noProof/>
          <w:szCs w:val="24"/>
        </w:rPr>
        <w:tab/>
        <w:t xml:space="preserve">Larson, D. L. </w:t>
      </w:r>
      <w:r w:rsidRPr="00DE5C02">
        <w:rPr>
          <w:rFonts w:ascii="Calibri" w:hAnsi="Calibri" w:cs="Calibri"/>
          <w:i/>
          <w:iCs/>
          <w:noProof/>
          <w:szCs w:val="24"/>
        </w:rPr>
        <w:t>et al.</w:t>
      </w:r>
      <w:r w:rsidRPr="00DE5C02">
        <w:rPr>
          <w:rFonts w:ascii="Calibri" w:hAnsi="Calibri" w:cs="Calibri"/>
          <w:noProof/>
          <w:szCs w:val="24"/>
        </w:rPr>
        <w:t xml:space="preserve"> A framework for sustainable invasive species management: Environmental, social, and economic objectives. </w:t>
      </w:r>
      <w:r w:rsidRPr="00DE5C02">
        <w:rPr>
          <w:rFonts w:ascii="Calibri" w:hAnsi="Calibri" w:cs="Calibri"/>
          <w:i/>
          <w:iCs/>
          <w:noProof/>
          <w:szCs w:val="24"/>
        </w:rPr>
        <w:t>J. Environ. Manage.</w:t>
      </w:r>
      <w:r w:rsidRPr="00DE5C02">
        <w:rPr>
          <w:rFonts w:ascii="Calibri" w:hAnsi="Calibri" w:cs="Calibri"/>
          <w:noProof/>
          <w:szCs w:val="24"/>
        </w:rPr>
        <w:t xml:space="preserve"> </w:t>
      </w:r>
      <w:r w:rsidRPr="00DE5C02">
        <w:rPr>
          <w:rFonts w:ascii="Calibri" w:hAnsi="Calibri" w:cs="Calibri"/>
          <w:b/>
          <w:bCs/>
          <w:noProof/>
          <w:szCs w:val="24"/>
        </w:rPr>
        <w:t>92,</w:t>
      </w:r>
      <w:r w:rsidRPr="00DE5C02">
        <w:rPr>
          <w:rFonts w:ascii="Calibri" w:hAnsi="Calibri" w:cs="Calibri"/>
          <w:noProof/>
          <w:szCs w:val="24"/>
        </w:rPr>
        <w:t xml:space="preserve"> 14–22 (2011).</w:t>
      </w:r>
    </w:p>
    <w:p w14:paraId="0B1E65CE" w14:textId="77777777" w:rsidR="00C61FE8" w:rsidRPr="00DE5C02" w:rsidRDefault="00C61FE8" w:rsidP="00C61FE8">
      <w:pPr>
        <w:widowControl w:val="0"/>
        <w:autoSpaceDE w:val="0"/>
        <w:autoSpaceDN w:val="0"/>
        <w:adjustRightInd w:val="0"/>
        <w:spacing w:line="240" w:lineRule="auto"/>
        <w:ind w:left="640" w:hanging="640"/>
        <w:rPr>
          <w:rFonts w:ascii="Calibri" w:hAnsi="Calibri" w:cs="Calibri"/>
          <w:noProof/>
          <w:szCs w:val="24"/>
        </w:rPr>
      </w:pPr>
      <w:r w:rsidRPr="00DE5C02">
        <w:rPr>
          <w:rFonts w:ascii="Calibri" w:hAnsi="Calibri" w:cs="Calibri"/>
          <w:noProof/>
          <w:szCs w:val="24"/>
        </w:rPr>
        <w:t>21.</w:t>
      </w:r>
      <w:r w:rsidRPr="00DE5C02">
        <w:rPr>
          <w:rFonts w:ascii="Calibri" w:hAnsi="Calibri" w:cs="Calibri"/>
          <w:noProof/>
          <w:szCs w:val="24"/>
        </w:rPr>
        <w:tab/>
        <w:t xml:space="preserve">Pyšek, P. </w:t>
      </w:r>
      <w:r w:rsidRPr="00DE5C02">
        <w:rPr>
          <w:rFonts w:ascii="Calibri" w:hAnsi="Calibri" w:cs="Calibri"/>
          <w:i/>
          <w:iCs/>
          <w:noProof/>
          <w:szCs w:val="24"/>
        </w:rPr>
        <w:t>et al.</w:t>
      </w:r>
      <w:r w:rsidRPr="00DE5C02">
        <w:rPr>
          <w:rFonts w:ascii="Calibri" w:hAnsi="Calibri" w:cs="Calibri"/>
          <w:noProof/>
          <w:szCs w:val="24"/>
        </w:rPr>
        <w:t xml:space="preserve"> A global assessment of invasive plant impacts on resident species, communities and ecosystems: The interaction of impact measures, invading species’ traits and environment. </w:t>
      </w:r>
      <w:r w:rsidRPr="00DE5C02">
        <w:rPr>
          <w:rFonts w:ascii="Calibri" w:hAnsi="Calibri" w:cs="Calibri"/>
          <w:i/>
          <w:iCs/>
          <w:noProof/>
          <w:szCs w:val="24"/>
        </w:rPr>
        <w:t>Glob. Chang. Biol.</w:t>
      </w:r>
      <w:r w:rsidRPr="00DE5C02">
        <w:rPr>
          <w:rFonts w:ascii="Calibri" w:hAnsi="Calibri" w:cs="Calibri"/>
          <w:noProof/>
          <w:szCs w:val="24"/>
        </w:rPr>
        <w:t xml:space="preserve"> </w:t>
      </w:r>
      <w:r w:rsidRPr="00DE5C02">
        <w:rPr>
          <w:rFonts w:ascii="Calibri" w:hAnsi="Calibri" w:cs="Calibri"/>
          <w:b/>
          <w:bCs/>
          <w:noProof/>
          <w:szCs w:val="24"/>
        </w:rPr>
        <w:t>18,</w:t>
      </w:r>
      <w:r w:rsidRPr="00DE5C02">
        <w:rPr>
          <w:rFonts w:ascii="Calibri" w:hAnsi="Calibri" w:cs="Calibri"/>
          <w:noProof/>
          <w:szCs w:val="24"/>
        </w:rPr>
        <w:t xml:space="preserve"> 1725–1737 (2012).</w:t>
      </w:r>
    </w:p>
    <w:p w14:paraId="28344650" w14:textId="70A9BF59" w:rsidR="00C61FE8" w:rsidRPr="00DE5C02" w:rsidRDefault="00C61FE8" w:rsidP="00C61FE8">
      <w:pPr>
        <w:widowControl w:val="0"/>
        <w:autoSpaceDE w:val="0"/>
        <w:autoSpaceDN w:val="0"/>
        <w:adjustRightInd w:val="0"/>
        <w:spacing w:line="240" w:lineRule="auto"/>
        <w:ind w:left="640" w:hanging="640"/>
        <w:rPr>
          <w:rFonts w:ascii="Calibri" w:hAnsi="Calibri" w:cs="Calibri"/>
          <w:noProof/>
          <w:szCs w:val="24"/>
        </w:rPr>
      </w:pPr>
      <w:r w:rsidRPr="00DE5C02">
        <w:rPr>
          <w:rFonts w:ascii="Calibri" w:hAnsi="Calibri" w:cs="Calibri"/>
          <w:noProof/>
          <w:szCs w:val="24"/>
        </w:rPr>
        <w:t>22.</w:t>
      </w:r>
      <w:r w:rsidRPr="00DE5C02">
        <w:rPr>
          <w:rFonts w:ascii="Calibri" w:hAnsi="Calibri" w:cs="Calibri"/>
          <w:noProof/>
          <w:szCs w:val="24"/>
        </w:rPr>
        <w:tab/>
        <w:t xml:space="preserve">Edwards, C. </w:t>
      </w:r>
      <w:r w:rsidRPr="00DE5C02">
        <w:rPr>
          <w:rFonts w:ascii="Calibri" w:hAnsi="Calibri" w:cs="Calibri"/>
          <w:i/>
          <w:iCs/>
          <w:noProof/>
          <w:szCs w:val="24"/>
        </w:rPr>
        <w:t>Forestry Commission Practice Guide: Managing and controlling invasive rhododendron</w:t>
      </w:r>
      <w:r w:rsidRPr="00DE5C02">
        <w:rPr>
          <w:rFonts w:ascii="Calibri" w:hAnsi="Calibri" w:cs="Calibri"/>
          <w:noProof/>
          <w:szCs w:val="24"/>
        </w:rPr>
        <w:t>. (2006).</w:t>
      </w:r>
    </w:p>
    <w:p w14:paraId="787A208F" w14:textId="77777777" w:rsidR="00C61FE8" w:rsidRPr="00DE5C02" w:rsidRDefault="00C61FE8" w:rsidP="00C61FE8">
      <w:pPr>
        <w:widowControl w:val="0"/>
        <w:autoSpaceDE w:val="0"/>
        <w:autoSpaceDN w:val="0"/>
        <w:adjustRightInd w:val="0"/>
        <w:spacing w:line="240" w:lineRule="auto"/>
        <w:ind w:left="640" w:hanging="640"/>
        <w:rPr>
          <w:rFonts w:ascii="Calibri" w:hAnsi="Calibri" w:cs="Calibri"/>
          <w:noProof/>
          <w:szCs w:val="24"/>
        </w:rPr>
      </w:pPr>
      <w:r w:rsidRPr="00DE5C02">
        <w:rPr>
          <w:rFonts w:ascii="Calibri" w:hAnsi="Calibri" w:cs="Calibri"/>
          <w:noProof/>
          <w:szCs w:val="24"/>
        </w:rPr>
        <w:t>23.</w:t>
      </w:r>
      <w:r w:rsidRPr="00DE5C02">
        <w:rPr>
          <w:rFonts w:ascii="Calibri" w:hAnsi="Calibri" w:cs="Calibri"/>
          <w:noProof/>
          <w:szCs w:val="24"/>
        </w:rPr>
        <w:tab/>
        <w:t xml:space="preserve">Céréghino, R., Biggs, J., Oertli, B. &amp; Declerck, S. The ecology of European ponds: Defining the characteristics of a neglected freshwater habitat. </w:t>
      </w:r>
      <w:r w:rsidRPr="00DE5C02">
        <w:rPr>
          <w:rFonts w:ascii="Calibri" w:hAnsi="Calibri" w:cs="Calibri"/>
          <w:i/>
          <w:iCs/>
          <w:noProof/>
          <w:szCs w:val="24"/>
        </w:rPr>
        <w:t>Hydrobiologia</w:t>
      </w:r>
      <w:r w:rsidRPr="00DE5C02">
        <w:rPr>
          <w:rFonts w:ascii="Calibri" w:hAnsi="Calibri" w:cs="Calibri"/>
          <w:noProof/>
          <w:szCs w:val="24"/>
        </w:rPr>
        <w:t xml:space="preserve"> </w:t>
      </w:r>
      <w:r w:rsidRPr="00DE5C02">
        <w:rPr>
          <w:rFonts w:ascii="Calibri" w:hAnsi="Calibri" w:cs="Calibri"/>
          <w:b/>
          <w:bCs/>
          <w:noProof/>
          <w:szCs w:val="24"/>
        </w:rPr>
        <w:t>597,</w:t>
      </w:r>
      <w:r w:rsidRPr="00DE5C02">
        <w:rPr>
          <w:rFonts w:ascii="Calibri" w:hAnsi="Calibri" w:cs="Calibri"/>
          <w:noProof/>
          <w:szCs w:val="24"/>
        </w:rPr>
        <w:t xml:space="preserve"> 1–6 (2008).</w:t>
      </w:r>
    </w:p>
    <w:p w14:paraId="00400251" w14:textId="77777777" w:rsidR="00C61FE8" w:rsidRPr="00DE5C02" w:rsidRDefault="00C61FE8" w:rsidP="00C61FE8">
      <w:pPr>
        <w:widowControl w:val="0"/>
        <w:autoSpaceDE w:val="0"/>
        <w:autoSpaceDN w:val="0"/>
        <w:adjustRightInd w:val="0"/>
        <w:spacing w:line="240" w:lineRule="auto"/>
        <w:ind w:left="640" w:hanging="640"/>
        <w:rPr>
          <w:rFonts w:ascii="Calibri" w:hAnsi="Calibri" w:cs="Calibri"/>
          <w:noProof/>
          <w:szCs w:val="24"/>
        </w:rPr>
      </w:pPr>
      <w:r w:rsidRPr="00DE5C02">
        <w:rPr>
          <w:rFonts w:ascii="Calibri" w:hAnsi="Calibri" w:cs="Calibri"/>
          <w:noProof/>
          <w:szCs w:val="24"/>
        </w:rPr>
        <w:t>24.</w:t>
      </w:r>
      <w:r w:rsidRPr="00DE5C02">
        <w:rPr>
          <w:rFonts w:ascii="Calibri" w:hAnsi="Calibri" w:cs="Calibri"/>
          <w:noProof/>
          <w:szCs w:val="24"/>
        </w:rPr>
        <w:tab/>
        <w:t xml:space="preserve">Manning, P. </w:t>
      </w:r>
      <w:r w:rsidRPr="00DE5C02">
        <w:rPr>
          <w:rFonts w:ascii="Calibri" w:hAnsi="Calibri" w:cs="Calibri"/>
          <w:i/>
          <w:iCs/>
          <w:noProof/>
          <w:szCs w:val="24"/>
        </w:rPr>
        <w:t>et al.</w:t>
      </w:r>
      <w:r w:rsidRPr="00DE5C02">
        <w:rPr>
          <w:rFonts w:ascii="Calibri" w:hAnsi="Calibri" w:cs="Calibri"/>
          <w:noProof/>
          <w:szCs w:val="24"/>
        </w:rPr>
        <w:t xml:space="preserve"> Redefining ecosystem multifunctionality. </w:t>
      </w:r>
      <w:r w:rsidRPr="00DE5C02">
        <w:rPr>
          <w:rFonts w:ascii="Calibri" w:hAnsi="Calibri" w:cs="Calibri"/>
          <w:i/>
          <w:iCs/>
          <w:noProof/>
          <w:szCs w:val="24"/>
        </w:rPr>
        <w:t>Nat. Ecol. Evol.</w:t>
      </w:r>
      <w:r w:rsidRPr="00DE5C02">
        <w:rPr>
          <w:rFonts w:ascii="Calibri" w:hAnsi="Calibri" w:cs="Calibri"/>
          <w:noProof/>
          <w:szCs w:val="24"/>
        </w:rPr>
        <w:t xml:space="preserve"> </w:t>
      </w:r>
      <w:r w:rsidRPr="00DE5C02">
        <w:rPr>
          <w:rFonts w:ascii="Calibri" w:hAnsi="Calibri" w:cs="Calibri"/>
          <w:b/>
          <w:bCs/>
          <w:noProof/>
          <w:szCs w:val="24"/>
        </w:rPr>
        <w:t>2,</w:t>
      </w:r>
      <w:r w:rsidRPr="00DE5C02">
        <w:rPr>
          <w:rFonts w:ascii="Calibri" w:hAnsi="Calibri" w:cs="Calibri"/>
          <w:noProof/>
          <w:szCs w:val="24"/>
        </w:rPr>
        <w:t xml:space="preserve"> 427–436 (2018).</w:t>
      </w:r>
    </w:p>
    <w:p w14:paraId="32A59459" w14:textId="77777777" w:rsidR="00C61FE8" w:rsidRPr="00DE5C02" w:rsidRDefault="00C61FE8" w:rsidP="00C61FE8">
      <w:pPr>
        <w:widowControl w:val="0"/>
        <w:autoSpaceDE w:val="0"/>
        <w:autoSpaceDN w:val="0"/>
        <w:adjustRightInd w:val="0"/>
        <w:spacing w:line="240" w:lineRule="auto"/>
        <w:ind w:left="640" w:hanging="640"/>
        <w:rPr>
          <w:rFonts w:ascii="Calibri" w:hAnsi="Calibri" w:cs="Calibri"/>
          <w:noProof/>
          <w:szCs w:val="24"/>
        </w:rPr>
      </w:pPr>
      <w:r w:rsidRPr="00DE5C02">
        <w:rPr>
          <w:rFonts w:ascii="Calibri" w:hAnsi="Calibri" w:cs="Calibri"/>
          <w:noProof/>
          <w:szCs w:val="24"/>
        </w:rPr>
        <w:t>25.</w:t>
      </w:r>
      <w:r w:rsidRPr="00DE5C02">
        <w:rPr>
          <w:rFonts w:ascii="Calibri" w:hAnsi="Calibri" w:cs="Calibri"/>
          <w:noProof/>
          <w:szCs w:val="24"/>
        </w:rPr>
        <w:tab/>
        <w:t xml:space="preserve">Carey, P. D. </w:t>
      </w:r>
      <w:r w:rsidRPr="00DE5C02">
        <w:rPr>
          <w:rFonts w:ascii="Calibri" w:hAnsi="Calibri" w:cs="Calibri"/>
          <w:i/>
          <w:iCs/>
          <w:noProof/>
          <w:szCs w:val="24"/>
        </w:rPr>
        <w:t>et al.</w:t>
      </w:r>
      <w:r w:rsidRPr="00DE5C02">
        <w:rPr>
          <w:rFonts w:ascii="Calibri" w:hAnsi="Calibri" w:cs="Calibri"/>
          <w:noProof/>
          <w:szCs w:val="24"/>
        </w:rPr>
        <w:t xml:space="preserve"> Countryside Survey Methodology. </w:t>
      </w:r>
      <w:r w:rsidRPr="00DE5C02">
        <w:rPr>
          <w:rFonts w:ascii="Calibri" w:hAnsi="Calibri" w:cs="Calibri"/>
          <w:i/>
          <w:iCs/>
          <w:noProof/>
          <w:szCs w:val="24"/>
        </w:rPr>
        <w:t>Countrys. Surv. UK results from 2007</w:t>
      </w:r>
      <w:r w:rsidRPr="00DE5C02">
        <w:rPr>
          <w:rFonts w:ascii="Calibri" w:hAnsi="Calibri" w:cs="Calibri"/>
          <w:noProof/>
          <w:szCs w:val="24"/>
        </w:rPr>
        <w:t xml:space="preserve"> (2009).</w:t>
      </w:r>
    </w:p>
    <w:p w14:paraId="1538F9A5" w14:textId="77777777" w:rsidR="00C61FE8" w:rsidRPr="00DE5C02" w:rsidRDefault="00C61FE8" w:rsidP="00C61FE8">
      <w:pPr>
        <w:widowControl w:val="0"/>
        <w:autoSpaceDE w:val="0"/>
        <w:autoSpaceDN w:val="0"/>
        <w:adjustRightInd w:val="0"/>
        <w:spacing w:line="240" w:lineRule="auto"/>
        <w:ind w:left="640" w:hanging="640"/>
        <w:rPr>
          <w:rFonts w:ascii="Calibri" w:hAnsi="Calibri" w:cs="Calibri"/>
          <w:noProof/>
          <w:szCs w:val="24"/>
        </w:rPr>
      </w:pPr>
      <w:r w:rsidRPr="00DE5C02">
        <w:rPr>
          <w:rFonts w:ascii="Calibri" w:hAnsi="Calibri" w:cs="Calibri"/>
          <w:noProof/>
          <w:szCs w:val="24"/>
        </w:rPr>
        <w:t>26.</w:t>
      </w:r>
      <w:r w:rsidRPr="00DE5C02">
        <w:rPr>
          <w:rFonts w:ascii="Calibri" w:hAnsi="Calibri" w:cs="Calibri"/>
          <w:noProof/>
          <w:szCs w:val="24"/>
        </w:rPr>
        <w:tab/>
        <w:t xml:space="preserve">Williams, P. </w:t>
      </w:r>
      <w:r w:rsidRPr="00DE5C02">
        <w:rPr>
          <w:rFonts w:ascii="Calibri" w:hAnsi="Calibri" w:cs="Calibri"/>
          <w:i/>
          <w:iCs/>
          <w:noProof/>
          <w:szCs w:val="24"/>
        </w:rPr>
        <w:t>et al.</w:t>
      </w:r>
      <w:r w:rsidRPr="00DE5C02">
        <w:rPr>
          <w:rFonts w:ascii="Calibri" w:hAnsi="Calibri" w:cs="Calibri"/>
          <w:noProof/>
          <w:szCs w:val="24"/>
        </w:rPr>
        <w:t xml:space="preserve"> Countryside Survey: Ponds Report from 2007. Technical Report No. 7/07. </w:t>
      </w:r>
      <w:r w:rsidRPr="00DE5C02">
        <w:rPr>
          <w:rFonts w:ascii="Calibri" w:hAnsi="Calibri" w:cs="Calibri"/>
          <w:i/>
          <w:iCs/>
          <w:noProof/>
          <w:szCs w:val="24"/>
        </w:rPr>
        <w:t>Pond Conserv. NERC/Centre Ecol. Hydrol.</w:t>
      </w:r>
      <w:r w:rsidRPr="00DE5C02">
        <w:rPr>
          <w:rFonts w:ascii="Calibri" w:hAnsi="Calibri" w:cs="Calibri"/>
          <w:noProof/>
          <w:szCs w:val="24"/>
        </w:rPr>
        <w:t xml:space="preserve"> 77pp. (CEH Project Number: C03259). (2010).</w:t>
      </w:r>
    </w:p>
    <w:p w14:paraId="45CDF29A" w14:textId="77777777" w:rsidR="00C61FE8" w:rsidRPr="00DE5C02" w:rsidRDefault="00C61FE8" w:rsidP="00C61FE8">
      <w:pPr>
        <w:widowControl w:val="0"/>
        <w:autoSpaceDE w:val="0"/>
        <w:autoSpaceDN w:val="0"/>
        <w:adjustRightInd w:val="0"/>
        <w:spacing w:line="240" w:lineRule="auto"/>
        <w:ind w:left="640" w:hanging="640"/>
        <w:rPr>
          <w:rFonts w:ascii="Calibri" w:hAnsi="Calibri" w:cs="Calibri"/>
          <w:noProof/>
          <w:szCs w:val="24"/>
        </w:rPr>
      </w:pPr>
      <w:r w:rsidRPr="00DE5C02">
        <w:rPr>
          <w:rFonts w:ascii="Calibri" w:hAnsi="Calibri" w:cs="Calibri"/>
          <w:noProof/>
          <w:szCs w:val="24"/>
        </w:rPr>
        <w:t>27.</w:t>
      </w:r>
      <w:r w:rsidRPr="00DE5C02">
        <w:rPr>
          <w:rFonts w:ascii="Calibri" w:hAnsi="Calibri" w:cs="Calibri"/>
          <w:noProof/>
          <w:szCs w:val="24"/>
        </w:rPr>
        <w:tab/>
        <w:t xml:space="preserve">Heffernan, J. B. </w:t>
      </w:r>
      <w:r w:rsidRPr="00DE5C02">
        <w:rPr>
          <w:rFonts w:ascii="Calibri" w:hAnsi="Calibri" w:cs="Calibri"/>
          <w:i/>
          <w:iCs/>
          <w:noProof/>
          <w:szCs w:val="24"/>
        </w:rPr>
        <w:t>et al.</w:t>
      </w:r>
      <w:r w:rsidRPr="00DE5C02">
        <w:rPr>
          <w:rFonts w:ascii="Calibri" w:hAnsi="Calibri" w:cs="Calibri"/>
          <w:noProof/>
          <w:szCs w:val="24"/>
        </w:rPr>
        <w:t xml:space="preserve"> Macrosystems ecology: Understanding ecological patterns and processes at continental scales. </w:t>
      </w:r>
      <w:r w:rsidRPr="00DE5C02">
        <w:rPr>
          <w:rFonts w:ascii="Calibri" w:hAnsi="Calibri" w:cs="Calibri"/>
          <w:i/>
          <w:iCs/>
          <w:noProof/>
          <w:szCs w:val="24"/>
        </w:rPr>
        <w:t>Front. Ecol. Environ.</w:t>
      </w:r>
      <w:r w:rsidRPr="00DE5C02">
        <w:rPr>
          <w:rFonts w:ascii="Calibri" w:hAnsi="Calibri" w:cs="Calibri"/>
          <w:noProof/>
          <w:szCs w:val="24"/>
        </w:rPr>
        <w:t xml:space="preserve"> </w:t>
      </w:r>
      <w:r w:rsidRPr="00DE5C02">
        <w:rPr>
          <w:rFonts w:ascii="Calibri" w:hAnsi="Calibri" w:cs="Calibri"/>
          <w:b/>
          <w:bCs/>
          <w:noProof/>
          <w:szCs w:val="24"/>
        </w:rPr>
        <w:t>12,</w:t>
      </w:r>
      <w:r w:rsidRPr="00DE5C02">
        <w:rPr>
          <w:rFonts w:ascii="Calibri" w:hAnsi="Calibri" w:cs="Calibri"/>
          <w:noProof/>
          <w:szCs w:val="24"/>
        </w:rPr>
        <w:t xml:space="preserve"> 5–14 (2014).</w:t>
      </w:r>
    </w:p>
    <w:p w14:paraId="08E0D89D" w14:textId="77777777" w:rsidR="00C61FE8" w:rsidRPr="00DE5C02" w:rsidRDefault="00C61FE8" w:rsidP="00C61FE8">
      <w:pPr>
        <w:widowControl w:val="0"/>
        <w:autoSpaceDE w:val="0"/>
        <w:autoSpaceDN w:val="0"/>
        <w:adjustRightInd w:val="0"/>
        <w:spacing w:line="240" w:lineRule="auto"/>
        <w:ind w:left="640" w:hanging="640"/>
        <w:rPr>
          <w:rFonts w:ascii="Calibri" w:hAnsi="Calibri" w:cs="Calibri"/>
          <w:noProof/>
          <w:szCs w:val="24"/>
        </w:rPr>
      </w:pPr>
      <w:r w:rsidRPr="00DE5C02">
        <w:rPr>
          <w:rFonts w:ascii="Calibri" w:hAnsi="Calibri" w:cs="Calibri"/>
          <w:noProof/>
          <w:szCs w:val="24"/>
        </w:rPr>
        <w:t>28.</w:t>
      </w:r>
      <w:r w:rsidRPr="00DE5C02">
        <w:rPr>
          <w:rFonts w:ascii="Calibri" w:hAnsi="Calibri" w:cs="Calibri"/>
          <w:noProof/>
          <w:szCs w:val="24"/>
        </w:rPr>
        <w:tab/>
        <w:t xml:space="preserve">Wu, J. &amp; David, J. L. A spatially explicit hierarchical approach to modeling complex ecological systems: Theory and applications. </w:t>
      </w:r>
      <w:r w:rsidRPr="00DE5C02">
        <w:rPr>
          <w:rFonts w:ascii="Calibri" w:hAnsi="Calibri" w:cs="Calibri"/>
          <w:i/>
          <w:iCs/>
          <w:noProof/>
          <w:szCs w:val="24"/>
        </w:rPr>
        <w:t>Ecol. Modell.</w:t>
      </w:r>
      <w:r w:rsidRPr="00DE5C02">
        <w:rPr>
          <w:rFonts w:ascii="Calibri" w:hAnsi="Calibri" w:cs="Calibri"/>
          <w:noProof/>
          <w:szCs w:val="24"/>
        </w:rPr>
        <w:t xml:space="preserve"> </w:t>
      </w:r>
      <w:r w:rsidRPr="00DE5C02">
        <w:rPr>
          <w:rFonts w:ascii="Calibri" w:hAnsi="Calibri" w:cs="Calibri"/>
          <w:b/>
          <w:bCs/>
          <w:noProof/>
          <w:szCs w:val="24"/>
        </w:rPr>
        <w:t>153,</w:t>
      </w:r>
      <w:r w:rsidRPr="00DE5C02">
        <w:rPr>
          <w:rFonts w:ascii="Calibri" w:hAnsi="Calibri" w:cs="Calibri"/>
          <w:noProof/>
          <w:szCs w:val="24"/>
        </w:rPr>
        <w:t xml:space="preserve"> 7–26 (2002).</w:t>
      </w:r>
    </w:p>
    <w:p w14:paraId="34E2AA45" w14:textId="77777777" w:rsidR="00C61FE8" w:rsidRPr="00DE5C02" w:rsidRDefault="00C61FE8" w:rsidP="00C61FE8">
      <w:pPr>
        <w:widowControl w:val="0"/>
        <w:autoSpaceDE w:val="0"/>
        <w:autoSpaceDN w:val="0"/>
        <w:adjustRightInd w:val="0"/>
        <w:spacing w:line="240" w:lineRule="auto"/>
        <w:ind w:left="640" w:hanging="640"/>
        <w:rPr>
          <w:rFonts w:ascii="Calibri" w:hAnsi="Calibri" w:cs="Calibri"/>
          <w:noProof/>
          <w:szCs w:val="24"/>
        </w:rPr>
      </w:pPr>
      <w:r w:rsidRPr="00DE5C02">
        <w:rPr>
          <w:rFonts w:ascii="Calibri" w:hAnsi="Calibri" w:cs="Calibri"/>
          <w:noProof/>
          <w:szCs w:val="24"/>
        </w:rPr>
        <w:t>29.</w:t>
      </w:r>
      <w:r w:rsidRPr="00DE5C02">
        <w:rPr>
          <w:rFonts w:ascii="Calibri" w:hAnsi="Calibri" w:cs="Calibri"/>
          <w:noProof/>
          <w:szCs w:val="24"/>
        </w:rPr>
        <w:tab/>
        <w:t xml:space="preserve">Allen, T. F. . &amp; Starr, T. . </w:t>
      </w:r>
      <w:r w:rsidRPr="00DE5C02">
        <w:rPr>
          <w:rFonts w:ascii="Calibri" w:hAnsi="Calibri" w:cs="Calibri"/>
          <w:i/>
          <w:iCs/>
          <w:noProof/>
          <w:szCs w:val="24"/>
        </w:rPr>
        <w:t>Hierarchy: perspectives for ecological complexity.</w:t>
      </w:r>
      <w:r w:rsidRPr="00DE5C02">
        <w:rPr>
          <w:rFonts w:ascii="Calibri" w:hAnsi="Calibri" w:cs="Calibri"/>
          <w:noProof/>
          <w:szCs w:val="24"/>
        </w:rPr>
        <w:t xml:space="preserve"> (University of Chicago Press, 1982).</w:t>
      </w:r>
    </w:p>
    <w:p w14:paraId="76AAEB7C" w14:textId="56B67194" w:rsidR="00C61FE8" w:rsidRPr="00DE5C02" w:rsidRDefault="00C61FE8" w:rsidP="00C61FE8">
      <w:pPr>
        <w:widowControl w:val="0"/>
        <w:autoSpaceDE w:val="0"/>
        <w:autoSpaceDN w:val="0"/>
        <w:adjustRightInd w:val="0"/>
        <w:spacing w:line="240" w:lineRule="auto"/>
        <w:ind w:left="640" w:hanging="640"/>
        <w:rPr>
          <w:rFonts w:ascii="Calibri" w:hAnsi="Calibri" w:cs="Calibri"/>
          <w:noProof/>
          <w:szCs w:val="24"/>
        </w:rPr>
      </w:pPr>
      <w:r w:rsidRPr="00DE5C02">
        <w:rPr>
          <w:rFonts w:ascii="Calibri" w:hAnsi="Calibri" w:cs="Calibri"/>
          <w:noProof/>
          <w:szCs w:val="24"/>
        </w:rPr>
        <w:t>30.</w:t>
      </w:r>
      <w:r w:rsidRPr="00DE5C02">
        <w:rPr>
          <w:rFonts w:ascii="Calibri" w:hAnsi="Calibri" w:cs="Calibri"/>
          <w:noProof/>
          <w:szCs w:val="24"/>
        </w:rPr>
        <w:tab/>
        <w:t xml:space="preserve">Jensen, M. E., Bourgeron, P., Everett, R. &amp; Goodman, I. </w:t>
      </w:r>
      <w:r w:rsidR="00A110AD" w:rsidRPr="00DE5C02">
        <w:rPr>
          <w:rFonts w:ascii="Calibri" w:hAnsi="Calibri" w:cs="Calibri"/>
          <w:noProof/>
          <w:szCs w:val="24"/>
        </w:rPr>
        <w:t>Ecosystem Management : A Landscape Ecology Perspective.</w:t>
      </w:r>
      <w:r w:rsidRPr="00DE5C02">
        <w:rPr>
          <w:rFonts w:ascii="Calibri" w:hAnsi="Calibri" w:cs="Calibri"/>
          <w:noProof/>
          <w:szCs w:val="24"/>
        </w:rPr>
        <w:t xml:space="preserve"> </w:t>
      </w:r>
      <w:r w:rsidRPr="00DE5C02">
        <w:rPr>
          <w:rFonts w:ascii="Calibri" w:hAnsi="Calibri" w:cs="Calibri"/>
          <w:b/>
          <w:bCs/>
          <w:noProof/>
          <w:szCs w:val="24"/>
        </w:rPr>
        <w:t>32,</w:t>
      </w:r>
      <w:r w:rsidRPr="00DE5C02">
        <w:rPr>
          <w:rFonts w:ascii="Calibri" w:hAnsi="Calibri" w:cs="Calibri"/>
          <w:noProof/>
          <w:szCs w:val="24"/>
        </w:rPr>
        <w:t xml:space="preserve"> (1996).</w:t>
      </w:r>
    </w:p>
    <w:p w14:paraId="1618ECC2" w14:textId="77777777" w:rsidR="00C61FE8" w:rsidRPr="00DE5C02" w:rsidRDefault="00C61FE8" w:rsidP="00C61FE8">
      <w:pPr>
        <w:widowControl w:val="0"/>
        <w:autoSpaceDE w:val="0"/>
        <w:autoSpaceDN w:val="0"/>
        <w:adjustRightInd w:val="0"/>
        <w:spacing w:line="240" w:lineRule="auto"/>
        <w:ind w:left="640" w:hanging="640"/>
        <w:rPr>
          <w:rFonts w:ascii="Calibri" w:hAnsi="Calibri" w:cs="Calibri"/>
          <w:noProof/>
          <w:szCs w:val="24"/>
        </w:rPr>
      </w:pPr>
      <w:r w:rsidRPr="00DE5C02">
        <w:rPr>
          <w:rFonts w:ascii="Calibri" w:hAnsi="Calibri" w:cs="Calibri"/>
          <w:noProof/>
          <w:szCs w:val="24"/>
        </w:rPr>
        <w:t>31.</w:t>
      </w:r>
      <w:r w:rsidRPr="00DE5C02">
        <w:rPr>
          <w:rFonts w:ascii="Calibri" w:hAnsi="Calibri" w:cs="Calibri"/>
          <w:noProof/>
          <w:szCs w:val="24"/>
        </w:rPr>
        <w:tab/>
        <w:t xml:space="preserve">Wu, J. in </w:t>
      </w:r>
      <w:r w:rsidRPr="00DE5C02">
        <w:rPr>
          <w:rFonts w:ascii="Calibri" w:hAnsi="Calibri" w:cs="Calibri"/>
          <w:i/>
          <w:iCs/>
          <w:noProof/>
          <w:szCs w:val="24"/>
        </w:rPr>
        <w:t>Linking Ecology and Ethics for a Changing World: Values, Philosophy, and Action</w:t>
      </w:r>
      <w:r w:rsidRPr="00DE5C02">
        <w:rPr>
          <w:rFonts w:ascii="Calibri" w:hAnsi="Calibri" w:cs="Calibri"/>
          <w:noProof/>
          <w:szCs w:val="24"/>
        </w:rPr>
        <w:t xml:space="preserve"> (ed. R. Rozzi, S.T.A. Pickett, C. Palmer, J.J. Armesto,  and J. B. C.) 281–302 (Springer, 2013).</w:t>
      </w:r>
    </w:p>
    <w:p w14:paraId="553F99EE" w14:textId="77777777" w:rsidR="00C61FE8" w:rsidRPr="00DE5C02" w:rsidRDefault="00C61FE8" w:rsidP="00C61FE8">
      <w:pPr>
        <w:widowControl w:val="0"/>
        <w:autoSpaceDE w:val="0"/>
        <w:autoSpaceDN w:val="0"/>
        <w:adjustRightInd w:val="0"/>
        <w:spacing w:line="240" w:lineRule="auto"/>
        <w:ind w:left="640" w:hanging="640"/>
        <w:rPr>
          <w:rFonts w:ascii="Calibri" w:hAnsi="Calibri" w:cs="Calibri"/>
          <w:noProof/>
          <w:szCs w:val="24"/>
        </w:rPr>
      </w:pPr>
      <w:r w:rsidRPr="00DE5C02">
        <w:rPr>
          <w:rFonts w:ascii="Calibri" w:hAnsi="Calibri" w:cs="Calibri"/>
          <w:noProof/>
          <w:szCs w:val="24"/>
        </w:rPr>
        <w:t>32.</w:t>
      </w:r>
      <w:r w:rsidRPr="00DE5C02">
        <w:rPr>
          <w:rFonts w:ascii="Calibri" w:hAnsi="Calibri" w:cs="Calibri"/>
          <w:noProof/>
          <w:szCs w:val="24"/>
        </w:rPr>
        <w:tab/>
        <w:t xml:space="preserve">Allen, T. F. H. in </w:t>
      </w:r>
      <w:r w:rsidRPr="00DE5C02">
        <w:rPr>
          <w:rFonts w:ascii="Calibri" w:hAnsi="Calibri" w:cs="Calibri"/>
          <w:i/>
          <w:iCs/>
          <w:noProof/>
          <w:szCs w:val="24"/>
        </w:rPr>
        <w:t>Ecosystem ecology – a derivative of encyclopedia of ecology</w:t>
      </w:r>
      <w:r w:rsidRPr="00DE5C02">
        <w:rPr>
          <w:rFonts w:ascii="Calibri" w:hAnsi="Calibri" w:cs="Calibri"/>
          <w:noProof/>
          <w:szCs w:val="24"/>
        </w:rPr>
        <w:t xml:space="preserve"> (ed. Jorgensen, S. E.) 114–120 (Elsevier, 2009).</w:t>
      </w:r>
    </w:p>
    <w:p w14:paraId="040115EF" w14:textId="77777777" w:rsidR="00C61FE8" w:rsidRPr="00DE5C02" w:rsidRDefault="00C61FE8" w:rsidP="00C61FE8">
      <w:pPr>
        <w:widowControl w:val="0"/>
        <w:autoSpaceDE w:val="0"/>
        <w:autoSpaceDN w:val="0"/>
        <w:adjustRightInd w:val="0"/>
        <w:spacing w:line="240" w:lineRule="auto"/>
        <w:ind w:left="640" w:hanging="640"/>
        <w:rPr>
          <w:rFonts w:ascii="Calibri" w:hAnsi="Calibri" w:cs="Calibri"/>
          <w:noProof/>
          <w:szCs w:val="24"/>
        </w:rPr>
      </w:pPr>
      <w:r w:rsidRPr="00DE5C02">
        <w:rPr>
          <w:rFonts w:ascii="Calibri" w:hAnsi="Calibri" w:cs="Calibri"/>
          <w:noProof/>
          <w:szCs w:val="24"/>
        </w:rPr>
        <w:t>33.</w:t>
      </w:r>
      <w:r w:rsidRPr="00DE5C02">
        <w:rPr>
          <w:rFonts w:ascii="Calibri" w:hAnsi="Calibri" w:cs="Calibri"/>
          <w:noProof/>
          <w:szCs w:val="24"/>
        </w:rPr>
        <w:tab/>
        <w:t xml:space="preserve">Peters, D. P. C. </w:t>
      </w:r>
      <w:r w:rsidRPr="00DE5C02">
        <w:rPr>
          <w:rFonts w:ascii="Calibri" w:hAnsi="Calibri" w:cs="Calibri"/>
          <w:i/>
          <w:iCs/>
          <w:noProof/>
          <w:szCs w:val="24"/>
        </w:rPr>
        <w:t>et al.</w:t>
      </w:r>
      <w:r w:rsidRPr="00DE5C02">
        <w:rPr>
          <w:rFonts w:ascii="Calibri" w:hAnsi="Calibri" w:cs="Calibri"/>
          <w:noProof/>
          <w:szCs w:val="24"/>
        </w:rPr>
        <w:t xml:space="preserve"> Living in an increasingly connected world: A framework for continental-scale environmental science. </w:t>
      </w:r>
      <w:r w:rsidRPr="00DE5C02">
        <w:rPr>
          <w:rFonts w:ascii="Calibri" w:hAnsi="Calibri" w:cs="Calibri"/>
          <w:i/>
          <w:iCs/>
          <w:noProof/>
          <w:szCs w:val="24"/>
        </w:rPr>
        <w:t>Front. Ecol. Environ.</w:t>
      </w:r>
      <w:r w:rsidRPr="00DE5C02">
        <w:rPr>
          <w:rFonts w:ascii="Calibri" w:hAnsi="Calibri" w:cs="Calibri"/>
          <w:noProof/>
          <w:szCs w:val="24"/>
        </w:rPr>
        <w:t xml:space="preserve"> </w:t>
      </w:r>
      <w:r w:rsidRPr="00DE5C02">
        <w:rPr>
          <w:rFonts w:ascii="Calibri" w:hAnsi="Calibri" w:cs="Calibri"/>
          <w:b/>
          <w:bCs/>
          <w:noProof/>
          <w:szCs w:val="24"/>
        </w:rPr>
        <w:t>6,</w:t>
      </w:r>
      <w:r w:rsidRPr="00DE5C02">
        <w:rPr>
          <w:rFonts w:ascii="Calibri" w:hAnsi="Calibri" w:cs="Calibri"/>
          <w:noProof/>
          <w:szCs w:val="24"/>
        </w:rPr>
        <w:t xml:space="preserve"> 229–237 (2008).</w:t>
      </w:r>
    </w:p>
    <w:p w14:paraId="38B31677" w14:textId="77777777" w:rsidR="00C61FE8" w:rsidRPr="00DE5C02" w:rsidRDefault="00C61FE8" w:rsidP="00C61FE8">
      <w:pPr>
        <w:widowControl w:val="0"/>
        <w:autoSpaceDE w:val="0"/>
        <w:autoSpaceDN w:val="0"/>
        <w:adjustRightInd w:val="0"/>
        <w:spacing w:line="240" w:lineRule="auto"/>
        <w:ind w:left="640" w:hanging="640"/>
        <w:rPr>
          <w:rFonts w:ascii="Calibri" w:hAnsi="Calibri" w:cs="Calibri"/>
          <w:noProof/>
          <w:szCs w:val="24"/>
        </w:rPr>
      </w:pPr>
      <w:r w:rsidRPr="00DE5C02">
        <w:rPr>
          <w:rFonts w:ascii="Calibri" w:hAnsi="Calibri" w:cs="Calibri"/>
          <w:noProof/>
          <w:szCs w:val="24"/>
        </w:rPr>
        <w:t>34.</w:t>
      </w:r>
      <w:r w:rsidRPr="00DE5C02">
        <w:rPr>
          <w:rFonts w:ascii="Calibri" w:hAnsi="Calibri" w:cs="Calibri"/>
          <w:noProof/>
          <w:szCs w:val="24"/>
        </w:rPr>
        <w:tab/>
        <w:t xml:space="preserve">Allan, J. D. &amp; Johnson, L. B. Catchment-scale analysis of aquatic ecosystems. </w:t>
      </w:r>
      <w:r w:rsidRPr="00DE5C02">
        <w:rPr>
          <w:rFonts w:ascii="Calibri" w:hAnsi="Calibri" w:cs="Calibri"/>
          <w:i/>
          <w:iCs/>
          <w:noProof/>
          <w:szCs w:val="24"/>
        </w:rPr>
        <w:t>Freshw. Biol.</w:t>
      </w:r>
      <w:r w:rsidRPr="00DE5C02">
        <w:rPr>
          <w:rFonts w:ascii="Calibri" w:hAnsi="Calibri" w:cs="Calibri"/>
          <w:noProof/>
          <w:szCs w:val="24"/>
        </w:rPr>
        <w:t xml:space="preserve"> </w:t>
      </w:r>
      <w:r w:rsidRPr="00DE5C02">
        <w:rPr>
          <w:rFonts w:ascii="Calibri" w:hAnsi="Calibri" w:cs="Calibri"/>
          <w:b/>
          <w:bCs/>
          <w:noProof/>
          <w:szCs w:val="24"/>
        </w:rPr>
        <w:t>37,</w:t>
      </w:r>
      <w:r w:rsidRPr="00DE5C02">
        <w:rPr>
          <w:rFonts w:ascii="Calibri" w:hAnsi="Calibri" w:cs="Calibri"/>
          <w:noProof/>
          <w:szCs w:val="24"/>
        </w:rPr>
        <w:t xml:space="preserve"> 107–111 (1997).</w:t>
      </w:r>
    </w:p>
    <w:p w14:paraId="4971A640" w14:textId="77777777" w:rsidR="00C61FE8" w:rsidRPr="00DE5C02" w:rsidRDefault="00C61FE8" w:rsidP="00C61FE8">
      <w:pPr>
        <w:widowControl w:val="0"/>
        <w:autoSpaceDE w:val="0"/>
        <w:autoSpaceDN w:val="0"/>
        <w:adjustRightInd w:val="0"/>
        <w:spacing w:line="240" w:lineRule="auto"/>
        <w:ind w:left="640" w:hanging="640"/>
        <w:rPr>
          <w:rFonts w:ascii="Calibri" w:hAnsi="Calibri" w:cs="Calibri"/>
          <w:noProof/>
          <w:szCs w:val="24"/>
        </w:rPr>
      </w:pPr>
      <w:r w:rsidRPr="00DE5C02">
        <w:rPr>
          <w:rFonts w:ascii="Calibri" w:hAnsi="Calibri" w:cs="Calibri"/>
          <w:noProof/>
          <w:szCs w:val="24"/>
        </w:rPr>
        <w:t>35.</w:t>
      </w:r>
      <w:r w:rsidRPr="00DE5C02">
        <w:rPr>
          <w:rFonts w:ascii="Calibri" w:hAnsi="Calibri" w:cs="Calibri"/>
          <w:noProof/>
          <w:szCs w:val="24"/>
        </w:rPr>
        <w:tab/>
        <w:t xml:space="preserve">Holland, J. D. &amp; Yang, S. Multi-scale Studies and the Ecological Neighborhood. </w:t>
      </w:r>
      <w:r w:rsidRPr="00DE5C02">
        <w:rPr>
          <w:rFonts w:ascii="Calibri" w:hAnsi="Calibri" w:cs="Calibri"/>
          <w:i/>
          <w:iCs/>
          <w:noProof/>
          <w:szCs w:val="24"/>
        </w:rPr>
        <w:t>Curr. Landsc. Ecol. Reports</w:t>
      </w:r>
      <w:r w:rsidRPr="00DE5C02">
        <w:rPr>
          <w:rFonts w:ascii="Calibri" w:hAnsi="Calibri" w:cs="Calibri"/>
          <w:noProof/>
          <w:szCs w:val="24"/>
        </w:rPr>
        <w:t xml:space="preserve"> </w:t>
      </w:r>
      <w:r w:rsidRPr="00DE5C02">
        <w:rPr>
          <w:rFonts w:ascii="Calibri" w:hAnsi="Calibri" w:cs="Calibri"/>
          <w:b/>
          <w:bCs/>
          <w:noProof/>
          <w:szCs w:val="24"/>
        </w:rPr>
        <w:t>1,</w:t>
      </w:r>
      <w:r w:rsidRPr="00DE5C02">
        <w:rPr>
          <w:rFonts w:ascii="Calibri" w:hAnsi="Calibri" w:cs="Calibri"/>
          <w:noProof/>
          <w:szCs w:val="24"/>
        </w:rPr>
        <w:t xml:space="preserve"> 135–145 (2016).</w:t>
      </w:r>
    </w:p>
    <w:p w14:paraId="2803C8FB" w14:textId="77777777" w:rsidR="00C61FE8" w:rsidRPr="00DE5C02" w:rsidRDefault="00C61FE8" w:rsidP="00C61FE8">
      <w:pPr>
        <w:widowControl w:val="0"/>
        <w:autoSpaceDE w:val="0"/>
        <w:autoSpaceDN w:val="0"/>
        <w:adjustRightInd w:val="0"/>
        <w:spacing w:line="240" w:lineRule="auto"/>
        <w:ind w:left="640" w:hanging="640"/>
        <w:rPr>
          <w:rFonts w:ascii="Calibri" w:hAnsi="Calibri" w:cs="Calibri"/>
          <w:noProof/>
          <w:szCs w:val="24"/>
        </w:rPr>
      </w:pPr>
      <w:r w:rsidRPr="00DE5C02">
        <w:rPr>
          <w:rFonts w:ascii="Calibri" w:hAnsi="Calibri" w:cs="Calibri"/>
          <w:noProof/>
          <w:szCs w:val="24"/>
        </w:rPr>
        <w:t>36.</w:t>
      </w:r>
      <w:r w:rsidRPr="00DE5C02">
        <w:rPr>
          <w:rFonts w:ascii="Calibri" w:hAnsi="Calibri" w:cs="Calibri"/>
          <w:noProof/>
          <w:szCs w:val="24"/>
        </w:rPr>
        <w:tab/>
        <w:t xml:space="preserve">Stephenson, C. M., MacKenzie, M. L., Edwards, C. &amp; Travis, J. M. J. Modelling establishment probabilities of an exotic plant, Rhododendron ponticum, invading a heterogeneous, woodland landscape using logistic regression with spatial autocorrelation. </w:t>
      </w:r>
      <w:r w:rsidRPr="00DE5C02">
        <w:rPr>
          <w:rFonts w:ascii="Calibri" w:hAnsi="Calibri" w:cs="Calibri"/>
          <w:i/>
          <w:iCs/>
          <w:noProof/>
          <w:szCs w:val="24"/>
        </w:rPr>
        <w:t>Ecol. Modell.</w:t>
      </w:r>
      <w:r w:rsidRPr="00DE5C02">
        <w:rPr>
          <w:rFonts w:ascii="Calibri" w:hAnsi="Calibri" w:cs="Calibri"/>
          <w:noProof/>
          <w:szCs w:val="24"/>
        </w:rPr>
        <w:t xml:space="preserve"> </w:t>
      </w:r>
      <w:r w:rsidRPr="00DE5C02">
        <w:rPr>
          <w:rFonts w:ascii="Calibri" w:hAnsi="Calibri" w:cs="Calibri"/>
          <w:b/>
          <w:bCs/>
          <w:noProof/>
          <w:szCs w:val="24"/>
        </w:rPr>
        <w:t>193,</w:t>
      </w:r>
      <w:r w:rsidRPr="00DE5C02">
        <w:rPr>
          <w:rFonts w:ascii="Calibri" w:hAnsi="Calibri" w:cs="Calibri"/>
          <w:noProof/>
          <w:szCs w:val="24"/>
        </w:rPr>
        <w:t xml:space="preserve"> 747–758 (2006).</w:t>
      </w:r>
    </w:p>
    <w:p w14:paraId="344215F5" w14:textId="77777777" w:rsidR="00C61FE8" w:rsidRPr="00DE5C02" w:rsidRDefault="00C61FE8" w:rsidP="00C61FE8">
      <w:pPr>
        <w:widowControl w:val="0"/>
        <w:autoSpaceDE w:val="0"/>
        <w:autoSpaceDN w:val="0"/>
        <w:adjustRightInd w:val="0"/>
        <w:spacing w:line="240" w:lineRule="auto"/>
        <w:ind w:left="640" w:hanging="640"/>
        <w:rPr>
          <w:rFonts w:ascii="Calibri" w:hAnsi="Calibri" w:cs="Calibri"/>
          <w:noProof/>
          <w:szCs w:val="24"/>
        </w:rPr>
      </w:pPr>
      <w:r w:rsidRPr="00DE5C02">
        <w:rPr>
          <w:rFonts w:ascii="Calibri" w:hAnsi="Calibri" w:cs="Calibri"/>
          <w:noProof/>
          <w:szCs w:val="24"/>
        </w:rPr>
        <w:t>37.</w:t>
      </w:r>
      <w:r w:rsidRPr="00DE5C02">
        <w:rPr>
          <w:rFonts w:ascii="Calibri" w:hAnsi="Calibri" w:cs="Calibri"/>
          <w:noProof/>
          <w:szCs w:val="24"/>
        </w:rPr>
        <w:tab/>
        <w:t xml:space="preserve">Cross, J. R. Biological flora of the British Isles: Rhododendron ponticum. </w:t>
      </w:r>
      <w:r w:rsidRPr="00DE5C02">
        <w:rPr>
          <w:rFonts w:ascii="Calibri" w:hAnsi="Calibri" w:cs="Calibri"/>
          <w:i/>
          <w:iCs/>
          <w:noProof/>
          <w:szCs w:val="24"/>
        </w:rPr>
        <w:t>J. Ecol.</w:t>
      </w:r>
      <w:r w:rsidRPr="00DE5C02">
        <w:rPr>
          <w:rFonts w:ascii="Calibri" w:hAnsi="Calibri" w:cs="Calibri"/>
          <w:noProof/>
          <w:szCs w:val="24"/>
        </w:rPr>
        <w:t xml:space="preserve"> </w:t>
      </w:r>
      <w:r w:rsidRPr="00DE5C02">
        <w:rPr>
          <w:rFonts w:ascii="Calibri" w:hAnsi="Calibri" w:cs="Calibri"/>
          <w:b/>
          <w:bCs/>
          <w:noProof/>
          <w:szCs w:val="24"/>
        </w:rPr>
        <w:t>63,</w:t>
      </w:r>
      <w:r w:rsidRPr="00DE5C02">
        <w:rPr>
          <w:rFonts w:ascii="Calibri" w:hAnsi="Calibri" w:cs="Calibri"/>
          <w:noProof/>
          <w:szCs w:val="24"/>
        </w:rPr>
        <w:t xml:space="preserve"> 345–364 (1975).</w:t>
      </w:r>
    </w:p>
    <w:p w14:paraId="66512A7F" w14:textId="77777777" w:rsidR="00C61FE8" w:rsidRPr="00DE5C02" w:rsidRDefault="00C61FE8" w:rsidP="00C61FE8">
      <w:pPr>
        <w:widowControl w:val="0"/>
        <w:autoSpaceDE w:val="0"/>
        <w:autoSpaceDN w:val="0"/>
        <w:adjustRightInd w:val="0"/>
        <w:spacing w:line="240" w:lineRule="auto"/>
        <w:ind w:left="640" w:hanging="640"/>
        <w:rPr>
          <w:rFonts w:ascii="Calibri" w:hAnsi="Calibri" w:cs="Calibri"/>
          <w:noProof/>
          <w:szCs w:val="24"/>
        </w:rPr>
      </w:pPr>
      <w:r w:rsidRPr="00DE5C02">
        <w:rPr>
          <w:rFonts w:ascii="Calibri" w:hAnsi="Calibri" w:cs="Calibri"/>
          <w:noProof/>
          <w:szCs w:val="24"/>
        </w:rPr>
        <w:t>38.</w:t>
      </w:r>
      <w:r w:rsidRPr="00DE5C02">
        <w:rPr>
          <w:rFonts w:ascii="Calibri" w:hAnsi="Calibri" w:cs="Calibri"/>
          <w:noProof/>
          <w:szCs w:val="24"/>
        </w:rPr>
        <w:tab/>
        <w:t xml:space="preserve">Purse, B. V., Graeser, P., Searle, K., Edwards, C. &amp; Harris, C. Challenges in predicting invasive reservoir hosts of emerging pathogens: Mapping Rhododendron ponticum as a foliar host for Phytophthora ramorum and Phytophthora kernoviae in the UK. </w:t>
      </w:r>
      <w:r w:rsidRPr="00DE5C02">
        <w:rPr>
          <w:rFonts w:ascii="Calibri" w:hAnsi="Calibri" w:cs="Calibri"/>
          <w:i/>
          <w:iCs/>
          <w:noProof/>
          <w:szCs w:val="24"/>
        </w:rPr>
        <w:t>Biol. Invasions</w:t>
      </w:r>
      <w:r w:rsidRPr="00DE5C02">
        <w:rPr>
          <w:rFonts w:ascii="Calibri" w:hAnsi="Calibri" w:cs="Calibri"/>
          <w:noProof/>
          <w:szCs w:val="24"/>
        </w:rPr>
        <w:t xml:space="preserve"> </w:t>
      </w:r>
      <w:r w:rsidRPr="00DE5C02">
        <w:rPr>
          <w:rFonts w:ascii="Calibri" w:hAnsi="Calibri" w:cs="Calibri"/>
          <w:b/>
          <w:bCs/>
          <w:noProof/>
          <w:szCs w:val="24"/>
        </w:rPr>
        <w:t>15,</w:t>
      </w:r>
      <w:r w:rsidRPr="00DE5C02">
        <w:rPr>
          <w:rFonts w:ascii="Calibri" w:hAnsi="Calibri" w:cs="Calibri"/>
          <w:noProof/>
          <w:szCs w:val="24"/>
        </w:rPr>
        <w:t xml:space="preserve"> 529–545 (2013).</w:t>
      </w:r>
    </w:p>
    <w:p w14:paraId="52D849D0" w14:textId="77777777" w:rsidR="00C61FE8" w:rsidRPr="00DE5C02" w:rsidRDefault="00C61FE8" w:rsidP="00C61FE8">
      <w:pPr>
        <w:widowControl w:val="0"/>
        <w:autoSpaceDE w:val="0"/>
        <w:autoSpaceDN w:val="0"/>
        <w:adjustRightInd w:val="0"/>
        <w:spacing w:line="240" w:lineRule="auto"/>
        <w:ind w:left="640" w:hanging="640"/>
        <w:rPr>
          <w:rFonts w:ascii="Calibri" w:hAnsi="Calibri" w:cs="Calibri"/>
          <w:noProof/>
          <w:szCs w:val="24"/>
        </w:rPr>
      </w:pPr>
      <w:r w:rsidRPr="00DE5C02">
        <w:rPr>
          <w:rFonts w:ascii="Calibri" w:hAnsi="Calibri" w:cs="Calibri"/>
          <w:noProof/>
          <w:szCs w:val="24"/>
        </w:rPr>
        <w:t>39.</w:t>
      </w:r>
      <w:r w:rsidRPr="00DE5C02">
        <w:rPr>
          <w:rFonts w:ascii="Calibri" w:hAnsi="Calibri" w:cs="Calibri"/>
          <w:noProof/>
          <w:szCs w:val="24"/>
        </w:rPr>
        <w:tab/>
        <w:t xml:space="preserve">Jones, K. B. </w:t>
      </w:r>
      <w:r w:rsidRPr="00DE5C02">
        <w:rPr>
          <w:rFonts w:ascii="Calibri" w:hAnsi="Calibri" w:cs="Calibri"/>
          <w:i/>
          <w:iCs/>
          <w:noProof/>
          <w:szCs w:val="24"/>
        </w:rPr>
        <w:t>et al.</w:t>
      </w:r>
      <w:r w:rsidRPr="00DE5C02">
        <w:rPr>
          <w:rFonts w:ascii="Calibri" w:hAnsi="Calibri" w:cs="Calibri"/>
          <w:noProof/>
          <w:szCs w:val="24"/>
        </w:rPr>
        <w:t xml:space="preserve"> The consequences of landscape change on ecological resources: An assessment of the United States mid-Atlantic region, 1973-1993. </w:t>
      </w:r>
      <w:r w:rsidRPr="00DE5C02">
        <w:rPr>
          <w:rFonts w:ascii="Calibri" w:hAnsi="Calibri" w:cs="Calibri"/>
          <w:i/>
          <w:iCs/>
          <w:noProof/>
          <w:szCs w:val="24"/>
        </w:rPr>
        <w:t>Ecosyst. Heal.</w:t>
      </w:r>
      <w:r w:rsidRPr="00DE5C02">
        <w:rPr>
          <w:rFonts w:ascii="Calibri" w:hAnsi="Calibri" w:cs="Calibri"/>
          <w:noProof/>
          <w:szCs w:val="24"/>
        </w:rPr>
        <w:t xml:space="preserve"> </w:t>
      </w:r>
      <w:r w:rsidRPr="00DE5C02">
        <w:rPr>
          <w:rFonts w:ascii="Calibri" w:hAnsi="Calibri" w:cs="Calibri"/>
          <w:b/>
          <w:bCs/>
          <w:noProof/>
          <w:szCs w:val="24"/>
        </w:rPr>
        <w:t>7,</w:t>
      </w:r>
      <w:r w:rsidRPr="00DE5C02">
        <w:rPr>
          <w:rFonts w:ascii="Calibri" w:hAnsi="Calibri" w:cs="Calibri"/>
          <w:noProof/>
          <w:szCs w:val="24"/>
        </w:rPr>
        <w:t xml:space="preserve"> 229–242 (2001).</w:t>
      </w:r>
    </w:p>
    <w:p w14:paraId="4E949E2F" w14:textId="77777777" w:rsidR="00C61FE8" w:rsidRPr="00DE5C02" w:rsidRDefault="00C61FE8" w:rsidP="00C61FE8">
      <w:pPr>
        <w:widowControl w:val="0"/>
        <w:autoSpaceDE w:val="0"/>
        <w:autoSpaceDN w:val="0"/>
        <w:adjustRightInd w:val="0"/>
        <w:spacing w:line="240" w:lineRule="auto"/>
        <w:ind w:left="640" w:hanging="640"/>
        <w:rPr>
          <w:rFonts w:ascii="Calibri" w:hAnsi="Calibri" w:cs="Calibri"/>
          <w:noProof/>
          <w:szCs w:val="24"/>
        </w:rPr>
      </w:pPr>
      <w:r w:rsidRPr="00DE5C02">
        <w:rPr>
          <w:rFonts w:ascii="Calibri" w:hAnsi="Calibri" w:cs="Calibri"/>
          <w:noProof/>
          <w:szCs w:val="24"/>
        </w:rPr>
        <w:t>40.</w:t>
      </w:r>
      <w:r w:rsidRPr="00DE5C02">
        <w:rPr>
          <w:rFonts w:ascii="Calibri" w:hAnsi="Calibri" w:cs="Calibri"/>
          <w:noProof/>
          <w:szCs w:val="24"/>
        </w:rPr>
        <w:tab/>
        <w:t xml:space="preserve">Jones, K. B. </w:t>
      </w:r>
      <w:r w:rsidRPr="00DE5C02">
        <w:rPr>
          <w:rFonts w:ascii="Calibri" w:hAnsi="Calibri" w:cs="Calibri"/>
          <w:i/>
          <w:iCs/>
          <w:noProof/>
          <w:szCs w:val="24"/>
        </w:rPr>
        <w:t>et al.</w:t>
      </w:r>
      <w:r w:rsidRPr="00DE5C02">
        <w:rPr>
          <w:rFonts w:ascii="Calibri" w:hAnsi="Calibri" w:cs="Calibri"/>
          <w:noProof/>
          <w:szCs w:val="24"/>
        </w:rPr>
        <w:t xml:space="preserve"> Multiscale relationships between landscape characteristics and nitrogen concentrations in streams. </w:t>
      </w:r>
      <w:r w:rsidRPr="00DE5C02">
        <w:rPr>
          <w:rFonts w:ascii="Calibri" w:hAnsi="Calibri" w:cs="Calibri"/>
          <w:i/>
          <w:iCs/>
          <w:noProof/>
          <w:szCs w:val="24"/>
        </w:rPr>
        <w:t>Scaling Uncertain. Anal. Ecol. Methods Appl.</w:t>
      </w:r>
      <w:r w:rsidRPr="00DE5C02">
        <w:rPr>
          <w:rFonts w:ascii="Calibri" w:hAnsi="Calibri" w:cs="Calibri"/>
          <w:noProof/>
          <w:szCs w:val="24"/>
        </w:rPr>
        <w:t xml:space="preserve"> 205–224 (2006). doi:10.1007/1-4020-4663-4_11</w:t>
      </w:r>
    </w:p>
    <w:p w14:paraId="368540F3" w14:textId="77777777" w:rsidR="00C61FE8" w:rsidRPr="00DE5C02" w:rsidRDefault="00C61FE8" w:rsidP="00C61FE8">
      <w:pPr>
        <w:widowControl w:val="0"/>
        <w:autoSpaceDE w:val="0"/>
        <w:autoSpaceDN w:val="0"/>
        <w:adjustRightInd w:val="0"/>
        <w:spacing w:line="240" w:lineRule="auto"/>
        <w:ind w:left="640" w:hanging="640"/>
        <w:rPr>
          <w:rFonts w:ascii="Calibri" w:hAnsi="Calibri" w:cs="Calibri"/>
          <w:noProof/>
          <w:szCs w:val="24"/>
        </w:rPr>
      </w:pPr>
      <w:r w:rsidRPr="00DE5C02">
        <w:rPr>
          <w:rFonts w:ascii="Calibri" w:hAnsi="Calibri" w:cs="Calibri"/>
          <w:noProof/>
          <w:szCs w:val="24"/>
        </w:rPr>
        <w:t>41.</w:t>
      </w:r>
      <w:r w:rsidRPr="00DE5C02">
        <w:rPr>
          <w:rFonts w:ascii="Calibri" w:hAnsi="Calibri" w:cs="Calibri"/>
          <w:noProof/>
          <w:szCs w:val="24"/>
        </w:rPr>
        <w:tab/>
        <w:t xml:space="preserve">Bergström, A. K. &amp; Jansson, M. Atmospheric nitrogen deposition has caused nitrogen enrichment and eutrophication of lakes in the northern hemisphere. </w:t>
      </w:r>
      <w:r w:rsidRPr="00DE5C02">
        <w:rPr>
          <w:rFonts w:ascii="Calibri" w:hAnsi="Calibri" w:cs="Calibri"/>
          <w:i/>
          <w:iCs/>
          <w:noProof/>
          <w:szCs w:val="24"/>
        </w:rPr>
        <w:t>Glob. Chang. Biol.</w:t>
      </w:r>
      <w:r w:rsidRPr="00DE5C02">
        <w:rPr>
          <w:rFonts w:ascii="Calibri" w:hAnsi="Calibri" w:cs="Calibri"/>
          <w:noProof/>
          <w:szCs w:val="24"/>
        </w:rPr>
        <w:t xml:space="preserve"> </w:t>
      </w:r>
      <w:r w:rsidRPr="00DE5C02">
        <w:rPr>
          <w:rFonts w:ascii="Calibri" w:hAnsi="Calibri" w:cs="Calibri"/>
          <w:b/>
          <w:bCs/>
          <w:noProof/>
          <w:szCs w:val="24"/>
        </w:rPr>
        <w:t>12,</w:t>
      </w:r>
      <w:r w:rsidRPr="00DE5C02">
        <w:rPr>
          <w:rFonts w:ascii="Calibri" w:hAnsi="Calibri" w:cs="Calibri"/>
          <w:noProof/>
          <w:szCs w:val="24"/>
        </w:rPr>
        <w:t xml:space="preserve"> 635–643 (2006).</w:t>
      </w:r>
    </w:p>
    <w:p w14:paraId="311975E2" w14:textId="77777777" w:rsidR="00C61FE8" w:rsidRPr="00DE5C02" w:rsidRDefault="00C61FE8" w:rsidP="00C61FE8">
      <w:pPr>
        <w:widowControl w:val="0"/>
        <w:autoSpaceDE w:val="0"/>
        <w:autoSpaceDN w:val="0"/>
        <w:adjustRightInd w:val="0"/>
        <w:spacing w:line="240" w:lineRule="auto"/>
        <w:ind w:left="640" w:hanging="640"/>
        <w:rPr>
          <w:rFonts w:ascii="Calibri" w:hAnsi="Calibri" w:cs="Calibri"/>
          <w:noProof/>
          <w:szCs w:val="24"/>
        </w:rPr>
      </w:pPr>
      <w:r w:rsidRPr="00DE5C02">
        <w:rPr>
          <w:rFonts w:ascii="Calibri" w:hAnsi="Calibri" w:cs="Calibri"/>
          <w:noProof/>
          <w:szCs w:val="24"/>
        </w:rPr>
        <w:t>42.</w:t>
      </w:r>
      <w:r w:rsidRPr="00DE5C02">
        <w:rPr>
          <w:rFonts w:ascii="Calibri" w:hAnsi="Calibri" w:cs="Calibri"/>
          <w:noProof/>
          <w:szCs w:val="24"/>
        </w:rPr>
        <w:tab/>
        <w:t xml:space="preserve">Mosley, M. Delimitation of New Zealand hydrological regions. </w:t>
      </w:r>
      <w:r w:rsidRPr="00DE5C02">
        <w:rPr>
          <w:rFonts w:ascii="Calibri" w:hAnsi="Calibri" w:cs="Calibri"/>
          <w:i/>
          <w:iCs/>
          <w:noProof/>
          <w:szCs w:val="24"/>
        </w:rPr>
        <w:t>J. HydroIogy</w:t>
      </w:r>
      <w:r w:rsidRPr="00DE5C02">
        <w:rPr>
          <w:rFonts w:ascii="Calibri" w:hAnsi="Calibri" w:cs="Calibri"/>
          <w:noProof/>
          <w:szCs w:val="24"/>
        </w:rPr>
        <w:t xml:space="preserve"> </w:t>
      </w:r>
      <w:r w:rsidRPr="00DE5C02">
        <w:rPr>
          <w:rFonts w:ascii="Calibri" w:hAnsi="Calibri" w:cs="Calibri"/>
          <w:b/>
          <w:bCs/>
          <w:noProof/>
          <w:szCs w:val="24"/>
        </w:rPr>
        <w:t>49,</w:t>
      </w:r>
      <w:r w:rsidRPr="00DE5C02">
        <w:rPr>
          <w:rFonts w:ascii="Calibri" w:hAnsi="Calibri" w:cs="Calibri"/>
          <w:noProof/>
          <w:szCs w:val="24"/>
        </w:rPr>
        <w:t xml:space="preserve"> 173–192 (1981).</w:t>
      </w:r>
    </w:p>
    <w:p w14:paraId="38CC1D25" w14:textId="77777777" w:rsidR="00C61FE8" w:rsidRPr="00DE5C02" w:rsidRDefault="00C61FE8" w:rsidP="00C61FE8">
      <w:pPr>
        <w:widowControl w:val="0"/>
        <w:autoSpaceDE w:val="0"/>
        <w:autoSpaceDN w:val="0"/>
        <w:adjustRightInd w:val="0"/>
        <w:spacing w:line="240" w:lineRule="auto"/>
        <w:ind w:left="640" w:hanging="640"/>
        <w:rPr>
          <w:rFonts w:ascii="Calibri" w:hAnsi="Calibri" w:cs="Calibri"/>
          <w:noProof/>
          <w:szCs w:val="24"/>
        </w:rPr>
      </w:pPr>
      <w:r w:rsidRPr="00DE5C02">
        <w:rPr>
          <w:rFonts w:ascii="Calibri" w:hAnsi="Calibri" w:cs="Calibri"/>
          <w:noProof/>
          <w:szCs w:val="24"/>
        </w:rPr>
        <w:t>43.</w:t>
      </w:r>
      <w:r w:rsidRPr="00DE5C02">
        <w:rPr>
          <w:rFonts w:ascii="Calibri" w:hAnsi="Calibri" w:cs="Calibri"/>
          <w:noProof/>
          <w:szCs w:val="24"/>
        </w:rPr>
        <w:tab/>
        <w:t xml:space="preserve">Spence, N. A. A Multifactor Uniform Regionalization of British Counties on the Basis of Employment Data for 1961. </w:t>
      </w:r>
      <w:r w:rsidRPr="00DE5C02">
        <w:rPr>
          <w:rFonts w:ascii="Calibri" w:hAnsi="Calibri" w:cs="Calibri"/>
          <w:i/>
          <w:iCs/>
          <w:noProof/>
          <w:szCs w:val="24"/>
        </w:rPr>
        <w:t>Reg. Stud.</w:t>
      </w:r>
      <w:r w:rsidRPr="00DE5C02">
        <w:rPr>
          <w:rFonts w:ascii="Calibri" w:hAnsi="Calibri" w:cs="Calibri"/>
          <w:noProof/>
          <w:szCs w:val="24"/>
        </w:rPr>
        <w:t xml:space="preserve"> </w:t>
      </w:r>
      <w:r w:rsidRPr="00DE5C02">
        <w:rPr>
          <w:rFonts w:ascii="Calibri" w:hAnsi="Calibri" w:cs="Calibri"/>
          <w:b/>
          <w:bCs/>
          <w:noProof/>
          <w:szCs w:val="24"/>
        </w:rPr>
        <w:t>2,</w:t>
      </w:r>
      <w:r w:rsidRPr="00DE5C02">
        <w:rPr>
          <w:rFonts w:ascii="Calibri" w:hAnsi="Calibri" w:cs="Calibri"/>
          <w:noProof/>
          <w:szCs w:val="24"/>
        </w:rPr>
        <w:t xml:space="preserve"> 87–104 (1968).</w:t>
      </w:r>
    </w:p>
    <w:p w14:paraId="0986D735" w14:textId="77777777" w:rsidR="00C61FE8" w:rsidRPr="00DE5C02" w:rsidRDefault="00C61FE8" w:rsidP="00C61FE8">
      <w:pPr>
        <w:widowControl w:val="0"/>
        <w:autoSpaceDE w:val="0"/>
        <w:autoSpaceDN w:val="0"/>
        <w:adjustRightInd w:val="0"/>
        <w:spacing w:line="240" w:lineRule="auto"/>
        <w:ind w:left="640" w:hanging="640"/>
        <w:rPr>
          <w:rFonts w:ascii="Calibri" w:hAnsi="Calibri" w:cs="Calibri"/>
          <w:noProof/>
          <w:szCs w:val="24"/>
        </w:rPr>
      </w:pPr>
      <w:r w:rsidRPr="00DE5C02">
        <w:rPr>
          <w:rFonts w:ascii="Calibri" w:hAnsi="Calibri" w:cs="Calibri"/>
          <w:noProof/>
          <w:szCs w:val="24"/>
        </w:rPr>
        <w:t>44.</w:t>
      </w:r>
      <w:r w:rsidRPr="00DE5C02">
        <w:rPr>
          <w:rFonts w:ascii="Calibri" w:hAnsi="Calibri" w:cs="Calibri"/>
          <w:noProof/>
          <w:szCs w:val="24"/>
        </w:rPr>
        <w:tab/>
        <w:t xml:space="preserve">Cheruvelil, K. S. </w:t>
      </w:r>
      <w:r w:rsidRPr="00DE5C02">
        <w:rPr>
          <w:rFonts w:ascii="Calibri" w:hAnsi="Calibri" w:cs="Calibri"/>
          <w:i/>
          <w:iCs/>
          <w:noProof/>
          <w:szCs w:val="24"/>
        </w:rPr>
        <w:t>et al.</w:t>
      </w:r>
      <w:r w:rsidRPr="00DE5C02">
        <w:rPr>
          <w:rFonts w:ascii="Calibri" w:hAnsi="Calibri" w:cs="Calibri"/>
          <w:noProof/>
          <w:szCs w:val="24"/>
        </w:rPr>
        <w:t xml:space="preserve"> Creating multithemed ecological regions for macroscale ecology: Testing a flexible, repeatable, and accessible clustering method. </w:t>
      </w:r>
      <w:r w:rsidRPr="00DE5C02">
        <w:rPr>
          <w:rFonts w:ascii="Calibri" w:hAnsi="Calibri" w:cs="Calibri"/>
          <w:i/>
          <w:iCs/>
          <w:noProof/>
          <w:szCs w:val="24"/>
        </w:rPr>
        <w:t>Ecol. Evol.</w:t>
      </w:r>
      <w:r w:rsidRPr="00DE5C02">
        <w:rPr>
          <w:rFonts w:ascii="Calibri" w:hAnsi="Calibri" w:cs="Calibri"/>
          <w:noProof/>
          <w:szCs w:val="24"/>
        </w:rPr>
        <w:t xml:space="preserve"> </w:t>
      </w:r>
      <w:r w:rsidRPr="00DE5C02">
        <w:rPr>
          <w:rFonts w:ascii="Calibri" w:hAnsi="Calibri" w:cs="Calibri"/>
          <w:b/>
          <w:bCs/>
          <w:noProof/>
          <w:szCs w:val="24"/>
        </w:rPr>
        <w:t>7,</w:t>
      </w:r>
      <w:r w:rsidRPr="00DE5C02">
        <w:rPr>
          <w:rFonts w:ascii="Calibri" w:hAnsi="Calibri" w:cs="Calibri"/>
          <w:noProof/>
          <w:szCs w:val="24"/>
        </w:rPr>
        <w:t xml:space="preserve"> 3046–3058 (2017).</w:t>
      </w:r>
    </w:p>
    <w:p w14:paraId="14FAB9AA" w14:textId="547229CB" w:rsidR="00C61FE8" w:rsidRPr="00DE5C02" w:rsidRDefault="00C61FE8" w:rsidP="00C61FE8">
      <w:pPr>
        <w:widowControl w:val="0"/>
        <w:autoSpaceDE w:val="0"/>
        <w:autoSpaceDN w:val="0"/>
        <w:adjustRightInd w:val="0"/>
        <w:spacing w:line="240" w:lineRule="auto"/>
        <w:ind w:left="640" w:hanging="640"/>
        <w:rPr>
          <w:rFonts w:ascii="Calibri" w:hAnsi="Calibri" w:cs="Calibri"/>
          <w:noProof/>
          <w:szCs w:val="24"/>
        </w:rPr>
      </w:pPr>
      <w:r w:rsidRPr="00DE5C02">
        <w:rPr>
          <w:rFonts w:ascii="Calibri" w:hAnsi="Calibri" w:cs="Calibri"/>
          <w:noProof/>
          <w:szCs w:val="24"/>
        </w:rPr>
        <w:t>45.</w:t>
      </w:r>
      <w:r w:rsidRPr="00DE5C02">
        <w:rPr>
          <w:rFonts w:ascii="Calibri" w:hAnsi="Calibri" w:cs="Calibri"/>
          <w:noProof/>
          <w:szCs w:val="24"/>
        </w:rPr>
        <w:tab/>
        <w:t xml:space="preserve">White, D. </w:t>
      </w:r>
      <w:r w:rsidR="00A110AD" w:rsidRPr="00DE5C02">
        <w:rPr>
          <w:rFonts w:ascii="Calibri" w:hAnsi="Calibri" w:cs="Calibri"/>
          <w:noProof/>
          <w:szCs w:val="24"/>
        </w:rPr>
        <w:t>Climate regionalization and rotation of principal components, Int. J. Climatology</w:t>
      </w:r>
      <w:r w:rsidRPr="00DE5C02">
        <w:rPr>
          <w:rFonts w:ascii="Calibri" w:hAnsi="Calibri" w:cs="Calibri"/>
          <w:noProof/>
          <w:szCs w:val="24"/>
        </w:rPr>
        <w:t xml:space="preserve">. </w:t>
      </w:r>
      <w:r w:rsidRPr="00DE5C02">
        <w:rPr>
          <w:rFonts w:ascii="Calibri" w:hAnsi="Calibri" w:cs="Calibri"/>
          <w:b/>
          <w:bCs/>
          <w:noProof/>
          <w:szCs w:val="24"/>
        </w:rPr>
        <w:t>11,</w:t>
      </w:r>
      <w:r w:rsidRPr="00DE5C02">
        <w:rPr>
          <w:rFonts w:ascii="Calibri" w:hAnsi="Calibri" w:cs="Calibri"/>
          <w:noProof/>
          <w:szCs w:val="24"/>
        </w:rPr>
        <w:t xml:space="preserve"> 1–25 (1991).</w:t>
      </w:r>
    </w:p>
    <w:p w14:paraId="71B16514" w14:textId="77777777" w:rsidR="00C61FE8" w:rsidRPr="00DE5C02" w:rsidRDefault="00C61FE8" w:rsidP="00C61FE8">
      <w:pPr>
        <w:widowControl w:val="0"/>
        <w:autoSpaceDE w:val="0"/>
        <w:autoSpaceDN w:val="0"/>
        <w:adjustRightInd w:val="0"/>
        <w:spacing w:line="240" w:lineRule="auto"/>
        <w:ind w:left="640" w:hanging="640"/>
        <w:rPr>
          <w:rFonts w:ascii="Calibri" w:hAnsi="Calibri" w:cs="Calibri"/>
          <w:noProof/>
          <w:szCs w:val="24"/>
        </w:rPr>
      </w:pPr>
      <w:r w:rsidRPr="00DE5C02">
        <w:rPr>
          <w:rFonts w:ascii="Calibri" w:hAnsi="Calibri" w:cs="Calibri"/>
          <w:noProof/>
          <w:szCs w:val="24"/>
        </w:rPr>
        <w:t>46.</w:t>
      </w:r>
      <w:r w:rsidRPr="00DE5C02">
        <w:rPr>
          <w:rFonts w:ascii="Calibri" w:hAnsi="Calibri" w:cs="Calibri"/>
          <w:noProof/>
          <w:szCs w:val="24"/>
        </w:rPr>
        <w:tab/>
        <w:t xml:space="preserve">Soranno, P. A., Cheruvelil, K. S., Wagner, T., Webster, K. E. &amp; Bremigan, M. T. Effects of land use on lake nutrients: The importance of scale, hydrologic connectivity, and region. </w:t>
      </w:r>
      <w:r w:rsidRPr="00DE5C02">
        <w:rPr>
          <w:rFonts w:ascii="Calibri" w:hAnsi="Calibri" w:cs="Calibri"/>
          <w:i/>
          <w:iCs/>
          <w:noProof/>
          <w:szCs w:val="24"/>
        </w:rPr>
        <w:t>PLoS One</w:t>
      </w:r>
      <w:r w:rsidRPr="00DE5C02">
        <w:rPr>
          <w:rFonts w:ascii="Calibri" w:hAnsi="Calibri" w:cs="Calibri"/>
          <w:noProof/>
          <w:szCs w:val="24"/>
        </w:rPr>
        <w:t xml:space="preserve"> </w:t>
      </w:r>
      <w:r w:rsidRPr="00DE5C02">
        <w:rPr>
          <w:rFonts w:ascii="Calibri" w:hAnsi="Calibri" w:cs="Calibri"/>
          <w:b/>
          <w:bCs/>
          <w:noProof/>
          <w:szCs w:val="24"/>
        </w:rPr>
        <w:t>10,</w:t>
      </w:r>
      <w:r w:rsidRPr="00DE5C02">
        <w:rPr>
          <w:rFonts w:ascii="Calibri" w:hAnsi="Calibri" w:cs="Calibri"/>
          <w:noProof/>
          <w:szCs w:val="24"/>
        </w:rPr>
        <w:t xml:space="preserve"> 1–22 (2015).</w:t>
      </w:r>
    </w:p>
    <w:p w14:paraId="3D7FA48E" w14:textId="77777777" w:rsidR="00C61FE8" w:rsidRPr="00DE5C02" w:rsidRDefault="00C61FE8" w:rsidP="00C61FE8">
      <w:pPr>
        <w:widowControl w:val="0"/>
        <w:autoSpaceDE w:val="0"/>
        <w:autoSpaceDN w:val="0"/>
        <w:adjustRightInd w:val="0"/>
        <w:spacing w:line="240" w:lineRule="auto"/>
        <w:ind w:left="640" w:hanging="640"/>
        <w:rPr>
          <w:rFonts w:ascii="Calibri" w:hAnsi="Calibri" w:cs="Calibri"/>
          <w:noProof/>
          <w:szCs w:val="24"/>
        </w:rPr>
      </w:pPr>
      <w:r w:rsidRPr="00DE5C02">
        <w:rPr>
          <w:rFonts w:ascii="Calibri" w:hAnsi="Calibri" w:cs="Calibri"/>
          <w:noProof/>
          <w:szCs w:val="24"/>
        </w:rPr>
        <w:t>47.</w:t>
      </w:r>
      <w:r w:rsidRPr="00DE5C02">
        <w:rPr>
          <w:rFonts w:ascii="Calibri" w:hAnsi="Calibri" w:cs="Calibri"/>
          <w:noProof/>
          <w:szCs w:val="24"/>
        </w:rPr>
        <w:tab/>
        <w:t xml:space="preserve">Iannone, B. V. </w:t>
      </w:r>
      <w:r w:rsidRPr="00DE5C02">
        <w:rPr>
          <w:rFonts w:ascii="Calibri" w:hAnsi="Calibri" w:cs="Calibri"/>
          <w:i/>
          <w:iCs/>
          <w:noProof/>
          <w:szCs w:val="24"/>
        </w:rPr>
        <w:t>et al.</w:t>
      </w:r>
      <w:r w:rsidRPr="00DE5C02">
        <w:rPr>
          <w:rFonts w:ascii="Calibri" w:hAnsi="Calibri" w:cs="Calibri"/>
          <w:noProof/>
          <w:szCs w:val="24"/>
        </w:rPr>
        <w:t xml:space="preserve"> Evidence of biotic resistance to invasions in forests of the Eastern USA. </w:t>
      </w:r>
      <w:r w:rsidRPr="00DE5C02">
        <w:rPr>
          <w:rFonts w:ascii="Calibri" w:hAnsi="Calibri" w:cs="Calibri"/>
          <w:i/>
          <w:iCs/>
          <w:noProof/>
          <w:szCs w:val="24"/>
        </w:rPr>
        <w:t>Landsc. Ecol.</w:t>
      </w:r>
      <w:r w:rsidRPr="00DE5C02">
        <w:rPr>
          <w:rFonts w:ascii="Calibri" w:hAnsi="Calibri" w:cs="Calibri"/>
          <w:noProof/>
          <w:szCs w:val="24"/>
        </w:rPr>
        <w:t xml:space="preserve"> </w:t>
      </w:r>
      <w:r w:rsidRPr="00DE5C02">
        <w:rPr>
          <w:rFonts w:ascii="Calibri" w:hAnsi="Calibri" w:cs="Calibri"/>
          <w:b/>
          <w:bCs/>
          <w:noProof/>
          <w:szCs w:val="24"/>
        </w:rPr>
        <w:t>31,</w:t>
      </w:r>
      <w:r w:rsidRPr="00DE5C02">
        <w:rPr>
          <w:rFonts w:ascii="Calibri" w:hAnsi="Calibri" w:cs="Calibri"/>
          <w:noProof/>
          <w:szCs w:val="24"/>
        </w:rPr>
        <w:t xml:space="preserve"> 85–99 (2016).</w:t>
      </w:r>
    </w:p>
    <w:p w14:paraId="64D8B1D4" w14:textId="77777777" w:rsidR="00C61FE8" w:rsidRPr="00DE5C02" w:rsidRDefault="00C61FE8" w:rsidP="00C61FE8">
      <w:pPr>
        <w:widowControl w:val="0"/>
        <w:autoSpaceDE w:val="0"/>
        <w:autoSpaceDN w:val="0"/>
        <w:adjustRightInd w:val="0"/>
        <w:spacing w:line="240" w:lineRule="auto"/>
        <w:ind w:left="640" w:hanging="640"/>
        <w:rPr>
          <w:rFonts w:ascii="Calibri" w:hAnsi="Calibri" w:cs="Calibri"/>
          <w:noProof/>
          <w:szCs w:val="24"/>
        </w:rPr>
      </w:pPr>
      <w:r w:rsidRPr="00DE5C02">
        <w:rPr>
          <w:rFonts w:ascii="Calibri" w:hAnsi="Calibri" w:cs="Calibri"/>
          <w:noProof/>
          <w:szCs w:val="24"/>
        </w:rPr>
        <w:t>48.</w:t>
      </w:r>
      <w:r w:rsidRPr="00DE5C02">
        <w:rPr>
          <w:rFonts w:ascii="Calibri" w:hAnsi="Calibri" w:cs="Calibri"/>
          <w:noProof/>
          <w:szCs w:val="24"/>
        </w:rPr>
        <w:tab/>
        <w:t xml:space="preserve">Spake, R. </w:t>
      </w:r>
      <w:r w:rsidRPr="00DE5C02">
        <w:rPr>
          <w:rFonts w:ascii="Calibri" w:hAnsi="Calibri" w:cs="Calibri"/>
          <w:i/>
          <w:iCs/>
          <w:noProof/>
          <w:szCs w:val="24"/>
        </w:rPr>
        <w:t>et al.</w:t>
      </w:r>
      <w:r w:rsidRPr="00DE5C02">
        <w:rPr>
          <w:rFonts w:ascii="Calibri" w:hAnsi="Calibri" w:cs="Calibri"/>
          <w:noProof/>
          <w:szCs w:val="24"/>
        </w:rPr>
        <w:t xml:space="preserve"> Unpacking ecosystem service bundles: Towards predictive mapping of synergies and trade-offs between ecosystem services. </w:t>
      </w:r>
      <w:r w:rsidRPr="00DE5C02">
        <w:rPr>
          <w:rFonts w:ascii="Calibri" w:hAnsi="Calibri" w:cs="Calibri"/>
          <w:i/>
          <w:iCs/>
          <w:noProof/>
          <w:szCs w:val="24"/>
        </w:rPr>
        <w:t>Glob. Environ. Chang.</w:t>
      </w:r>
      <w:r w:rsidRPr="00DE5C02">
        <w:rPr>
          <w:rFonts w:ascii="Calibri" w:hAnsi="Calibri" w:cs="Calibri"/>
          <w:noProof/>
          <w:szCs w:val="24"/>
        </w:rPr>
        <w:t xml:space="preserve"> </w:t>
      </w:r>
      <w:r w:rsidRPr="00DE5C02">
        <w:rPr>
          <w:rFonts w:ascii="Calibri" w:hAnsi="Calibri" w:cs="Calibri"/>
          <w:b/>
          <w:bCs/>
          <w:noProof/>
          <w:szCs w:val="24"/>
        </w:rPr>
        <w:t>47,</w:t>
      </w:r>
      <w:r w:rsidRPr="00DE5C02">
        <w:rPr>
          <w:rFonts w:ascii="Calibri" w:hAnsi="Calibri" w:cs="Calibri"/>
          <w:noProof/>
          <w:szCs w:val="24"/>
        </w:rPr>
        <w:t xml:space="preserve"> 37–50 (2017).</w:t>
      </w:r>
    </w:p>
    <w:p w14:paraId="682AEE7A" w14:textId="77777777" w:rsidR="00C61FE8" w:rsidRPr="00DE5C02" w:rsidRDefault="00C61FE8" w:rsidP="00C61FE8">
      <w:pPr>
        <w:widowControl w:val="0"/>
        <w:autoSpaceDE w:val="0"/>
        <w:autoSpaceDN w:val="0"/>
        <w:adjustRightInd w:val="0"/>
        <w:spacing w:line="240" w:lineRule="auto"/>
        <w:ind w:left="640" w:hanging="640"/>
        <w:rPr>
          <w:rFonts w:ascii="Calibri" w:hAnsi="Calibri" w:cs="Calibri"/>
          <w:noProof/>
          <w:szCs w:val="24"/>
        </w:rPr>
      </w:pPr>
      <w:r w:rsidRPr="00DE5C02">
        <w:rPr>
          <w:rFonts w:ascii="Calibri" w:hAnsi="Calibri" w:cs="Calibri"/>
          <w:noProof/>
          <w:szCs w:val="24"/>
        </w:rPr>
        <w:t>49.</w:t>
      </w:r>
      <w:r w:rsidRPr="00DE5C02">
        <w:rPr>
          <w:rFonts w:ascii="Calibri" w:hAnsi="Calibri" w:cs="Calibri"/>
          <w:noProof/>
          <w:szCs w:val="24"/>
        </w:rPr>
        <w:tab/>
        <w:t xml:space="preserve">Fahrig, L. </w:t>
      </w:r>
      <w:r w:rsidRPr="00DE5C02">
        <w:rPr>
          <w:rFonts w:ascii="Calibri" w:hAnsi="Calibri" w:cs="Calibri"/>
          <w:i/>
          <w:iCs/>
          <w:noProof/>
          <w:szCs w:val="24"/>
        </w:rPr>
        <w:t>et al.</w:t>
      </w:r>
      <w:r w:rsidRPr="00DE5C02">
        <w:rPr>
          <w:rFonts w:ascii="Calibri" w:hAnsi="Calibri" w:cs="Calibri"/>
          <w:noProof/>
          <w:szCs w:val="24"/>
        </w:rPr>
        <w:t xml:space="preserve"> Functional landscape heterogeneity and animal biodiversity in agricultural landscapes. </w:t>
      </w:r>
      <w:r w:rsidRPr="00DE5C02">
        <w:rPr>
          <w:rFonts w:ascii="Calibri" w:hAnsi="Calibri" w:cs="Calibri"/>
          <w:i/>
          <w:iCs/>
          <w:noProof/>
          <w:szCs w:val="24"/>
        </w:rPr>
        <w:t>Ecol. Lett.</w:t>
      </w:r>
      <w:r w:rsidRPr="00DE5C02">
        <w:rPr>
          <w:rFonts w:ascii="Calibri" w:hAnsi="Calibri" w:cs="Calibri"/>
          <w:noProof/>
          <w:szCs w:val="24"/>
        </w:rPr>
        <w:t xml:space="preserve"> </w:t>
      </w:r>
      <w:r w:rsidRPr="00DE5C02">
        <w:rPr>
          <w:rFonts w:ascii="Calibri" w:hAnsi="Calibri" w:cs="Calibri"/>
          <w:b/>
          <w:bCs/>
          <w:noProof/>
          <w:szCs w:val="24"/>
        </w:rPr>
        <w:t>14,</w:t>
      </w:r>
      <w:r w:rsidRPr="00DE5C02">
        <w:rPr>
          <w:rFonts w:ascii="Calibri" w:hAnsi="Calibri" w:cs="Calibri"/>
          <w:noProof/>
          <w:szCs w:val="24"/>
        </w:rPr>
        <w:t xml:space="preserve"> 101–112 (2011).</w:t>
      </w:r>
    </w:p>
    <w:p w14:paraId="520B9DB4" w14:textId="77777777" w:rsidR="00C61FE8" w:rsidRPr="00DE5C02" w:rsidRDefault="00C61FE8" w:rsidP="00C61FE8">
      <w:pPr>
        <w:widowControl w:val="0"/>
        <w:autoSpaceDE w:val="0"/>
        <w:autoSpaceDN w:val="0"/>
        <w:adjustRightInd w:val="0"/>
        <w:spacing w:line="240" w:lineRule="auto"/>
        <w:ind w:left="640" w:hanging="640"/>
        <w:rPr>
          <w:rFonts w:ascii="Calibri" w:hAnsi="Calibri" w:cs="Calibri"/>
          <w:noProof/>
          <w:szCs w:val="24"/>
        </w:rPr>
      </w:pPr>
      <w:r w:rsidRPr="00DE5C02">
        <w:rPr>
          <w:rFonts w:ascii="Calibri" w:hAnsi="Calibri" w:cs="Calibri"/>
          <w:noProof/>
          <w:szCs w:val="24"/>
        </w:rPr>
        <w:t>50.</w:t>
      </w:r>
      <w:r w:rsidRPr="00DE5C02">
        <w:rPr>
          <w:rFonts w:ascii="Calibri" w:hAnsi="Calibri" w:cs="Calibri"/>
          <w:noProof/>
          <w:szCs w:val="24"/>
        </w:rPr>
        <w:tab/>
        <w:t xml:space="preserve">Miguet, P., Jackson, H. B., Jackson, N. D., Martin, A. E. &amp; Fahrig, L. What determines the spatial extent of landscape effects on species? </w:t>
      </w:r>
      <w:r w:rsidRPr="00DE5C02">
        <w:rPr>
          <w:rFonts w:ascii="Calibri" w:hAnsi="Calibri" w:cs="Calibri"/>
          <w:i/>
          <w:iCs/>
          <w:noProof/>
          <w:szCs w:val="24"/>
        </w:rPr>
        <w:t>Landsc. Ecol.</w:t>
      </w:r>
      <w:r w:rsidRPr="00DE5C02">
        <w:rPr>
          <w:rFonts w:ascii="Calibri" w:hAnsi="Calibri" w:cs="Calibri"/>
          <w:noProof/>
          <w:szCs w:val="24"/>
        </w:rPr>
        <w:t xml:space="preserve"> </w:t>
      </w:r>
      <w:r w:rsidRPr="00DE5C02">
        <w:rPr>
          <w:rFonts w:ascii="Calibri" w:hAnsi="Calibri" w:cs="Calibri"/>
          <w:b/>
          <w:bCs/>
          <w:noProof/>
          <w:szCs w:val="24"/>
        </w:rPr>
        <w:t>31,</w:t>
      </w:r>
      <w:r w:rsidRPr="00DE5C02">
        <w:rPr>
          <w:rFonts w:ascii="Calibri" w:hAnsi="Calibri" w:cs="Calibri"/>
          <w:noProof/>
          <w:szCs w:val="24"/>
        </w:rPr>
        <w:t xml:space="preserve"> 1177–1194 (2016).</w:t>
      </w:r>
    </w:p>
    <w:p w14:paraId="22ADE500" w14:textId="77777777" w:rsidR="00C61FE8" w:rsidRPr="00DE5C02" w:rsidRDefault="00C61FE8" w:rsidP="00C61FE8">
      <w:pPr>
        <w:widowControl w:val="0"/>
        <w:autoSpaceDE w:val="0"/>
        <w:autoSpaceDN w:val="0"/>
        <w:adjustRightInd w:val="0"/>
        <w:spacing w:line="240" w:lineRule="auto"/>
        <w:ind w:left="640" w:hanging="640"/>
        <w:rPr>
          <w:rFonts w:ascii="Calibri" w:hAnsi="Calibri" w:cs="Calibri"/>
          <w:noProof/>
          <w:szCs w:val="24"/>
        </w:rPr>
      </w:pPr>
      <w:r w:rsidRPr="00DE5C02">
        <w:rPr>
          <w:rFonts w:ascii="Calibri" w:hAnsi="Calibri" w:cs="Calibri"/>
          <w:noProof/>
          <w:szCs w:val="24"/>
        </w:rPr>
        <w:t>51.</w:t>
      </w:r>
      <w:r w:rsidRPr="00DE5C02">
        <w:rPr>
          <w:rFonts w:ascii="Calibri" w:hAnsi="Calibri" w:cs="Calibri"/>
          <w:noProof/>
          <w:szCs w:val="24"/>
        </w:rPr>
        <w:tab/>
        <w:t xml:space="preserve">Dramstad, W. E., Tveit, M. S., Fjellstad, W. J. &amp; Fry, G. L. A. Relationships between visual landscape preferences and map-based indicators of landscape structure. </w:t>
      </w:r>
      <w:r w:rsidRPr="00DE5C02">
        <w:rPr>
          <w:rFonts w:ascii="Calibri" w:hAnsi="Calibri" w:cs="Calibri"/>
          <w:i/>
          <w:iCs/>
          <w:noProof/>
          <w:szCs w:val="24"/>
        </w:rPr>
        <w:t>Landsc. Urban Plan.</w:t>
      </w:r>
      <w:r w:rsidRPr="00DE5C02">
        <w:rPr>
          <w:rFonts w:ascii="Calibri" w:hAnsi="Calibri" w:cs="Calibri"/>
          <w:noProof/>
          <w:szCs w:val="24"/>
        </w:rPr>
        <w:t xml:space="preserve"> </w:t>
      </w:r>
      <w:r w:rsidRPr="00DE5C02">
        <w:rPr>
          <w:rFonts w:ascii="Calibri" w:hAnsi="Calibri" w:cs="Calibri"/>
          <w:b/>
          <w:bCs/>
          <w:noProof/>
          <w:szCs w:val="24"/>
        </w:rPr>
        <w:t>78,</w:t>
      </w:r>
      <w:r w:rsidRPr="00DE5C02">
        <w:rPr>
          <w:rFonts w:ascii="Calibri" w:hAnsi="Calibri" w:cs="Calibri"/>
          <w:noProof/>
          <w:szCs w:val="24"/>
        </w:rPr>
        <w:t xml:space="preserve"> 465–474 (2006).</w:t>
      </w:r>
    </w:p>
    <w:p w14:paraId="0436E5FA" w14:textId="77777777" w:rsidR="00C61FE8" w:rsidRPr="00DE5C02" w:rsidRDefault="00C61FE8" w:rsidP="00C61FE8">
      <w:pPr>
        <w:widowControl w:val="0"/>
        <w:autoSpaceDE w:val="0"/>
        <w:autoSpaceDN w:val="0"/>
        <w:adjustRightInd w:val="0"/>
        <w:spacing w:line="240" w:lineRule="auto"/>
        <w:ind w:left="640" w:hanging="640"/>
        <w:rPr>
          <w:rFonts w:ascii="Calibri" w:hAnsi="Calibri" w:cs="Calibri"/>
          <w:noProof/>
          <w:szCs w:val="24"/>
        </w:rPr>
      </w:pPr>
      <w:r w:rsidRPr="00DE5C02">
        <w:rPr>
          <w:rFonts w:ascii="Calibri" w:hAnsi="Calibri" w:cs="Calibri"/>
          <w:noProof/>
          <w:szCs w:val="24"/>
        </w:rPr>
        <w:t>52.</w:t>
      </w:r>
      <w:r w:rsidRPr="00DE5C02">
        <w:rPr>
          <w:rFonts w:ascii="Calibri" w:hAnsi="Calibri" w:cs="Calibri"/>
          <w:noProof/>
          <w:szCs w:val="24"/>
        </w:rPr>
        <w:tab/>
        <w:t xml:space="preserve">Holland, J. D., Bert, D. G. &amp; Fahrig, L. Determining the Spatial Scale of Species’ Response to Habitat. </w:t>
      </w:r>
      <w:r w:rsidRPr="00DE5C02">
        <w:rPr>
          <w:rFonts w:ascii="Calibri" w:hAnsi="Calibri" w:cs="Calibri"/>
          <w:i/>
          <w:iCs/>
          <w:noProof/>
          <w:szCs w:val="24"/>
        </w:rPr>
        <w:t>Bioscience</w:t>
      </w:r>
      <w:r w:rsidRPr="00DE5C02">
        <w:rPr>
          <w:rFonts w:ascii="Calibri" w:hAnsi="Calibri" w:cs="Calibri"/>
          <w:noProof/>
          <w:szCs w:val="24"/>
        </w:rPr>
        <w:t xml:space="preserve"> </w:t>
      </w:r>
      <w:r w:rsidRPr="00DE5C02">
        <w:rPr>
          <w:rFonts w:ascii="Calibri" w:hAnsi="Calibri" w:cs="Calibri"/>
          <w:b/>
          <w:bCs/>
          <w:noProof/>
          <w:szCs w:val="24"/>
        </w:rPr>
        <w:t>54,</w:t>
      </w:r>
      <w:r w:rsidRPr="00DE5C02">
        <w:rPr>
          <w:rFonts w:ascii="Calibri" w:hAnsi="Calibri" w:cs="Calibri"/>
          <w:noProof/>
          <w:szCs w:val="24"/>
        </w:rPr>
        <w:t xml:space="preserve"> 227 (2004).</w:t>
      </w:r>
    </w:p>
    <w:p w14:paraId="49216B68" w14:textId="77777777" w:rsidR="00C61FE8" w:rsidRPr="00DE5C02" w:rsidRDefault="00C61FE8" w:rsidP="00C61FE8">
      <w:pPr>
        <w:widowControl w:val="0"/>
        <w:autoSpaceDE w:val="0"/>
        <w:autoSpaceDN w:val="0"/>
        <w:adjustRightInd w:val="0"/>
        <w:spacing w:line="240" w:lineRule="auto"/>
        <w:ind w:left="640" w:hanging="640"/>
        <w:rPr>
          <w:rFonts w:ascii="Calibri" w:hAnsi="Calibri" w:cs="Calibri"/>
          <w:noProof/>
          <w:szCs w:val="24"/>
        </w:rPr>
      </w:pPr>
      <w:r w:rsidRPr="00DE5C02">
        <w:rPr>
          <w:rFonts w:ascii="Calibri" w:hAnsi="Calibri" w:cs="Calibri"/>
          <w:noProof/>
          <w:szCs w:val="24"/>
        </w:rPr>
        <w:t>53.</w:t>
      </w:r>
      <w:r w:rsidRPr="00DE5C02">
        <w:rPr>
          <w:rFonts w:ascii="Calibri" w:hAnsi="Calibri" w:cs="Calibri"/>
          <w:noProof/>
          <w:szCs w:val="24"/>
        </w:rPr>
        <w:tab/>
        <w:t xml:space="preserve">Vilà, M. &amp; Ibáñez, I. Plant invasions in the landscape. </w:t>
      </w:r>
      <w:r w:rsidRPr="00DE5C02">
        <w:rPr>
          <w:rFonts w:ascii="Calibri" w:hAnsi="Calibri" w:cs="Calibri"/>
          <w:i/>
          <w:iCs/>
          <w:noProof/>
          <w:szCs w:val="24"/>
        </w:rPr>
        <w:t>Landsc. Ecol.</w:t>
      </w:r>
      <w:r w:rsidRPr="00DE5C02">
        <w:rPr>
          <w:rFonts w:ascii="Calibri" w:hAnsi="Calibri" w:cs="Calibri"/>
          <w:noProof/>
          <w:szCs w:val="24"/>
        </w:rPr>
        <w:t xml:space="preserve"> </w:t>
      </w:r>
      <w:r w:rsidRPr="00DE5C02">
        <w:rPr>
          <w:rFonts w:ascii="Calibri" w:hAnsi="Calibri" w:cs="Calibri"/>
          <w:b/>
          <w:bCs/>
          <w:noProof/>
          <w:szCs w:val="24"/>
        </w:rPr>
        <w:t>26,</w:t>
      </w:r>
      <w:r w:rsidRPr="00DE5C02">
        <w:rPr>
          <w:rFonts w:ascii="Calibri" w:hAnsi="Calibri" w:cs="Calibri"/>
          <w:noProof/>
          <w:szCs w:val="24"/>
        </w:rPr>
        <w:t xml:space="preserve"> 461–472 (2011).</w:t>
      </w:r>
    </w:p>
    <w:p w14:paraId="2222487A" w14:textId="77777777" w:rsidR="00C61FE8" w:rsidRPr="00DE5C02" w:rsidRDefault="00C61FE8" w:rsidP="00C61FE8">
      <w:pPr>
        <w:widowControl w:val="0"/>
        <w:autoSpaceDE w:val="0"/>
        <w:autoSpaceDN w:val="0"/>
        <w:adjustRightInd w:val="0"/>
        <w:spacing w:line="240" w:lineRule="auto"/>
        <w:ind w:left="640" w:hanging="640"/>
        <w:rPr>
          <w:rFonts w:ascii="Calibri" w:hAnsi="Calibri" w:cs="Calibri"/>
          <w:noProof/>
          <w:szCs w:val="24"/>
        </w:rPr>
      </w:pPr>
      <w:r w:rsidRPr="00DE5C02">
        <w:rPr>
          <w:rFonts w:ascii="Calibri" w:hAnsi="Calibri" w:cs="Calibri"/>
          <w:noProof/>
          <w:szCs w:val="24"/>
        </w:rPr>
        <w:t>54.</w:t>
      </w:r>
      <w:r w:rsidRPr="00DE5C02">
        <w:rPr>
          <w:rFonts w:ascii="Calibri" w:hAnsi="Calibri" w:cs="Calibri"/>
          <w:noProof/>
          <w:szCs w:val="24"/>
        </w:rPr>
        <w:tab/>
        <w:t xml:space="preserve">Novikmec, M. </w:t>
      </w:r>
      <w:r w:rsidRPr="00DE5C02">
        <w:rPr>
          <w:rFonts w:ascii="Calibri" w:hAnsi="Calibri" w:cs="Calibri"/>
          <w:i/>
          <w:iCs/>
          <w:noProof/>
          <w:szCs w:val="24"/>
        </w:rPr>
        <w:t>et al.</w:t>
      </w:r>
      <w:r w:rsidRPr="00DE5C02">
        <w:rPr>
          <w:rFonts w:ascii="Calibri" w:hAnsi="Calibri" w:cs="Calibri"/>
          <w:noProof/>
          <w:szCs w:val="24"/>
        </w:rPr>
        <w:t xml:space="preserve"> Ponds and their catchments: size relationships and influence of land use across multiple spatial scales. </w:t>
      </w:r>
      <w:r w:rsidRPr="00DE5C02">
        <w:rPr>
          <w:rFonts w:ascii="Calibri" w:hAnsi="Calibri" w:cs="Calibri"/>
          <w:i/>
          <w:iCs/>
          <w:noProof/>
          <w:szCs w:val="24"/>
        </w:rPr>
        <w:t>Hydrobiologia</w:t>
      </w:r>
      <w:r w:rsidRPr="00DE5C02">
        <w:rPr>
          <w:rFonts w:ascii="Calibri" w:hAnsi="Calibri" w:cs="Calibri"/>
          <w:noProof/>
          <w:szCs w:val="24"/>
        </w:rPr>
        <w:t xml:space="preserve"> 155–166 (2015). doi:10.1007/s10750-015-2514-8</w:t>
      </w:r>
    </w:p>
    <w:p w14:paraId="1843460B" w14:textId="77777777" w:rsidR="00C61FE8" w:rsidRPr="00DE5C02" w:rsidRDefault="00C61FE8" w:rsidP="00C61FE8">
      <w:pPr>
        <w:widowControl w:val="0"/>
        <w:autoSpaceDE w:val="0"/>
        <w:autoSpaceDN w:val="0"/>
        <w:adjustRightInd w:val="0"/>
        <w:spacing w:line="240" w:lineRule="auto"/>
        <w:ind w:left="640" w:hanging="640"/>
        <w:rPr>
          <w:rFonts w:ascii="Calibri" w:hAnsi="Calibri" w:cs="Calibri"/>
          <w:noProof/>
          <w:szCs w:val="24"/>
        </w:rPr>
      </w:pPr>
      <w:r w:rsidRPr="00DE5C02">
        <w:rPr>
          <w:rFonts w:ascii="Calibri" w:hAnsi="Calibri" w:cs="Calibri"/>
          <w:noProof/>
          <w:szCs w:val="24"/>
        </w:rPr>
        <w:t>55.</w:t>
      </w:r>
      <w:r w:rsidRPr="00DE5C02">
        <w:rPr>
          <w:rFonts w:ascii="Calibri" w:hAnsi="Calibri" w:cs="Calibri"/>
          <w:noProof/>
          <w:szCs w:val="24"/>
        </w:rPr>
        <w:tab/>
        <w:t xml:space="preserve">Morton, R. D. </w:t>
      </w:r>
      <w:r w:rsidRPr="00DE5C02">
        <w:rPr>
          <w:rFonts w:ascii="Calibri" w:hAnsi="Calibri" w:cs="Calibri"/>
          <w:i/>
          <w:iCs/>
          <w:noProof/>
          <w:szCs w:val="24"/>
        </w:rPr>
        <w:t>et al.</w:t>
      </w:r>
      <w:r w:rsidRPr="00DE5C02">
        <w:rPr>
          <w:rFonts w:ascii="Calibri" w:hAnsi="Calibri" w:cs="Calibri"/>
          <w:noProof/>
          <w:szCs w:val="24"/>
        </w:rPr>
        <w:t xml:space="preserve"> Land Cover Map 2007 (25m raster, GB) v1.2. (2014).</w:t>
      </w:r>
    </w:p>
    <w:p w14:paraId="67E2BFAD" w14:textId="77777777" w:rsidR="00C61FE8" w:rsidRPr="00DE5C02" w:rsidRDefault="00C61FE8" w:rsidP="00C61FE8">
      <w:pPr>
        <w:widowControl w:val="0"/>
        <w:autoSpaceDE w:val="0"/>
        <w:autoSpaceDN w:val="0"/>
        <w:adjustRightInd w:val="0"/>
        <w:spacing w:line="240" w:lineRule="auto"/>
        <w:ind w:left="640" w:hanging="640"/>
        <w:rPr>
          <w:rFonts w:ascii="Calibri" w:hAnsi="Calibri" w:cs="Calibri"/>
          <w:noProof/>
          <w:szCs w:val="24"/>
        </w:rPr>
      </w:pPr>
      <w:r w:rsidRPr="00DE5C02">
        <w:rPr>
          <w:rFonts w:ascii="Calibri" w:hAnsi="Calibri" w:cs="Calibri"/>
          <w:noProof/>
          <w:szCs w:val="24"/>
        </w:rPr>
        <w:t>56.</w:t>
      </w:r>
      <w:r w:rsidRPr="00DE5C02">
        <w:rPr>
          <w:rFonts w:ascii="Calibri" w:hAnsi="Calibri" w:cs="Calibri"/>
          <w:noProof/>
          <w:szCs w:val="24"/>
        </w:rPr>
        <w:tab/>
        <w:t xml:space="preserve">Qiu, J. &amp; Turner, M. G. Importance of landscape heterogeneity in sustaining hydrologic ecosystem services in an agricultural watershed. </w:t>
      </w:r>
      <w:r w:rsidRPr="00DE5C02">
        <w:rPr>
          <w:rFonts w:ascii="Calibri" w:hAnsi="Calibri" w:cs="Calibri"/>
          <w:i/>
          <w:iCs/>
          <w:noProof/>
          <w:szCs w:val="24"/>
        </w:rPr>
        <w:t>Ecosphere</w:t>
      </w:r>
      <w:r w:rsidRPr="00DE5C02">
        <w:rPr>
          <w:rFonts w:ascii="Calibri" w:hAnsi="Calibri" w:cs="Calibri"/>
          <w:noProof/>
          <w:szCs w:val="24"/>
        </w:rPr>
        <w:t xml:space="preserve"> </w:t>
      </w:r>
      <w:r w:rsidRPr="00DE5C02">
        <w:rPr>
          <w:rFonts w:ascii="Calibri" w:hAnsi="Calibri" w:cs="Calibri"/>
          <w:b/>
          <w:bCs/>
          <w:noProof/>
          <w:szCs w:val="24"/>
        </w:rPr>
        <w:t>6,</w:t>
      </w:r>
      <w:r w:rsidRPr="00DE5C02">
        <w:rPr>
          <w:rFonts w:ascii="Calibri" w:hAnsi="Calibri" w:cs="Calibri"/>
          <w:noProof/>
          <w:szCs w:val="24"/>
        </w:rPr>
        <w:t xml:space="preserve"> 1–19 (2015).</w:t>
      </w:r>
    </w:p>
    <w:p w14:paraId="00E04C15" w14:textId="77777777" w:rsidR="00C61FE8" w:rsidRPr="00DE5C02" w:rsidRDefault="00C61FE8" w:rsidP="00C61FE8">
      <w:pPr>
        <w:widowControl w:val="0"/>
        <w:autoSpaceDE w:val="0"/>
        <w:autoSpaceDN w:val="0"/>
        <w:adjustRightInd w:val="0"/>
        <w:spacing w:line="240" w:lineRule="auto"/>
        <w:ind w:left="640" w:hanging="640"/>
        <w:rPr>
          <w:rFonts w:ascii="Calibri" w:hAnsi="Calibri" w:cs="Calibri"/>
          <w:noProof/>
          <w:szCs w:val="24"/>
        </w:rPr>
      </w:pPr>
      <w:r w:rsidRPr="00DE5C02">
        <w:rPr>
          <w:rFonts w:ascii="Calibri" w:hAnsi="Calibri" w:cs="Calibri"/>
          <w:noProof/>
          <w:szCs w:val="24"/>
        </w:rPr>
        <w:t>57.</w:t>
      </w:r>
      <w:r w:rsidRPr="00DE5C02">
        <w:rPr>
          <w:rFonts w:ascii="Calibri" w:hAnsi="Calibri" w:cs="Calibri"/>
          <w:noProof/>
          <w:szCs w:val="24"/>
        </w:rPr>
        <w:tab/>
        <w:t xml:space="preserve">Burnham, K. P. &amp; Anderson, D. R. </w:t>
      </w:r>
      <w:r w:rsidRPr="00DE5C02">
        <w:rPr>
          <w:rFonts w:ascii="Calibri" w:hAnsi="Calibri" w:cs="Calibri"/>
          <w:i/>
          <w:iCs/>
          <w:noProof/>
          <w:szCs w:val="24"/>
        </w:rPr>
        <w:t>Model Selection and Multimodel Inference: A Practical Information-Theoretic Approach (2nd ed)</w:t>
      </w:r>
      <w:r w:rsidRPr="00DE5C02">
        <w:rPr>
          <w:rFonts w:ascii="Calibri" w:hAnsi="Calibri" w:cs="Calibri"/>
          <w:noProof/>
          <w:szCs w:val="24"/>
        </w:rPr>
        <w:t xml:space="preserve">. </w:t>
      </w:r>
      <w:r w:rsidRPr="00DE5C02">
        <w:rPr>
          <w:rFonts w:ascii="Calibri" w:hAnsi="Calibri" w:cs="Calibri"/>
          <w:i/>
          <w:iCs/>
          <w:noProof/>
          <w:szCs w:val="24"/>
        </w:rPr>
        <w:t>Ecological Modelling</w:t>
      </w:r>
      <w:r w:rsidRPr="00DE5C02">
        <w:rPr>
          <w:rFonts w:ascii="Calibri" w:hAnsi="Calibri" w:cs="Calibri"/>
          <w:noProof/>
          <w:szCs w:val="24"/>
        </w:rPr>
        <w:t xml:space="preserve"> </w:t>
      </w:r>
      <w:r w:rsidRPr="00DE5C02">
        <w:rPr>
          <w:rFonts w:ascii="Calibri" w:hAnsi="Calibri" w:cs="Calibri"/>
          <w:b/>
          <w:bCs/>
          <w:noProof/>
          <w:szCs w:val="24"/>
        </w:rPr>
        <w:t>172,</w:t>
      </w:r>
      <w:r w:rsidRPr="00DE5C02">
        <w:rPr>
          <w:rFonts w:ascii="Calibri" w:hAnsi="Calibri" w:cs="Calibri"/>
          <w:noProof/>
          <w:szCs w:val="24"/>
        </w:rPr>
        <w:t xml:space="preserve"> (2002).</w:t>
      </w:r>
    </w:p>
    <w:p w14:paraId="37D37B40" w14:textId="77777777" w:rsidR="00C61FE8" w:rsidRPr="00DE5C02" w:rsidRDefault="00C61FE8" w:rsidP="00C61FE8">
      <w:pPr>
        <w:widowControl w:val="0"/>
        <w:autoSpaceDE w:val="0"/>
        <w:autoSpaceDN w:val="0"/>
        <w:adjustRightInd w:val="0"/>
        <w:spacing w:line="240" w:lineRule="auto"/>
        <w:ind w:left="640" w:hanging="640"/>
        <w:rPr>
          <w:rFonts w:ascii="Calibri" w:hAnsi="Calibri" w:cs="Calibri"/>
          <w:noProof/>
          <w:szCs w:val="24"/>
        </w:rPr>
      </w:pPr>
      <w:r w:rsidRPr="00DE5C02">
        <w:rPr>
          <w:rFonts w:ascii="Calibri" w:hAnsi="Calibri" w:cs="Calibri"/>
          <w:noProof/>
          <w:szCs w:val="24"/>
        </w:rPr>
        <w:t>58.</w:t>
      </w:r>
      <w:r w:rsidRPr="00DE5C02">
        <w:rPr>
          <w:rFonts w:ascii="Calibri" w:hAnsi="Calibri" w:cs="Calibri"/>
          <w:noProof/>
          <w:szCs w:val="24"/>
        </w:rPr>
        <w:tab/>
        <w:t xml:space="preserve">Bradter, U., Kunin, W. E., Altringham, J. D., Thom, T. J. &amp; Benton, T. G. Identifying appropriate spatial scales of predictors in species distribution models with the random forest algorithm. </w:t>
      </w:r>
      <w:r w:rsidRPr="00DE5C02">
        <w:rPr>
          <w:rFonts w:ascii="Calibri" w:hAnsi="Calibri" w:cs="Calibri"/>
          <w:i/>
          <w:iCs/>
          <w:noProof/>
          <w:szCs w:val="24"/>
        </w:rPr>
        <w:t>Methods Ecol. Evol.</w:t>
      </w:r>
      <w:r w:rsidRPr="00DE5C02">
        <w:rPr>
          <w:rFonts w:ascii="Calibri" w:hAnsi="Calibri" w:cs="Calibri"/>
          <w:noProof/>
          <w:szCs w:val="24"/>
        </w:rPr>
        <w:t xml:space="preserve"> </w:t>
      </w:r>
      <w:r w:rsidRPr="00DE5C02">
        <w:rPr>
          <w:rFonts w:ascii="Calibri" w:hAnsi="Calibri" w:cs="Calibri"/>
          <w:b/>
          <w:bCs/>
          <w:noProof/>
          <w:szCs w:val="24"/>
        </w:rPr>
        <w:t>4,</w:t>
      </w:r>
      <w:r w:rsidRPr="00DE5C02">
        <w:rPr>
          <w:rFonts w:ascii="Calibri" w:hAnsi="Calibri" w:cs="Calibri"/>
          <w:noProof/>
          <w:szCs w:val="24"/>
        </w:rPr>
        <w:t xml:space="preserve"> 167–174 (2013).</w:t>
      </w:r>
    </w:p>
    <w:p w14:paraId="472C13E0" w14:textId="77777777" w:rsidR="00C61FE8" w:rsidRPr="00DE5C02" w:rsidRDefault="00C61FE8" w:rsidP="00C61FE8">
      <w:pPr>
        <w:widowControl w:val="0"/>
        <w:autoSpaceDE w:val="0"/>
        <w:autoSpaceDN w:val="0"/>
        <w:adjustRightInd w:val="0"/>
        <w:spacing w:line="240" w:lineRule="auto"/>
        <w:ind w:left="640" w:hanging="640"/>
        <w:rPr>
          <w:rFonts w:ascii="Calibri" w:hAnsi="Calibri" w:cs="Calibri"/>
          <w:noProof/>
          <w:szCs w:val="24"/>
        </w:rPr>
      </w:pPr>
      <w:r w:rsidRPr="00DE5C02">
        <w:rPr>
          <w:rFonts w:ascii="Calibri" w:hAnsi="Calibri" w:cs="Calibri"/>
          <w:noProof/>
          <w:szCs w:val="24"/>
        </w:rPr>
        <w:t>59.</w:t>
      </w:r>
      <w:r w:rsidRPr="00DE5C02">
        <w:rPr>
          <w:rFonts w:ascii="Calibri" w:hAnsi="Calibri" w:cs="Calibri"/>
          <w:noProof/>
          <w:szCs w:val="24"/>
        </w:rPr>
        <w:tab/>
        <w:t xml:space="preserve">Freckleton, R. P. Dealing with collinearity in behavioural and ecological data: Model averaging and the problems of measurement error. </w:t>
      </w:r>
      <w:r w:rsidRPr="00DE5C02">
        <w:rPr>
          <w:rFonts w:ascii="Calibri" w:hAnsi="Calibri" w:cs="Calibri"/>
          <w:i/>
          <w:iCs/>
          <w:noProof/>
          <w:szCs w:val="24"/>
        </w:rPr>
        <w:t>Behav. Ecol. Sociobiol.</w:t>
      </w:r>
      <w:r w:rsidRPr="00DE5C02">
        <w:rPr>
          <w:rFonts w:ascii="Calibri" w:hAnsi="Calibri" w:cs="Calibri"/>
          <w:noProof/>
          <w:szCs w:val="24"/>
        </w:rPr>
        <w:t xml:space="preserve"> </w:t>
      </w:r>
      <w:r w:rsidRPr="00DE5C02">
        <w:rPr>
          <w:rFonts w:ascii="Calibri" w:hAnsi="Calibri" w:cs="Calibri"/>
          <w:b/>
          <w:bCs/>
          <w:noProof/>
          <w:szCs w:val="24"/>
        </w:rPr>
        <w:t>65,</w:t>
      </w:r>
      <w:r w:rsidRPr="00DE5C02">
        <w:rPr>
          <w:rFonts w:ascii="Calibri" w:hAnsi="Calibri" w:cs="Calibri"/>
          <w:noProof/>
          <w:szCs w:val="24"/>
        </w:rPr>
        <w:t xml:space="preserve"> 91–101 (2011).</w:t>
      </w:r>
    </w:p>
    <w:p w14:paraId="01036493" w14:textId="77777777" w:rsidR="00C61FE8" w:rsidRPr="00DE5C02" w:rsidRDefault="00C61FE8" w:rsidP="00C61FE8">
      <w:pPr>
        <w:widowControl w:val="0"/>
        <w:autoSpaceDE w:val="0"/>
        <w:autoSpaceDN w:val="0"/>
        <w:adjustRightInd w:val="0"/>
        <w:spacing w:line="240" w:lineRule="auto"/>
        <w:ind w:left="640" w:hanging="640"/>
        <w:rPr>
          <w:rFonts w:ascii="Calibri" w:hAnsi="Calibri" w:cs="Calibri"/>
          <w:noProof/>
          <w:szCs w:val="24"/>
        </w:rPr>
      </w:pPr>
      <w:r w:rsidRPr="00DE5C02">
        <w:rPr>
          <w:rFonts w:ascii="Calibri" w:hAnsi="Calibri" w:cs="Calibri"/>
          <w:noProof/>
          <w:szCs w:val="24"/>
        </w:rPr>
        <w:t>60.</w:t>
      </w:r>
      <w:r w:rsidRPr="00DE5C02">
        <w:rPr>
          <w:rFonts w:ascii="Calibri" w:hAnsi="Calibri" w:cs="Calibri"/>
          <w:noProof/>
          <w:szCs w:val="24"/>
        </w:rPr>
        <w:tab/>
        <w:t>Bartoń, K. MuMIn: model selection and model averaging based on information criteria (AICc and alike) R package version. (2018).</w:t>
      </w:r>
    </w:p>
    <w:p w14:paraId="7A3619F7" w14:textId="77777777" w:rsidR="00C61FE8" w:rsidRPr="00DE5C02" w:rsidRDefault="00C61FE8" w:rsidP="00C61FE8">
      <w:pPr>
        <w:widowControl w:val="0"/>
        <w:autoSpaceDE w:val="0"/>
        <w:autoSpaceDN w:val="0"/>
        <w:adjustRightInd w:val="0"/>
        <w:spacing w:line="240" w:lineRule="auto"/>
        <w:ind w:left="640" w:hanging="640"/>
        <w:rPr>
          <w:rFonts w:ascii="Calibri" w:hAnsi="Calibri" w:cs="Calibri"/>
          <w:noProof/>
          <w:szCs w:val="24"/>
        </w:rPr>
      </w:pPr>
      <w:r w:rsidRPr="00DE5C02">
        <w:rPr>
          <w:rFonts w:ascii="Calibri" w:hAnsi="Calibri" w:cs="Calibri"/>
          <w:noProof/>
          <w:szCs w:val="24"/>
        </w:rPr>
        <w:t>61.</w:t>
      </w:r>
      <w:r w:rsidRPr="00DE5C02">
        <w:rPr>
          <w:rFonts w:ascii="Calibri" w:hAnsi="Calibri" w:cs="Calibri"/>
          <w:noProof/>
          <w:szCs w:val="24"/>
        </w:rPr>
        <w:tab/>
        <w:t xml:space="preserve">Lefcheck, J. S. Piecewise SEM: Piecewise structural equation modelling in R for ecology, evolution, and systematics. </w:t>
      </w:r>
      <w:r w:rsidRPr="00DE5C02">
        <w:rPr>
          <w:rFonts w:ascii="Calibri" w:hAnsi="Calibri" w:cs="Calibri"/>
          <w:i/>
          <w:iCs/>
          <w:noProof/>
          <w:szCs w:val="24"/>
        </w:rPr>
        <w:t>Methods Ecol. Evol.</w:t>
      </w:r>
      <w:r w:rsidRPr="00DE5C02">
        <w:rPr>
          <w:rFonts w:ascii="Calibri" w:hAnsi="Calibri" w:cs="Calibri"/>
          <w:noProof/>
          <w:szCs w:val="24"/>
        </w:rPr>
        <w:t xml:space="preserve"> 2–7 (2015). doi:10.1111/2041-210X.12512</w:t>
      </w:r>
    </w:p>
    <w:p w14:paraId="088F0C46" w14:textId="77777777" w:rsidR="00C61FE8" w:rsidRPr="00DE5C02" w:rsidRDefault="00C61FE8" w:rsidP="00C61FE8">
      <w:pPr>
        <w:widowControl w:val="0"/>
        <w:autoSpaceDE w:val="0"/>
        <w:autoSpaceDN w:val="0"/>
        <w:adjustRightInd w:val="0"/>
        <w:spacing w:line="240" w:lineRule="auto"/>
        <w:ind w:left="640" w:hanging="640"/>
        <w:rPr>
          <w:rFonts w:ascii="Calibri" w:hAnsi="Calibri" w:cs="Calibri"/>
          <w:noProof/>
          <w:szCs w:val="24"/>
        </w:rPr>
      </w:pPr>
      <w:r w:rsidRPr="00DE5C02">
        <w:rPr>
          <w:rFonts w:ascii="Calibri" w:hAnsi="Calibri" w:cs="Calibri"/>
          <w:noProof/>
          <w:szCs w:val="24"/>
        </w:rPr>
        <w:t>62.</w:t>
      </w:r>
      <w:r w:rsidRPr="00DE5C02">
        <w:rPr>
          <w:rFonts w:ascii="Calibri" w:hAnsi="Calibri" w:cs="Calibri"/>
          <w:noProof/>
          <w:szCs w:val="24"/>
        </w:rPr>
        <w:tab/>
        <w:t xml:space="preserve">Elith, J., Leathwick, J. R. &amp; Hastie, T. A working guide to boosted regression trees. </w:t>
      </w:r>
      <w:r w:rsidRPr="00DE5C02">
        <w:rPr>
          <w:rFonts w:ascii="Calibri" w:hAnsi="Calibri" w:cs="Calibri"/>
          <w:i/>
          <w:iCs/>
          <w:noProof/>
          <w:szCs w:val="24"/>
        </w:rPr>
        <w:t>J. Anim. Ecol.</w:t>
      </w:r>
      <w:r w:rsidRPr="00DE5C02">
        <w:rPr>
          <w:rFonts w:ascii="Calibri" w:hAnsi="Calibri" w:cs="Calibri"/>
          <w:noProof/>
          <w:szCs w:val="24"/>
        </w:rPr>
        <w:t xml:space="preserve"> </w:t>
      </w:r>
      <w:r w:rsidRPr="00DE5C02">
        <w:rPr>
          <w:rFonts w:ascii="Calibri" w:hAnsi="Calibri" w:cs="Calibri"/>
          <w:b/>
          <w:bCs/>
          <w:noProof/>
          <w:szCs w:val="24"/>
        </w:rPr>
        <w:t>77,</w:t>
      </w:r>
      <w:r w:rsidRPr="00DE5C02">
        <w:rPr>
          <w:rFonts w:ascii="Calibri" w:hAnsi="Calibri" w:cs="Calibri"/>
          <w:noProof/>
          <w:szCs w:val="24"/>
        </w:rPr>
        <w:t xml:space="preserve"> 802–813 (2008).</w:t>
      </w:r>
    </w:p>
    <w:p w14:paraId="72D69BE3" w14:textId="77777777" w:rsidR="00C61FE8" w:rsidRPr="00DE5C02" w:rsidRDefault="00C61FE8" w:rsidP="00C61FE8">
      <w:pPr>
        <w:widowControl w:val="0"/>
        <w:autoSpaceDE w:val="0"/>
        <w:autoSpaceDN w:val="0"/>
        <w:adjustRightInd w:val="0"/>
        <w:spacing w:line="240" w:lineRule="auto"/>
        <w:ind w:left="640" w:hanging="640"/>
        <w:rPr>
          <w:rFonts w:ascii="Calibri" w:hAnsi="Calibri" w:cs="Calibri"/>
          <w:noProof/>
          <w:szCs w:val="24"/>
        </w:rPr>
      </w:pPr>
      <w:r w:rsidRPr="00DE5C02">
        <w:rPr>
          <w:rFonts w:ascii="Calibri" w:hAnsi="Calibri" w:cs="Calibri"/>
          <w:noProof/>
          <w:szCs w:val="24"/>
        </w:rPr>
        <w:t>63.</w:t>
      </w:r>
      <w:r w:rsidRPr="00DE5C02">
        <w:rPr>
          <w:rFonts w:ascii="Calibri" w:hAnsi="Calibri" w:cs="Calibri"/>
          <w:noProof/>
          <w:szCs w:val="24"/>
        </w:rPr>
        <w:tab/>
        <w:t xml:space="preserve">Turner, M. G. &amp; Gardner, R. H. </w:t>
      </w:r>
      <w:r w:rsidRPr="00DE5C02">
        <w:rPr>
          <w:rFonts w:ascii="Calibri" w:hAnsi="Calibri" w:cs="Calibri"/>
          <w:i/>
          <w:iCs/>
          <w:noProof/>
          <w:szCs w:val="24"/>
        </w:rPr>
        <w:t>Landscape Ecology in Theory and Practice. Pattern and Process</w:t>
      </w:r>
      <w:r w:rsidRPr="00DE5C02">
        <w:rPr>
          <w:rFonts w:ascii="Calibri" w:hAnsi="Calibri" w:cs="Calibri"/>
          <w:noProof/>
          <w:szCs w:val="24"/>
        </w:rPr>
        <w:t>. (Springer-Verlag New York, 2015).</w:t>
      </w:r>
    </w:p>
    <w:p w14:paraId="2E275817" w14:textId="77777777" w:rsidR="00C61FE8" w:rsidRPr="00DE5C02" w:rsidRDefault="00C61FE8" w:rsidP="00C61FE8">
      <w:pPr>
        <w:widowControl w:val="0"/>
        <w:autoSpaceDE w:val="0"/>
        <w:autoSpaceDN w:val="0"/>
        <w:adjustRightInd w:val="0"/>
        <w:spacing w:line="240" w:lineRule="auto"/>
        <w:ind w:left="640" w:hanging="640"/>
        <w:rPr>
          <w:rFonts w:ascii="Calibri" w:hAnsi="Calibri" w:cs="Calibri"/>
          <w:noProof/>
          <w:szCs w:val="24"/>
        </w:rPr>
      </w:pPr>
      <w:r w:rsidRPr="00DE5C02">
        <w:rPr>
          <w:rFonts w:ascii="Calibri" w:hAnsi="Calibri" w:cs="Calibri"/>
          <w:noProof/>
          <w:szCs w:val="24"/>
        </w:rPr>
        <w:t>64.</w:t>
      </w:r>
      <w:r w:rsidRPr="00DE5C02">
        <w:rPr>
          <w:rFonts w:ascii="Calibri" w:hAnsi="Calibri" w:cs="Calibri"/>
          <w:noProof/>
          <w:szCs w:val="24"/>
        </w:rPr>
        <w:tab/>
        <w:t xml:space="preserve">Turner, M. G., Donato, D. C. &amp; Romme, W. H. Consequences of spatial heterogeneity for ecosystem services in changing forest landscapes: Priorities for future research. </w:t>
      </w:r>
      <w:r w:rsidRPr="00DE5C02">
        <w:rPr>
          <w:rFonts w:ascii="Calibri" w:hAnsi="Calibri" w:cs="Calibri"/>
          <w:i/>
          <w:iCs/>
          <w:noProof/>
          <w:szCs w:val="24"/>
        </w:rPr>
        <w:t>Landsc. Ecol.</w:t>
      </w:r>
      <w:r w:rsidRPr="00DE5C02">
        <w:rPr>
          <w:rFonts w:ascii="Calibri" w:hAnsi="Calibri" w:cs="Calibri"/>
          <w:noProof/>
          <w:szCs w:val="24"/>
        </w:rPr>
        <w:t xml:space="preserve"> </w:t>
      </w:r>
      <w:r w:rsidRPr="00DE5C02">
        <w:rPr>
          <w:rFonts w:ascii="Calibri" w:hAnsi="Calibri" w:cs="Calibri"/>
          <w:b/>
          <w:bCs/>
          <w:noProof/>
          <w:szCs w:val="24"/>
        </w:rPr>
        <w:t>28,</w:t>
      </w:r>
      <w:r w:rsidRPr="00DE5C02">
        <w:rPr>
          <w:rFonts w:ascii="Calibri" w:hAnsi="Calibri" w:cs="Calibri"/>
          <w:noProof/>
          <w:szCs w:val="24"/>
        </w:rPr>
        <w:t xml:space="preserve"> 1081–1097 (2013).</w:t>
      </w:r>
    </w:p>
    <w:p w14:paraId="366B3150" w14:textId="77777777" w:rsidR="00C61FE8" w:rsidRPr="00DE5C02" w:rsidRDefault="00C61FE8" w:rsidP="00C61FE8">
      <w:pPr>
        <w:widowControl w:val="0"/>
        <w:autoSpaceDE w:val="0"/>
        <w:autoSpaceDN w:val="0"/>
        <w:adjustRightInd w:val="0"/>
        <w:spacing w:line="240" w:lineRule="auto"/>
        <w:ind w:left="640" w:hanging="640"/>
        <w:rPr>
          <w:rFonts w:ascii="Calibri" w:hAnsi="Calibri" w:cs="Calibri"/>
          <w:noProof/>
          <w:szCs w:val="24"/>
        </w:rPr>
      </w:pPr>
      <w:r w:rsidRPr="00DE5C02">
        <w:rPr>
          <w:rFonts w:ascii="Calibri" w:hAnsi="Calibri" w:cs="Calibri"/>
          <w:noProof/>
          <w:szCs w:val="24"/>
        </w:rPr>
        <w:t>65.</w:t>
      </w:r>
      <w:r w:rsidRPr="00DE5C02">
        <w:rPr>
          <w:rFonts w:ascii="Calibri" w:hAnsi="Calibri" w:cs="Calibri"/>
          <w:noProof/>
          <w:szCs w:val="24"/>
        </w:rPr>
        <w:tab/>
        <w:t xml:space="preserve">Johnson, P. O. &amp; Neyman, J. Tests of certain linear hypotheses and their application to some educational problems. </w:t>
      </w:r>
      <w:r w:rsidRPr="00DE5C02">
        <w:rPr>
          <w:rFonts w:ascii="Calibri" w:hAnsi="Calibri" w:cs="Calibri"/>
          <w:i/>
          <w:iCs/>
          <w:noProof/>
          <w:szCs w:val="24"/>
        </w:rPr>
        <w:t>Stat. Res. Mem.</w:t>
      </w:r>
      <w:r w:rsidRPr="00DE5C02">
        <w:rPr>
          <w:rFonts w:ascii="Calibri" w:hAnsi="Calibri" w:cs="Calibri"/>
          <w:noProof/>
          <w:szCs w:val="24"/>
        </w:rPr>
        <w:t xml:space="preserve"> </w:t>
      </w:r>
      <w:r w:rsidRPr="00DE5C02">
        <w:rPr>
          <w:rFonts w:ascii="Calibri" w:hAnsi="Calibri" w:cs="Calibri"/>
          <w:b/>
          <w:bCs/>
          <w:noProof/>
          <w:szCs w:val="24"/>
        </w:rPr>
        <w:t>1,</w:t>
      </w:r>
      <w:r w:rsidRPr="00DE5C02">
        <w:rPr>
          <w:rFonts w:ascii="Calibri" w:hAnsi="Calibri" w:cs="Calibri"/>
          <w:noProof/>
          <w:szCs w:val="24"/>
        </w:rPr>
        <w:t xml:space="preserve"> 57–93 (1936).</w:t>
      </w:r>
    </w:p>
    <w:p w14:paraId="494FA46D" w14:textId="77777777" w:rsidR="00C61FE8" w:rsidRPr="00DE5C02" w:rsidRDefault="00C61FE8" w:rsidP="00C61FE8">
      <w:pPr>
        <w:widowControl w:val="0"/>
        <w:autoSpaceDE w:val="0"/>
        <w:autoSpaceDN w:val="0"/>
        <w:adjustRightInd w:val="0"/>
        <w:spacing w:line="240" w:lineRule="auto"/>
        <w:ind w:left="640" w:hanging="640"/>
        <w:rPr>
          <w:rFonts w:ascii="Calibri" w:hAnsi="Calibri" w:cs="Calibri"/>
          <w:noProof/>
          <w:szCs w:val="24"/>
        </w:rPr>
      </w:pPr>
      <w:r w:rsidRPr="00DE5C02">
        <w:rPr>
          <w:rFonts w:ascii="Calibri" w:hAnsi="Calibri" w:cs="Calibri"/>
          <w:noProof/>
          <w:szCs w:val="24"/>
        </w:rPr>
        <w:t>66.</w:t>
      </w:r>
      <w:r w:rsidRPr="00DE5C02">
        <w:rPr>
          <w:rFonts w:ascii="Calibri" w:hAnsi="Calibri" w:cs="Calibri"/>
          <w:noProof/>
          <w:szCs w:val="24"/>
        </w:rPr>
        <w:tab/>
        <w:t xml:space="preserve">Mcdowell, R. W., Sharpley, A. N., Condron, L. M., Haygarth, P. M. &amp; Brookes, P. C. Processes controlling soil phosphorus release to runoff and implications for agricultural management. </w:t>
      </w:r>
      <w:r w:rsidRPr="00DE5C02">
        <w:rPr>
          <w:rFonts w:ascii="Calibri" w:hAnsi="Calibri" w:cs="Calibri"/>
          <w:i/>
          <w:iCs/>
          <w:noProof/>
          <w:szCs w:val="24"/>
        </w:rPr>
        <w:t>Nutr. Cycl. Agroecosystems</w:t>
      </w:r>
      <w:r w:rsidRPr="00DE5C02">
        <w:rPr>
          <w:rFonts w:ascii="Calibri" w:hAnsi="Calibri" w:cs="Calibri"/>
          <w:noProof/>
          <w:szCs w:val="24"/>
        </w:rPr>
        <w:t xml:space="preserve"> </w:t>
      </w:r>
      <w:r w:rsidRPr="00DE5C02">
        <w:rPr>
          <w:rFonts w:ascii="Calibri" w:hAnsi="Calibri" w:cs="Calibri"/>
          <w:b/>
          <w:bCs/>
          <w:noProof/>
          <w:szCs w:val="24"/>
        </w:rPr>
        <w:t>59,</w:t>
      </w:r>
      <w:r w:rsidRPr="00DE5C02">
        <w:rPr>
          <w:rFonts w:ascii="Calibri" w:hAnsi="Calibri" w:cs="Calibri"/>
          <w:noProof/>
          <w:szCs w:val="24"/>
        </w:rPr>
        <w:t xml:space="preserve"> 269–284 (2001).</w:t>
      </w:r>
    </w:p>
    <w:p w14:paraId="0F63C5B0" w14:textId="77777777" w:rsidR="00C61FE8" w:rsidRPr="00DE5C02" w:rsidRDefault="00C61FE8" w:rsidP="00C61FE8">
      <w:pPr>
        <w:widowControl w:val="0"/>
        <w:autoSpaceDE w:val="0"/>
        <w:autoSpaceDN w:val="0"/>
        <w:adjustRightInd w:val="0"/>
        <w:spacing w:line="240" w:lineRule="auto"/>
        <w:ind w:left="640" w:hanging="640"/>
        <w:rPr>
          <w:rFonts w:ascii="Calibri" w:hAnsi="Calibri" w:cs="Calibri"/>
          <w:noProof/>
          <w:szCs w:val="24"/>
        </w:rPr>
      </w:pPr>
      <w:r w:rsidRPr="00DE5C02">
        <w:rPr>
          <w:rFonts w:ascii="Calibri" w:hAnsi="Calibri" w:cs="Calibri"/>
          <w:noProof/>
          <w:szCs w:val="24"/>
        </w:rPr>
        <w:t>67.</w:t>
      </w:r>
      <w:r w:rsidRPr="00DE5C02">
        <w:rPr>
          <w:rFonts w:ascii="Calibri" w:hAnsi="Calibri" w:cs="Calibri"/>
          <w:noProof/>
          <w:szCs w:val="24"/>
        </w:rPr>
        <w:tab/>
        <w:t xml:space="preserve">Verhagen, W. </w:t>
      </w:r>
      <w:r w:rsidRPr="00DE5C02">
        <w:rPr>
          <w:rFonts w:ascii="Calibri" w:hAnsi="Calibri" w:cs="Calibri"/>
          <w:i/>
          <w:iCs/>
          <w:noProof/>
          <w:szCs w:val="24"/>
        </w:rPr>
        <w:t>et al.</w:t>
      </w:r>
      <w:r w:rsidRPr="00DE5C02">
        <w:rPr>
          <w:rFonts w:ascii="Calibri" w:hAnsi="Calibri" w:cs="Calibri"/>
          <w:noProof/>
          <w:szCs w:val="24"/>
        </w:rPr>
        <w:t xml:space="preserve"> Effects of landscape configuration on mapping ecosystem service capacity: a review of evidence and a case study in Scotland. </w:t>
      </w:r>
      <w:r w:rsidRPr="00DE5C02">
        <w:rPr>
          <w:rFonts w:ascii="Calibri" w:hAnsi="Calibri" w:cs="Calibri"/>
          <w:i/>
          <w:iCs/>
          <w:noProof/>
          <w:szCs w:val="24"/>
        </w:rPr>
        <w:t>Landsc. Ecol.</w:t>
      </w:r>
      <w:r w:rsidRPr="00DE5C02">
        <w:rPr>
          <w:rFonts w:ascii="Calibri" w:hAnsi="Calibri" w:cs="Calibri"/>
          <w:noProof/>
          <w:szCs w:val="24"/>
        </w:rPr>
        <w:t xml:space="preserve"> </w:t>
      </w:r>
      <w:r w:rsidRPr="00DE5C02">
        <w:rPr>
          <w:rFonts w:ascii="Calibri" w:hAnsi="Calibri" w:cs="Calibri"/>
          <w:b/>
          <w:bCs/>
          <w:noProof/>
          <w:szCs w:val="24"/>
        </w:rPr>
        <w:t>31,</w:t>
      </w:r>
      <w:r w:rsidRPr="00DE5C02">
        <w:rPr>
          <w:rFonts w:ascii="Calibri" w:hAnsi="Calibri" w:cs="Calibri"/>
          <w:noProof/>
          <w:szCs w:val="24"/>
        </w:rPr>
        <w:t xml:space="preserve"> 1457–1479 (2016).</w:t>
      </w:r>
    </w:p>
    <w:p w14:paraId="01A3AD7C" w14:textId="77777777" w:rsidR="00C61FE8" w:rsidRPr="00DE5C02" w:rsidRDefault="00C61FE8" w:rsidP="00C61FE8">
      <w:pPr>
        <w:widowControl w:val="0"/>
        <w:autoSpaceDE w:val="0"/>
        <w:autoSpaceDN w:val="0"/>
        <w:adjustRightInd w:val="0"/>
        <w:spacing w:line="240" w:lineRule="auto"/>
        <w:ind w:left="640" w:hanging="640"/>
        <w:rPr>
          <w:rFonts w:ascii="Calibri" w:hAnsi="Calibri" w:cs="Calibri"/>
          <w:noProof/>
          <w:szCs w:val="24"/>
        </w:rPr>
      </w:pPr>
      <w:r w:rsidRPr="00DE5C02">
        <w:rPr>
          <w:rFonts w:ascii="Calibri" w:hAnsi="Calibri" w:cs="Calibri"/>
          <w:noProof/>
          <w:szCs w:val="24"/>
        </w:rPr>
        <w:t>68.</w:t>
      </w:r>
      <w:r w:rsidRPr="00DE5C02">
        <w:rPr>
          <w:rFonts w:ascii="Calibri" w:hAnsi="Calibri" w:cs="Calibri"/>
          <w:noProof/>
          <w:szCs w:val="24"/>
        </w:rPr>
        <w:tab/>
        <w:t xml:space="preserve">De Knegt, H. J. </w:t>
      </w:r>
      <w:r w:rsidRPr="00DE5C02">
        <w:rPr>
          <w:rFonts w:ascii="Calibri" w:hAnsi="Calibri" w:cs="Calibri"/>
          <w:i/>
          <w:iCs/>
          <w:noProof/>
          <w:szCs w:val="24"/>
        </w:rPr>
        <w:t>et al.</w:t>
      </w:r>
      <w:r w:rsidRPr="00DE5C02">
        <w:rPr>
          <w:rFonts w:ascii="Calibri" w:hAnsi="Calibri" w:cs="Calibri"/>
          <w:noProof/>
          <w:szCs w:val="24"/>
        </w:rPr>
        <w:t xml:space="preserve"> Spatial autocorrelation and the scaling of species – environment relationships. </w:t>
      </w:r>
      <w:r w:rsidRPr="00DE5C02">
        <w:rPr>
          <w:rFonts w:ascii="Calibri" w:hAnsi="Calibri" w:cs="Calibri"/>
          <w:i/>
          <w:iCs/>
          <w:noProof/>
          <w:szCs w:val="24"/>
        </w:rPr>
        <w:t>Ecology</w:t>
      </w:r>
      <w:r w:rsidRPr="00DE5C02">
        <w:rPr>
          <w:rFonts w:ascii="Calibri" w:hAnsi="Calibri" w:cs="Calibri"/>
          <w:noProof/>
          <w:szCs w:val="24"/>
        </w:rPr>
        <w:t xml:space="preserve"> </w:t>
      </w:r>
      <w:r w:rsidRPr="00DE5C02">
        <w:rPr>
          <w:rFonts w:ascii="Calibri" w:hAnsi="Calibri" w:cs="Calibri"/>
          <w:b/>
          <w:bCs/>
          <w:noProof/>
          <w:szCs w:val="24"/>
        </w:rPr>
        <w:t>91,</w:t>
      </w:r>
      <w:r w:rsidRPr="00DE5C02">
        <w:rPr>
          <w:rFonts w:ascii="Calibri" w:hAnsi="Calibri" w:cs="Calibri"/>
          <w:noProof/>
          <w:szCs w:val="24"/>
        </w:rPr>
        <w:t xml:space="preserve"> 2455–2465 (2010).</w:t>
      </w:r>
    </w:p>
    <w:p w14:paraId="7F431887" w14:textId="77777777" w:rsidR="00C61FE8" w:rsidRPr="00DE5C02" w:rsidRDefault="00C61FE8" w:rsidP="00C61FE8">
      <w:pPr>
        <w:widowControl w:val="0"/>
        <w:autoSpaceDE w:val="0"/>
        <w:autoSpaceDN w:val="0"/>
        <w:adjustRightInd w:val="0"/>
        <w:spacing w:line="240" w:lineRule="auto"/>
        <w:ind w:left="640" w:hanging="640"/>
        <w:rPr>
          <w:rFonts w:ascii="Calibri" w:hAnsi="Calibri" w:cs="Calibri"/>
          <w:noProof/>
          <w:szCs w:val="24"/>
        </w:rPr>
      </w:pPr>
      <w:r w:rsidRPr="00DE5C02">
        <w:rPr>
          <w:rFonts w:ascii="Calibri" w:hAnsi="Calibri" w:cs="Calibri"/>
          <w:noProof/>
          <w:szCs w:val="24"/>
        </w:rPr>
        <w:t>69.</w:t>
      </w:r>
      <w:r w:rsidRPr="00DE5C02">
        <w:rPr>
          <w:rFonts w:ascii="Calibri" w:hAnsi="Calibri" w:cs="Calibri"/>
          <w:noProof/>
          <w:szCs w:val="24"/>
        </w:rPr>
        <w:tab/>
        <w:t xml:space="preserve">Scholes, R. J., Reyers, B., Biggs, R., Spierenburg, M. J. &amp; Duriappah, A. Multi-scale and cross-scale assessments of social-ecological systems and their ecosystem services. </w:t>
      </w:r>
      <w:r w:rsidRPr="00DE5C02">
        <w:rPr>
          <w:rFonts w:ascii="Calibri" w:hAnsi="Calibri" w:cs="Calibri"/>
          <w:i/>
          <w:iCs/>
          <w:noProof/>
          <w:szCs w:val="24"/>
        </w:rPr>
        <w:t>Curr. Opin. Environ. Sustain.</w:t>
      </w:r>
      <w:r w:rsidRPr="00DE5C02">
        <w:rPr>
          <w:rFonts w:ascii="Calibri" w:hAnsi="Calibri" w:cs="Calibri"/>
          <w:noProof/>
          <w:szCs w:val="24"/>
        </w:rPr>
        <w:t xml:space="preserve"> </w:t>
      </w:r>
      <w:r w:rsidRPr="00DE5C02">
        <w:rPr>
          <w:rFonts w:ascii="Calibri" w:hAnsi="Calibri" w:cs="Calibri"/>
          <w:b/>
          <w:bCs/>
          <w:noProof/>
          <w:szCs w:val="24"/>
        </w:rPr>
        <w:t>5,</w:t>
      </w:r>
      <w:r w:rsidRPr="00DE5C02">
        <w:rPr>
          <w:rFonts w:ascii="Calibri" w:hAnsi="Calibri" w:cs="Calibri"/>
          <w:noProof/>
          <w:szCs w:val="24"/>
        </w:rPr>
        <w:t xml:space="preserve"> 16–25 (2013).</w:t>
      </w:r>
    </w:p>
    <w:p w14:paraId="4C10F2DF" w14:textId="77777777" w:rsidR="00C61FE8" w:rsidRPr="00DE5C02" w:rsidRDefault="00C61FE8" w:rsidP="00C61FE8">
      <w:pPr>
        <w:widowControl w:val="0"/>
        <w:autoSpaceDE w:val="0"/>
        <w:autoSpaceDN w:val="0"/>
        <w:adjustRightInd w:val="0"/>
        <w:spacing w:line="240" w:lineRule="auto"/>
        <w:ind w:left="640" w:hanging="640"/>
        <w:rPr>
          <w:rFonts w:ascii="Calibri" w:hAnsi="Calibri" w:cs="Calibri"/>
          <w:noProof/>
          <w:szCs w:val="24"/>
        </w:rPr>
      </w:pPr>
      <w:r w:rsidRPr="00DE5C02">
        <w:rPr>
          <w:rFonts w:ascii="Calibri" w:hAnsi="Calibri" w:cs="Calibri"/>
          <w:noProof/>
          <w:szCs w:val="24"/>
        </w:rPr>
        <w:t>70.</w:t>
      </w:r>
      <w:r w:rsidRPr="00DE5C02">
        <w:rPr>
          <w:rFonts w:ascii="Calibri" w:hAnsi="Calibri" w:cs="Calibri"/>
          <w:noProof/>
          <w:szCs w:val="24"/>
        </w:rPr>
        <w:tab/>
        <w:t xml:space="preserve">Gergel, S. E. Spatial and non-spatial factors: When do they affect landscape indicators of watershed loading? </w:t>
      </w:r>
      <w:r w:rsidRPr="00DE5C02">
        <w:rPr>
          <w:rFonts w:ascii="Calibri" w:hAnsi="Calibri" w:cs="Calibri"/>
          <w:i/>
          <w:iCs/>
          <w:noProof/>
          <w:szCs w:val="24"/>
        </w:rPr>
        <w:t>Landsc. Ecol.</w:t>
      </w:r>
      <w:r w:rsidRPr="00DE5C02">
        <w:rPr>
          <w:rFonts w:ascii="Calibri" w:hAnsi="Calibri" w:cs="Calibri"/>
          <w:noProof/>
          <w:szCs w:val="24"/>
        </w:rPr>
        <w:t xml:space="preserve"> </w:t>
      </w:r>
      <w:r w:rsidRPr="00DE5C02">
        <w:rPr>
          <w:rFonts w:ascii="Calibri" w:hAnsi="Calibri" w:cs="Calibri"/>
          <w:b/>
          <w:bCs/>
          <w:noProof/>
          <w:szCs w:val="24"/>
        </w:rPr>
        <w:t>20,</w:t>
      </w:r>
      <w:r w:rsidRPr="00DE5C02">
        <w:rPr>
          <w:rFonts w:ascii="Calibri" w:hAnsi="Calibri" w:cs="Calibri"/>
          <w:noProof/>
          <w:szCs w:val="24"/>
        </w:rPr>
        <w:t xml:space="preserve"> 177–189 (2005).</w:t>
      </w:r>
    </w:p>
    <w:p w14:paraId="414235BF" w14:textId="77777777" w:rsidR="00C61FE8" w:rsidRPr="00DE5C02" w:rsidRDefault="00C61FE8" w:rsidP="00C61FE8">
      <w:pPr>
        <w:widowControl w:val="0"/>
        <w:autoSpaceDE w:val="0"/>
        <w:autoSpaceDN w:val="0"/>
        <w:adjustRightInd w:val="0"/>
        <w:spacing w:line="240" w:lineRule="auto"/>
        <w:ind w:left="640" w:hanging="640"/>
        <w:rPr>
          <w:rFonts w:ascii="Calibri" w:hAnsi="Calibri" w:cs="Calibri"/>
          <w:noProof/>
          <w:szCs w:val="24"/>
        </w:rPr>
      </w:pPr>
      <w:r w:rsidRPr="00DE5C02">
        <w:rPr>
          <w:rFonts w:ascii="Calibri" w:hAnsi="Calibri" w:cs="Calibri"/>
          <w:noProof/>
          <w:szCs w:val="24"/>
        </w:rPr>
        <w:t>71.</w:t>
      </w:r>
      <w:r w:rsidRPr="00DE5C02">
        <w:rPr>
          <w:rFonts w:ascii="Calibri" w:hAnsi="Calibri" w:cs="Calibri"/>
          <w:noProof/>
          <w:szCs w:val="24"/>
        </w:rPr>
        <w:tab/>
        <w:t xml:space="preserve">Watts, K. </w:t>
      </w:r>
      <w:r w:rsidRPr="00DE5C02">
        <w:rPr>
          <w:rFonts w:ascii="Calibri" w:hAnsi="Calibri" w:cs="Calibri"/>
          <w:i/>
          <w:iCs/>
          <w:noProof/>
          <w:szCs w:val="24"/>
        </w:rPr>
        <w:t>et al.</w:t>
      </w:r>
      <w:r w:rsidRPr="00DE5C02">
        <w:rPr>
          <w:rFonts w:ascii="Calibri" w:hAnsi="Calibri" w:cs="Calibri"/>
          <w:noProof/>
          <w:szCs w:val="24"/>
        </w:rPr>
        <w:t xml:space="preserve"> Using historical woodland creation to construct a long-term, large-scale natural experiment: The WrEN project. </w:t>
      </w:r>
      <w:r w:rsidRPr="00DE5C02">
        <w:rPr>
          <w:rFonts w:ascii="Calibri" w:hAnsi="Calibri" w:cs="Calibri"/>
          <w:i/>
          <w:iCs/>
          <w:noProof/>
          <w:szCs w:val="24"/>
        </w:rPr>
        <w:t>Ecol. Evol.</w:t>
      </w:r>
      <w:r w:rsidRPr="00DE5C02">
        <w:rPr>
          <w:rFonts w:ascii="Calibri" w:hAnsi="Calibri" w:cs="Calibri"/>
          <w:noProof/>
          <w:szCs w:val="24"/>
        </w:rPr>
        <w:t xml:space="preserve"> </w:t>
      </w:r>
      <w:r w:rsidRPr="00DE5C02">
        <w:rPr>
          <w:rFonts w:ascii="Calibri" w:hAnsi="Calibri" w:cs="Calibri"/>
          <w:b/>
          <w:bCs/>
          <w:noProof/>
          <w:szCs w:val="24"/>
        </w:rPr>
        <w:t>6,</w:t>
      </w:r>
      <w:r w:rsidRPr="00DE5C02">
        <w:rPr>
          <w:rFonts w:ascii="Calibri" w:hAnsi="Calibri" w:cs="Calibri"/>
          <w:noProof/>
          <w:szCs w:val="24"/>
        </w:rPr>
        <w:t xml:space="preserve"> 3012–3025 (2016).</w:t>
      </w:r>
    </w:p>
    <w:p w14:paraId="2414A6F9" w14:textId="77777777" w:rsidR="00C61FE8" w:rsidRPr="00DE5C02" w:rsidRDefault="00C61FE8" w:rsidP="00C61FE8">
      <w:pPr>
        <w:widowControl w:val="0"/>
        <w:autoSpaceDE w:val="0"/>
        <w:autoSpaceDN w:val="0"/>
        <w:adjustRightInd w:val="0"/>
        <w:spacing w:line="240" w:lineRule="auto"/>
        <w:ind w:left="640" w:hanging="640"/>
        <w:rPr>
          <w:rFonts w:ascii="Calibri" w:hAnsi="Calibri" w:cs="Calibri"/>
          <w:noProof/>
          <w:szCs w:val="24"/>
        </w:rPr>
      </w:pPr>
      <w:r w:rsidRPr="00DE5C02">
        <w:rPr>
          <w:rFonts w:ascii="Calibri" w:hAnsi="Calibri" w:cs="Calibri"/>
          <w:noProof/>
          <w:szCs w:val="24"/>
        </w:rPr>
        <w:t>72.</w:t>
      </w:r>
      <w:r w:rsidRPr="00DE5C02">
        <w:rPr>
          <w:rFonts w:ascii="Calibri" w:hAnsi="Calibri" w:cs="Calibri"/>
          <w:noProof/>
          <w:szCs w:val="24"/>
        </w:rPr>
        <w:tab/>
        <w:t xml:space="preserve">Gillespie, M. A. K. </w:t>
      </w:r>
      <w:r w:rsidRPr="00DE5C02">
        <w:rPr>
          <w:rFonts w:ascii="Calibri" w:hAnsi="Calibri" w:cs="Calibri"/>
          <w:i/>
          <w:iCs/>
          <w:noProof/>
          <w:szCs w:val="24"/>
        </w:rPr>
        <w:t>et al.</w:t>
      </w:r>
      <w:r w:rsidRPr="00DE5C02">
        <w:rPr>
          <w:rFonts w:ascii="Calibri" w:hAnsi="Calibri" w:cs="Calibri"/>
          <w:noProof/>
          <w:szCs w:val="24"/>
        </w:rPr>
        <w:t xml:space="preserve"> A method for the objective selection of landscape-scale study regions and sites at the national level. </w:t>
      </w:r>
      <w:r w:rsidRPr="00DE5C02">
        <w:rPr>
          <w:rFonts w:ascii="Calibri" w:hAnsi="Calibri" w:cs="Calibri"/>
          <w:i/>
          <w:iCs/>
          <w:noProof/>
          <w:szCs w:val="24"/>
        </w:rPr>
        <w:t>Methods Ecol. Evol.</w:t>
      </w:r>
      <w:r w:rsidRPr="00DE5C02">
        <w:rPr>
          <w:rFonts w:ascii="Calibri" w:hAnsi="Calibri" w:cs="Calibri"/>
          <w:noProof/>
          <w:szCs w:val="24"/>
        </w:rPr>
        <w:t xml:space="preserve"> </w:t>
      </w:r>
      <w:r w:rsidRPr="00DE5C02">
        <w:rPr>
          <w:rFonts w:ascii="Calibri" w:hAnsi="Calibri" w:cs="Calibri"/>
          <w:b/>
          <w:bCs/>
          <w:noProof/>
          <w:szCs w:val="24"/>
        </w:rPr>
        <w:t>8,</w:t>
      </w:r>
      <w:r w:rsidRPr="00DE5C02">
        <w:rPr>
          <w:rFonts w:ascii="Calibri" w:hAnsi="Calibri" w:cs="Calibri"/>
          <w:noProof/>
          <w:szCs w:val="24"/>
        </w:rPr>
        <w:t xml:space="preserve"> 1468–1476 (2017).</w:t>
      </w:r>
    </w:p>
    <w:p w14:paraId="475655FB" w14:textId="77777777" w:rsidR="00C61FE8" w:rsidRPr="00DE5C02" w:rsidRDefault="00C61FE8" w:rsidP="00C61FE8">
      <w:pPr>
        <w:widowControl w:val="0"/>
        <w:autoSpaceDE w:val="0"/>
        <w:autoSpaceDN w:val="0"/>
        <w:adjustRightInd w:val="0"/>
        <w:spacing w:line="240" w:lineRule="auto"/>
        <w:ind w:left="640" w:hanging="640"/>
        <w:rPr>
          <w:rFonts w:ascii="Calibri" w:hAnsi="Calibri" w:cs="Calibri"/>
          <w:noProof/>
          <w:szCs w:val="24"/>
        </w:rPr>
      </w:pPr>
      <w:r w:rsidRPr="00DE5C02">
        <w:rPr>
          <w:rFonts w:ascii="Calibri" w:hAnsi="Calibri" w:cs="Calibri"/>
          <w:noProof/>
          <w:szCs w:val="24"/>
        </w:rPr>
        <w:t>73.</w:t>
      </w:r>
      <w:r w:rsidRPr="00DE5C02">
        <w:rPr>
          <w:rFonts w:ascii="Calibri" w:hAnsi="Calibri" w:cs="Calibri"/>
          <w:noProof/>
          <w:szCs w:val="24"/>
        </w:rPr>
        <w:tab/>
        <w:t xml:space="preserve">Steel, A., Kennedy, M. C., Cunningham, P. G. &amp; Stanovick, J. S. Applied statistics in ecology : common pitfalls and simple solutions. </w:t>
      </w:r>
      <w:r w:rsidRPr="00DE5C02">
        <w:rPr>
          <w:rFonts w:ascii="Calibri" w:hAnsi="Calibri" w:cs="Calibri"/>
          <w:i/>
          <w:iCs/>
          <w:noProof/>
          <w:szCs w:val="24"/>
        </w:rPr>
        <w:t>Ecosphere</w:t>
      </w:r>
      <w:r w:rsidRPr="00DE5C02">
        <w:rPr>
          <w:rFonts w:ascii="Calibri" w:hAnsi="Calibri" w:cs="Calibri"/>
          <w:noProof/>
          <w:szCs w:val="24"/>
        </w:rPr>
        <w:t xml:space="preserve"> </w:t>
      </w:r>
      <w:r w:rsidRPr="00DE5C02">
        <w:rPr>
          <w:rFonts w:ascii="Calibri" w:hAnsi="Calibri" w:cs="Calibri"/>
          <w:b/>
          <w:bCs/>
          <w:noProof/>
          <w:szCs w:val="24"/>
        </w:rPr>
        <w:t>4,</w:t>
      </w:r>
      <w:r w:rsidRPr="00DE5C02">
        <w:rPr>
          <w:rFonts w:ascii="Calibri" w:hAnsi="Calibri" w:cs="Calibri"/>
          <w:noProof/>
          <w:szCs w:val="24"/>
        </w:rPr>
        <w:t xml:space="preserve"> 1–13 (2013).</w:t>
      </w:r>
    </w:p>
    <w:p w14:paraId="562D4883" w14:textId="77777777" w:rsidR="00C61FE8" w:rsidRPr="00DE5C02" w:rsidRDefault="00C61FE8" w:rsidP="00C61FE8">
      <w:pPr>
        <w:widowControl w:val="0"/>
        <w:autoSpaceDE w:val="0"/>
        <w:autoSpaceDN w:val="0"/>
        <w:adjustRightInd w:val="0"/>
        <w:spacing w:line="240" w:lineRule="auto"/>
        <w:ind w:left="640" w:hanging="640"/>
        <w:rPr>
          <w:rFonts w:ascii="Calibri" w:hAnsi="Calibri" w:cs="Calibri"/>
          <w:noProof/>
          <w:szCs w:val="24"/>
        </w:rPr>
      </w:pPr>
      <w:r w:rsidRPr="00DE5C02">
        <w:rPr>
          <w:rFonts w:ascii="Calibri" w:hAnsi="Calibri" w:cs="Calibri"/>
          <w:noProof/>
          <w:szCs w:val="24"/>
        </w:rPr>
        <w:t>74.</w:t>
      </w:r>
      <w:r w:rsidRPr="00DE5C02">
        <w:rPr>
          <w:rFonts w:ascii="Calibri" w:hAnsi="Calibri" w:cs="Calibri"/>
          <w:noProof/>
          <w:szCs w:val="24"/>
        </w:rPr>
        <w:tab/>
        <w:t xml:space="preserve">Maskell, L. C. </w:t>
      </w:r>
      <w:r w:rsidRPr="00DE5C02">
        <w:rPr>
          <w:rFonts w:ascii="Calibri" w:hAnsi="Calibri" w:cs="Calibri"/>
          <w:i/>
          <w:iCs/>
          <w:noProof/>
          <w:szCs w:val="24"/>
        </w:rPr>
        <w:t>et al.</w:t>
      </w:r>
      <w:r w:rsidRPr="00DE5C02">
        <w:rPr>
          <w:rFonts w:ascii="Calibri" w:hAnsi="Calibri" w:cs="Calibri"/>
          <w:noProof/>
          <w:szCs w:val="24"/>
        </w:rPr>
        <w:t xml:space="preserve"> Exploring the ecological constraints to multiple ecosystem service delivery and biodiversity. </w:t>
      </w:r>
      <w:r w:rsidRPr="00DE5C02">
        <w:rPr>
          <w:rFonts w:ascii="Calibri" w:hAnsi="Calibri" w:cs="Calibri"/>
          <w:i/>
          <w:iCs/>
          <w:noProof/>
          <w:szCs w:val="24"/>
        </w:rPr>
        <w:t>J. Appl. Ecol.</w:t>
      </w:r>
      <w:r w:rsidRPr="00DE5C02">
        <w:rPr>
          <w:rFonts w:ascii="Calibri" w:hAnsi="Calibri" w:cs="Calibri"/>
          <w:noProof/>
          <w:szCs w:val="24"/>
        </w:rPr>
        <w:t xml:space="preserve"> </w:t>
      </w:r>
      <w:r w:rsidRPr="00DE5C02">
        <w:rPr>
          <w:rFonts w:ascii="Calibri" w:hAnsi="Calibri" w:cs="Calibri"/>
          <w:b/>
          <w:bCs/>
          <w:noProof/>
          <w:szCs w:val="24"/>
        </w:rPr>
        <w:t>50,</w:t>
      </w:r>
      <w:r w:rsidRPr="00DE5C02">
        <w:rPr>
          <w:rFonts w:ascii="Calibri" w:hAnsi="Calibri" w:cs="Calibri"/>
          <w:noProof/>
          <w:szCs w:val="24"/>
        </w:rPr>
        <w:t xml:space="preserve"> 561–571 (2013).</w:t>
      </w:r>
    </w:p>
    <w:p w14:paraId="2243AAA0" w14:textId="77777777" w:rsidR="00C61FE8" w:rsidRPr="00DE5C02" w:rsidRDefault="00C61FE8" w:rsidP="00C61FE8">
      <w:pPr>
        <w:widowControl w:val="0"/>
        <w:autoSpaceDE w:val="0"/>
        <w:autoSpaceDN w:val="0"/>
        <w:adjustRightInd w:val="0"/>
        <w:spacing w:line="240" w:lineRule="auto"/>
        <w:ind w:left="640" w:hanging="640"/>
        <w:rPr>
          <w:rFonts w:ascii="Calibri" w:hAnsi="Calibri" w:cs="Calibri"/>
          <w:noProof/>
          <w:szCs w:val="24"/>
        </w:rPr>
      </w:pPr>
      <w:r w:rsidRPr="00DE5C02">
        <w:rPr>
          <w:rFonts w:ascii="Calibri" w:hAnsi="Calibri" w:cs="Calibri"/>
          <w:noProof/>
          <w:szCs w:val="24"/>
        </w:rPr>
        <w:t>75.</w:t>
      </w:r>
      <w:r w:rsidRPr="00DE5C02">
        <w:rPr>
          <w:rFonts w:ascii="Calibri" w:hAnsi="Calibri" w:cs="Calibri"/>
          <w:noProof/>
          <w:szCs w:val="24"/>
        </w:rPr>
        <w:tab/>
        <w:t xml:space="preserve">Emmett, B. A. </w:t>
      </w:r>
      <w:r w:rsidRPr="00DE5C02">
        <w:rPr>
          <w:rFonts w:ascii="Calibri" w:hAnsi="Calibri" w:cs="Calibri"/>
          <w:i/>
          <w:iCs/>
          <w:noProof/>
          <w:szCs w:val="24"/>
        </w:rPr>
        <w:t>et al.</w:t>
      </w:r>
      <w:r w:rsidRPr="00DE5C02">
        <w:rPr>
          <w:rFonts w:ascii="Calibri" w:hAnsi="Calibri" w:cs="Calibri"/>
          <w:noProof/>
          <w:szCs w:val="24"/>
        </w:rPr>
        <w:t xml:space="preserve"> Spatial patterns and environmental constraints on ecosystem services at a catchment scale. </w:t>
      </w:r>
      <w:r w:rsidRPr="00DE5C02">
        <w:rPr>
          <w:rFonts w:ascii="Calibri" w:hAnsi="Calibri" w:cs="Calibri"/>
          <w:i/>
          <w:iCs/>
          <w:noProof/>
          <w:szCs w:val="24"/>
        </w:rPr>
        <w:t>Sci. Total Environ.</w:t>
      </w:r>
      <w:r w:rsidRPr="00DE5C02">
        <w:rPr>
          <w:rFonts w:ascii="Calibri" w:hAnsi="Calibri" w:cs="Calibri"/>
          <w:noProof/>
          <w:szCs w:val="24"/>
        </w:rPr>
        <w:t xml:space="preserve"> </w:t>
      </w:r>
      <w:r w:rsidRPr="00DE5C02">
        <w:rPr>
          <w:rFonts w:ascii="Calibri" w:hAnsi="Calibri" w:cs="Calibri"/>
          <w:b/>
          <w:bCs/>
          <w:noProof/>
          <w:szCs w:val="24"/>
        </w:rPr>
        <w:t>572,</w:t>
      </w:r>
      <w:r w:rsidRPr="00DE5C02">
        <w:rPr>
          <w:rFonts w:ascii="Calibri" w:hAnsi="Calibri" w:cs="Calibri"/>
          <w:noProof/>
          <w:szCs w:val="24"/>
        </w:rPr>
        <w:t xml:space="preserve"> 1586–1600 (2016).</w:t>
      </w:r>
    </w:p>
    <w:p w14:paraId="18F57838" w14:textId="77777777" w:rsidR="00C61FE8" w:rsidRPr="00DE5C02" w:rsidRDefault="00C61FE8" w:rsidP="00C61FE8">
      <w:pPr>
        <w:widowControl w:val="0"/>
        <w:autoSpaceDE w:val="0"/>
        <w:autoSpaceDN w:val="0"/>
        <w:adjustRightInd w:val="0"/>
        <w:spacing w:line="240" w:lineRule="auto"/>
        <w:ind w:left="640" w:hanging="640"/>
        <w:rPr>
          <w:rFonts w:ascii="Calibri" w:hAnsi="Calibri" w:cs="Calibri"/>
          <w:noProof/>
          <w:szCs w:val="24"/>
        </w:rPr>
      </w:pPr>
      <w:r w:rsidRPr="00DE5C02">
        <w:rPr>
          <w:rFonts w:ascii="Calibri" w:hAnsi="Calibri" w:cs="Calibri"/>
          <w:noProof/>
          <w:szCs w:val="24"/>
        </w:rPr>
        <w:t>76.</w:t>
      </w:r>
      <w:r w:rsidRPr="00DE5C02">
        <w:rPr>
          <w:rFonts w:ascii="Calibri" w:hAnsi="Calibri" w:cs="Calibri"/>
          <w:noProof/>
          <w:szCs w:val="24"/>
        </w:rPr>
        <w:tab/>
        <w:t xml:space="preserve">Eigenbrod, F., Hecnar, S. J. &amp; Fahrig, L. Sub-optimal study design has major impacts on landscape-scale inference. </w:t>
      </w:r>
      <w:r w:rsidRPr="00DE5C02">
        <w:rPr>
          <w:rFonts w:ascii="Calibri" w:hAnsi="Calibri" w:cs="Calibri"/>
          <w:i/>
          <w:iCs/>
          <w:noProof/>
          <w:szCs w:val="24"/>
        </w:rPr>
        <w:t>Biol. Conserv.</w:t>
      </w:r>
      <w:r w:rsidRPr="00DE5C02">
        <w:rPr>
          <w:rFonts w:ascii="Calibri" w:hAnsi="Calibri" w:cs="Calibri"/>
          <w:noProof/>
          <w:szCs w:val="24"/>
        </w:rPr>
        <w:t xml:space="preserve"> </w:t>
      </w:r>
      <w:r w:rsidRPr="00DE5C02">
        <w:rPr>
          <w:rFonts w:ascii="Calibri" w:hAnsi="Calibri" w:cs="Calibri"/>
          <w:b/>
          <w:bCs/>
          <w:noProof/>
          <w:szCs w:val="24"/>
        </w:rPr>
        <w:t>144,</w:t>
      </w:r>
      <w:r w:rsidRPr="00DE5C02">
        <w:rPr>
          <w:rFonts w:ascii="Calibri" w:hAnsi="Calibri" w:cs="Calibri"/>
          <w:noProof/>
          <w:szCs w:val="24"/>
        </w:rPr>
        <w:t xml:space="preserve"> 298–305 (2011).</w:t>
      </w:r>
    </w:p>
    <w:p w14:paraId="1C11C9BF" w14:textId="77777777" w:rsidR="00C61FE8" w:rsidRPr="00DE5C02" w:rsidRDefault="00C61FE8" w:rsidP="00C61FE8">
      <w:pPr>
        <w:widowControl w:val="0"/>
        <w:autoSpaceDE w:val="0"/>
        <w:autoSpaceDN w:val="0"/>
        <w:adjustRightInd w:val="0"/>
        <w:spacing w:line="240" w:lineRule="auto"/>
        <w:ind w:left="640" w:hanging="640"/>
        <w:rPr>
          <w:rFonts w:ascii="Calibri" w:hAnsi="Calibri" w:cs="Calibri"/>
          <w:noProof/>
          <w:szCs w:val="24"/>
        </w:rPr>
      </w:pPr>
      <w:r w:rsidRPr="00DE5C02">
        <w:rPr>
          <w:rFonts w:ascii="Calibri" w:hAnsi="Calibri" w:cs="Calibri"/>
          <w:noProof/>
          <w:szCs w:val="24"/>
        </w:rPr>
        <w:t>77.</w:t>
      </w:r>
      <w:r w:rsidRPr="00DE5C02">
        <w:rPr>
          <w:rFonts w:ascii="Calibri" w:hAnsi="Calibri" w:cs="Calibri"/>
          <w:noProof/>
          <w:szCs w:val="24"/>
        </w:rPr>
        <w:tab/>
        <w:t xml:space="preserve">Zuur, A. F., Ieno, E. N. &amp; Elphick, C. S. A protocol for data exploration to avoid common statistical problems. </w:t>
      </w:r>
      <w:r w:rsidRPr="00DE5C02">
        <w:rPr>
          <w:rFonts w:ascii="Calibri" w:hAnsi="Calibri" w:cs="Calibri"/>
          <w:i/>
          <w:iCs/>
          <w:noProof/>
          <w:szCs w:val="24"/>
        </w:rPr>
        <w:t>Methods Ecol. Evol.</w:t>
      </w:r>
      <w:r w:rsidRPr="00DE5C02">
        <w:rPr>
          <w:rFonts w:ascii="Calibri" w:hAnsi="Calibri" w:cs="Calibri"/>
          <w:noProof/>
          <w:szCs w:val="24"/>
        </w:rPr>
        <w:t xml:space="preserve"> </w:t>
      </w:r>
      <w:r w:rsidRPr="00DE5C02">
        <w:rPr>
          <w:rFonts w:ascii="Calibri" w:hAnsi="Calibri" w:cs="Calibri"/>
          <w:b/>
          <w:bCs/>
          <w:noProof/>
          <w:szCs w:val="24"/>
        </w:rPr>
        <w:t>1,</w:t>
      </w:r>
      <w:r w:rsidRPr="00DE5C02">
        <w:rPr>
          <w:rFonts w:ascii="Calibri" w:hAnsi="Calibri" w:cs="Calibri"/>
          <w:noProof/>
          <w:szCs w:val="24"/>
        </w:rPr>
        <w:t xml:space="preserve"> 3–14 (2010).</w:t>
      </w:r>
    </w:p>
    <w:p w14:paraId="71757036" w14:textId="77777777" w:rsidR="00C61FE8" w:rsidRPr="00DE5C02" w:rsidRDefault="00C61FE8" w:rsidP="00C61FE8">
      <w:pPr>
        <w:widowControl w:val="0"/>
        <w:autoSpaceDE w:val="0"/>
        <w:autoSpaceDN w:val="0"/>
        <w:adjustRightInd w:val="0"/>
        <w:spacing w:line="240" w:lineRule="auto"/>
        <w:ind w:left="640" w:hanging="640"/>
        <w:rPr>
          <w:rFonts w:ascii="Calibri" w:hAnsi="Calibri" w:cs="Calibri"/>
          <w:noProof/>
          <w:szCs w:val="24"/>
        </w:rPr>
      </w:pPr>
      <w:r w:rsidRPr="00DE5C02">
        <w:rPr>
          <w:rFonts w:ascii="Calibri" w:hAnsi="Calibri" w:cs="Calibri"/>
          <w:noProof/>
          <w:szCs w:val="24"/>
        </w:rPr>
        <w:t>78.</w:t>
      </w:r>
      <w:r w:rsidRPr="00DE5C02">
        <w:rPr>
          <w:rFonts w:ascii="Calibri" w:hAnsi="Calibri" w:cs="Calibri"/>
          <w:noProof/>
          <w:szCs w:val="24"/>
        </w:rPr>
        <w:tab/>
        <w:t xml:space="preserve">Raudsepp-Hearne, C., Peterson, G. D. &amp; Bennett, E. M. Ecosystem service bundles for analyzing tradeoffs in diverse landscapes. </w:t>
      </w:r>
      <w:r w:rsidRPr="00DE5C02">
        <w:rPr>
          <w:rFonts w:ascii="Calibri" w:hAnsi="Calibri" w:cs="Calibri"/>
          <w:i/>
          <w:iCs/>
          <w:noProof/>
          <w:szCs w:val="24"/>
        </w:rPr>
        <w:t>Proc. Natl. Acad. Sci. U. S. A.</w:t>
      </w:r>
      <w:r w:rsidRPr="00DE5C02">
        <w:rPr>
          <w:rFonts w:ascii="Calibri" w:hAnsi="Calibri" w:cs="Calibri"/>
          <w:noProof/>
          <w:szCs w:val="24"/>
        </w:rPr>
        <w:t xml:space="preserve"> </w:t>
      </w:r>
      <w:r w:rsidRPr="00DE5C02">
        <w:rPr>
          <w:rFonts w:ascii="Calibri" w:hAnsi="Calibri" w:cs="Calibri"/>
          <w:b/>
          <w:bCs/>
          <w:noProof/>
          <w:szCs w:val="24"/>
        </w:rPr>
        <w:t>107,</w:t>
      </w:r>
      <w:r w:rsidRPr="00DE5C02">
        <w:rPr>
          <w:rFonts w:ascii="Calibri" w:hAnsi="Calibri" w:cs="Calibri"/>
          <w:noProof/>
          <w:szCs w:val="24"/>
        </w:rPr>
        <w:t xml:space="preserve"> 5242–7 (2010).</w:t>
      </w:r>
    </w:p>
    <w:p w14:paraId="415EC0ED" w14:textId="44424B3A" w:rsidR="00C61FE8" w:rsidRPr="00DE5C02" w:rsidRDefault="00C61FE8" w:rsidP="00C61FE8">
      <w:pPr>
        <w:widowControl w:val="0"/>
        <w:autoSpaceDE w:val="0"/>
        <w:autoSpaceDN w:val="0"/>
        <w:adjustRightInd w:val="0"/>
        <w:spacing w:line="240" w:lineRule="auto"/>
        <w:ind w:left="640" w:hanging="640"/>
        <w:rPr>
          <w:rFonts w:ascii="Calibri" w:hAnsi="Calibri" w:cs="Calibri"/>
          <w:noProof/>
        </w:rPr>
      </w:pPr>
      <w:r w:rsidRPr="00DE5C02">
        <w:rPr>
          <w:rFonts w:ascii="Calibri" w:hAnsi="Calibri" w:cs="Calibri"/>
          <w:noProof/>
          <w:szCs w:val="24"/>
        </w:rPr>
        <w:t>79.</w:t>
      </w:r>
      <w:r w:rsidRPr="00DE5C02">
        <w:rPr>
          <w:rFonts w:ascii="Calibri" w:hAnsi="Calibri" w:cs="Calibri"/>
          <w:noProof/>
          <w:szCs w:val="24"/>
        </w:rPr>
        <w:tab/>
        <w:t>Cross, J. R. The Establishment of Rhododendron Pon</w:t>
      </w:r>
      <w:r w:rsidR="00A110AD" w:rsidRPr="00DE5C02">
        <w:rPr>
          <w:rFonts w:ascii="Calibri" w:hAnsi="Calibri" w:cs="Calibri"/>
          <w:noProof/>
          <w:szCs w:val="24"/>
        </w:rPr>
        <w:t>ticum in the Killarney Oakwoods.</w:t>
      </w:r>
      <w:r w:rsidRPr="00DE5C02">
        <w:rPr>
          <w:rFonts w:ascii="Calibri" w:hAnsi="Calibri" w:cs="Calibri"/>
          <w:noProof/>
          <w:szCs w:val="24"/>
        </w:rPr>
        <w:t xml:space="preserve"> </w:t>
      </w:r>
      <w:r w:rsidRPr="00DE5C02">
        <w:rPr>
          <w:rFonts w:ascii="Calibri" w:hAnsi="Calibri" w:cs="Calibri"/>
          <w:i/>
          <w:iCs/>
          <w:noProof/>
          <w:szCs w:val="24"/>
        </w:rPr>
        <w:t>J. Ecol.</w:t>
      </w:r>
      <w:r w:rsidRPr="00DE5C02">
        <w:rPr>
          <w:rFonts w:ascii="Calibri" w:hAnsi="Calibri" w:cs="Calibri"/>
          <w:noProof/>
          <w:szCs w:val="24"/>
        </w:rPr>
        <w:t xml:space="preserve"> </w:t>
      </w:r>
      <w:r w:rsidRPr="00DE5C02">
        <w:rPr>
          <w:rFonts w:ascii="Calibri" w:hAnsi="Calibri" w:cs="Calibri"/>
          <w:b/>
          <w:bCs/>
          <w:noProof/>
          <w:szCs w:val="24"/>
        </w:rPr>
        <w:t>69,</w:t>
      </w:r>
      <w:r w:rsidRPr="00DE5C02">
        <w:rPr>
          <w:rFonts w:ascii="Calibri" w:hAnsi="Calibri" w:cs="Calibri"/>
          <w:noProof/>
          <w:szCs w:val="24"/>
        </w:rPr>
        <w:t xml:space="preserve"> 807–824 (1981).</w:t>
      </w:r>
    </w:p>
    <w:p w14:paraId="333318DE" w14:textId="77777777" w:rsidR="00897750" w:rsidRPr="00DE5C02" w:rsidRDefault="00897750" w:rsidP="00897750">
      <w:r w:rsidRPr="00DE5C02">
        <w:fldChar w:fldCharType="end"/>
      </w:r>
    </w:p>
    <w:p w14:paraId="4A4DBA9D" w14:textId="77777777" w:rsidR="00B13C2B" w:rsidRPr="00DE5C02" w:rsidRDefault="00B13C2B">
      <w:r w:rsidRPr="00DE5C02">
        <w:br w:type="page"/>
      </w:r>
    </w:p>
    <w:p w14:paraId="35A173C3" w14:textId="6CFF2DEB" w:rsidR="00B44B6C" w:rsidRPr="00DE5C02" w:rsidRDefault="00B44B6C" w:rsidP="00B44B6C">
      <w:bookmarkStart w:id="29" w:name="_Toc517421417"/>
      <w:bookmarkStart w:id="30" w:name="_Toc517431832"/>
      <w:r w:rsidRPr="00DE5C02">
        <w:rPr>
          <w:b/>
        </w:rPr>
        <w:t>Correspondence</w:t>
      </w:r>
      <w:r w:rsidRPr="00DE5C02">
        <w:t xml:space="preserve"> should be addressed to R. Spake.</w:t>
      </w:r>
    </w:p>
    <w:p w14:paraId="22FCFB31" w14:textId="315C1BC0" w:rsidR="00BF5A37" w:rsidRPr="00DE5C02" w:rsidRDefault="00BF5A37" w:rsidP="008A6D82">
      <w:pPr>
        <w:pStyle w:val="Heading2"/>
      </w:pPr>
      <w:r w:rsidRPr="00DE5C02">
        <w:t>Acknowledgements</w:t>
      </w:r>
      <w:bookmarkEnd w:id="29"/>
      <w:bookmarkEnd w:id="30"/>
    </w:p>
    <w:p w14:paraId="5E3D5EB1" w14:textId="77777777" w:rsidR="00BF5A37" w:rsidRPr="00DE5C02" w:rsidRDefault="00BF5A37" w:rsidP="00BF5A37">
      <w:pPr>
        <w:rPr>
          <w:lang w:eastAsia="zh-CN"/>
        </w:rPr>
      </w:pPr>
      <w:r w:rsidRPr="00DE5C02">
        <w:rPr>
          <w:lang w:eastAsia="zh-CN"/>
        </w:rPr>
        <w:t>We thank J. Catford and B. Ditchburn for advice on variables to consider for invasive species modelling. Thanks also to J. Lefcheck and J. Forster for invaluable discussions on statistical approaches.  This research was funded by the ERC Starting Grant “SCALEFORES” [grant no. 680176] awarded to FE.</w:t>
      </w:r>
    </w:p>
    <w:p w14:paraId="7366889C" w14:textId="77777777" w:rsidR="00BF5A37" w:rsidRPr="00DE5C02" w:rsidRDefault="00BF5A37" w:rsidP="008A6D82">
      <w:pPr>
        <w:pStyle w:val="Heading2"/>
      </w:pPr>
      <w:bookmarkStart w:id="31" w:name="_Toc517421418"/>
      <w:bookmarkStart w:id="32" w:name="_Toc517431833"/>
      <w:r w:rsidRPr="00DE5C02">
        <w:t>Author contributions</w:t>
      </w:r>
      <w:bookmarkEnd w:id="31"/>
      <w:bookmarkEnd w:id="32"/>
    </w:p>
    <w:p w14:paraId="6E0A8F80" w14:textId="77777777" w:rsidR="00A561FD" w:rsidRPr="00DE5C02" w:rsidRDefault="007F6F3F">
      <w:bookmarkStart w:id="33" w:name="_Toc517431834"/>
      <w:bookmarkStart w:id="34" w:name="_Toc517421419"/>
      <w:r w:rsidRPr="00DE5C02">
        <w:t xml:space="preserve">FE, JMB and KW conceived the project ‘SCALEFORES’. RSp (Rebecca Spake), CB, LG, JMB, KW, RSch (Reto Schmucki), LN and FE designed the analytical framework and </w:t>
      </w:r>
      <w:r w:rsidR="0034081E" w:rsidRPr="00DE5C02">
        <w:t xml:space="preserve">case </w:t>
      </w:r>
      <w:r w:rsidRPr="00DE5C02">
        <w:t>study design</w:t>
      </w:r>
      <w:r w:rsidR="0034081E" w:rsidRPr="00DE5C02">
        <w:t>s</w:t>
      </w:r>
      <w:r w:rsidRPr="00DE5C02">
        <w:t>. RSp, CB, CW and RSch carried out all statistical and GIS analyses. TW, CW, and CB collated and supplied data. RS, CB and FE wrote the manuscript. All authors discussed the results and contributed to the manuscript.</w:t>
      </w:r>
      <w:bookmarkEnd w:id="33"/>
      <w:r w:rsidRPr="00DE5C02">
        <w:t xml:space="preserve"> </w:t>
      </w:r>
      <w:bookmarkStart w:id="35" w:name="_Toc517431835"/>
    </w:p>
    <w:p w14:paraId="0F8E485B" w14:textId="77777777" w:rsidR="00A561FD" w:rsidRPr="00DE5C02" w:rsidRDefault="00A561FD" w:rsidP="008A6D82">
      <w:pPr>
        <w:pStyle w:val="Heading2"/>
      </w:pPr>
      <w:r w:rsidRPr="00DE5C02">
        <w:t>Competing interests</w:t>
      </w:r>
    </w:p>
    <w:p w14:paraId="1DAA5FEE" w14:textId="5993E591" w:rsidR="002C342D" w:rsidRPr="00DE5C02" w:rsidRDefault="00A561FD" w:rsidP="00A561FD">
      <w:r w:rsidRPr="00DE5C02">
        <w:t xml:space="preserve">The authors declare no competing financial interests. </w:t>
      </w:r>
      <w:r w:rsidR="002C342D" w:rsidRPr="00DE5C02">
        <w:br w:type="page"/>
      </w:r>
    </w:p>
    <w:p w14:paraId="224C199C" w14:textId="3C016C74" w:rsidR="00BF5A37" w:rsidRPr="00DE5C02" w:rsidRDefault="00BF5A37" w:rsidP="008A6D82">
      <w:pPr>
        <w:pStyle w:val="Heading2"/>
      </w:pPr>
      <w:r w:rsidRPr="00DE5C02">
        <w:t>Tables</w:t>
      </w:r>
      <w:bookmarkEnd w:id="34"/>
      <w:bookmarkEnd w:id="35"/>
    </w:p>
    <w:p w14:paraId="5C7F30DD" w14:textId="77777777" w:rsidR="00BF5A37" w:rsidRPr="00DE5C02" w:rsidRDefault="00BF5A37" w:rsidP="00BF5A37">
      <w:pPr>
        <w:rPr>
          <w:rFonts w:ascii="Arial" w:hAnsi="Arial" w:cs="Arial"/>
          <w:sz w:val="20"/>
          <w:szCs w:val="20"/>
        </w:rPr>
      </w:pPr>
      <w:r w:rsidRPr="00DE5C02">
        <w:rPr>
          <w:rFonts w:ascii="Arial" w:hAnsi="Arial" w:cs="Arial"/>
          <w:sz w:val="20"/>
          <w:szCs w:val="20"/>
        </w:rPr>
        <w:t>Table 1.</w:t>
      </w:r>
      <w:r w:rsidRPr="00DE5C02">
        <w:rPr>
          <w:rFonts w:ascii="Arial" w:hAnsi="Arial" w:cs="Arial"/>
          <w:sz w:val="20"/>
          <w:szCs w:val="20"/>
        </w:rPr>
        <w:tab/>
        <w:t>Hypothesised cross-scale interactions in the drivers of rhododendron establishment and their specifications in a statistical model</w:t>
      </w:r>
    </w:p>
    <w:tbl>
      <w:tblPr>
        <w:tblStyle w:val="TableGrid"/>
        <w:tblW w:w="0" w:type="auto"/>
        <w:tblLook w:val="04A0" w:firstRow="1" w:lastRow="0" w:firstColumn="1" w:lastColumn="0" w:noHBand="0" w:noVBand="1"/>
      </w:tblPr>
      <w:tblGrid>
        <w:gridCol w:w="5240"/>
        <w:gridCol w:w="2268"/>
        <w:gridCol w:w="1508"/>
      </w:tblGrid>
      <w:tr w:rsidR="00BF5A37" w:rsidRPr="00DE5C02" w14:paraId="4029D7BA" w14:textId="77777777" w:rsidTr="0055047A">
        <w:tc>
          <w:tcPr>
            <w:tcW w:w="5240" w:type="dxa"/>
          </w:tcPr>
          <w:p w14:paraId="16827B29" w14:textId="77777777" w:rsidR="00BF5A37" w:rsidRPr="00DE5C02" w:rsidRDefault="00BF5A37" w:rsidP="00EC02E9">
            <w:pPr>
              <w:rPr>
                <w:rFonts w:ascii="Arial" w:hAnsi="Arial" w:cs="Arial"/>
                <w:sz w:val="20"/>
                <w:szCs w:val="20"/>
              </w:rPr>
            </w:pPr>
            <w:r w:rsidRPr="00DE5C02">
              <w:rPr>
                <w:rFonts w:ascii="Arial" w:hAnsi="Arial" w:cs="Arial"/>
                <w:sz w:val="20"/>
                <w:szCs w:val="20"/>
              </w:rPr>
              <w:t>Hypothesised relationship</w:t>
            </w:r>
          </w:p>
        </w:tc>
        <w:tc>
          <w:tcPr>
            <w:tcW w:w="2268" w:type="dxa"/>
            <w:tcBorders>
              <w:bottom w:val="single" w:sz="4" w:space="0" w:color="auto"/>
            </w:tcBorders>
          </w:tcPr>
          <w:p w14:paraId="26BB8473" w14:textId="77777777" w:rsidR="00BF5A37" w:rsidRPr="00DE5C02" w:rsidRDefault="00BF5A37" w:rsidP="00EC02E9">
            <w:pPr>
              <w:rPr>
                <w:rFonts w:ascii="Arial" w:hAnsi="Arial" w:cs="Arial"/>
                <w:sz w:val="20"/>
                <w:szCs w:val="20"/>
              </w:rPr>
            </w:pPr>
            <w:r w:rsidRPr="00DE5C02">
              <w:rPr>
                <w:rFonts w:ascii="Arial" w:hAnsi="Arial" w:cs="Arial"/>
                <w:sz w:val="20"/>
                <w:szCs w:val="20"/>
              </w:rPr>
              <w:t>Specification in statistical model</w:t>
            </w:r>
          </w:p>
        </w:tc>
        <w:tc>
          <w:tcPr>
            <w:tcW w:w="1508" w:type="dxa"/>
            <w:tcBorders>
              <w:bottom w:val="single" w:sz="4" w:space="0" w:color="auto"/>
            </w:tcBorders>
          </w:tcPr>
          <w:p w14:paraId="02D4FE3B" w14:textId="77777777" w:rsidR="00BF5A37" w:rsidRPr="00DE5C02" w:rsidRDefault="00BF5A37" w:rsidP="00EC02E9">
            <w:pPr>
              <w:rPr>
                <w:rFonts w:ascii="Arial" w:hAnsi="Arial" w:cs="Arial"/>
                <w:sz w:val="20"/>
                <w:szCs w:val="20"/>
              </w:rPr>
            </w:pPr>
            <w:r w:rsidRPr="00DE5C02">
              <w:rPr>
                <w:rFonts w:ascii="Arial" w:hAnsi="Arial" w:cs="Arial"/>
                <w:sz w:val="20"/>
                <w:szCs w:val="20"/>
              </w:rPr>
              <w:t>Hierarchical level</w:t>
            </w:r>
            <w:r w:rsidR="0055047A" w:rsidRPr="00DE5C02">
              <w:rPr>
                <w:rFonts w:ascii="Arial" w:hAnsi="Arial" w:cs="Arial"/>
                <w:sz w:val="20"/>
                <w:szCs w:val="20"/>
              </w:rPr>
              <w:t>s</w:t>
            </w:r>
          </w:p>
        </w:tc>
      </w:tr>
      <w:tr w:rsidR="00BF5A37" w:rsidRPr="00DE5C02" w14:paraId="58C326EE" w14:textId="77777777" w:rsidTr="0055047A">
        <w:tc>
          <w:tcPr>
            <w:tcW w:w="5240" w:type="dxa"/>
            <w:tcBorders>
              <w:right w:val="nil"/>
            </w:tcBorders>
          </w:tcPr>
          <w:p w14:paraId="2045E08D" w14:textId="60B7F257" w:rsidR="00BF5A37" w:rsidRPr="00DE5C02" w:rsidRDefault="00BF5A37" w:rsidP="00681FFC">
            <w:pPr>
              <w:rPr>
                <w:rFonts w:ascii="Arial" w:hAnsi="Arial" w:cs="Arial"/>
                <w:sz w:val="20"/>
                <w:szCs w:val="20"/>
              </w:rPr>
            </w:pPr>
            <w:r w:rsidRPr="00DE5C02">
              <w:rPr>
                <w:rFonts w:ascii="Arial" w:hAnsi="Arial" w:cs="Arial"/>
                <w:sz w:val="20"/>
                <w:szCs w:val="20"/>
              </w:rPr>
              <w:t xml:space="preserve">Woodland susceptibility to invasion by </w:t>
            </w:r>
            <w:r w:rsidR="00681FFC" w:rsidRPr="00DE5C02">
              <w:rPr>
                <w:rFonts w:ascii="Arial" w:hAnsi="Arial" w:cs="Arial"/>
                <w:sz w:val="20"/>
                <w:szCs w:val="20"/>
              </w:rPr>
              <w:t xml:space="preserve">rhododendron </w:t>
            </w:r>
          </w:p>
        </w:tc>
        <w:tc>
          <w:tcPr>
            <w:tcW w:w="2268" w:type="dxa"/>
            <w:tcBorders>
              <w:left w:val="nil"/>
              <w:right w:val="nil"/>
            </w:tcBorders>
          </w:tcPr>
          <w:p w14:paraId="33C453DF" w14:textId="77777777" w:rsidR="00BF5A37" w:rsidRPr="00DE5C02" w:rsidRDefault="00BF5A37" w:rsidP="00EC02E9">
            <w:pPr>
              <w:rPr>
                <w:rFonts w:ascii="Arial" w:hAnsi="Arial" w:cs="Arial"/>
                <w:sz w:val="20"/>
                <w:szCs w:val="20"/>
              </w:rPr>
            </w:pPr>
          </w:p>
        </w:tc>
        <w:tc>
          <w:tcPr>
            <w:tcW w:w="1508" w:type="dxa"/>
            <w:tcBorders>
              <w:left w:val="nil"/>
            </w:tcBorders>
          </w:tcPr>
          <w:p w14:paraId="0DD252E7" w14:textId="77777777" w:rsidR="00BF5A37" w:rsidRPr="00DE5C02" w:rsidRDefault="00BF5A37" w:rsidP="00EC02E9">
            <w:pPr>
              <w:rPr>
                <w:rFonts w:ascii="Arial" w:hAnsi="Arial" w:cs="Arial"/>
                <w:sz w:val="20"/>
                <w:szCs w:val="20"/>
              </w:rPr>
            </w:pPr>
          </w:p>
        </w:tc>
      </w:tr>
      <w:tr w:rsidR="00BF5A37" w:rsidRPr="00DE5C02" w14:paraId="1F175CE6" w14:textId="77777777" w:rsidTr="00EC02E9">
        <w:tc>
          <w:tcPr>
            <w:tcW w:w="5240" w:type="dxa"/>
          </w:tcPr>
          <w:p w14:paraId="51B96F72" w14:textId="77777777" w:rsidR="00BF5A37" w:rsidRPr="00DE5C02" w:rsidRDefault="00BF5A37" w:rsidP="00EC02E9">
            <w:pPr>
              <w:rPr>
                <w:rFonts w:ascii="Arial" w:hAnsi="Arial" w:cs="Arial"/>
                <w:sz w:val="20"/>
                <w:szCs w:val="20"/>
              </w:rPr>
            </w:pPr>
            <w:r w:rsidRPr="00DE5C02">
              <w:rPr>
                <w:rFonts w:ascii="Arial" w:hAnsi="Arial" w:cs="Arial"/>
                <w:sz w:val="20"/>
                <w:szCs w:val="20"/>
              </w:rPr>
              <w:t>The importance of potential propagule sources to rhododendron establishment will depend on regional favourability. In regions that are broadly unfavourable to rhododendron establishment, repeated colonisation events from propagule sources will be necessary for successful establishment.</w:t>
            </w:r>
          </w:p>
        </w:tc>
        <w:tc>
          <w:tcPr>
            <w:tcW w:w="2268" w:type="dxa"/>
          </w:tcPr>
          <w:p w14:paraId="51F55356" w14:textId="77777777" w:rsidR="00BF5A37" w:rsidRPr="00DE5C02" w:rsidRDefault="00BF5A37" w:rsidP="00EC02E9">
            <w:pPr>
              <w:rPr>
                <w:rFonts w:ascii="Arial" w:hAnsi="Arial" w:cs="Arial"/>
                <w:sz w:val="20"/>
                <w:szCs w:val="20"/>
              </w:rPr>
            </w:pPr>
            <w:r w:rsidRPr="00DE5C02">
              <w:rPr>
                <w:rFonts w:ascii="Arial" w:hAnsi="Arial" w:cs="Arial"/>
                <w:sz w:val="20"/>
                <w:szCs w:val="20"/>
              </w:rPr>
              <w:t>Woodland cover * favourability gradient</w:t>
            </w:r>
          </w:p>
          <w:p w14:paraId="4B8AEBCC" w14:textId="77777777" w:rsidR="00BF5A37" w:rsidRPr="00DE5C02" w:rsidRDefault="00BF5A37" w:rsidP="00EC02E9">
            <w:pPr>
              <w:rPr>
                <w:rFonts w:ascii="Arial" w:hAnsi="Arial" w:cs="Arial"/>
                <w:sz w:val="20"/>
                <w:szCs w:val="20"/>
              </w:rPr>
            </w:pPr>
          </w:p>
          <w:p w14:paraId="2B84DDFB" w14:textId="77777777" w:rsidR="00BF5A37" w:rsidRPr="00DE5C02" w:rsidRDefault="00BF5A37" w:rsidP="00EC02E9">
            <w:pPr>
              <w:rPr>
                <w:rFonts w:ascii="Arial" w:hAnsi="Arial" w:cs="Arial"/>
                <w:sz w:val="20"/>
                <w:szCs w:val="20"/>
              </w:rPr>
            </w:pPr>
            <w:r w:rsidRPr="00DE5C02">
              <w:rPr>
                <w:rFonts w:ascii="Arial" w:hAnsi="Arial" w:cs="Arial"/>
                <w:sz w:val="20"/>
                <w:szCs w:val="20"/>
              </w:rPr>
              <w:t>Distance to historic park garden * regional favourability gradient</w:t>
            </w:r>
          </w:p>
        </w:tc>
        <w:tc>
          <w:tcPr>
            <w:tcW w:w="1508" w:type="dxa"/>
          </w:tcPr>
          <w:p w14:paraId="2344BD1A" w14:textId="77777777" w:rsidR="00BF5A37" w:rsidRPr="00DE5C02" w:rsidRDefault="00BF5A37" w:rsidP="00EC02E9">
            <w:pPr>
              <w:rPr>
                <w:rFonts w:ascii="Arial" w:hAnsi="Arial" w:cs="Arial"/>
                <w:sz w:val="20"/>
                <w:szCs w:val="20"/>
              </w:rPr>
            </w:pPr>
            <w:r w:rsidRPr="00DE5C02">
              <w:rPr>
                <w:rFonts w:ascii="Arial" w:hAnsi="Arial" w:cs="Arial"/>
                <w:sz w:val="20"/>
                <w:szCs w:val="20"/>
              </w:rPr>
              <w:t>landscape * region</w:t>
            </w:r>
          </w:p>
        </w:tc>
      </w:tr>
      <w:tr w:rsidR="00BF5A37" w:rsidRPr="00DE5C02" w14:paraId="0385F136" w14:textId="77777777" w:rsidTr="00EC02E9">
        <w:tc>
          <w:tcPr>
            <w:tcW w:w="5240" w:type="dxa"/>
          </w:tcPr>
          <w:p w14:paraId="5E539DD9" w14:textId="01BD7432" w:rsidR="00BF5A37" w:rsidRPr="00DE5C02" w:rsidRDefault="00BF5A37" w:rsidP="00C61FE8">
            <w:pPr>
              <w:rPr>
                <w:rFonts w:ascii="Arial" w:hAnsi="Arial" w:cs="Arial"/>
                <w:sz w:val="20"/>
                <w:szCs w:val="20"/>
              </w:rPr>
            </w:pPr>
            <w:r w:rsidRPr="00DE5C02">
              <w:rPr>
                <w:rFonts w:ascii="Arial" w:hAnsi="Arial" w:cs="Arial"/>
                <w:sz w:val="20"/>
                <w:szCs w:val="20"/>
              </w:rPr>
              <w:t xml:space="preserve">An effect of distance to woodland edge could depend on whether the surrounding land use is arable, due to any edge effect mediated by herbicides or fertiliser </w:t>
            </w:r>
            <w:r w:rsidRPr="00DE5C02">
              <w:rPr>
                <w:rFonts w:ascii="Arial" w:hAnsi="Arial" w:cs="Arial"/>
                <w:sz w:val="20"/>
                <w:szCs w:val="20"/>
              </w:rPr>
              <w:fldChar w:fldCharType="begin" w:fldLock="1"/>
            </w:r>
            <w:r w:rsidR="00C61FE8" w:rsidRPr="00DE5C02">
              <w:rPr>
                <w:rFonts w:ascii="Arial" w:hAnsi="Arial" w:cs="Arial"/>
                <w:sz w:val="20"/>
                <w:szCs w:val="20"/>
              </w:rPr>
              <w:instrText>ADDIN CSL_CITATION {"citationItems":[{"id":"ITEM-1","itemData":{"DOI":"10.1007/s10980-011-9585-3","ISBN":"0921-2973","ISSN":"09212973","abstract":"Biological invasions and changes in land-use are two components of global change affecting biodiversity worldwide. There is overriding evidence that invasions can dramatically change the landscape and that particular land-use types facilitate invasions. Still, these issues have not formally percolated into risk analysis of biological invasions, and only recently has the influence of the surrounding landscape on invasive species spread started to be considered. In this paper we review the literature on the influence of the surrounding landscape on the local level of plant invasions (i.e., abundance and richness of alien plants in plant communities). Our review confirms that there are more alien plant species and they are more abundant at fragment edges than in the interior of fragments. The decline on the level of invasion towards the interior of fragments is sharp. To a lesser extent, there is higher invasion in small isolated fragments than in large connected patches. However, despite their relevance, the influence of connectivity and shape of the fragments have been scarcely explored. Besides the fact that a site has more invaders if surrounded by a human-dominated landscape than by a natural one, the past history and the configuration of that landscape are also important. Invasion within land-uses is often associated with the historical legacy of changes in land-use, indicating that current land-uses might represent an invasion credit to future invasions. Accurate accounts of the invasion process and effective conservation programs will depend on such considerations.","author":[{"dropping-particle":"","family":"Vilà","given":"Montserrat","non-dropping-particle":"","parse-names":false,"suffix":""},{"dropping-particle":"","family":"Ibáñez","given":"Inés","non-dropping-particle":"","parse-names":false,"suffix":""}],"container-title":"Landscape Ecology","id":"ITEM-1","issue":"4","issued":{"date-parts":[["2011"]]},"page":"461-472","title":"Plant invasions in the landscape","type":"article-journal","volume":"26"},"uris":["http://www.mendeley.com/documents/?uuid=bb159a08-f64b-4491-bcca-8b5623eaa93a"]}],"mendeley":{"formattedCitation":"&lt;sup&gt;53&lt;/sup&gt;","plainTextFormattedCitation":"53","previouslyFormattedCitation":"&lt;sup&gt;52&lt;/sup&gt;"},"properties":{"noteIndex":0},"schema":"https://github.com/citation-style-language/schema/raw/master/csl-citation.json"}</w:instrText>
            </w:r>
            <w:r w:rsidRPr="00DE5C02">
              <w:rPr>
                <w:rFonts w:ascii="Arial" w:hAnsi="Arial" w:cs="Arial"/>
                <w:sz w:val="20"/>
                <w:szCs w:val="20"/>
              </w:rPr>
              <w:fldChar w:fldCharType="separate"/>
            </w:r>
            <w:r w:rsidR="00C61FE8" w:rsidRPr="00DE5C02">
              <w:rPr>
                <w:rFonts w:ascii="Arial" w:hAnsi="Arial" w:cs="Arial"/>
                <w:noProof/>
                <w:sz w:val="20"/>
                <w:szCs w:val="20"/>
                <w:vertAlign w:val="superscript"/>
              </w:rPr>
              <w:t>53</w:t>
            </w:r>
            <w:r w:rsidRPr="00DE5C02">
              <w:rPr>
                <w:rFonts w:ascii="Arial" w:hAnsi="Arial" w:cs="Arial"/>
                <w:sz w:val="20"/>
                <w:szCs w:val="20"/>
              </w:rPr>
              <w:fldChar w:fldCharType="end"/>
            </w:r>
            <w:r w:rsidRPr="00DE5C02">
              <w:rPr>
                <w:rFonts w:ascii="Arial" w:hAnsi="Arial" w:cs="Arial"/>
                <w:sz w:val="20"/>
                <w:szCs w:val="20"/>
              </w:rPr>
              <w:t>.</w:t>
            </w:r>
          </w:p>
        </w:tc>
        <w:tc>
          <w:tcPr>
            <w:tcW w:w="2268" w:type="dxa"/>
          </w:tcPr>
          <w:p w14:paraId="48DB73CF" w14:textId="77777777" w:rsidR="00BF5A37" w:rsidRPr="00DE5C02" w:rsidRDefault="00BF5A37" w:rsidP="00EC02E9">
            <w:pPr>
              <w:rPr>
                <w:rFonts w:ascii="Arial" w:hAnsi="Arial" w:cs="Arial"/>
                <w:sz w:val="20"/>
                <w:szCs w:val="20"/>
              </w:rPr>
            </w:pPr>
            <w:r w:rsidRPr="00DE5C02">
              <w:rPr>
                <w:rFonts w:ascii="Arial" w:hAnsi="Arial" w:cs="Arial"/>
                <w:sz w:val="20"/>
                <w:szCs w:val="20"/>
              </w:rPr>
              <w:t xml:space="preserve">Distance to woodland edge * arable cover within 250-m of woodland edge. </w:t>
            </w:r>
          </w:p>
        </w:tc>
        <w:tc>
          <w:tcPr>
            <w:tcW w:w="1508" w:type="dxa"/>
          </w:tcPr>
          <w:p w14:paraId="25F6AE35" w14:textId="77777777" w:rsidR="00BF5A37" w:rsidRPr="00DE5C02" w:rsidRDefault="00BF5A37" w:rsidP="00EC02E9">
            <w:pPr>
              <w:rPr>
                <w:rFonts w:ascii="Arial" w:hAnsi="Arial" w:cs="Arial"/>
                <w:sz w:val="20"/>
                <w:szCs w:val="20"/>
              </w:rPr>
            </w:pPr>
            <w:r w:rsidRPr="00DE5C02">
              <w:rPr>
                <w:rFonts w:ascii="Arial" w:hAnsi="Arial" w:cs="Arial"/>
                <w:sz w:val="20"/>
                <w:szCs w:val="20"/>
              </w:rPr>
              <w:t>local * landscape</w:t>
            </w:r>
          </w:p>
        </w:tc>
      </w:tr>
      <w:tr w:rsidR="00BF5A37" w:rsidRPr="00DE5C02" w14:paraId="291582D9" w14:textId="77777777" w:rsidTr="0055047A">
        <w:tc>
          <w:tcPr>
            <w:tcW w:w="5240" w:type="dxa"/>
          </w:tcPr>
          <w:p w14:paraId="448362CF" w14:textId="47B225B7" w:rsidR="00BF5A37" w:rsidRPr="00DE5C02" w:rsidRDefault="00456B99" w:rsidP="00C61FE8">
            <w:pPr>
              <w:rPr>
                <w:rFonts w:ascii="Arial" w:hAnsi="Arial" w:cs="Arial"/>
                <w:sz w:val="20"/>
                <w:szCs w:val="20"/>
              </w:rPr>
            </w:pPr>
            <w:r w:rsidRPr="00DE5C02">
              <w:rPr>
                <w:rFonts w:ascii="Arial" w:hAnsi="Arial" w:cs="Arial"/>
                <w:sz w:val="20"/>
                <w:szCs w:val="20"/>
              </w:rPr>
              <w:t>Bryophytes provide safe sites for rhododendron establishment</w:t>
            </w:r>
            <w:r w:rsidR="00BF5A37" w:rsidRPr="00DE5C02">
              <w:rPr>
                <w:rFonts w:ascii="Arial" w:hAnsi="Arial" w:cs="Arial"/>
                <w:sz w:val="20"/>
                <w:szCs w:val="20"/>
              </w:rPr>
              <w:fldChar w:fldCharType="begin" w:fldLock="1"/>
            </w:r>
            <w:r w:rsidR="00C61FE8" w:rsidRPr="00DE5C02">
              <w:rPr>
                <w:rFonts w:ascii="Arial" w:hAnsi="Arial" w:cs="Arial"/>
                <w:sz w:val="20"/>
                <w:szCs w:val="20"/>
              </w:rPr>
              <w:instrText>ADDIN CSL_CITATION {"citationItems":[{"id":"ITEM-1","itemData":{"author":[{"dropping-particle":"","family":"Cross","given":"J.R.","non-dropping-particle":"","parse-names":false,"suffix":""}],"container-title":"Journal of Ecology","id":"ITEM-1","issue":"3","issued":{"date-parts":[["1981"]]},"page":"807-824","title":"The Establishment of Rhododendron Ponticum in the Killarney Oakwoods , S . W . Ireland Author ( s ): J . R . Cross Published by : British Ecological Society Stable URL : http://www.jstor.org/stable/2259638 JSTOR is a not-for-profit service that helps scho","type":"article-journal","volume":"69"},"uris":["http://www.mendeley.com/documents/?uuid=1ee3a97b-2f25-4170-8edb-fde53e858d6d"]}],"mendeley":{"formattedCitation":"&lt;sup&gt;79&lt;/sup&gt;","plainTextFormattedCitation":"79","previouslyFormattedCitation":"&lt;sup&gt;78&lt;/sup&gt;"},"properties":{"noteIndex":0},"schema":"https://github.com/citation-style-language/schema/raw/master/csl-citation.json"}</w:instrText>
            </w:r>
            <w:r w:rsidR="00BF5A37" w:rsidRPr="00DE5C02">
              <w:rPr>
                <w:rFonts w:ascii="Arial" w:hAnsi="Arial" w:cs="Arial"/>
                <w:sz w:val="20"/>
                <w:szCs w:val="20"/>
              </w:rPr>
              <w:fldChar w:fldCharType="separate"/>
            </w:r>
            <w:r w:rsidR="00C61FE8" w:rsidRPr="00DE5C02">
              <w:rPr>
                <w:rFonts w:ascii="Arial" w:hAnsi="Arial" w:cs="Arial"/>
                <w:noProof/>
                <w:sz w:val="20"/>
                <w:szCs w:val="20"/>
                <w:vertAlign w:val="superscript"/>
              </w:rPr>
              <w:t>79</w:t>
            </w:r>
            <w:r w:rsidR="00BF5A37" w:rsidRPr="00DE5C02">
              <w:rPr>
                <w:rFonts w:ascii="Arial" w:hAnsi="Arial" w:cs="Arial"/>
                <w:sz w:val="20"/>
                <w:szCs w:val="20"/>
              </w:rPr>
              <w:fldChar w:fldCharType="end"/>
            </w:r>
            <w:r w:rsidR="00BF5A37" w:rsidRPr="00DE5C02">
              <w:rPr>
                <w:rFonts w:ascii="Arial" w:hAnsi="Arial" w:cs="Arial"/>
                <w:sz w:val="20"/>
                <w:szCs w:val="20"/>
              </w:rPr>
              <w:t xml:space="preserve">. </w:t>
            </w:r>
            <w:r w:rsidRPr="00DE5C02">
              <w:rPr>
                <w:rFonts w:ascii="Arial" w:hAnsi="Arial" w:cs="Arial"/>
                <w:sz w:val="20"/>
                <w:szCs w:val="20"/>
              </w:rPr>
              <w:t xml:space="preserve">Stand </w:t>
            </w:r>
            <w:r w:rsidR="00BF5A37" w:rsidRPr="00DE5C02">
              <w:rPr>
                <w:rFonts w:ascii="Arial" w:hAnsi="Arial" w:cs="Arial"/>
                <w:sz w:val="20"/>
                <w:szCs w:val="20"/>
              </w:rPr>
              <w:t xml:space="preserve">density, as a proxy </w:t>
            </w:r>
            <w:r w:rsidRPr="00DE5C02">
              <w:rPr>
                <w:rFonts w:ascii="Arial" w:hAnsi="Arial" w:cs="Arial"/>
                <w:sz w:val="20"/>
                <w:szCs w:val="20"/>
              </w:rPr>
              <w:t xml:space="preserve">for </w:t>
            </w:r>
            <w:r w:rsidR="00BF5A37" w:rsidRPr="00DE5C02">
              <w:rPr>
                <w:rFonts w:ascii="Arial" w:hAnsi="Arial" w:cs="Arial"/>
                <w:sz w:val="20"/>
                <w:szCs w:val="20"/>
              </w:rPr>
              <w:t>light reaching the forest floor and water availability (and so bryophyte abundance), will limit rhododendron establishment – and more strongly – in unfavourable regions. Similarly, the importance of local aspect may vary with the favourability gradient.</w:t>
            </w:r>
          </w:p>
        </w:tc>
        <w:tc>
          <w:tcPr>
            <w:tcW w:w="2268" w:type="dxa"/>
            <w:tcBorders>
              <w:bottom w:val="single" w:sz="4" w:space="0" w:color="auto"/>
            </w:tcBorders>
          </w:tcPr>
          <w:p w14:paraId="7F726FE5" w14:textId="6FC79414" w:rsidR="00BF5A37" w:rsidRPr="00DE5C02" w:rsidRDefault="00BF5A37" w:rsidP="00EC02E9">
            <w:pPr>
              <w:rPr>
                <w:rFonts w:ascii="Arial" w:hAnsi="Arial" w:cs="Arial"/>
                <w:sz w:val="20"/>
                <w:szCs w:val="20"/>
              </w:rPr>
            </w:pPr>
            <w:r w:rsidRPr="00DE5C02">
              <w:rPr>
                <w:rFonts w:ascii="Arial" w:hAnsi="Arial" w:cs="Arial"/>
                <w:sz w:val="20"/>
                <w:szCs w:val="20"/>
              </w:rPr>
              <w:t>Stocking density * favourability</w:t>
            </w:r>
            <w:r w:rsidRPr="00DE5C02">
              <w:rPr>
                <w:rFonts w:ascii="Arial" w:hAnsi="Arial" w:cs="Arial"/>
                <w:sz w:val="20"/>
                <w:szCs w:val="20"/>
                <w:vertAlign w:val="superscript"/>
              </w:rPr>
              <w:t>#</w:t>
            </w:r>
          </w:p>
          <w:p w14:paraId="643B9615" w14:textId="77777777" w:rsidR="00BF5A37" w:rsidRPr="00DE5C02" w:rsidRDefault="00BF5A37" w:rsidP="00EC02E9">
            <w:pPr>
              <w:rPr>
                <w:rFonts w:ascii="Arial" w:hAnsi="Arial" w:cs="Arial"/>
                <w:sz w:val="20"/>
                <w:szCs w:val="20"/>
              </w:rPr>
            </w:pPr>
          </w:p>
          <w:p w14:paraId="5CF98110" w14:textId="77777777" w:rsidR="00BF5A37" w:rsidRPr="00DE5C02" w:rsidRDefault="00BF5A37" w:rsidP="00EC02E9">
            <w:pPr>
              <w:rPr>
                <w:rFonts w:ascii="Arial" w:hAnsi="Arial" w:cs="Arial"/>
                <w:sz w:val="20"/>
                <w:szCs w:val="20"/>
              </w:rPr>
            </w:pPr>
            <w:r w:rsidRPr="00DE5C02">
              <w:rPr>
                <w:rFonts w:ascii="Arial" w:hAnsi="Arial" w:cs="Arial"/>
                <w:sz w:val="20"/>
                <w:szCs w:val="20"/>
              </w:rPr>
              <w:t>Aspect * favourability</w:t>
            </w:r>
          </w:p>
        </w:tc>
        <w:tc>
          <w:tcPr>
            <w:tcW w:w="1508" w:type="dxa"/>
            <w:tcBorders>
              <w:bottom w:val="single" w:sz="4" w:space="0" w:color="auto"/>
            </w:tcBorders>
          </w:tcPr>
          <w:p w14:paraId="6AD9300E" w14:textId="77777777" w:rsidR="00BF5A37" w:rsidRPr="00DE5C02" w:rsidRDefault="00BF5A37" w:rsidP="00EC02E9">
            <w:pPr>
              <w:rPr>
                <w:rFonts w:ascii="Arial" w:hAnsi="Arial" w:cs="Arial"/>
                <w:sz w:val="20"/>
                <w:szCs w:val="20"/>
              </w:rPr>
            </w:pPr>
            <w:r w:rsidRPr="00DE5C02">
              <w:rPr>
                <w:rFonts w:ascii="Arial" w:hAnsi="Arial" w:cs="Arial"/>
                <w:sz w:val="20"/>
                <w:szCs w:val="20"/>
              </w:rPr>
              <w:t>local * region</w:t>
            </w:r>
          </w:p>
        </w:tc>
      </w:tr>
      <w:tr w:rsidR="00BF5A37" w:rsidRPr="00DE5C02" w14:paraId="5CAA2094" w14:textId="77777777" w:rsidTr="0055047A">
        <w:tc>
          <w:tcPr>
            <w:tcW w:w="5240" w:type="dxa"/>
            <w:tcBorders>
              <w:right w:val="nil"/>
            </w:tcBorders>
          </w:tcPr>
          <w:p w14:paraId="394978C1" w14:textId="77777777" w:rsidR="00BF5A37" w:rsidRPr="00DE5C02" w:rsidRDefault="00BF5A37" w:rsidP="00BF5A37">
            <w:pPr>
              <w:rPr>
                <w:rFonts w:ascii="Arial" w:hAnsi="Arial" w:cs="Arial"/>
                <w:sz w:val="20"/>
                <w:szCs w:val="20"/>
              </w:rPr>
            </w:pPr>
            <w:r w:rsidRPr="00DE5C02">
              <w:rPr>
                <w:rFonts w:ascii="Arial" w:hAnsi="Arial" w:cs="Arial"/>
                <w:sz w:val="20"/>
                <w:szCs w:val="20"/>
              </w:rPr>
              <w:t>Pond soluble reactive phosphorous concentration</w:t>
            </w:r>
          </w:p>
        </w:tc>
        <w:tc>
          <w:tcPr>
            <w:tcW w:w="2268" w:type="dxa"/>
            <w:tcBorders>
              <w:left w:val="nil"/>
              <w:right w:val="nil"/>
            </w:tcBorders>
          </w:tcPr>
          <w:p w14:paraId="52AA4740" w14:textId="77777777" w:rsidR="00BF5A37" w:rsidRPr="00DE5C02" w:rsidRDefault="00BF5A37" w:rsidP="00EC02E9">
            <w:pPr>
              <w:rPr>
                <w:rFonts w:ascii="Arial" w:hAnsi="Arial" w:cs="Arial"/>
                <w:sz w:val="20"/>
                <w:szCs w:val="20"/>
              </w:rPr>
            </w:pPr>
          </w:p>
        </w:tc>
        <w:tc>
          <w:tcPr>
            <w:tcW w:w="1508" w:type="dxa"/>
            <w:tcBorders>
              <w:left w:val="nil"/>
            </w:tcBorders>
          </w:tcPr>
          <w:p w14:paraId="697C327F" w14:textId="77777777" w:rsidR="00BF5A37" w:rsidRPr="00DE5C02" w:rsidRDefault="00BF5A37" w:rsidP="00EC02E9">
            <w:pPr>
              <w:rPr>
                <w:rFonts w:ascii="Arial" w:hAnsi="Arial" w:cs="Arial"/>
                <w:sz w:val="20"/>
                <w:szCs w:val="20"/>
              </w:rPr>
            </w:pPr>
          </w:p>
        </w:tc>
      </w:tr>
      <w:tr w:rsidR="00B36897" w:rsidRPr="00DE5C02" w14:paraId="3D010646" w14:textId="77777777" w:rsidTr="00EC02E9">
        <w:tc>
          <w:tcPr>
            <w:tcW w:w="5240" w:type="dxa"/>
          </w:tcPr>
          <w:p w14:paraId="05B0C3EE" w14:textId="7131FCCA" w:rsidR="00B36897" w:rsidRPr="00DE5C02" w:rsidRDefault="001048F3" w:rsidP="00456B99">
            <w:pPr>
              <w:rPr>
                <w:rFonts w:ascii="Arial" w:hAnsi="Arial" w:cs="Arial"/>
                <w:sz w:val="20"/>
                <w:szCs w:val="20"/>
              </w:rPr>
            </w:pPr>
            <w:r w:rsidRPr="00DE5C02">
              <w:rPr>
                <w:rFonts w:ascii="Arial" w:hAnsi="Arial" w:cs="Arial"/>
                <w:sz w:val="20"/>
                <w:szCs w:val="20"/>
              </w:rPr>
              <w:t xml:space="preserve">The positive effect of landscape-level intensive </w:t>
            </w:r>
            <w:r w:rsidR="00456B99" w:rsidRPr="00DE5C02">
              <w:rPr>
                <w:rFonts w:ascii="Arial" w:hAnsi="Arial" w:cs="Arial"/>
                <w:sz w:val="20"/>
                <w:szCs w:val="20"/>
              </w:rPr>
              <w:t>land</w:t>
            </w:r>
            <w:r w:rsidR="005004FF" w:rsidRPr="00DE5C02">
              <w:rPr>
                <w:rFonts w:ascii="Arial" w:hAnsi="Arial" w:cs="Arial"/>
                <w:sz w:val="20"/>
                <w:szCs w:val="20"/>
              </w:rPr>
              <w:t xml:space="preserve"> </w:t>
            </w:r>
            <w:r w:rsidRPr="00DE5C02">
              <w:rPr>
                <w:rFonts w:ascii="Arial" w:hAnsi="Arial" w:cs="Arial"/>
                <w:sz w:val="20"/>
                <w:szCs w:val="20"/>
              </w:rPr>
              <w:t>cover</w:t>
            </w:r>
            <w:r w:rsidR="00456B99" w:rsidRPr="00DE5C02">
              <w:rPr>
                <w:rFonts w:ascii="Arial" w:hAnsi="Arial" w:cs="Arial"/>
                <w:sz w:val="20"/>
                <w:szCs w:val="20"/>
              </w:rPr>
              <w:t xml:space="preserve"> (arable and pasture)</w:t>
            </w:r>
            <w:r w:rsidRPr="00DE5C02">
              <w:rPr>
                <w:rFonts w:ascii="Arial" w:hAnsi="Arial" w:cs="Arial"/>
                <w:sz w:val="20"/>
                <w:szCs w:val="20"/>
              </w:rPr>
              <w:t xml:space="preserve"> on pond soluble reactive phosphorous concentrations will be stronger in areas with soils that are more susceptible to leaching, i.e. sandy soils  </w:t>
            </w:r>
          </w:p>
        </w:tc>
        <w:tc>
          <w:tcPr>
            <w:tcW w:w="2268" w:type="dxa"/>
          </w:tcPr>
          <w:p w14:paraId="69594618" w14:textId="6D6B0D39" w:rsidR="00B36897" w:rsidRPr="00DE5C02" w:rsidRDefault="00B36897" w:rsidP="00B36897">
            <w:pPr>
              <w:rPr>
                <w:rFonts w:ascii="Arial" w:hAnsi="Arial" w:cs="Arial"/>
                <w:sz w:val="20"/>
                <w:szCs w:val="20"/>
              </w:rPr>
            </w:pPr>
            <w:r w:rsidRPr="00DE5C02">
              <w:rPr>
                <w:rFonts w:ascii="Arial" w:hAnsi="Arial" w:cs="Arial"/>
                <w:sz w:val="20"/>
                <w:szCs w:val="20"/>
              </w:rPr>
              <w:t xml:space="preserve">Intensive </w:t>
            </w:r>
            <w:r w:rsidR="005004FF" w:rsidRPr="00DE5C02">
              <w:rPr>
                <w:rFonts w:ascii="Arial" w:hAnsi="Arial" w:cs="Arial"/>
                <w:sz w:val="20"/>
                <w:szCs w:val="20"/>
              </w:rPr>
              <w:t xml:space="preserve">agriculture </w:t>
            </w:r>
            <w:r w:rsidRPr="00DE5C02">
              <w:rPr>
                <w:rFonts w:ascii="Arial" w:hAnsi="Arial" w:cs="Arial"/>
                <w:sz w:val="20"/>
                <w:szCs w:val="20"/>
              </w:rPr>
              <w:t>cover * soil gradient</w:t>
            </w:r>
          </w:p>
        </w:tc>
        <w:tc>
          <w:tcPr>
            <w:tcW w:w="1508" w:type="dxa"/>
          </w:tcPr>
          <w:p w14:paraId="20E2EF3F" w14:textId="234478D0" w:rsidR="00B36897" w:rsidRPr="00DE5C02" w:rsidRDefault="00B36897" w:rsidP="00B36897">
            <w:pPr>
              <w:rPr>
                <w:rFonts w:ascii="Arial" w:hAnsi="Arial" w:cs="Arial"/>
                <w:sz w:val="20"/>
                <w:szCs w:val="20"/>
              </w:rPr>
            </w:pPr>
            <w:r w:rsidRPr="00DE5C02">
              <w:rPr>
                <w:rFonts w:ascii="Arial" w:hAnsi="Arial" w:cs="Arial"/>
                <w:sz w:val="20"/>
                <w:szCs w:val="20"/>
              </w:rPr>
              <w:t>landscape * region</w:t>
            </w:r>
          </w:p>
        </w:tc>
      </w:tr>
    </w:tbl>
    <w:p w14:paraId="6B5A82B8" w14:textId="221FF9A7" w:rsidR="00BF5A37" w:rsidRPr="00DE5C02" w:rsidRDefault="00BF5A37" w:rsidP="00BF5A37">
      <w:pPr>
        <w:rPr>
          <w:rFonts w:ascii="Arial" w:hAnsi="Arial" w:cs="Arial"/>
          <w:sz w:val="18"/>
          <w:szCs w:val="18"/>
          <w:lang w:eastAsia="zh-CN"/>
        </w:rPr>
      </w:pPr>
      <w:r w:rsidRPr="00DE5C02">
        <w:rPr>
          <w:rFonts w:ascii="Arial" w:hAnsi="Arial" w:cs="Arial"/>
          <w:sz w:val="18"/>
          <w:szCs w:val="18"/>
          <w:lang w:eastAsia="zh-CN"/>
        </w:rPr>
        <w:t># Indicates relationships that were not possible to test, given insufficient representation of drivers across the regional gradient</w:t>
      </w:r>
    </w:p>
    <w:p w14:paraId="0A55BE24" w14:textId="77777777" w:rsidR="00BF5A37" w:rsidRPr="00DE5C02" w:rsidRDefault="00BF5A37">
      <w:pPr>
        <w:rPr>
          <w:rFonts w:ascii="Arial" w:eastAsiaTheme="majorEastAsia" w:hAnsi="Arial" w:cstheme="majorBidi"/>
          <w:b/>
          <w:sz w:val="32"/>
          <w:szCs w:val="32"/>
          <w:lang w:eastAsia="zh-CN"/>
        </w:rPr>
      </w:pPr>
      <w:r w:rsidRPr="00DE5C02">
        <w:br w:type="page"/>
      </w:r>
    </w:p>
    <w:p w14:paraId="166C10C5" w14:textId="7A903B7B" w:rsidR="00AD6424" w:rsidRDefault="00B13C2B" w:rsidP="008A6D82">
      <w:pPr>
        <w:pStyle w:val="Heading1"/>
      </w:pPr>
      <w:bookmarkStart w:id="36" w:name="_Toc517421420"/>
      <w:bookmarkStart w:id="37" w:name="_Toc517431836"/>
      <w:r w:rsidRPr="00DE5C02">
        <w:t>Figure</w:t>
      </w:r>
      <w:r w:rsidR="00814205" w:rsidRPr="00DE5C02">
        <w:t xml:space="preserve"> legend</w:t>
      </w:r>
      <w:r w:rsidRPr="00DE5C02">
        <w:t>s</w:t>
      </w:r>
      <w:bookmarkEnd w:id="36"/>
      <w:bookmarkEnd w:id="37"/>
    </w:p>
    <w:p w14:paraId="0A46D7E5" w14:textId="1A2C2A4B" w:rsidR="008A6D82" w:rsidRPr="008A6D82" w:rsidRDefault="008A6D82" w:rsidP="008A6D82">
      <w:pPr>
        <w:rPr>
          <w:lang w:eastAsia="zh-CN"/>
        </w:rPr>
      </w:pPr>
      <w:r>
        <w:rPr>
          <w:noProof/>
          <w:lang w:eastAsia="en-GB"/>
        </w:rPr>
        <w:drawing>
          <wp:inline distT="0" distB="0" distL="0" distR="0" wp14:anchorId="2B5F4322" wp14:editId="0DAD7029">
            <wp:extent cx="5731510" cy="409956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4099560"/>
                    </a:xfrm>
                    <a:prstGeom prst="rect">
                      <a:avLst/>
                    </a:prstGeom>
                  </pic:spPr>
                </pic:pic>
              </a:graphicData>
            </a:graphic>
          </wp:inline>
        </w:drawing>
      </w:r>
    </w:p>
    <w:p w14:paraId="129D447D" w14:textId="71A74A27" w:rsidR="00AD6424" w:rsidRPr="00DE5C02" w:rsidRDefault="00AD6424" w:rsidP="00AD6424">
      <w:pPr>
        <w:rPr>
          <w:rFonts w:ascii="Arial" w:hAnsi="Arial" w:cs="Arial"/>
          <w:lang w:eastAsia="zh-CN"/>
        </w:rPr>
      </w:pPr>
      <w:r w:rsidRPr="00DE5C02">
        <w:rPr>
          <w:rFonts w:ascii="Arial" w:hAnsi="Arial" w:cs="Arial"/>
          <w:lang w:eastAsia="zh-CN"/>
        </w:rPr>
        <w:t>Figure 1.</w:t>
      </w:r>
      <w:r w:rsidRPr="00DE5C02">
        <w:rPr>
          <w:rFonts w:ascii="Arial" w:hAnsi="Arial" w:cs="Arial"/>
          <w:lang w:eastAsia="zh-CN"/>
        </w:rPr>
        <w:tab/>
      </w:r>
      <w:r w:rsidR="0049304E" w:rsidRPr="00DE5C02">
        <w:rPr>
          <w:rFonts w:ascii="Arial" w:hAnsi="Arial" w:cs="Arial"/>
          <w:lang w:eastAsia="zh-CN"/>
        </w:rPr>
        <w:t>Outline for our a</w:t>
      </w:r>
      <w:r w:rsidRPr="00DE5C02">
        <w:rPr>
          <w:rFonts w:ascii="Arial" w:hAnsi="Arial" w:cs="Arial"/>
          <w:lang w:eastAsia="zh-CN"/>
        </w:rPr>
        <w:t>nalytical framework</w:t>
      </w:r>
      <w:r w:rsidR="0049304E" w:rsidRPr="00DE5C02">
        <w:rPr>
          <w:rFonts w:ascii="Arial" w:hAnsi="Arial" w:cs="Arial"/>
          <w:lang w:eastAsia="zh-CN"/>
        </w:rPr>
        <w:t>, which enables the production</w:t>
      </w:r>
      <w:r w:rsidRPr="00DE5C02">
        <w:rPr>
          <w:rFonts w:ascii="Arial" w:hAnsi="Arial" w:cs="Arial"/>
          <w:lang w:eastAsia="zh-CN"/>
        </w:rPr>
        <w:t xml:space="preserve"> </w:t>
      </w:r>
      <w:r w:rsidR="0049304E" w:rsidRPr="00DE5C02">
        <w:rPr>
          <w:rFonts w:ascii="Arial" w:hAnsi="Arial" w:cs="Arial"/>
          <w:lang w:eastAsia="zh-CN"/>
        </w:rPr>
        <w:t>of</w:t>
      </w:r>
      <w:r w:rsidRPr="00DE5C02">
        <w:rPr>
          <w:rFonts w:ascii="Arial" w:hAnsi="Arial" w:cs="Arial"/>
          <w:lang w:eastAsia="zh-CN"/>
        </w:rPr>
        <w:t xml:space="preserve"> effect maps</w:t>
      </w:r>
      <w:r w:rsidR="0049304E" w:rsidRPr="00DE5C02">
        <w:rPr>
          <w:rFonts w:ascii="Arial" w:hAnsi="Arial" w:cs="Arial"/>
          <w:lang w:eastAsia="zh-CN"/>
        </w:rPr>
        <w:t xml:space="preserve"> that </w:t>
      </w:r>
      <w:r w:rsidRPr="00DE5C02">
        <w:rPr>
          <w:rFonts w:ascii="Arial" w:hAnsi="Arial" w:cs="Arial"/>
          <w:lang w:eastAsia="zh-CN"/>
        </w:rPr>
        <w:t>show how and where to manage natural capital sustainably</w:t>
      </w:r>
      <w:r w:rsidR="00D911E2" w:rsidRPr="00DE5C02">
        <w:rPr>
          <w:rFonts w:ascii="Arial" w:hAnsi="Arial" w:cs="Arial"/>
          <w:lang w:eastAsia="zh-CN"/>
        </w:rPr>
        <w:t>.</w:t>
      </w:r>
      <w:r w:rsidR="00340238" w:rsidRPr="00DE5C02">
        <w:rPr>
          <w:rFonts w:ascii="Arial" w:hAnsi="Arial" w:cs="Arial"/>
          <w:lang w:eastAsia="zh-CN"/>
        </w:rPr>
        <w:t xml:space="preserve"> </w:t>
      </w:r>
    </w:p>
    <w:p w14:paraId="69C1FC60" w14:textId="6113C3ED" w:rsidR="008A6D82" w:rsidRDefault="008A6D82">
      <w:pPr>
        <w:rPr>
          <w:lang w:eastAsia="zh-CN"/>
        </w:rPr>
      </w:pPr>
      <w:r>
        <w:rPr>
          <w:lang w:eastAsia="zh-CN"/>
        </w:rPr>
        <w:br w:type="page"/>
      </w:r>
    </w:p>
    <w:p w14:paraId="33D417CA" w14:textId="77777777" w:rsidR="008A6D82" w:rsidRDefault="008A6D82" w:rsidP="00AD6424">
      <w:pPr>
        <w:rPr>
          <w:lang w:eastAsia="zh-CN"/>
        </w:rPr>
        <w:sectPr w:rsidR="008A6D82" w:rsidSect="008A6D82">
          <w:footerReference w:type="default" r:id="rId10"/>
          <w:pgSz w:w="11906" w:h="16838"/>
          <w:pgMar w:top="1440" w:right="1440" w:bottom="1440" w:left="1440" w:header="708" w:footer="708" w:gutter="0"/>
          <w:cols w:space="708"/>
          <w:docGrid w:linePitch="360"/>
        </w:sectPr>
      </w:pPr>
    </w:p>
    <w:p w14:paraId="4E5057C7" w14:textId="3FED78F6" w:rsidR="00D426FF" w:rsidRPr="00DE5C02" w:rsidRDefault="008A6D82" w:rsidP="00AD6424">
      <w:pPr>
        <w:rPr>
          <w:lang w:eastAsia="zh-CN"/>
        </w:rPr>
      </w:pPr>
      <w:r>
        <w:rPr>
          <w:noProof/>
          <w:lang w:eastAsia="en-GB"/>
        </w:rPr>
        <w:drawing>
          <wp:inline distT="0" distB="0" distL="0" distR="0" wp14:anchorId="15966EA7" wp14:editId="4396095C">
            <wp:extent cx="8201891" cy="4543925"/>
            <wp:effectExtent l="0" t="0" r="0" b="952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210598" cy="4548749"/>
                    </a:xfrm>
                    <a:prstGeom prst="rect">
                      <a:avLst/>
                    </a:prstGeom>
                    <a:noFill/>
                    <a:ln>
                      <a:noFill/>
                    </a:ln>
                  </pic:spPr>
                </pic:pic>
              </a:graphicData>
            </a:graphic>
          </wp:inline>
        </w:drawing>
      </w:r>
    </w:p>
    <w:p w14:paraId="36352C95" w14:textId="0DC3223A" w:rsidR="008A6D82" w:rsidRPr="008A6D82" w:rsidRDefault="002B7788" w:rsidP="0034081E">
      <w:pPr>
        <w:jc w:val="both"/>
        <w:rPr>
          <w:rFonts w:ascii="Arial" w:hAnsi="Arial" w:cs="Arial"/>
          <w:sz w:val="20"/>
          <w:lang w:eastAsia="en-GB"/>
        </w:rPr>
      </w:pPr>
      <w:r w:rsidRPr="008A6D82">
        <w:rPr>
          <w:rFonts w:ascii="Arial" w:hAnsi="Arial" w:cs="Arial"/>
          <w:sz w:val="20"/>
          <w:lang w:eastAsia="en-GB"/>
        </w:rPr>
        <w:t xml:space="preserve">Figure </w:t>
      </w:r>
      <w:r w:rsidR="006B639C" w:rsidRPr="008A6D82">
        <w:rPr>
          <w:rFonts w:ascii="Arial" w:hAnsi="Arial" w:cs="Arial"/>
          <w:sz w:val="20"/>
          <w:lang w:eastAsia="en-GB"/>
        </w:rPr>
        <w:t>2</w:t>
      </w:r>
      <w:r w:rsidRPr="008A6D82">
        <w:rPr>
          <w:rFonts w:ascii="Arial" w:hAnsi="Arial" w:cs="Arial"/>
          <w:sz w:val="20"/>
          <w:lang w:eastAsia="en-GB"/>
        </w:rPr>
        <w:t>.</w:t>
      </w:r>
      <w:r w:rsidRPr="008A6D82">
        <w:rPr>
          <w:rFonts w:ascii="Arial" w:hAnsi="Arial" w:cs="Arial"/>
          <w:sz w:val="20"/>
          <w:lang w:eastAsia="en-GB"/>
        </w:rPr>
        <w:tab/>
        <w:t>Cross-scale interactions of the effect</w:t>
      </w:r>
      <w:r w:rsidR="007D5F68" w:rsidRPr="008A6D82">
        <w:rPr>
          <w:rFonts w:ascii="Arial" w:hAnsi="Arial" w:cs="Arial"/>
          <w:sz w:val="20"/>
          <w:lang w:eastAsia="en-GB"/>
        </w:rPr>
        <w:t>s</w:t>
      </w:r>
      <w:r w:rsidRPr="008A6D82">
        <w:rPr>
          <w:rFonts w:ascii="Arial" w:hAnsi="Arial" w:cs="Arial"/>
          <w:sz w:val="20"/>
          <w:lang w:eastAsia="en-GB"/>
        </w:rPr>
        <w:t xml:space="preserve"> of landscape-level </w:t>
      </w:r>
      <w:r w:rsidR="007D5F68" w:rsidRPr="008A6D82">
        <w:rPr>
          <w:rFonts w:ascii="Arial" w:hAnsi="Arial" w:cs="Arial"/>
          <w:sz w:val="20"/>
          <w:lang w:eastAsia="en-GB"/>
        </w:rPr>
        <w:t>drivers</w:t>
      </w:r>
      <w:r w:rsidRPr="008A6D82">
        <w:rPr>
          <w:rFonts w:ascii="Arial" w:hAnsi="Arial" w:cs="Arial"/>
          <w:sz w:val="20"/>
          <w:lang w:eastAsia="en-GB"/>
        </w:rPr>
        <w:t xml:space="preserve"> on ecosystem responses</w:t>
      </w:r>
      <w:r w:rsidR="007D5F68" w:rsidRPr="008A6D82">
        <w:rPr>
          <w:rFonts w:ascii="Arial" w:hAnsi="Arial" w:cs="Arial"/>
          <w:sz w:val="20"/>
          <w:lang w:eastAsia="en-GB"/>
        </w:rPr>
        <w:t>; a) t</w:t>
      </w:r>
      <w:r w:rsidRPr="008A6D82">
        <w:rPr>
          <w:rFonts w:ascii="Arial" w:hAnsi="Arial" w:cs="Arial"/>
          <w:sz w:val="20"/>
          <w:lang w:eastAsia="en-GB"/>
        </w:rPr>
        <w:t>he effect of landscape-level woodland cover (within 500-m of a woodland site) on woodland susceptibility to invasion depends on soil pH</w:t>
      </w:r>
      <w:r w:rsidR="007D5F68" w:rsidRPr="008A6D82">
        <w:t>, and</w:t>
      </w:r>
      <w:r w:rsidRPr="008A6D82">
        <w:t xml:space="preserve"> </w:t>
      </w:r>
      <w:r w:rsidR="007D5F68" w:rsidRPr="008A6D82">
        <w:rPr>
          <w:rFonts w:ascii="Arial" w:hAnsi="Arial" w:cs="Arial"/>
          <w:sz w:val="20"/>
          <w:lang w:eastAsia="en-GB"/>
        </w:rPr>
        <w:t xml:space="preserve">b) the effect of landscape-level intensive land cover (within 250-m of a pond) depends on a soil gradient. </w:t>
      </w:r>
      <w:r w:rsidRPr="008A6D82">
        <w:rPr>
          <w:rFonts w:ascii="Arial" w:hAnsi="Arial" w:cs="Arial"/>
          <w:sz w:val="20"/>
          <w:lang w:eastAsia="en-GB"/>
        </w:rPr>
        <w:t>Relationships were graphed using coefficients from the minimum adequate model</w:t>
      </w:r>
      <w:r w:rsidR="007D5F68" w:rsidRPr="008A6D82">
        <w:rPr>
          <w:rFonts w:ascii="Arial" w:hAnsi="Arial" w:cs="Arial"/>
          <w:sz w:val="20"/>
          <w:lang w:eastAsia="en-GB"/>
        </w:rPr>
        <w:t>s</w:t>
      </w:r>
      <w:r w:rsidRPr="008A6D82">
        <w:rPr>
          <w:rFonts w:ascii="Arial" w:hAnsi="Arial" w:cs="Arial"/>
          <w:sz w:val="20"/>
          <w:lang w:eastAsia="en-GB"/>
        </w:rPr>
        <w:t xml:space="preserve"> with conditional variables held at their mean except for the bottom three graphs that used values of actual </w:t>
      </w:r>
      <w:r w:rsidR="007D5F68" w:rsidRPr="008A6D82">
        <w:rPr>
          <w:rFonts w:ascii="Arial" w:hAnsi="Arial" w:cs="Arial"/>
          <w:sz w:val="20"/>
          <w:lang w:eastAsia="en-GB"/>
        </w:rPr>
        <w:t>samples</w:t>
      </w:r>
      <w:r w:rsidRPr="008A6D82">
        <w:rPr>
          <w:rFonts w:ascii="Arial" w:hAnsi="Arial" w:cs="Arial"/>
          <w:sz w:val="20"/>
          <w:lang w:eastAsia="en-GB"/>
        </w:rPr>
        <w:t xml:space="preserve"> sites. </w:t>
      </w:r>
      <w:r w:rsidR="007D5F68" w:rsidRPr="008A6D82">
        <w:rPr>
          <w:rFonts w:ascii="Arial" w:hAnsi="Arial" w:cs="Arial"/>
          <w:sz w:val="20"/>
          <w:lang w:eastAsia="en-GB"/>
        </w:rPr>
        <w:t>Shown are marginal effect plots (top) and effect map (centre) showing the effect (estimated coefficient) of landscape-level drivers, conditional on the value of regional gradients, and estimated ecosystem response values in relation landscape level drivers within three regional contexts (bottom three graphs)</w:t>
      </w:r>
      <w:r w:rsidR="0034081E" w:rsidRPr="008A6D82">
        <w:rPr>
          <w:rFonts w:ascii="Arial" w:hAnsi="Arial" w:cs="Arial"/>
          <w:sz w:val="20"/>
          <w:lang w:eastAsia="en-GB"/>
        </w:rPr>
        <w:t>.</w:t>
      </w:r>
      <w:r w:rsidR="00BA510F" w:rsidRPr="008A6D82">
        <w:rPr>
          <w:rFonts w:ascii="Arial" w:hAnsi="Arial" w:cs="Arial"/>
          <w:sz w:val="20"/>
          <w:lang w:eastAsia="en-GB"/>
        </w:rPr>
        <w:t xml:space="preserve"> Grey shading represent 95% confidence intervals.</w:t>
      </w:r>
    </w:p>
    <w:p w14:paraId="4F031814" w14:textId="77777777" w:rsidR="008A6D82" w:rsidRDefault="008A6D82">
      <w:pPr>
        <w:rPr>
          <w:rFonts w:ascii="Arial" w:hAnsi="Arial" w:cs="Arial"/>
          <w:sz w:val="20"/>
          <w:lang w:eastAsia="en-GB"/>
        </w:rPr>
        <w:sectPr w:rsidR="008A6D82" w:rsidSect="008A6D82">
          <w:pgSz w:w="16838" w:h="11906" w:orient="landscape"/>
          <w:pgMar w:top="1440" w:right="1440" w:bottom="1440" w:left="1440" w:header="709" w:footer="709" w:gutter="0"/>
          <w:cols w:space="708"/>
          <w:docGrid w:linePitch="360"/>
        </w:sectPr>
      </w:pPr>
    </w:p>
    <w:p w14:paraId="60669FD7" w14:textId="77777777" w:rsidR="008A6D82" w:rsidRDefault="008A6D82" w:rsidP="008A6D82">
      <w:pPr>
        <w:pStyle w:val="Heading1"/>
      </w:pPr>
      <w:bookmarkStart w:id="38" w:name="_Toc517421422"/>
      <w:bookmarkStart w:id="39" w:name="_Toc517431838"/>
      <w:r>
        <w:t>Supporting information</w:t>
      </w:r>
      <w:bookmarkEnd w:id="38"/>
      <w:bookmarkEnd w:id="39"/>
    </w:p>
    <w:sdt>
      <w:sdtPr>
        <w:rPr>
          <w:rFonts w:asciiTheme="minorHAnsi" w:eastAsiaTheme="minorHAnsi" w:hAnsiTheme="minorHAnsi" w:cstheme="minorBidi"/>
          <w:color w:val="auto"/>
          <w:sz w:val="22"/>
          <w:szCs w:val="22"/>
          <w:lang w:val="en-GB"/>
        </w:rPr>
        <w:id w:val="-77295523"/>
        <w:docPartObj>
          <w:docPartGallery w:val="Table of Contents"/>
          <w:docPartUnique/>
        </w:docPartObj>
      </w:sdtPr>
      <w:sdtEndPr>
        <w:rPr>
          <w:b/>
          <w:bCs/>
          <w:noProof/>
        </w:rPr>
      </w:sdtEndPr>
      <w:sdtContent>
        <w:p w14:paraId="5C0EEF8B" w14:textId="77777777" w:rsidR="008A6D82" w:rsidRPr="00636F62" w:rsidRDefault="008A6D82" w:rsidP="008A6D82">
          <w:pPr>
            <w:pStyle w:val="TOCHeading"/>
            <w:rPr>
              <w:noProof/>
              <w:color w:val="auto"/>
            </w:rPr>
          </w:pPr>
          <w:r w:rsidRPr="00EB7D90">
            <w:rPr>
              <w:color w:val="auto"/>
            </w:rPr>
            <w:t>Contents</w:t>
          </w:r>
          <w:r>
            <w:rPr>
              <w:sz w:val="32"/>
            </w:rPr>
            <w:fldChar w:fldCharType="begin"/>
          </w:r>
          <w:r>
            <w:instrText xml:space="preserve"> TOC \o "1-3" \h \z \u </w:instrText>
          </w:r>
          <w:r>
            <w:rPr>
              <w:sz w:val="32"/>
            </w:rPr>
            <w:fldChar w:fldCharType="separate"/>
          </w:r>
        </w:p>
        <w:p w14:paraId="44088BAD" w14:textId="3CDDA4B4" w:rsidR="008A6D82" w:rsidRPr="00D92C31" w:rsidRDefault="00C5138B" w:rsidP="008A6D82">
          <w:pPr>
            <w:pStyle w:val="TOC1"/>
            <w:rPr>
              <w:rFonts w:eastAsiaTheme="minorEastAsia"/>
              <w:lang w:eastAsia="en-GB"/>
            </w:rPr>
          </w:pPr>
          <w:hyperlink w:anchor="_Toc517431839" w:history="1">
            <w:r w:rsidR="008A6D82" w:rsidRPr="00D92C31">
              <w:rPr>
                <w:rStyle w:val="Hyperlink"/>
              </w:rPr>
              <w:t>Appendix S1. Further methodological details for modelling woodland susceptibility to rhododendron invasion</w:t>
            </w:r>
            <w:r w:rsidR="008A6D82" w:rsidRPr="00D92C31">
              <w:rPr>
                <w:webHidden/>
              </w:rPr>
              <w:tab/>
            </w:r>
            <w:r w:rsidR="008A6D82" w:rsidRPr="00D92C31">
              <w:rPr>
                <w:webHidden/>
              </w:rPr>
              <w:fldChar w:fldCharType="begin"/>
            </w:r>
            <w:r w:rsidR="008A6D82" w:rsidRPr="00D92C31">
              <w:rPr>
                <w:webHidden/>
              </w:rPr>
              <w:instrText xml:space="preserve"> PAGEREF _Toc517431839 \h </w:instrText>
            </w:r>
            <w:r w:rsidR="008A6D82" w:rsidRPr="00D92C31">
              <w:rPr>
                <w:webHidden/>
              </w:rPr>
            </w:r>
            <w:r w:rsidR="008A6D82" w:rsidRPr="00D92C31">
              <w:rPr>
                <w:webHidden/>
              </w:rPr>
              <w:fldChar w:fldCharType="separate"/>
            </w:r>
            <w:r w:rsidR="008A6D82">
              <w:rPr>
                <w:webHidden/>
              </w:rPr>
              <w:t>22</w:t>
            </w:r>
            <w:r w:rsidR="008A6D82" w:rsidRPr="00D92C31">
              <w:rPr>
                <w:webHidden/>
              </w:rPr>
              <w:fldChar w:fldCharType="end"/>
            </w:r>
          </w:hyperlink>
        </w:p>
        <w:p w14:paraId="16E34012" w14:textId="418D58E0" w:rsidR="008A6D82" w:rsidRDefault="00C5138B" w:rsidP="008A6D82">
          <w:pPr>
            <w:pStyle w:val="TOC2"/>
            <w:tabs>
              <w:tab w:val="right" w:leader="dot" w:pos="9016"/>
            </w:tabs>
            <w:rPr>
              <w:rFonts w:eastAsiaTheme="minorEastAsia"/>
              <w:noProof/>
              <w:lang w:eastAsia="en-GB"/>
            </w:rPr>
          </w:pPr>
          <w:hyperlink w:anchor="_Toc517431840" w:history="1">
            <w:r w:rsidR="008A6D82" w:rsidRPr="00732D8A">
              <w:rPr>
                <w:rStyle w:val="Hyperlink"/>
                <w:noProof/>
              </w:rPr>
              <w:t xml:space="preserve">Appendix S1.1 Rationale for modelling rhododendron </w:t>
            </w:r>
            <w:r w:rsidR="008A6D82">
              <w:rPr>
                <w:rStyle w:val="Hyperlink"/>
                <w:noProof/>
              </w:rPr>
              <w:t>occurrence and the NFI</w:t>
            </w:r>
            <w:r w:rsidR="008A6D82">
              <w:rPr>
                <w:noProof/>
                <w:webHidden/>
              </w:rPr>
              <w:tab/>
            </w:r>
            <w:r w:rsidR="008A6D82">
              <w:rPr>
                <w:noProof/>
                <w:webHidden/>
              </w:rPr>
              <w:fldChar w:fldCharType="begin"/>
            </w:r>
            <w:r w:rsidR="008A6D82">
              <w:rPr>
                <w:noProof/>
                <w:webHidden/>
              </w:rPr>
              <w:instrText xml:space="preserve"> PAGEREF _Toc517431840 \h </w:instrText>
            </w:r>
            <w:r w:rsidR="008A6D82">
              <w:rPr>
                <w:noProof/>
                <w:webHidden/>
              </w:rPr>
            </w:r>
            <w:r w:rsidR="008A6D82">
              <w:rPr>
                <w:noProof/>
                <w:webHidden/>
              </w:rPr>
              <w:fldChar w:fldCharType="separate"/>
            </w:r>
            <w:r w:rsidR="008A6D82">
              <w:rPr>
                <w:noProof/>
                <w:webHidden/>
              </w:rPr>
              <w:t>22</w:t>
            </w:r>
            <w:r w:rsidR="008A6D82">
              <w:rPr>
                <w:noProof/>
                <w:webHidden/>
              </w:rPr>
              <w:fldChar w:fldCharType="end"/>
            </w:r>
          </w:hyperlink>
        </w:p>
        <w:p w14:paraId="271DAC50" w14:textId="14AD175F" w:rsidR="008A6D82" w:rsidRDefault="00C5138B" w:rsidP="008A6D82">
          <w:pPr>
            <w:pStyle w:val="TOC3"/>
            <w:tabs>
              <w:tab w:val="right" w:leader="dot" w:pos="9016"/>
            </w:tabs>
            <w:rPr>
              <w:rFonts w:eastAsiaTheme="minorEastAsia"/>
              <w:noProof/>
              <w:lang w:eastAsia="en-GB"/>
            </w:rPr>
          </w:pPr>
          <w:hyperlink w:anchor="_Toc517431841" w:history="1">
            <w:r w:rsidR="008A6D82" w:rsidRPr="00732D8A">
              <w:rPr>
                <w:rStyle w:val="Hyperlink"/>
                <w:noProof/>
                <w:lang w:eastAsia="zh-CN"/>
              </w:rPr>
              <w:t>Rationale</w:t>
            </w:r>
            <w:r w:rsidR="008A6D82">
              <w:rPr>
                <w:noProof/>
                <w:webHidden/>
              </w:rPr>
              <w:tab/>
            </w:r>
            <w:r w:rsidR="008A6D82">
              <w:rPr>
                <w:noProof/>
                <w:webHidden/>
              </w:rPr>
              <w:fldChar w:fldCharType="begin"/>
            </w:r>
            <w:r w:rsidR="008A6D82">
              <w:rPr>
                <w:noProof/>
                <w:webHidden/>
              </w:rPr>
              <w:instrText xml:space="preserve"> PAGEREF _Toc517431841 \h </w:instrText>
            </w:r>
            <w:r w:rsidR="008A6D82">
              <w:rPr>
                <w:noProof/>
                <w:webHidden/>
              </w:rPr>
            </w:r>
            <w:r w:rsidR="008A6D82">
              <w:rPr>
                <w:noProof/>
                <w:webHidden/>
              </w:rPr>
              <w:fldChar w:fldCharType="separate"/>
            </w:r>
            <w:r w:rsidR="008A6D82">
              <w:rPr>
                <w:noProof/>
                <w:webHidden/>
              </w:rPr>
              <w:t>22</w:t>
            </w:r>
            <w:r w:rsidR="008A6D82">
              <w:rPr>
                <w:noProof/>
                <w:webHidden/>
              </w:rPr>
              <w:fldChar w:fldCharType="end"/>
            </w:r>
          </w:hyperlink>
        </w:p>
        <w:p w14:paraId="38682E43" w14:textId="05F6100D" w:rsidR="008A6D82" w:rsidRDefault="00C5138B" w:rsidP="008A6D82">
          <w:pPr>
            <w:pStyle w:val="TOC3"/>
            <w:tabs>
              <w:tab w:val="right" w:leader="dot" w:pos="9016"/>
            </w:tabs>
            <w:rPr>
              <w:rFonts w:eastAsiaTheme="minorEastAsia"/>
              <w:noProof/>
              <w:lang w:eastAsia="en-GB"/>
            </w:rPr>
          </w:pPr>
          <w:hyperlink w:anchor="_Toc517431842" w:history="1">
            <w:r w:rsidR="008A6D82" w:rsidRPr="00732D8A">
              <w:rPr>
                <w:rStyle w:val="Hyperlink"/>
                <w:noProof/>
              </w:rPr>
              <w:t>National Forest Inventory</w:t>
            </w:r>
            <w:r w:rsidR="008A6D82">
              <w:rPr>
                <w:noProof/>
                <w:webHidden/>
              </w:rPr>
              <w:tab/>
            </w:r>
            <w:r w:rsidR="008A6D82">
              <w:rPr>
                <w:noProof/>
                <w:webHidden/>
              </w:rPr>
              <w:fldChar w:fldCharType="begin"/>
            </w:r>
            <w:r w:rsidR="008A6D82">
              <w:rPr>
                <w:noProof/>
                <w:webHidden/>
              </w:rPr>
              <w:instrText xml:space="preserve"> PAGEREF _Toc517431842 \h </w:instrText>
            </w:r>
            <w:r w:rsidR="008A6D82">
              <w:rPr>
                <w:noProof/>
                <w:webHidden/>
              </w:rPr>
            </w:r>
            <w:r w:rsidR="008A6D82">
              <w:rPr>
                <w:noProof/>
                <w:webHidden/>
              </w:rPr>
              <w:fldChar w:fldCharType="separate"/>
            </w:r>
            <w:r w:rsidR="008A6D82">
              <w:rPr>
                <w:noProof/>
                <w:webHidden/>
              </w:rPr>
              <w:t>22</w:t>
            </w:r>
            <w:r w:rsidR="008A6D82">
              <w:rPr>
                <w:noProof/>
                <w:webHidden/>
              </w:rPr>
              <w:fldChar w:fldCharType="end"/>
            </w:r>
          </w:hyperlink>
        </w:p>
        <w:p w14:paraId="0FC398D5" w14:textId="31BACC71" w:rsidR="008A6D82" w:rsidRDefault="00C5138B" w:rsidP="008A6D82">
          <w:pPr>
            <w:pStyle w:val="TOC2"/>
            <w:tabs>
              <w:tab w:val="right" w:leader="dot" w:pos="9016"/>
            </w:tabs>
            <w:rPr>
              <w:rFonts w:eastAsiaTheme="minorEastAsia"/>
              <w:noProof/>
              <w:lang w:eastAsia="en-GB"/>
            </w:rPr>
          </w:pPr>
          <w:hyperlink w:anchor="_Toc517431843" w:history="1">
            <w:r w:rsidR="008A6D82" w:rsidRPr="00732D8A">
              <w:rPr>
                <w:rStyle w:val="Hyperlink"/>
                <w:noProof/>
              </w:rPr>
              <w:t>Appendix S1.2 Details of the drivers selected for the analysis of rhododendron occurrence</w:t>
            </w:r>
            <w:r w:rsidR="008A6D82">
              <w:rPr>
                <w:noProof/>
                <w:webHidden/>
              </w:rPr>
              <w:tab/>
            </w:r>
            <w:r w:rsidR="008A6D82">
              <w:rPr>
                <w:noProof/>
                <w:webHidden/>
              </w:rPr>
              <w:fldChar w:fldCharType="begin"/>
            </w:r>
            <w:r w:rsidR="008A6D82">
              <w:rPr>
                <w:noProof/>
                <w:webHidden/>
              </w:rPr>
              <w:instrText xml:space="preserve"> PAGEREF _Toc517431843 \h </w:instrText>
            </w:r>
            <w:r w:rsidR="008A6D82">
              <w:rPr>
                <w:noProof/>
                <w:webHidden/>
              </w:rPr>
            </w:r>
            <w:r w:rsidR="008A6D82">
              <w:rPr>
                <w:noProof/>
                <w:webHidden/>
              </w:rPr>
              <w:fldChar w:fldCharType="separate"/>
            </w:r>
            <w:r w:rsidR="008A6D82">
              <w:rPr>
                <w:noProof/>
                <w:webHidden/>
              </w:rPr>
              <w:t>23</w:t>
            </w:r>
            <w:r w:rsidR="008A6D82">
              <w:rPr>
                <w:noProof/>
                <w:webHidden/>
              </w:rPr>
              <w:fldChar w:fldCharType="end"/>
            </w:r>
          </w:hyperlink>
        </w:p>
        <w:p w14:paraId="5DCAEAB6" w14:textId="2560FF7F" w:rsidR="008A6D82" w:rsidRDefault="00C5138B" w:rsidP="008A6D82">
          <w:pPr>
            <w:pStyle w:val="TOC2"/>
            <w:tabs>
              <w:tab w:val="right" w:leader="dot" w:pos="9016"/>
            </w:tabs>
            <w:rPr>
              <w:rFonts w:eastAsiaTheme="minorEastAsia"/>
              <w:noProof/>
              <w:lang w:eastAsia="en-GB"/>
            </w:rPr>
          </w:pPr>
          <w:hyperlink w:anchor="_Toc517431844" w:history="1">
            <w:r w:rsidR="008A6D82" w:rsidRPr="00732D8A">
              <w:rPr>
                <w:rStyle w:val="Hyperlink"/>
                <w:noProof/>
              </w:rPr>
              <w:t>Appendix S1.3 Defining regional contexts</w:t>
            </w:r>
            <w:r w:rsidR="008A6D82">
              <w:rPr>
                <w:noProof/>
                <w:webHidden/>
              </w:rPr>
              <w:tab/>
            </w:r>
            <w:r w:rsidR="008A6D82">
              <w:rPr>
                <w:noProof/>
                <w:webHidden/>
              </w:rPr>
              <w:fldChar w:fldCharType="begin"/>
            </w:r>
            <w:r w:rsidR="008A6D82">
              <w:rPr>
                <w:noProof/>
                <w:webHidden/>
              </w:rPr>
              <w:instrText xml:space="preserve"> PAGEREF _Toc517431844 \h </w:instrText>
            </w:r>
            <w:r w:rsidR="008A6D82">
              <w:rPr>
                <w:noProof/>
                <w:webHidden/>
              </w:rPr>
            </w:r>
            <w:r w:rsidR="008A6D82">
              <w:rPr>
                <w:noProof/>
                <w:webHidden/>
              </w:rPr>
              <w:fldChar w:fldCharType="separate"/>
            </w:r>
            <w:r w:rsidR="008A6D82">
              <w:rPr>
                <w:noProof/>
                <w:webHidden/>
              </w:rPr>
              <w:t>24</w:t>
            </w:r>
            <w:r w:rsidR="008A6D82">
              <w:rPr>
                <w:noProof/>
                <w:webHidden/>
              </w:rPr>
              <w:fldChar w:fldCharType="end"/>
            </w:r>
          </w:hyperlink>
        </w:p>
        <w:p w14:paraId="4C9B1EF5" w14:textId="5B1C3825" w:rsidR="008A6D82" w:rsidRDefault="00C5138B" w:rsidP="008A6D82">
          <w:pPr>
            <w:pStyle w:val="TOC2"/>
            <w:tabs>
              <w:tab w:val="right" w:leader="dot" w:pos="9016"/>
            </w:tabs>
            <w:rPr>
              <w:rFonts w:eastAsiaTheme="minorEastAsia"/>
              <w:noProof/>
              <w:lang w:eastAsia="en-GB"/>
            </w:rPr>
          </w:pPr>
          <w:hyperlink w:anchor="_Toc517431845" w:history="1">
            <w:r w:rsidR="008A6D82" w:rsidRPr="00732D8A">
              <w:rPr>
                <w:rStyle w:val="Hyperlink"/>
                <w:noProof/>
              </w:rPr>
              <w:t>Appendix S1.4 Characterising landscape structure</w:t>
            </w:r>
            <w:r w:rsidR="008A6D82">
              <w:rPr>
                <w:noProof/>
                <w:webHidden/>
              </w:rPr>
              <w:tab/>
            </w:r>
            <w:r w:rsidR="008A6D82">
              <w:rPr>
                <w:noProof/>
                <w:webHidden/>
              </w:rPr>
              <w:fldChar w:fldCharType="begin"/>
            </w:r>
            <w:r w:rsidR="008A6D82">
              <w:rPr>
                <w:noProof/>
                <w:webHidden/>
              </w:rPr>
              <w:instrText xml:space="preserve"> PAGEREF _Toc517431845 \h </w:instrText>
            </w:r>
            <w:r w:rsidR="008A6D82">
              <w:rPr>
                <w:noProof/>
                <w:webHidden/>
              </w:rPr>
            </w:r>
            <w:r w:rsidR="008A6D82">
              <w:rPr>
                <w:noProof/>
                <w:webHidden/>
              </w:rPr>
              <w:fldChar w:fldCharType="separate"/>
            </w:r>
            <w:r w:rsidR="008A6D82">
              <w:rPr>
                <w:noProof/>
                <w:webHidden/>
              </w:rPr>
              <w:t>24</w:t>
            </w:r>
            <w:r w:rsidR="008A6D82">
              <w:rPr>
                <w:noProof/>
                <w:webHidden/>
              </w:rPr>
              <w:fldChar w:fldCharType="end"/>
            </w:r>
          </w:hyperlink>
        </w:p>
        <w:p w14:paraId="75FF8AD9" w14:textId="3373925E" w:rsidR="008A6D82" w:rsidRDefault="00C5138B" w:rsidP="008A6D82">
          <w:pPr>
            <w:pStyle w:val="TOC2"/>
            <w:tabs>
              <w:tab w:val="right" w:leader="dot" w:pos="9016"/>
            </w:tabs>
            <w:rPr>
              <w:rFonts w:eastAsiaTheme="minorEastAsia"/>
              <w:noProof/>
              <w:lang w:eastAsia="en-GB"/>
            </w:rPr>
          </w:pPr>
          <w:hyperlink w:anchor="_Toc517431846" w:history="1">
            <w:r w:rsidR="008A6D82" w:rsidRPr="00732D8A">
              <w:rPr>
                <w:rStyle w:val="Hyperlink"/>
                <w:noProof/>
              </w:rPr>
              <w:t>Appendix S1.5 Details of data exploration and processing</w:t>
            </w:r>
            <w:r w:rsidR="008A6D82">
              <w:rPr>
                <w:noProof/>
                <w:webHidden/>
              </w:rPr>
              <w:tab/>
            </w:r>
            <w:r w:rsidR="008A6D82">
              <w:rPr>
                <w:noProof/>
                <w:webHidden/>
              </w:rPr>
              <w:fldChar w:fldCharType="begin"/>
            </w:r>
            <w:r w:rsidR="008A6D82">
              <w:rPr>
                <w:noProof/>
                <w:webHidden/>
              </w:rPr>
              <w:instrText xml:space="preserve"> PAGEREF _Toc517431846 \h </w:instrText>
            </w:r>
            <w:r w:rsidR="008A6D82">
              <w:rPr>
                <w:noProof/>
                <w:webHidden/>
              </w:rPr>
            </w:r>
            <w:r w:rsidR="008A6D82">
              <w:rPr>
                <w:noProof/>
                <w:webHidden/>
              </w:rPr>
              <w:fldChar w:fldCharType="separate"/>
            </w:r>
            <w:r w:rsidR="008A6D82">
              <w:rPr>
                <w:noProof/>
                <w:webHidden/>
              </w:rPr>
              <w:t>25</w:t>
            </w:r>
            <w:r w:rsidR="008A6D82">
              <w:rPr>
                <w:noProof/>
                <w:webHidden/>
              </w:rPr>
              <w:fldChar w:fldCharType="end"/>
            </w:r>
          </w:hyperlink>
        </w:p>
        <w:p w14:paraId="677E8B9C" w14:textId="23DF303A" w:rsidR="008A6D82" w:rsidRDefault="00C5138B" w:rsidP="008A6D82">
          <w:pPr>
            <w:pStyle w:val="TOC2"/>
            <w:tabs>
              <w:tab w:val="right" w:leader="dot" w:pos="9016"/>
            </w:tabs>
            <w:rPr>
              <w:rFonts w:eastAsiaTheme="minorEastAsia"/>
              <w:noProof/>
              <w:lang w:eastAsia="en-GB"/>
            </w:rPr>
          </w:pPr>
          <w:hyperlink w:anchor="_Toc517431847" w:history="1">
            <w:r w:rsidR="008A6D82" w:rsidRPr="00732D8A">
              <w:rPr>
                <w:rStyle w:val="Hyperlink"/>
                <w:noProof/>
              </w:rPr>
              <w:t>Appendix S1.6 Details of model selection to identify important drivers and scales</w:t>
            </w:r>
            <w:r w:rsidR="008A6D82">
              <w:rPr>
                <w:noProof/>
                <w:webHidden/>
              </w:rPr>
              <w:tab/>
            </w:r>
            <w:r w:rsidR="008A6D82">
              <w:rPr>
                <w:noProof/>
                <w:webHidden/>
              </w:rPr>
              <w:fldChar w:fldCharType="begin"/>
            </w:r>
            <w:r w:rsidR="008A6D82">
              <w:rPr>
                <w:noProof/>
                <w:webHidden/>
              </w:rPr>
              <w:instrText xml:space="preserve"> PAGEREF _Toc517431847 \h </w:instrText>
            </w:r>
            <w:r w:rsidR="008A6D82">
              <w:rPr>
                <w:noProof/>
                <w:webHidden/>
              </w:rPr>
            </w:r>
            <w:r w:rsidR="008A6D82">
              <w:rPr>
                <w:noProof/>
                <w:webHidden/>
              </w:rPr>
              <w:fldChar w:fldCharType="separate"/>
            </w:r>
            <w:r w:rsidR="008A6D82">
              <w:rPr>
                <w:noProof/>
                <w:webHidden/>
              </w:rPr>
              <w:t>26</w:t>
            </w:r>
            <w:r w:rsidR="008A6D82">
              <w:rPr>
                <w:noProof/>
                <w:webHidden/>
              </w:rPr>
              <w:fldChar w:fldCharType="end"/>
            </w:r>
          </w:hyperlink>
        </w:p>
        <w:p w14:paraId="7CBEC559" w14:textId="4200AB59" w:rsidR="008A6D82" w:rsidRDefault="00C5138B" w:rsidP="008A6D82">
          <w:pPr>
            <w:pStyle w:val="TOC1"/>
            <w:rPr>
              <w:rFonts w:eastAsiaTheme="minorEastAsia"/>
              <w:lang w:eastAsia="en-GB"/>
            </w:rPr>
          </w:pPr>
          <w:hyperlink w:anchor="_Toc517431849" w:history="1">
            <w:r w:rsidR="008A6D82" w:rsidRPr="00732D8A">
              <w:rPr>
                <w:rStyle w:val="Hyperlink"/>
              </w:rPr>
              <w:t>Appendix S2. Further methodological details for modelling pond water quality</w:t>
            </w:r>
            <w:r w:rsidR="008A6D82">
              <w:rPr>
                <w:webHidden/>
              </w:rPr>
              <w:tab/>
            </w:r>
            <w:r w:rsidR="008A6D82">
              <w:rPr>
                <w:webHidden/>
              </w:rPr>
              <w:fldChar w:fldCharType="begin"/>
            </w:r>
            <w:r w:rsidR="008A6D82">
              <w:rPr>
                <w:webHidden/>
              </w:rPr>
              <w:instrText xml:space="preserve"> PAGEREF _Toc517431849 \h </w:instrText>
            </w:r>
            <w:r w:rsidR="008A6D82">
              <w:rPr>
                <w:webHidden/>
              </w:rPr>
            </w:r>
            <w:r w:rsidR="008A6D82">
              <w:rPr>
                <w:webHidden/>
              </w:rPr>
              <w:fldChar w:fldCharType="separate"/>
            </w:r>
            <w:r w:rsidR="008A6D82">
              <w:rPr>
                <w:webHidden/>
              </w:rPr>
              <w:t>30</w:t>
            </w:r>
            <w:r w:rsidR="008A6D82">
              <w:rPr>
                <w:webHidden/>
              </w:rPr>
              <w:fldChar w:fldCharType="end"/>
            </w:r>
          </w:hyperlink>
        </w:p>
        <w:p w14:paraId="3DA5D3D4" w14:textId="1A16B01C" w:rsidR="008A6D82" w:rsidRDefault="00C5138B" w:rsidP="008A6D82">
          <w:pPr>
            <w:pStyle w:val="TOC2"/>
            <w:tabs>
              <w:tab w:val="right" w:leader="dot" w:pos="9016"/>
            </w:tabs>
            <w:rPr>
              <w:rFonts w:eastAsiaTheme="minorEastAsia"/>
              <w:noProof/>
              <w:lang w:eastAsia="en-GB"/>
            </w:rPr>
          </w:pPr>
          <w:hyperlink w:anchor="_Toc517431850" w:history="1">
            <w:r w:rsidR="008A6D82" w:rsidRPr="00732D8A">
              <w:rPr>
                <w:rStyle w:val="Hyperlink"/>
                <w:noProof/>
              </w:rPr>
              <w:t>Appendix S2.1 Details of the drivers selected for the analysis of soluble reactive phosphorus concentrations (SRP) in ponds</w:t>
            </w:r>
            <w:r w:rsidR="008A6D82">
              <w:rPr>
                <w:noProof/>
                <w:webHidden/>
              </w:rPr>
              <w:tab/>
            </w:r>
            <w:r w:rsidR="008A6D82">
              <w:rPr>
                <w:noProof/>
                <w:webHidden/>
              </w:rPr>
              <w:fldChar w:fldCharType="begin"/>
            </w:r>
            <w:r w:rsidR="008A6D82">
              <w:rPr>
                <w:noProof/>
                <w:webHidden/>
              </w:rPr>
              <w:instrText xml:space="preserve"> PAGEREF _Toc517431850 \h </w:instrText>
            </w:r>
            <w:r w:rsidR="008A6D82">
              <w:rPr>
                <w:noProof/>
                <w:webHidden/>
              </w:rPr>
            </w:r>
            <w:r w:rsidR="008A6D82">
              <w:rPr>
                <w:noProof/>
                <w:webHidden/>
              </w:rPr>
              <w:fldChar w:fldCharType="separate"/>
            </w:r>
            <w:r w:rsidR="008A6D82">
              <w:rPr>
                <w:noProof/>
                <w:webHidden/>
              </w:rPr>
              <w:t>30</w:t>
            </w:r>
            <w:r w:rsidR="008A6D82">
              <w:rPr>
                <w:noProof/>
                <w:webHidden/>
              </w:rPr>
              <w:fldChar w:fldCharType="end"/>
            </w:r>
          </w:hyperlink>
        </w:p>
        <w:p w14:paraId="1DBC4675" w14:textId="391DF9AE" w:rsidR="008A6D82" w:rsidRDefault="00C5138B" w:rsidP="008A6D82">
          <w:pPr>
            <w:pStyle w:val="TOC2"/>
            <w:tabs>
              <w:tab w:val="right" w:leader="dot" w:pos="9016"/>
            </w:tabs>
            <w:rPr>
              <w:rFonts w:eastAsiaTheme="minorEastAsia"/>
              <w:noProof/>
              <w:lang w:eastAsia="en-GB"/>
            </w:rPr>
          </w:pPr>
          <w:hyperlink w:anchor="_Toc517431851" w:history="1">
            <w:r w:rsidR="008A6D82" w:rsidRPr="00732D8A">
              <w:rPr>
                <w:rStyle w:val="Hyperlink"/>
                <w:noProof/>
              </w:rPr>
              <w:t>Appendix S2.2 Defining regional contexts</w:t>
            </w:r>
            <w:r w:rsidR="008A6D82">
              <w:rPr>
                <w:noProof/>
                <w:webHidden/>
              </w:rPr>
              <w:tab/>
            </w:r>
            <w:r w:rsidR="008A6D82">
              <w:rPr>
                <w:noProof/>
                <w:webHidden/>
              </w:rPr>
              <w:fldChar w:fldCharType="begin"/>
            </w:r>
            <w:r w:rsidR="008A6D82">
              <w:rPr>
                <w:noProof/>
                <w:webHidden/>
              </w:rPr>
              <w:instrText xml:space="preserve"> PAGEREF _Toc517431851 \h </w:instrText>
            </w:r>
            <w:r w:rsidR="008A6D82">
              <w:rPr>
                <w:noProof/>
                <w:webHidden/>
              </w:rPr>
            </w:r>
            <w:r w:rsidR="008A6D82">
              <w:rPr>
                <w:noProof/>
                <w:webHidden/>
              </w:rPr>
              <w:fldChar w:fldCharType="separate"/>
            </w:r>
            <w:r w:rsidR="008A6D82">
              <w:rPr>
                <w:noProof/>
                <w:webHidden/>
              </w:rPr>
              <w:t>31</w:t>
            </w:r>
            <w:r w:rsidR="008A6D82">
              <w:rPr>
                <w:noProof/>
                <w:webHidden/>
              </w:rPr>
              <w:fldChar w:fldCharType="end"/>
            </w:r>
          </w:hyperlink>
        </w:p>
        <w:p w14:paraId="5AE7B332" w14:textId="5D03BBB3" w:rsidR="008A6D82" w:rsidRDefault="00C5138B" w:rsidP="008A6D82">
          <w:pPr>
            <w:pStyle w:val="TOC2"/>
            <w:tabs>
              <w:tab w:val="right" w:leader="dot" w:pos="9016"/>
            </w:tabs>
            <w:rPr>
              <w:rFonts w:eastAsiaTheme="minorEastAsia"/>
              <w:noProof/>
              <w:lang w:eastAsia="en-GB"/>
            </w:rPr>
          </w:pPr>
          <w:hyperlink w:anchor="_Toc517431852" w:history="1">
            <w:r w:rsidR="008A6D82" w:rsidRPr="00732D8A">
              <w:rPr>
                <w:rStyle w:val="Hyperlink"/>
                <w:noProof/>
              </w:rPr>
              <w:t>Appendix S2.3 Details of model selection to identify important drivers and scales</w:t>
            </w:r>
            <w:r w:rsidR="008A6D82">
              <w:rPr>
                <w:noProof/>
                <w:webHidden/>
              </w:rPr>
              <w:tab/>
            </w:r>
            <w:r w:rsidR="008A6D82">
              <w:rPr>
                <w:noProof/>
                <w:webHidden/>
              </w:rPr>
              <w:fldChar w:fldCharType="begin"/>
            </w:r>
            <w:r w:rsidR="008A6D82">
              <w:rPr>
                <w:noProof/>
                <w:webHidden/>
              </w:rPr>
              <w:instrText xml:space="preserve"> PAGEREF _Toc517431852 \h </w:instrText>
            </w:r>
            <w:r w:rsidR="008A6D82">
              <w:rPr>
                <w:noProof/>
                <w:webHidden/>
              </w:rPr>
            </w:r>
            <w:r w:rsidR="008A6D82">
              <w:rPr>
                <w:noProof/>
                <w:webHidden/>
              </w:rPr>
              <w:fldChar w:fldCharType="separate"/>
            </w:r>
            <w:r w:rsidR="008A6D82">
              <w:rPr>
                <w:noProof/>
                <w:webHidden/>
              </w:rPr>
              <w:t>32</w:t>
            </w:r>
            <w:r w:rsidR="008A6D82">
              <w:rPr>
                <w:noProof/>
                <w:webHidden/>
              </w:rPr>
              <w:fldChar w:fldCharType="end"/>
            </w:r>
          </w:hyperlink>
        </w:p>
        <w:p w14:paraId="05D263F4" w14:textId="58ADB12A" w:rsidR="008A6D82" w:rsidRDefault="00C5138B" w:rsidP="008A6D82">
          <w:pPr>
            <w:pStyle w:val="TOC2"/>
            <w:tabs>
              <w:tab w:val="right" w:leader="dot" w:pos="9016"/>
            </w:tabs>
            <w:rPr>
              <w:rFonts w:eastAsiaTheme="minorEastAsia"/>
              <w:noProof/>
              <w:lang w:eastAsia="en-GB"/>
            </w:rPr>
          </w:pPr>
          <w:hyperlink w:anchor="_Toc517431856" w:history="1">
            <w:r w:rsidR="008A6D82" w:rsidRPr="00732D8A">
              <w:rPr>
                <w:rStyle w:val="Hyperlink"/>
                <w:noProof/>
              </w:rPr>
              <w:t>Supplementary Information References</w:t>
            </w:r>
            <w:r w:rsidR="008A6D82">
              <w:rPr>
                <w:noProof/>
                <w:webHidden/>
              </w:rPr>
              <w:tab/>
            </w:r>
            <w:r w:rsidR="008A6D82">
              <w:rPr>
                <w:noProof/>
                <w:webHidden/>
              </w:rPr>
              <w:fldChar w:fldCharType="begin"/>
            </w:r>
            <w:r w:rsidR="008A6D82">
              <w:rPr>
                <w:noProof/>
                <w:webHidden/>
              </w:rPr>
              <w:instrText xml:space="preserve"> PAGEREF _Toc517431856 \h </w:instrText>
            </w:r>
            <w:r w:rsidR="008A6D82">
              <w:rPr>
                <w:noProof/>
                <w:webHidden/>
              </w:rPr>
            </w:r>
            <w:r w:rsidR="008A6D82">
              <w:rPr>
                <w:noProof/>
                <w:webHidden/>
              </w:rPr>
              <w:fldChar w:fldCharType="separate"/>
            </w:r>
            <w:r w:rsidR="008A6D82">
              <w:rPr>
                <w:noProof/>
                <w:webHidden/>
              </w:rPr>
              <w:t>35</w:t>
            </w:r>
            <w:r w:rsidR="008A6D82">
              <w:rPr>
                <w:noProof/>
                <w:webHidden/>
              </w:rPr>
              <w:fldChar w:fldCharType="end"/>
            </w:r>
          </w:hyperlink>
        </w:p>
        <w:p w14:paraId="7351327F" w14:textId="77777777" w:rsidR="008A6D82" w:rsidRDefault="008A6D82" w:rsidP="008A6D82">
          <w:r>
            <w:rPr>
              <w:b/>
              <w:bCs/>
              <w:noProof/>
            </w:rPr>
            <w:fldChar w:fldCharType="end"/>
          </w:r>
        </w:p>
      </w:sdtContent>
    </w:sdt>
    <w:p w14:paraId="0D0B2E72" w14:textId="77777777" w:rsidR="008A6D82" w:rsidRPr="008A699C" w:rsidRDefault="008A6D82" w:rsidP="008A6D82">
      <w:pPr>
        <w:rPr>
          <w:lang w:eastAsia="zh-CN"/>
        </w:rPr>
      </w:pPr>
    </w:p>
    <w:p w14:paraId="01018C15" w14:textId="77777777" w:rsidR="008A6D82" w:rsidRDefault="008A6D82" w:rsidP="008A6D82">
      <w:pPr>
        <w:rPr>
          <w:lang w:eastAsia="zh-CN"/>
        </w:rPr>
      </w:pPr>
      <w:r>
        <w:rPr>
          <w:lang w:eastAsia="zh-CN"/>
        </w:rPr>
        <w:br w:type="page"/>
      </w:r>
    </w:p>
    <w:p w14:paraId="3367ABBD" w14:textId="77777777" w:rsidR="008A6D82" w:rsidRDefault="008A6D82" w:rsidP="008A6D82">
      <w:pPr>
        <w:pStyle w:val="Heading1"/>
      </w:pPr>
      <w:bookmarkStart w:id="40" w:name="_Toc517421423"/>
      <w:bookmarkStart w:id="41" w:name="_Toc517431839"/>
      <w:r>
        <w:t>Appendix S1. Further methodological details for modelling woodland susceptibility to rhododendron invasion</w:t>
      </w:r>
      <w:bookmarkEnd w:id="40"/>
      <w:bookmarkEnd w:id="41"/>
    </w:p>
    <w:p w14:paraId="2B344EA6" w14:textId="77777777" w:rsidR="008A6D82" w:rsidRDefault="008A6D82" w:rsidP="008A6D82">
      <w:pPr>
        <w:pStyle w:val="Heading2"/>
      </w:pPr>
      <w:bookmarkStart w:id="42" w:name="_Toc517421424"/>
      <w:bookmarkStart w:id="43" w:name="_Toc517431840"/>
      <w:r>
        <w:t>Appendix S1.1 Rationale for modelling rhododendron occurrence, the dataset and selected drivers</w:t>
      </w:r>
      <w:bookmarkEnd w:id="42"/>
      <w:bookmarkEnd w:id="43"/>
    </w:p>
    <w:p w14:paraId="10BA053F" w14:textId="77777777" w:rsidR="008A6D82" w:rsidRPr="007C6259" w:rsidRDefault="008A6D82" w:rsidP="008A6D82">
      <w:pPr>
        <w:pStyle w:val="Heading3"/>
        <w:rPr>
          <w:lang w:eastAsia="zh-CN"/>
        </w:rPr>
      </w:pPr>
      <w:bookmarkStart w:id="44" w:name="_Toc517421425"/>
      <w:bookmarkStart w:id="45" w:name="_Toc517431841"/>
      <w:r>
        <w:rPr>
          <w:lang w:eastAsia="zh-CN"/>
        </w:rPr>
        <w:t>Rationale</w:t>
      </w:r>
      <w:bookmarkEnd w:id="44"/>
      <w:bookmarkEnd w:id="45"/>
    </w:p>
    <w:p w14:paraId="4B67EFEE" w14:textId="77777777" w:rsidR="008A6D82" w:rsidRPr="00DF7A49" w:rsidRDefault="008A6D82" w:rsidP="008A6D82">
      <w:pPr>
        <w:rPr>
          <w:lang w:eastAsia="zh-CN"/>
        </w:rPr>
      </w:pPr>
      <w:r w:rsidRPr="009B7944">
        <w:rPr>
          <w:rFonts w:cs="Times New Roman"/>
          <w:iCs/>
          <w:szCs w:val="24"/>
        </w:rPr>
        <w:t>Rhododendron</w:t>
      </w:r>
      <w:r w:rsidRPr="00E33F38">
        <w:rPr>
          <w:rFonts w:cs="Times New Roman"/>
          <w:szCs w:val="24"/>
        </w:rPr>
        <w:t xml:space="preserve"> is an evergreen shrub </w:t>
      </w:r>
      <w:r>
        <w:rPr>
          <w:rFonts w:cs="Times New Roman"/>
          <w:szCs w:val="24"/>
        </w:rPr>
        <w:t xml:space="preserve">that </w:t>
      </w:r>
      <w:r w:rsidRPr="00E33F38">
        <w:rPr>
          <w:rFonts w:cs="Times New Roman"/>
          <w:szCs w:val="24"/>
        </w:rPr>
        <w:t xml:space="preserve">has become </w:t>
      </w:r>
      <w:r>
        <w:rPr>
          <w:rFonts w:cs="Times New Roman"/>
          <w:szCs w:val="24"/>
        </w:rPr>
        <w:t xml:space="preserve">a </w:t>
      </w:r>
      <w:r w:rsidRPr="00E33F38">
        <w:rPr>
          <w:rFonts w:cs="Times New Roman"/>
          <w:szCs w:val="24"/>
        </w:rPr>
        <w:t>well</w:t>
      </w:r>
      <w:r>
        <w:rPr>
          <w:rFonts w:cs="Times New Roman"/>
          <w:szCs w:val="24"/>
        </w:rPr>
        <w:t>-</w:t>
      </w:r>
      <w:r w:rsidRPr="00E33F38">
        <w:rPr>
          <w:rFonts w:cs="Times New Roman"/>
          <w:szCs w:val="24"/>
        </w:rPr>
        <w:t xml:space="preserve">established </w:t>
      </w:r>
      <w:r>
        <w:rPr>
          <w:rFonts w:cs="Times New Roman"/>
          <w:szCs w:val="24"/>
        </w:rPr>
        <w:t>p</w:t>
      </w:r>
      <w:r w:rsidRPr="00E33F38">
        <w:rPr>
          <w:rFonts w:cs="Times New Roman"/>
          <w:szCs w:val="24"/>
        </w:rPr>
        <w:t>est of conservation and economic concern</w:t>
      </w:r>
      <w:r>
        <w:rPr>
          <w:rFonts w:cs="Times New Roman"/>
          <w:szCs w:val="24"/>
        </w:rPr>
        <w:t xml:space="preserve"> in</w:t>
      </w:r>
      <w:r w:rsidRPr="00E33F38">
        <w:rPr>
          <w:rFonts w:cs="Times New Roman"/>
          <w:szCs w:val="24"/>
        </w:rPr>
        <w:t xml:space="preserve"> Britain since its introduction as an ornamental in 1763. </w:t>
      </w:r>
      <w:r>
        <w:rPr>
          <w:rFonts w:cs="Times New Roman"/>
          <w:szCs w:val="24"/>
        </w:rPr>
        <w:t>It</w:t>
      </w:r>
      <w:r w:rsidRPr="00E33F38">
        <w:rPr>
          <w:rFonts w:cs="Times New Roman"/>
          <w:szCs w:val="24"/>
        </w:rPr>
        <w:t xml:space="preserve"> </w:t>
      </w:r>
      <w:r>
        <w:rPr>
          <w:rFonts w:cs="Times New Roman"/>
          <w:szCs w:val="24"/>
        </w:rPr>
        <w:t>inhibits</w:t>
      </w:r>
      <w:r w:rsidRPr="00E33F38">
        <w:rPr>
          <w:rFonts w:cs="Times New Roman"/>
          <w:szCs w:val="24"/>
        </w:rPr>
        <w:t xml:space="preserve"> the regeneration of native woodlands, reduces woodland biodiversity and increases the cost of forestry operations if pre-treatment is required</w:t>
      </w:r>
      <w:r>
        <w:rPr>
          <w:rFonts w:cs="Times New Roman"/>
          <w:szCs w:val="24"/>
        </w:rPr>
        <w:t>.</w:t>
      </w:r>
      <w:r w:rsidRPr="00E33F38">
        <w:rPr>
          <w:rFonts w:cs="Times New Roman"/>
          <w:szCs w:val="24"/>
        </w:rPr>
        <w:t xml:space="preserve"> </w:t>
      </w:r>
      <w:r>
        <w:rPr>
          <w:rFonts w:cs="Times New Roman"/>
          <w:szCs w:val="24"/>
        </w:rPr>
        <w:t>E</w:t>
      </w:r>
      <w:r w:rsidRPr="00E33F38">
        <w:rPr>
          <w:rFonts w:cs="Times New Roman"/>
          <w:szCs w:val="24"/>
        </w:rPr>
        <w:t xml:space="preserve">radication </w:t>
      </w:r>
      <w:r>
        <w:rPr>
          <w:rFonts w:cs="Times New Roman"/>
          <w:szCs w:val="24"/>
        </w:rPr>
        <w:t>expenses depend on</w:t>
      </w:r>
      <w:r w:rsidRPr="00E33F38">
        <w:rPr>
          <w:rFonts w:cs="Times New Roman"/>
          <w:szCs w:val="24"/>
        </w:rPr>
        <w:t xml:space="preserve"> the </w:t>
      </w:r>
      <w:r>
        <w:rPr>
          <w:rFonts w:cs="Times New Roman"/>
          <w:szCs w:val="24"/>
        </w:rPr>
        <w:t xml:space="preserve">site accessibility and </w:t>
      </w:r>
      <w:r w:rsidRPr="00E33F38">
        <w:rPr>
          <w:rFonts w:cs="Times New Roman"/>
          <w:szCs w:val="24"/>
        </w:rPr>
        <w:t xml:space="preserve">clearance method </w:t>
      </w:r>
      <w:r>
        <w:rPr>
          <w:rFonts w:cs="Times New Roman"/>
          <w:szCs w:val="24"/>
        </w:rPr>
        <w:t>and</w:t>
      </w:r>
      <w:r w:rsidRPr="00E33F38">
        <w:rPr>
          <w:rFonts w:cs="Times New Roman"/>
          <w:szCs w:val="24"/>
        </w:rPr>
        <w:t xml:space="preserve"> </w:t>
      </w:r>
      <w:r>
        <w:rPr>
          <w:rFonts w:cs="Times New Roman"/>
          <w:szCs w:val="24"/>
        </w:rPr>
        <w:t>can</w:t>
      </w:r>
      <w:r w:rsidRPr="00E33F38">
        <w:rPr>
          <w:rFonts w:cs="Times New Roman"/>
          <w:szCs w:val="24"/>
        </w:rPr>
        <w:t xml:space="preserve"> </w:t>
      </w:r>
      <w:r>
        <w:rPr>
          <w:rFonts w:cs="Times New Roman"/>
          <w:szCs w:val="24"/>
        </w:rPr>
        <w:t>cost as much as £10,000 ha</w:t>
      </w:r>
      <w:r w:rsidRPr="00C06F0E">
        <w:rPr>
          <w:rFonts w:cs="Times New Roman"/>
          <w:szCs w:val="24"/>
          <w:vertAlign w:val="superscript"/>
        </w:rPr>
        <w:t>-1</w:t>
      </w:r>
      <w:r w:rsidRPr="00580A4F">
        <w:rPr>
          <w:lang w:eastAsia="en-GB"/>
        </w:rPr>
        <w:t xml:space="preserve"> </w:t>
      </w:r>
      <w:r>
        <w:rPr>
          <w:lang w:eastAsia="en-GB"/>
        </w:rPr>
        <w:t xml:space="preserve">(Dehnen-Schmutzet al. 2004). </w:t>
      </w:r>
      <w:r w:rsidRPr="00E33F38">
        <w:rPr>
          <w:rFonts w:cs="Times New Roman"/>
          <w:szCs w:val="24"/>
        </w:rPr>
        <w:t xml:space="preserve">Several studies have investigated </w:t>
      </w:r>
      <w:r>
        <w:rPr>
          <w:rFonts w:cs="Times New Roman"/>
          <w:szCs w:val="24"/>
        </w:rPr>
        <w:t>its</w:t>
      </w:r>
      <w:r w:rsidRPr="00E33F38">
        <w:rPr>
          <w:rFonts w:cs="Times New Roman"/>
          <w:szCs w:val="24"/>
        </w:rPr>
        <w:t xml:space="preserve"> establishment requirements</w:t>
      </w:r>
      <w:r>
        <w:rPr>
          <w:rFonts w:cs="Times New Roman"/>
          <w:szCs w:val="24"/>
        </w:rPr>
        <w:t xml:space="preserve">, </w:t>
      </w:r>
      <w:r w:rsidRPr="00E33F38">
        <w:rPr>
          <w:rFonts w:cs="Times New Roman"/>
          <w:szCs w:val="24"/>
        </w:rPr>
        <w:t xml:space="preserve">but </w:t>
      </w:r>
      <w:r>
        <w:rPr>
          <w:rFonts w:cs="Times New Roman"/>
          <w:szCs w:val="24"/>
        </w:rPr>
        <w:t>at</w:t>
      </w:r>
      <w:r w:rsidRPr="00E33F38">
        <w:rPr>
          <w:rFonts w:cs="Times New Roman"/>
          <w:szCs w:val="24"/>
        </w:rPr>
        <w:t xml:space="preserve"> small geographic extents</w:t>
      </w:r>
      <w:r>
        <w:rPr>
          <w:rFonts w:cs="Times New Roman"/>
          <w:szCs w:val="24"/>
        </w:rPr>
        <w:t xml:space="preserve"> thus far </w:t>
      </w:r>
      <w:r w:rsidRPr="00580A4F">
        <w:rPr>
          <w:rFonts w:cs="Times New Roman"/>
          <w:szCs w:val="24"/>
        </w:rPr>
        <w:t xml:space="preserve">(e.g. Thomson et al. 1993; Stephenson et al. 2006). Understanding </w:t>
      </w:r>
      <w:r w:rsidRPr="00DE244B">
        <w:rPr>
          <w:rFonts w:cs="Times New Roman"/>
          <w:szCs w:val="24"/>
        </w:rPr>
        <w:t xml:space="preserve">variation in the effects of factors that facilitate </w:t>
      </w:r>
      <w:r>
        <w:rPr>
          <w:rFonts w:cs="Times New Roman"/>
          <w:szCs w:val="24"/>
        </w:rPr>
        <w:t>r</w:t>
      </w:r>
      <w:r w:rsidRPr="00042A03">
        <w:rPr>
          <w:rFonts w:cs="Times New Roman"/>
          <w:szCs w:val="24"/>
        </w:rPr>
        <w:t>hododendron</w:t>
      </w:r>
      <w:r w:rsidRPr="00DE244B">
        <w:rPr>
          <w:rFonts w:cs="Times New Roman"/>
          <w:szCs w:val="24"/>
        </w:rPr>
        <w:t xml:space="preserve"> invasion at broad extents, such as across Britain</w:t>
      </w:r>
      <w:r>
        <w:rPr>
          <w:rFonts w:cs="Times New Roman"/>
          <w:szCs w:val="24"/>
        </w:rPr>
        <w:t>, could allow for the spatial targeting of grant aid and monitoring for early removal and management.</w:t>
      </w:r>
    </w:p>
    <w:p w14:paraId="6D6C5BD5" w14:textId="77777777" w:rsidR="008A6D82" w:rsidRDefault="008A6D82" w:rsidP="008A6D82">
      <w:pPr>
        <w:pStyle w:val="Heading3"/>
      </w:pPr>
      <w:bookmarkStart w:id="46" w:name="_Toc517421426"/>
      <w:bookmarkStart w:id="47" w:name="_Toc517431842"/>
      <w:r>
        <w:t>National Forest Inventory</w:t>
      </w:r>
      <w:bookmarkEnd w:id="46"/>
      <w:bookmarkEnd w:id="47"/>
      <w:r>
        <w:t xml:space="preserve"> </w:t>
      </w:r>
    </w:p>
    <w:p w14:paraId="710BDEC8" w14:textId="77777777" w:rsidR="008A6D82" w:rsidRDefault="008A6D82" w:rsidP="008A6D82">
      <w:r>
        <w:t xml:space="preserve">We used the first cycle of the Forestry Commission’s National Forest Inventory (NFI; 2010 – 2015) to model </w:t>
      </w:r>
      <w:r>
        <w:rPr>
          <w:iCs/>
        </w:rPr>
        <w:t>r</w:t>
      </w:r>
      <w:r w:rsidRPr="00EF3E9B">
        <w:rPr>
          <w:iCs/>
        </w:rPr>
        <w:t>hododendron</w:t>
      </w:r>
      <w:r>
        <w:rPr>
          <w:i/>
          <w:iCs/>
        </w:rPr>
        <w:t xml:space="preserve"> </w:t>
      </w:r>
      <w:r w:rsidRPr="00DC6153">
        <w:rPr>
          <w:iCs/>
        </w:rPr>
        <w:t>invasion</w:t>
      </w:r>
      <w:r>
        <w:rPr>
          <w:iCs/>
        </w:rPr>
        <w:t>. This rolling field survey scheme incorporates over 15,000 1ha woodland ‘squares’ across Great Britain, from which data describing the site’s biophysical attributes and human activities are collected using a standardised protocol (</w:t>
      </w:r>
      <w:hyperlink r:id="rId12" w:anchor="fieldsurvey" w:history="1">
        <w:r w:rsidRPr="00366CA1">
          <w:rPr>
            <w:rStyle w:val="Hyperlink"/>
          </w:rPr>
          <w:t>https://www.forestry.gov.uk/fr/beeh-a3gf9u#fieldsurvey</w:t>
        </w:r>
      </w:hyperlink>
      <w:r w:rsidRPr="00A15D3D">
        <w:rPr>
          <w:iCs/>
        </w:rPr>
        <w:t>).</w:t>
      </w:r>
      <w:r>
        <w:rPr>
          <w:iCs/>
        </w:rPr>
        <w:t xml:space="preserve"> These sites were selected using a stratified-random sampling technique</w:t>
      </w:r>
      <w:r>
        <w:t xml:space="preserve">. Each 1-ha square is subdivided into sections, </w:t>
      </w:r>
      <w:r w:rsidRPr="00E435C5">
        <w:t xml:space="preserve">areas of woodland within a survey square that are relatively homogenous </w:t>
      </w:r>
      <w:r>
        <w:t>in terms of management and land use attributes including silvicultural system, age, height</w:t>
      </w:r>
      <w:r w:rsidRPr="00E435C5">
        <w:t xml:space="preserve">, </w:t>
      </w:r>
      <w:r>
        <w:t xml:space="preserve">and are at least 0.05ha in extent (S1.1). </w:t>
      </w:r>
    </w:p>
    <w:p w14:paraId="6F6E87C7" w14:textId="77777777" w:rsidR="008A6D82" w:rsidRDefault="008A6D82" w:rsidP="008A6D82">
      <w:pPr>
        <w:rPr>
          <w:rFonts w:asciiTheme="majorHAnsi" w:eastAsiaTheme="majorEastAsia" w:hAnsiTheme="majorHAnsi" w:cstheme="majorBidi"/>
          <w:b/>
          <w:sz w:val="26"/>
          <w:szCs w:val="26"/>
          <w:lang w:eastAsia="zh-CN"/>
        </w:rPr>
      </w:pPr>
      <w:bookmarkStart w:id="48" w:name="_Toc517421427"/>
      <w:bookmarkStart w:id="49" w:name="_Toc517431843"/>
      <w:r>
        <w:br w:type="page"/>
      </w:r>
    </w:p>
    <w:p w14:paraId="7E5BD77F" w14:textId="77777777" w:rsidR="008A6D82" w:rsidRDefault="008A6D82" w:rsidP="008A6D82">
      <w:pPr>
        <w:pStyle w:val="Heading2"/>
      </w:pPr>
      <w:r>
        <w:t>Appendix S1.2 Details of the drivers selected for the analysis of rhododendron occurrence</w:t>
      </w:r>
      <w:bookmarkEnd w:id="48"/>
      <w:bookmarkEnd w:id="49"/>
    </w:p>
    <w:p w14:paraId="24672D3B" w14:textId="77777777" w:rsidR="008A6D82" w:rsidRPr="00091E1F" w:rsidRDefault="008A6D82" w:rsidP="008A6D82">
      <w:pPr>
        <w:spacing w:after="0"/>
        <w:rPr>
          <w:rFonts w:ascii="Arial" w:hAnsi="Arial" w:cs="Arial"/>
          <w:sz w:val="20"/>
        </w:rPr>
      </w:pPr>
      <w:r>
        <w:rPr>
          <w:rFonts w:ascii="Arial" w:hAnsi="Arial" w:cs="Arial"/>
          <w:sz w:val="20"/>
        </w:rPr>
        <w:t>Table S1</w:t>
      </w:r>
      <w:r w:rsidRPr="00091E1F">
        <w:rPr>
          <w:rFonts w:ascii="Arial" w:hAnsi="Arial" w:cs="Arial"/>
          <w:sz w:val="20"/>
        </w:rPr>
        <w:t>.1.</w:t>
      </w:r>
      <w:r w:rsidRPr="00091E1F">
        <w:rPr>
          <w:rFonts w:ascii="Arial" w:hAnsi="Arial" w:cs="Arial"/>
          <w:sz w:val="20"/>
        </w:rPr>
        <w:tab/>
      </w:r>
      <w:r>
        <w:rPr>
          <w:rFonts w:ascii="Arial" w:hAnsi="Arial" w:cs="Arial"/>
          <w:sz w:val="20"/>
        </w:rPr>
        <w:t>Drivers</w:t>
      </w:r>
      <w:r w:rsidRPr="00091E1F">
        <w:rPr>
          <w:rFonts w:ascii="Arial" w:hAnsi="Arial" w:cs="Arial"/>
          <w:sz w:val="20"/>
        </w:rPr>
        <w:t xml:space="preserve"> selected for the analysis of </w:t>
      </w:r>
      <w:r w:rsidRPr="00DE27CD">
        <w:rPr>
          <w:rFonts w:ascii="Arial" w:hAnsi="Arial" w:cs="Arial"/>
          <w:sz w:val="20"/>
        </w:rPr>
        <w:t>rhododendron</w:t>
      </w:r>
      <w:r w:rsidRPr="00091E1F">
        <w:rPr>
          <w:rFonts w:ascii="Arial" w:hAnsi="Arial" w:cs="Arial"/>
          <w:sz w:val="20"/>
        </w:rPr>
        <w:t xml:space="preserve"> </w:t>
      </w:r>
      <w:r>
        <w:rPr>
          <w:rFonts w:ascii="Arial" w:hAnsi="Arial" w:cs="Arial"/>
          <w:sz w:val="20"/>
        </w:rPr>
        <w:t>occurrence</w:t>
      </w:r>
    </w:p>
    <w:tbl>
      <w:tblPr>
        <w:tblStyle w:val="TableGrid"/>
        <w:tblW w:w="5817" w:type="pct"/>
        <w:tblInd w:w="-714" w:type="dxa"/>
        <w:tblLayout w:type="fixed"/>
        <w:tblLook w:val="04A0" w:firstRow="1" w:lastRow="0" w:firstColumn="1" w:lastColumn="0" w:noHBand="0" w:noVBand="1"/>
      </w:tblPr>
      <w:tblGrid>
        <w:gridCol w:w="1986"/>
        <w:gridCol w:w="1730"/>
        <w:gridCol w:w="2096"/>
        <w:gridCol w:w="850"/>
        <w:gridCol w:w="57"/>
        <w:gridCol w:w="3770"/>
      </w:tblGrid>
      <w:tr w:rsidR="008A6D82" w:rsidRPr="00FE1494" w14:paraId="464BC783" w14:textId="77777777" w:rsidTr="00CB618A">
        <w:tc>
          <w:tcPr>
            <w:tcW w:w="947" w:type="pct"/>
            <w:tcBorders>
              <w:bottom w:val="single" w:sz="4" w:space="0" w:color="auto"/>
            </w:tcBorders>
          </w:tcPr>
          <w:p w14:paraId="253F0148" w14:textId="77777777" w:rsidR="008A6D82" w:rsidRPr="00FE1494" w:rsidRDefault="008A6D82" w:rsidP="00CB618A">
            <w:pPr>
              <w:spacing w:line="276" w:lineRule="auto"/>
              <w:rPr>
                <w:rFonts w:ascii="Arial" w:hAnsi="Arial" w:cs="Arial"/>
                <w:sz w:val="16"/>
                <w:szCs w:val="16"/>
              </w:rPr>
            </w:pPr>
          </w:p>
        </w:tc>
        <w:tc>
          <w:tcPr>
            <w:tcW w:w="1824" w:type="pct"/>
            <w:gridSpan w:val="2"/>
            <w:tcBorders>
              <w:bottom w:val="single" w:sz="4" w:space="0" w:color="auto"/>
            </w:tcBorders>
          </w:tcPr>
          <w:p w14:paraId="7D21009E" w14:textId="77777777" w:rsidR="008A6D82" w:rsidRPr="00FE1494" w:rsidRDefault="008A6D82" w:rsidP="00CB618A">
            <w:pPr>
              <w:spacing w:line="276" w:lineRule="auto"/>
              <w:rPr>
                <w:rFonts w:ascii="Arial" w:hAnsi="Arial" w:cs="Arial"/>
                <w:b/>
                <w:sz w:val="16"/>
                <w:szCs w:val="16"/>
              </w:rPr>
            </w:pPr>
            <w:r w:rsidRPr="00FE1494">
              <w:rPr>
                <w:rFonts w:ascii="Arial" w:hAnsi="Arial" w:cs="Arial"/>
                <w:b/>
                <w:sz w:val="16"/>
                <w:szCs w:val="16"/>
              </w:rPr>
              <w:t>Relationship to rhododendron occurrence probability</w:t>
            </w:r>
          </w:p>
        </w:tc>
        <w:tc>
          <w:tcPr>
            <w:tcW w:w="405" w:type="pct"/>
            <w:tcBorders>
              <w:bottom w:val="single" w:sz="4" w:space="0" w:color="auto"/>
            </w:tcBorders>
          </w:tcPr>
          <w:p w14:paraId="7621A8F4" w14:textId="77777777" w:rsidR="008A6D82" w:rsidRPr="00FE1494" w:rsidRDefault="008A6D82" w:rsidP="00CB618A">
            <w:pPr>
              <w:spacing w:line="276" w:lineRule="auto"/>
              <w:rPr>
                <w:rFonts w:ascii="Arial" w:hAnsi="Arial" w:cs="Arial"/>
                <w:b/>
                <w:sz w:val="16"/>
                <w:szCs w:val="16"/>
              </w:rPr>
            </w:pPr>
            <w:r w:rsidRPr="00FE1494">
              <w:rPr>
                <w:rFonts w:ascii="Arial" w:hAnsi="Arial" w:cs="Arial"/>
                <w:b/>
                <w:sz w:val="16"/>
                <w:szCs w:val="16"/>
              </w:rPr>
              <w:t>Variable type</w:t>
            </w:r>
          </w:p>
        </w:tc>
        <w:tc>
          <w:tcPr>
            <w:tcW w:w="1824" w:type="pct"/>
            <w:gridSpan w:val="2"/>
            <w:tcBorders>
              <w:bottom w:val="single" w:sz="4" w:space="0" w:color="auto"/>
            </w:tcBorders>
          </w:tcPr>
          <w:p w14:paraId="045B86B7" w14:textId="77777777" w:rsidR="008A6D82" w:rsidRPr="00FE1494" w:rsidRDefault="008A6D82" w:rsidP="00CB618A">
            <w:pPr>
              <w:spacing w:line="276" w:lineRule="auto"/>
              <w:rPr>
                <w:rFonts w:ascii="Arial" w:hAnsi="Arial" w:cs="Arial"/>
                <w:b/>
                <w:sz w:val="16"/>
                <w:szCs w:val="16"/>
              </w:rPr>
            </w:pPr>
            <w:r w:rsidRPr="00FE1494">
              <w:rPr>
                <w:rFonts w:ascii="Arial" w:hAnsi="Arial" w:cs="Arial"/>
                <w:b/>
                <w:sz w:val="16"/>
                <w:szCs w:val="16"/>
              </w:rPr>
              <w:t>Source, original resolution and processing details</w:t>
            </w:r>
          </w:p>
        </w:tc>
      </w:tr>
      <w:tr w:rsidR="008A6D82" w:rsidRPr="00FE1494" w14:paraId="7B2CACFB" w14:textId="77777777" w:rsidTr="00CB618A">
        <w:tc>
          <w:tcPr>
            <w:tcW w:w="1772" w:type="pct"/>
            <w:gridSpan w:val="2"/>
            <w:tcBorders>
              <w:top w:val="single" w:sz="4" w:space="0" w:color="auto"/>
              <w:left w:val="single" w:sz="4" w:space="0" w:color="auto"/>
              <w:bottom w:val="single" w:sz="4" w:space="0" w:color="auto"/>
              <w:right w:val="nil"/>
            </w:tcBorders>
          </w:tcPr>
          <w:p w14:paraId="6431CCCC" w14:textId="77777777" w:rsidR="008A6D82" w:rsidRPr="00FE1494" w:rsidRDefault="008A6D82" w:rsidP="00CB618A">
            <w:pPr>
              <w:spacing w:line="276" w:lineRule="auto"/>
              <w:rPr>
                <w:rFonts w:ascii="Arial" w:hAnsi="Arial" w:cs="Arial"/>
                <w:sz w:val="16"/>
                <w:szCs w:val="16"/>
              </w:rPr>
            </w:pPr>
            <w:r w:rsidRPr="00FE1494">
              <w:rPr>
                <w:rFonts w:ascii="Arial" w:hAnsi="Arial" w:cs="Arial"/>
                <w:b/>
                <w:sz w:val="16"/>
                <w:szCs w:val="16"/>
              </w:rPr>
              <w:t>Region-level</w:t>
            </w:r>
          </w:p>
        </w:tc>
        <w:tc>
          <w:tcPr>
            <w:tcW w:w="1431" w:type="pct"/>
            <w:gridSpan w:val="3"/>
            <w:tcBorders>
              <w:top w:val="single" w:sz="4" w:space="0" w:color="auto"/>
              <w:left w:val="nil"/>
              <w:bottom w:val="single" w:sz="4" w:space="0" w:color="auto"/>
              <w:right w:val="nil"/>
            </w:tcBorders>
          </w:tcPr>
          <w:p w14:paraId="658A90A3" w14:textId="77777777" w:rsidR="008A6D82" w:rsidRPr="00FE1494" w:rsidRDefault="008A6D82" w:rsidP="00CB618A">
            <w:pPr>
              <w:spacing w:line="276" w:lineRule="auto"/>
              <w:rPr>
                <w:rFonts w:ascii="Arial" w:hAnsi="Arial" w:cs="Arial"/>
                <w:sz w:val="16"/>
                <w:szCs w:val="16"/>
              </w:rPr>
            </w:pPr>
          </w:p>
        </w:tc>
        <w:tc>
          <w:tcPr>
            <w:tcW w:w="1797" w:type="pct"/>
            <w:tcBorders>
              <w:top w:val="single" w:sz="4" w:space="0" w:color="auto"/>
              <w:left w:val="nil"/>
              <w:bottom w:val="single" w:sz="4" w:space="0" w:color="auto"/>
              <w:right w:val="single" w:sz="4" w:space="0" w:color="auto"/>
            </w:tcBorders>
          </w:tcPr>
          <w:p w14:paraId="0FDBB7F3" w14:textId="77777777" w:rsidR="008A6D82" w:rsidRPr="00FE1494" w:rsidRDefault="008A6D82" w:rsidP="00CB618A">
            <w:pPr>
              <w:spacing w:line="276" w:lineRule="auto"/>
              <w:rPr>
                <w:rFonts w:ascii="Arial" w:hAnsi="Arial" w:cs="Arial"/>
                <w:sz w:val="16"/>
                <w:szCs w:val="16"/>
              </w:rPr>
            </w:pPr>
          </w:p>
        </w:tc>
      </w:tr>
      <w:tr w:rsidR="008A6D82" w:rsidRPr="00FE1494" w14:paraId="44221650" w14:textId="77777777" w:rsidTr="00CB618A">
        <w:tc>
          <w:tcPr>
            <w:tcW w:w="947" w:type="pct"/>
            <w:tcBorders>
              <w:top w:val="single" w:sz="4" w:space="0" w:color="auto"/>
            </w:tcBorders>
          </w:tcPr>
          <w:p w14:paraId="7BF512DD" w14:textId="77777777" w:rsidR="008A6D82" w:rsidRPr="00FE1494" w:rsidRDefault="008A6D82" w:rsidP="00CB618A">
            <w:pPr>
              <w:spacing w:line="276" w:lineRule="auto"/>
              <w:rPr>
                <w:rFonts w:ascii="Arial" w:hAnsi="Arial" w:cs="Arial"/>
                <w:sz w:val="16"/>
                <w:szCs w:val="16"/>
              </w:rPr>
            </w:pPr>
            <w:r w:rsidRPr="00FE1494">
              <w:rPr>
                <w:rFonts w:ascii="Arial" w:hAnsi="Arial" w:cs="Arial"/>
                <w:sz w:val="16"/>
                <w:szCs w:val="16"/>
              </w:rPr>
              <w:t>Soil moisture deficit</w:t>
            </w:r>
          </w:p>
        </w:tc>
        <w:tc>
          <w:tcPr>
            <w:tcW w:w="1824" w:type="pct"/>
            <w:gridSpan w:val="2"/>
            <w:tcBorders>
              <w:top w:val="single" w:sz="4" w:space="0" w:color="auto"/>
            </w:tcBorders>
          </w:tcPr>
          <w:p w14:paraId="03E1A7E4" w14:textId="77777777" w:rsidR="008A6D82" w:rsidRPr="00FE1494" w:rsidRDefault="008A6D82" w:rsidP="00CB618A">
            <w:pPr>
              <w:spacing w:line="276" w:lineRule="auto"/>
              <w:rPr>
                <w:rFonts w:ascii="Arial" w:hAnsi="Arial" w:cs="Arial"/>
                <w:sz w:val="16"/>
                <w:szCs w:val="16"/>
              </w:rPr>
            </w:pPr>
            <w:r w:rsidRPr="00FE1494">
              <w:rPr>
                <w:rFonts w:ascii="Arial" w:hAnsi="Arial" w:cs="Arial"/>
                <w:sz w:val="16"/>
                <w:szCs w:val="16"/>
              </w:rPr>
              <w:t>Negative to negative quadratic – rhododendron requires damp soils and is intolerant to drought and water-logging</w:t>
            </w:r>
            <w:r w:rsidRPr="00FE1494">
              <w:rPr>
                <w:rFonts w:ascii="Arial" w:hAnsi="Arial" w:cs="Arial"/>
                <w:sz w:val="16"/>
                <w:szCs w:val="16"/>
              </w:rPr>
              <w:fldChar w:fldCharType="begin" w:fldLock="1"/>
            </w:r>
            <w:r w:rsidRPr="00FE1494">
              <w:rPr>
                <w:rFonts w:ascii="Arial" w:hAnsi="Arial" w:cs="Arial"/>
                <w:sz w:val="16"/>
                <w:szCs w:val="16"/>
              </w:rPr>
              <w:instrText>ADDIN CSL_CITATION { "citationItems" : [ { "id" : "ITEM-1", "itemData" : { "author" : [ { "dropping-particle" : "", "family" : "Cross", "given" : "J.R.", "non-dropping-particle" : "", "parse-names" : false, "suffix" : "" } ], "container-title" : "Journal of Ecology", "id" : "ITEM-1", "issued" : { "date-parts" : [ [ "1975" ] ] }, "page" : "345\u2013364", "title" : "Biological flora of the British Isles: Rhododendron ponticum.", "type" : "article-journal", "volume" : "63" }, "uris" : [ "http://www.mendeley.com/documents/?uuid=a4d198bb-bb2c-4dc6-b6a9-25f3ada0b48f" ] } ], "mendeley" : { "formattedCitation" : "&lt;sup&gt;37&lt;/sup&gt;", "plainTextFormattedCitation" : "37", "previouslyFormattedCitation" : "&lt;sup&gt;37&lt;/sup&gt;" }, "properties" : {  }, "schema" : "https://github.com/citation-style-language/schema/raw/master/csl-citation.json" }</w:instrText>
            </w:r>
            <w:r w:rsidRPr="00FE1494">
              <w:rPr>
                <w:rFonts w:ascii="Arial" w:hAnsi="Arial" w:cs="Arial"/>
                <w:sz w:val="16"/>
                <w:szCs w:val="16"/>
              </w:rPr>
              <w:fldChar w:fldCharType="separate"/>
            </w:r>
            <w:r w:rsidRPr="00FE1494">
              <w:rPr>
                <w:rFonts w:ascii="Arial" w:hAnsi="Arial" w:cs="Arial"/>
                <w:noProof/>
                <w:sz w:val="16"/>
                <w:szCs w:val="16"/>
                <w:vertAlign w:val="superscript"/>
              </w:rPr>
              <w:t>37</w:t>
            </w:r>
            <w:r w:rsidRPr="00FE1494">
              <w:rPr>
                <w:rFonts w:ascii="Arial" w:hAnsi="Arial" w:cs="Arial"/>
                <w:sz w:val="16"/>
                <w:szCs w:val="16"/>
              </w:rPr>
              <w:fldChar w:fldCharType="end"/>
            </w:r>
            <w:r w:rsidRPr="00FE1494">
              <w:rPr>
                <w:rFonts w:ascii="Arial" w:hAnsi="Arial" w:cs="Arial"/>
                <w:sz w:val="16"/>
                <w:szCs w:val="16"/>
              </w:rPr>
              <w:t>.</w:t>
            </w:r>
          </w:p>
        </w:tc>
        <w:tc>
          <w:tcPr>
            <w:tcW w:w="405" w:type="pct"/>
            <w:tcBorders>
              <w:top w:val="single" w:sz="4" w:space="0" w:color="auto"/>
            </w:tcBorders>
          </w:tcPr>
          <w:p w14:paraId="02F29632" w14:textId="77777777" w:rsidR="008A6D82" w:rsidRPr="00FE1494" w:rsidRDefault="008A6D82" w:rsidP="00CB618A">
            <w:pPr>
              <w:spacing w:line="276" w:lineRule="auto"/>
              <w:rPr>
                <w:rFonts w:ascii="Arial" w:hAnsi="Arial" w:cs="Arial"/>
                <w:sz w:val="16"/>
                <w:szCs w:val="16"/>
              </w:rPr>
            </w:pPr>
            <w:r w:rsidRPr="00FE1494">
              <w:rPr>
                <w:rFonts w:ascii="Arial" w:hAnsi="Arial" w:cs="Arial"/>
                <w:sz w:val="16"/>
                <w:szCs w:val="16"/>
              </w:rPr>
              <w:t>Continuous</w:t>
            </w:r>
          </w:p>
        </w:tc>
        <w:tc>
          <w:tcPr>
            <w:tcW w:w="1824" w:type="pct"/>
            <w:gridSpan w:val="2"/>
            <w:tcBorders>
              <w:top w:val="single" w:sz="4" w:space="0" w:color="auto"/>
            </w:tcBorders>
          </w:tcPr>
          <w:p w14:paraId="2F78B0C4" w14:textId="77777777" w:rsidR="008A6D82" w:rsidRPr="00FE1494" w:rsidRDefault="008A6D82" w:rsidP="00CB618A">
            <w:pPr>
              <w:spacing w:line="276" w:lineRule="auto"/>
              <w:rPr>
                <w:rFonts w:ascii="Arial" w:hAnsi="Arial" w:cs="Arial"/>
                <w:sz w:val="16"/>
                <w:szCs w:val="16"/>
              </w:rPr>
            </w:pPr>
            <w:r w:rsidRPr="00FE1494">
              <w:rPr>
                <w:rFonts w:ascii="Arial" w:hAnsi="Arial" w:cs="Arial"/>
                <w:sz w:val="16"/>
                <w:szCs w:val="16"/>
              </w:rPr>
              <w:t>Ecological Site Classification (ESC), originally available at 250-m</w:t>
            </w:r>
            <w:r>
              <w:rPr>
                <w:rFonts w:ascii="Arial" w:hAnsi="Arial" w:cs="Arial"/>
                <w:sz w:val="16"/>
                <w:szCs w:val="16"/>
              </w:rPr>
              <w:t xml:space="preserve"> </w:t>
            </w:r>
            <w:hyperlink r:id="rId13" w:history="1">
              <w:r w:rsidRPr="001734F9">
                <w:rPr>
                  <w:rStyle w:val="Hyperlink"/>
                  <w:rFonts w:ascii="Arial" w:hAnsi="Arial" w:cs="Arial"/>
                </w:rPr>
                <w:t>https://www.forestresearch.gov.uk/tools-and-resources/forest-planning-and-management-services/ecological-site-classification-decision-support-system-esc-dss/</w:t>
              </w:r>
            </w:hyperlink>
            <w:r>
              <w:rPr>
                <w:rFonts w:ascii="Arial" w:hAnsi="Arial" w:cs="Arial"/>
                <w:sz w:val="16"/>
                <w:szCs w:val="16"/>
              </w:rPr>
              <w:t xml:space="preserve"> </w:t>
            </w:r>
          </w:p>
        </w:tc>
      </w:tr>
      <w:tr w:rsidR="008A6D82" w:rsidRPr="00FE1494" w14:paraId="769EF7DB" w14:textId="77777777" w:rsidTr="00CB618A">
        <w:tc>
          <w:tcPr>
            <w:tcW w:w="947" w:type="pct"/>
          </w:tcPr>
          <w:p w14:paraId="6ABED400" w14:textId="77777777" w:rsidR="008A6D82" w:rsidRPr="00FE1494" w:rsidRDefault="008A6D82" w:rsidP="00CB618A">
            <w:pPr>
              <w:spacing w:line="276" w:lineRule="auto"/>
              <w:rPr>
                <w:rFonts w:ascii="Arial" w:hAnsi="Arial" w:cs="Arial"/>
                <w:sz w:val="16"/>
                <w:szCs w:val="16"/>
              </w:rPr>
            </w:pPr>
            <w:r w:rsidRPr="00FE1494">
              <w:rPr>
                <w:rFonts w:ascii="Arial" w:hAnsi="Arial" w:cs="Arial"/>
                <w:sz w:val="16"/>
                <w:szCs w:val="16"/>
              </w:rPr>
              <w:t xml:space="preserve">Elevation </w:t>
            </w:r>
          </w:p>
        </w:tc>
        <w:tc>
          <w:tcPr>
            <w:tcW w:w="1824" w:type="pct"/>
            <w:gridSpan w:val="2"/>
          </w:tcPr>
          <w:p w14:paraId="35D7F525" w14:textId="77777777" w:rsidR="008A6D82" w:rsidRPr="00FE1494" w:rsidRDefault="008A6D82" w:rsidP="00CB618A">
            <w:pPr>
              <w:spacing w:line="276" w:lineRule="auto"/>
              <w:rPr>
                <w:rFonts w:ascii="Arial" w:hAnsi="Arial" w:cs="Arial"/>
                <w:sz w:val="16"/>
                <w:szCs w:val="16"/>
              </w:rPr>
            </w:pPr>
            <w:r w:rsidRPr="00FE1494">
              <w:rPr>
                <w:rFonts w:ascii="Arial" w:hAnsi="Arial" w:cs="Arial"/>
                <w:sz w:val="16"/>
                <w:szCs w:val="16"/>
              </w:rPr>
              <w:t>Negative - suitability decreases with increasing elevation</w:t>
            </w:r>
            <w:r w:rsidRPr="00FE1494">
              <w:rPr>
                <w:rFonts w:ascii="Arial" w:hAnsi="Arial" w:cs="Arial"/>
                <w:sz w:val="16"/>
                <w:szCs w:val="16"/>
              </w:rPr>
              <w:fldChar w:fldCharType="begin" w:fldLock="1"/>
            </w:r>
            <w:r w:rsidRPr="00FE1494">
              <w:rPr>
                <w:rFonts w:ascii="Arial" w:hAnsi="Arial" w:cs="Arial"/>
                <w:sz w:val="16"/>
                <w:szCs w:val="16"/>
              </w:rPr>
              <w:instrText>ADDIN CSL_CITATION { "citationItems" : [ { "id" : "ITEM-1", "itemData" : { "DOI" : "10.1007/s10530-012-0305-y", "ISBN" : "1387-3547", "ISSN" : "13873547", "abstract" : "Invasive species can increase the susceptibility of ecosystems to disease by acting as reservoir hosts for pathogens. Invasive hosts are often sparsely recorded and not in equilibrium, so predicting their spatial distributions and overlap with other hosts is problematic. We applied newly developed methods for modelling the distribution of invasive species to the invasive shrub Rhododendron ponticum - a foliar reservoir host for the Phytophthora oomycete plant pathogens, P. ramorum and P. kernoviae, that threaten woodland and heathland habitat in Scotland. We compiled eleven datasets of biological records for R. ponticum (1691 points, 8455 polygons) and developed Maximum Entropy (MaxEnt) models incorporating landscape, soil and climate predictors. Our models produced accurate predictions of current suitable R. ponticum habitat (training AUC = 0.838; test AUC= 0.838) that corresponded well with population performance (areal cover). Continuous broad-leaved woodland cover, low elevation (&lt;400m a.s.l.) and intermediate levels of soil moisture (or Enhanced Vegetation Index) favoured presence of R. ponticum. The high coincidence of suitable habitat with both core native woodlands (54% of woodlands) and plantations of another sporulation host, Larix kaempferi, (64% of plantations) suggests a high potential for spread of Phytophthora infection to woodland mediated by R. ponticum. Incorporating non-equilibrium modelling methods did not improve habitat suitability predictions of this invasive host, possibly because, as a long-standing invader, R. ponticum has filled more of its available habitat at this national scale than previously suspected.", "author" : [ { "dropping-particle" : "V.", "family" : "Purse", "given" : "Bethan", "non-dropping-particle" : "", "parse-names" : false, "suffix" : "" }, { "dropping-particle" : "", "family" : "Graeser", "given" : "Philipp", "non-dropping-particle" : "", "parse-names" : false, "suffix" : "" }, { "dropping-particle" : "", "family" : "Searle", "given" : "Kate", "non-dropping-particle" : "", "parse-names" : false, "suffix" : "" }, { "dropping-particle" : "", "family" : "Edwards", "given" : "Colin", "non-dropping-particle" : "", "parse-names" : false, "suffix" : "" }, { "dropping-particle" : "", "family" : "Harris", "given" : "Catriona", "non-dropping-particle" : "", "parse-names" : false, "suffix" : "" } ], "container-title" : "Biological Invasions", "id" : "ITEM-1", "issue" : "3", "issued" : { "date-parts" : [ [ "2013" ] ] }, "page" : "529-545", "title" : "Challenges in predicting invasive reservoir hosts of emerging pathogens: Mapping Rhododendron ponticum as a foliar host for Phytophthora ramorum and Phytophthora kernoviae in the UK", "type" : "article-journal", "volume" : "15" }, "uris" : [ "http://www.mendeley.com/documents/?uuid=8e5f00ab-24d3-4994-8f91-2a2bfae5fe38" ] } ], "mendeley" : { "formattedCitation" : "&lt;sup&gt;38&lt;/sup&gt;", "plainTextFormattedCitation" : "38", "previouslyFormattedCitation" : "&lt;sup&gt;38&lt;/sup&gt;" }, "properties" : {  }, "schema" : "https://github.com/citation-style-language/schema/raw/master/csl-citation.json" }</w:instrText>
            </w:r>
            <w:r w:rsidRPr="00FE1494">
              <w:rPr>
                <w:rFonts w:ascii="Arial" w:hAnsi="Arial" w:cs="Arial"/>
                <w:sz w:val="16"/>
                <w:szCs w:val="16"/>
              </w:rPr>
              <w:fldChar w:fldCharType="separate"/>
            </w:r>
            <w:r w:rsidRPr="00FE1494">
              <w:rPr>
                <w:rFonts w:ascii="Arial" w:hAnsi="Arial" w:cs="Arial"/>
                <w:noProof/>
                <w:sz w:val="16"/>
                <w:szCs w:val="16"/>
                <w:vertAlign w:val="superscript"/>
              </w:rPr>
              <w:t>38</w:t>
            </w:r>
            <w:r w:rsidRPr="00FE1494">
              <w:rPr>
                <w:rFonts w:ascii="Arial" w:hAnsi="Arial" w:cs="Arial"/>
                <w:sz w:val="16"/>
                <w:szCs w:val="16"/>
              </w:rPr>
              <w:fldChar w:fldCharType="end"/>
            </w:r>
            <w:r w:rsidRPr="00FE1494">
              <w:rPr>
                <w:rFonts w:ascii="Arial" w:hAnsi="Arial" w:cs="Arial"/>
                <w:sz w:val="16"/>
                <w:szCs w:val="16"/>
              </w:rPr>
              <w:t>.</w:t>
            </w:r>
          </w:p>
        </w:tc>
        <w:tc>
          <w:tcPr>
            <w:tcW w:w="405" w:type="pct"/>
          </w:tcPr>
          <w:p w14:paraId="38E44A8F" w14:textId="77777777" w:rsidR="008A6D82" w:rsidRPr="00FE1494" w:rsidRDefault="008A6D82" w:rsidP="00CB618A">
            <w:pPr>
              <w:spacing w:line="276" w:lineRule="auto"/>
              <w:rPr>
                <w:rFonts w:ascii="Arial" w:hAnsi="Arial" w:cs="Arial"/>
                <w:sz w:val="16"/>
                <w:szCs w:val="16"/>
              </w:rPr>
            </w:pPr>
            <w:r w:rsidRPr="00FE1494">
              <w:rPr>
                <w:rFonts w:ascii="Arial" w:hAnsi="Arial" w:cs="Arial"/>
                <w:sz w:val="16"/>
                <w:szCs w:val="16"/>
              </w:rPr>
              <w:t>Continuous</w:t>
            </w:r>
          </w:p>
        </w:tc>
        <w:tc>
          <w:tcPr>
            <w:tcW w:w="1824" w:type="pct"/>
            <w:gridSpan w:val="2"/>
          </w:tcPr>
          <w:p w14:paraId="290D19AE" w14:textId="77777777" w:rsidR="008A6D82" w:rsidRPr="00FE1494" w:rsidRDefault="008A6D82" w:rsidP="00CB618A">
            <w:pPr>
              <w:spacing w:line="276" w:lineRule="auto"/>
              <w:rPr>
                <w:rFonts w:ascii="Arial" w:hAnsi="Arial" w:cs="Arial"/>
                <w:sz w:val="16"/>
                <w:szCs w:val="16"/>
              </w:rPr>
            </w:pPr>
            <w:r w:rsidRPr="00FE1494">
              <w:rPr>
                <w:rFonts w:ascii="Arial" w:hAnsi="Arial" w:cs="Arial"/>
                <w:sz w:val="16"/>
                <w:szCs w:val="16"/>
              </w:rPr>
              <w:t xml:space="preserve">OS Terrain 50, available at 50-m resolution </w:t>
            </w:r>
            <w:hyperlink r:id="rId14" w:history="1">
              <w:r w:rsidRPr="00FE1494">
                <w:rPr>
                  <w:rStyle w:val="Hyperlink"/>
                  <w:rFonts w:ascii="Arial" w:hAnsi="Arial" w:cs="Arial"/>
                </w:rPr>
                <w:t>https://www.ordnancesurvey.co.uk/xml/products/OSTerrain50Grid.xml</w:t>
              </w:r>
            </w:hyperlink>
            <w:r w:rsidRPr="00FE1494">
              <w:rPr>
                <w:rFonts w:ascii="Arial" w:hAnsi="Arial" w:cs="Arial"/>
                <w:sz w:val="16"/>
                <w:szCs w:val="16"/>
              </w:rPr>
              <w:t xml:space="preserve">   </w:t>
            </w:r>
          </w:p>
        </w:tc>
      </w:tr>
      <w:tr w:rsidR="008A6D82" w:rsidRPr="00FE1494" w14:paraId="362D7C3F" w14:textId="77777777" w:rsidTr="00CB618A">
        <w:tc>
          <w:tcPr>
            <w:tcW w:w="947" w:type="pct"/>
            <w:tcBorders>
              <w:bottom w:val="single" w:sz="4" w:space="0" w:color="auto"/>
            </w:tcBorders>
          </w:tcPr>
          <w:p w14:paraId="4B978FFC" w14:textId="77777777" w:rsidR="008A6D82" w:rsidRPr="00FE1494" w:rsidRDefault="008A6D82" w:rsidP="00CB618A">
            <w:pPr>
              <w:spacing w:line="276" w:lineRule="auto"/>
              <w:rPr>
                <w:rFonts w:ascii="Arial" w:hAnsi="Arial" w:cs="Arial"/>
                <w:sz w:val="16"/>
                <w:szCs w:val="16"/>
              </w:rPr>
            </w:pPr>
            <w:r w:rsidRPr="00FE1494">
              <w:rPr>
                <w:rFonts w:ascii="Arial" w:hAnsi="Arial" w:cs="Arial"/>
                <w:sz w:val="16"/>
                <w:szCs w:val="16"/>
              </w:rPr>
              <w:t>Soil pH</w:t>
            </w:r>
          </w:p>
        </w:tc>
        <w:tc>
          <w:tcPr>
            <w:tcW w:w="1824" w:type="pct"/>
            <w:gridSpan w:val="2"/>
            <w:tcBorders>
              <w:bottom w:val="single" w:sz="4" w:space="0" w:color="auto"/>
            </w:tcBorders>
          </w:tcPr>
          <w:p w14:paraId="107B811B" w14:textId="77777777" w:rsidR="008A6D82" w:rsidRPr="00FE1494" w:rsidRDefault="008A6D82" w:rsidP="00CB618A">
            <w:pPr>
              <w:spacing w:line="276" w:lineRule="auto"/>
              <w:rPr>
                <w:rFonts w:ascii="Arial" w:hAnsi="Arial" w:cs="Arial"/>
                <w:sz w:val="16"/>
                <w:szCs w:val="16"/>
              </w:rPr>
            </w:pPr>
            <w:r w:rsidRPr="00FE1494">
              <w:rPr>
                <w:rFonts w:ascii="Arial" w:hAnsi="Arial" w:cs="Arial"/>
                <w:sz w:val="16"/>
                <w:szCs w:val="16"/>
              </w:rPr>
              <w:t>Negative - rhododendron is found in a range of acidic soil conditions, from pH 3 to 6.4, but growth is generally inhibited below pH 5</w:t>
            </w:r>
            <w:r w:rsidRPr="00FE1494">
              <w:rPr>
                <w:rFonts w:ascii="Arial" w:hAnsi="Arial" w:cs="Arial"/>
                <w:sz w:val="16"/>
                <w:szCs w:val="16"/>
              </w:rPr>
              <w:fldChar w:fldCharType="begin" w:fldLock="1"/>
            </w:r>
            <w:r w:rsidRPr="00FE1494">
              <w:rPr>
                <w:rFonts w:ascii="Arial" w:hAnsi="Arial" w:cs="Arial"/>
                <w:sz w:val="16"/>
                <w:szCs w:val="16"/>
              </w:rPr>
              <w:instrText>ADDIN CSL_CITATION { "citationItems" : [ { "id" : "ITEM-1", "itemData" : { "author" : [ { "dropping-particle" : "", "family" : "Cross", "given" : "J.R.", "non-dropping-particle" : "", "parse-names" : false, "suffix" : "" } ], "container-title" : "Journal of Ecology", "id" : "ITEM-1", "issued" : { "date-parts" : [ [ "1975" ] ] }, "page" : "345\u2013364", "title" : "Biological flora of the British Isles: Rhododendron ponticum.", "type" : "article-journal", "volume" : "63" }, "uris" : [ "http://www.mendeley.com/documents/?uuid=a4d198bb-bb2c-4dc6-b6a9-25f3ada0b48f" ] } ], "mendeley" : { "formattedCitation" : "&lt;sup&gt;37&lt;/sup&gt;", "plainTextFormattedCitation" : "37", "previouslyFormattedCitation" : "&lt;sup&gt;37&lt;/sup&gt;" }, "properties" : {  }, "schema" : "https://github.com/citation-style-language/schema/raw/master/csl-citation.json" }</w:instrText>
            </w:r>
            <w:r w:rsidRPr="00FE1494">
              <w:rPr>
                <w:rFonts w:ascii="Arial" w:hAnsi="Arial" w:cs="Arial"/>
                <w:sz w:val="16"/>
                <w:szCs w:val="16"/>
              </w:rPr>
              <w:fldChar w:fldCharType="separate"/>
            </w:r>
            <w:r w:rsidRPr="00FE1494">
              <w:rPr>
                <w:rFonts w:ascii="Arial" w:hAnsi="Arial" w:cs="Arial"/>
                <w:noProof/>
                <w:sz w:val="16"/>
                <w:szCs w:val="16"/>
                <w:vertAlign w:val="superscript"/>
              </w:rPr>
              <w:t>37</w:t>
            </w:r>
            <w:r w:rsidRPr="00FE1494">
              <w:rPr>
                <w:rFonts w:ascii="Arial" w:hAnsi="Arial" w:cs="Arial"/>
                <w:sz w:val="16"/>
                <w:szCs w:val="16"/>
              </w:rPr>
              <w:fldChar w:fldCharType="end"/>
            </w:r>
            <w:r w:rsidRPr="00FE1494">
              <w:rPr>
                <w:rFonts w:ascii="Arial" w:hAnsi="Arial" w:cs="Arial"/>
                <w:sz w:val="16"/>
                <w:szCs w:val="16"/>
              </w:rPr>
              <w:t>.</w:t>
            </w:r>
          </w:p>
        </w:tc>
        <w:tc>
          <w:tcPr>
            <w:tcW w:w="405" w:type="pct"/>
            <w:tcBorders>
              <w:bottom w:val="single" w:sz="4" w:space="0" w:color="auto"/>
            </w:tcBorders>
          </w:tcPr>
          <w:p w14:paraId="6D149204" w14:textId="77777777" w:rsidR="008A6D82" w:rsidRPr="00FE1494" w:rsidRDefault="008A6D82" w:rsidP="00CB618A">
            <w:pPr>
              <w:spacing w:line="276" w:lineRule="auto"/>
              <w:rPr>
                <w:rFonts w:ascii="Arial" w:hAnsi="Arial" w:cs="Arial"/>
                <w:sz w:val="16"/>
                <w:szCs w:val="16"/>
              </w:rPr>
            </w:pPr>
            <w:r w:rsidRPr="00FE1494">
              <w:rPr>
                <w:rFonts w:ascii="Arial" w:hAnsi="Arial" w:cs="Arial"/>
                <w:sz w:val="16"/>
                <w:szCs w:val="16"/>
              </w:rPr>
              <w:t>Continuous</w:t>
            </w:r>
          </w:p>
        </w:tc>
        <w:tc>
          <w:tcPr>
            <w:tcW w:w="1824" w:type="pct"/>
            <w:gridSpan w:val="2"/>
            <w:tcBorders>
              <w:bottom w:val="single" w:sz="4" w:space="0" w:color="auto"/>
            </w:tcBorders>
          </w:tcPr>
          <w:p w14:paraId="49329FE9" w14:textId="77777777" w:rsidR="008A6D82" w:rsidRPr="00FE1494" w:rsidRDefault="008A6D82" w:rsidP="00CB618A">
            <w:pPr>
              <w:spacing w:line="276" w:lineRule="auto"/>
              <w:rPr>
                <w:rFonts w:ascii="Arial" w:hAnsi="Arial" w:cs="Arial"/>
                <w:sz w:val="16"/>
                <w:szCs w:val="16"/>
              </w:rPr>
            </w:pPr>
            <w:r w:rsidRPr="00FE1494">
              <w:rPr>
                <w:rFonts w:ascii="Arial" w:hAnsi="Arial" w:cs="Arial"/>
                <w:sz w:val="16"/>
                <w:szCs w:val="16"/>
              </w:rPr>
              <w:t xml:space="preserve">Countryside Survey’s Model estimates of topsoil pH and bulk density at 1-km resolution </w:t>
            </w:r>
            <w:hyperlink r:id="rId15" w:history="1">
              <w:r w:rsidRPr="00FE1494">
                <w:rPr>
                  <w:rStyle w:val="Hyperlink"/>
                  <w:rFonts w:ascii="Arial" w:hAnsi="Arial" w:cs="Arial"/>
                </w:rPr>
                <w:t>https://catalogue.ceh.ac.uk/documents/gemini/waf/</w:t>
              </w:r>
            </w:hyperlink>
            <w:r w:rsidRPr="00FE1494">
              <w:rPr>
                <w:rFonts w:ascii="Arial" w:hAnsi="Arial" w:cs="Arial"/>
                <w:sz w:val="16"/>
                <w:szCs w:val="16"/>
              </w:rPr>
              <w:t xml:space="preserve"> </w:t>
            </w:r>
          </w:p>
        </w:tc>
      </w:tr>
      <w:tr w:rsidR="008A6D82" w:rsidRPr="00FE1494" w14:paraId="18449D96" w14:textId="77777777" w:rsidTr="00CB618A">
        <w:tc>
          <w:tcPr>
            <w:tcW w:w="1772" w:type="pct"/>
            <w:gridSpan w:val="2"/>
            <w:tcBorders>
              <w:right w:val="nil"/>
            </w:tcBorders>
          </w:tcPr>
          <w:p w14:paraId="0A04451F" w14:textId="77777777" w:rsidR="008A6D82" w:rsidRPr="00FE1494" w:rsidRDefault="008A6D82" w:rsidP="00CB618A">
            <w:pPr>
              <w:spacing w:line="276" w:lineRule="auto"/>
              <w:rPr>
                <w:rFonts w:ascii="Arial" w:hAnsi="Arial" w:cs="Arial"/>
                <w:sz w:val="16"/>
                <w:szCs w:val="16"/>
              </w:rPr>
            </w:pPr>
            <w:r w:rsidRPr="00FE1494">
              <w:rPr>
                <w:rFonts w:ascii="Arial" w:hAnsi="Arial" w:cs="Arial"/>
                <w:b/>
                <w:sz w:val="16"/>
                <w:szCs w:val="16"/>
              </w:rPr>
              <w:t>Landscape-level</w:t>
            </w:r>
          </w:p>
        </w:tc>
        <w:tc>
          <w:tcPr>
            <w:tcW w:w="1431" w:type="pct"/>
            <w:gridSpan w:val="3"/>
            <w:tcBorders>
              <w:left w:val="nil"/>
              <w:right w:val="nil"/>
            </w:tcBorders>
          </w:tcPr>
          <w:p w14:paraId="60DC6DA2" w14:textId="77777777" w:rsidR="008A6D82" w:rsidRPr="00FE1494" w:rsidRDefault="008A6D82" w:rsidP="00CB618A">
            <w:pPr>
              <w:spacing w:line="276" w:lineRule="auto"/>
              <w:rPr>
                <w:rFonts w:ascii="Arial" w:hAnsi="Arial" w:cs="Arial"/>
                <w:sz w:val="16"/>
                <w:szCs w:val="16"/>
              </w:rPr>
            </w:pPr>
          </w:p>
        </w:tc>
        <w:tc>
          <w:tcPr>
            <w:tcW w:w="1797" w:type="pct"/>
            <w:tcBorders>
              <w:left w:val="nil"/>
              <w:right w:val="single" w:sz="4" w:space="0" w:color="auto"/>
            </w:tcBorders>
          </w:tcPr>
          <w:p w14:paraId="0366C29C" w14:textId="77777777" w:rsidR="008A6D82" w:rsidRPr="00FE1494" w:rsidRDefault="008A6D82" w:rsidP="00CB618A">
            <w:pPr>
              <w:spacing w:line="276" w:lineRule="auto"/>
              <w:rPr>
                <w:rFonts w:ascii="Arial" w:hAnsi="Arial" w:cs="Arial"/>
                <w:sz w:val="16"/>
                <w:szCs w:val="16"/>
              </w:rPr>
            </w:pPr>
          </w:p>
        </w:tc>
      </w:tr>
      <w:tr w:rsidR="008A6D82" w:rsidRPr="00FE1494" w14:paraId="33554CFD" w14:textId="77777777" w:rsidTr="00CB618A">
        <w:tc>
          <w:tcPr>
            <w:tcW w:w="947" w:type="pct"/>
          </w:tcPr>
          <w:p w14:paraId="1B5E3ED7" w14:textId="77777777" w:rsidR="008A6D82" w:rsidRPr="00FE1494" w:rsidRDefault="008A6D82" w:rsidP="00CB618A">
            <w:pPr>
              <w:spacing w:line="276" w:lineRule="auto"/>
              <w:rPr>
                <w:rFonts w:ascii="Arial" w:hAnsi="Arial" w:cs="Arial"/>
                <w:sz w:val="16"/>
                <w:szCs w:val="16"/>
              </w:rPr>
            </w:pPr>
            <w:r w:rsidRPr="00FE1494">
              <w:rPr>
                <w:rFonts w:ascii="Arial" w:hAnsi="Arial" w:cs="Arial"/>
                <w:sz w:val="16"/>
                <w:szCs w:val="16"/>
              </w:rPr>
              <w:t>Road density</w:t>
            </w:r>
          </w:p>
        </w:tc>
        <w:tc>
          <w:tcPr>
            <w:tcW w:w="1824" w:type="pct"/>
            <w:gridSpan w:val="2"/>
          </w:tcPr>
          <w:p w14:paraId="099D6C31" w14:textId="77777777" w:rsidR="008A6D82" w:rsidRPr="00FE1494" w:rsidRDefault="008A6D82" w:rsidP="00CB618A">
            <w:pPr>
              <w:spacing w:line="276" w:lineRule="auto"/>
              <w:rPr>
                <w:rFonts w:ascii="Arial" w:hAnsi="Arial" w:cs="Arial"/>
                <w:sz w:val="16"/>
                <w:szCs w:val="16"/>
              </w:rPr>
            </w:pPr>
            <w:r w:rsidRPr="00FE1494">
              <w:rPr>
                <w:rFonts w:ascii="Arial" w:hAnsi="Arial" w:cs="Arial"/>
                <w:sz w:val="16"/>
                <w:szCs w:val="16"/>
              </w:rPr>
              <w:t>Positive – roads represent potential corridors along which invasive species may spread as a direct result of as well as indirectly through modification of the environment in a way that is favourable to establishment.</w:t>
            </w:r>
          </w:p>
        </w:tc>
        <w:tc>
          <w:tcPr>
            <w:tcW w:w="405" w:type="pct"/>
          </w:tcPr>
          <w:p w14:paraId="774C3C1C" w14:textId="77777777" w:rsidR="008A6D82" w:rsidRPr="00FE1494" w:rsidRDefault="008A6D82" w:rsidP="00CB618A">
            <w:pPr>
              <w:spacing w:line="276" w:lineRule="auto"/>
              <w:rPr>
                <w:rFonts w:ascii="Arial" w:hAnsi="Arial" w:cs="Arial"/>
                <w:sz w:val="16"/>
                <w:szCs w:val="16"/>
              </w:rPr>
            </w:pPr>
            <w:r w:rsidRPr="00FE1494">
              <w:rPr>
                <w:rFonts w:ascii="Arial" w:hAnsi="Arial" w:cs="Arial"/>
                <w:sz w:val="16"/>
                <w:szCs w:val="16"/>
              </w:rPr>
              <w:t>Continuous</w:t>
            </w:r>
          </w:p>
        </w:tc>
        <w:tc>
          <w:tcPr>
            <w:tcW w:w="1824" w:type="pct"/>
            <w:gridSpan w:val="2"/>
          </w:tcPr>
          <w:p w14:paraId="42AAF3BC" w14:textId="77777777" w:rsidR="008A6D82" w:rsidRPr="00FE1494" w:rsidRDefault="008A6D82" w:rsidP="00CB618A">
            <w:pPr>
              <w:spacing w:line="276" w:lineRule="auto"/>
              <w:rPr>
                <w:rFonts w:ascii="Arial" w:hAnsi="Arial" w:cs="Arial"/>
                <w:sz w:val="16"/>
                <w:szCs w:val="16"/>
              </w:rPr>
            </w:pPr>
            <w:r w:rsidRPr="00FE1494">
              <w:rPr>
                <w:rFonts w:ascii="Arial" w:hAnsi="Arial" w:cs="Arial"/>
                <w:sz w:val="16"/>
                <w:szCs w:val="16"/>
              </w:rPr>
              <w:t xml:space="preserve">OS OpenRoads </w:t>
            </w:r>
            <w:hyperlink r:id="rId16" w:history="1">
              <w:r w:rsidRPr="00FE1494">
                <w:rPr>
                  <w:rStyle w:val="Hyperlink"/>
                  <w:rFonts w:ascii="Arial" w:hAnsi="Arial" w:cs="Arial"/>
                </w:rPr>
                <w:t>https://www.ordnancesurvey.co.uk/business-and-government/products/os-open-roads.html</w:t>
              </w:r>
            </w:hyperlink>
            <w:r w:rsidRPr="00FE1494">
              <w:rPr>
                <w:rFonts w:ascii="Arial" w:hAnsi="Arial" w:cs="Arial"/>
                <w:sz w:val="16"/>
                <w:szCs w:val="16"/>
              </w:rPr>
              <w:t xml:space="preserve"> </w:t>
            </w:r>
          </w:p>
        </w:tc>
      </w:tr>
      <w:tr w:rsidR="008A6D82" w:rsidRPr="00FE1494" w14:paraId="47FD4C56" w14:textId="77777777" w:rsidTr="00CB618A">
        <w:tc>
          <w:tcPr>
            <w:tcW w:w="947" w:type="pct"/>
          </w:tcPr>
          <w:p w14:paraId="6A7749A5" w14:textId="77777777" w:rsidR="008A6D82" w:rsidRPr="00FE1494" w:rsidRDefault="008A6D82" w:rsidP="00CB618A">
            <w:pPr>
              <w:spacing w:line="276" w:lineRule="auto"/>
              <w:rPr>
                <w:rFonts w:ascii="Arial" w:hAnsi="Arial" w:cs="Arial"/>
                <w:sz w:val="16"/>
                <w:szCs w:val="16"/>
              </w:rPr>
            </w:pPr>
            <w:r w:rsidRPr="00FE1494">
              <w:rPr>
                <w:rFonts w:ascii="Arial" w:hAnsi="Arial" w:cs="Arial"/>
                <w:sz w:val="16"/>
                <w:szCs w:val="16"/>
              </w:rPr>
              <w:t>Distance to woodland edge</w:t>
            </w:r>
          </w:p>
        </w:tc>
        <w:tc>
          <w:tcPr>
            <w:tcW w:w="1824" w:type="pct"/>
            <w:gridSpan w:val="2"/>
          </w:tcPr>
          <w:p w14:paraId="7D512092" w14:textId="77777777" w:rsidR="008A6D82" w:rsidRPr="00FE1494" w:rsidRDefault="008A6D82" w:rsidP="00CB618A">
            <w:pPr>
              <w:spacing w:line="276" w:lineRule="auto"/>
              <w:rPr>
                <w:rFonts w:ascii="Arial" w:hAnsi="Arial" w:cs="Arial"/>
                <w:sz w:val="16"/>
                <w:szCs w:val="16"/>
              </w:rPr>
            </w:pPr>
            <w:r w:rsidRPr="00FE1494">
              <w:rPr>
                <w:rFonts w:ascii="Arial" w:hAnsi="Arial" w:cs="Arial"/>
                <w:sz w:val="16"/>
                <w:szCs w:val="16"/>
              </w:rPr>
              <w:t>Positive or negative – increasing distance to an edge tends towards damper conditions that favour germination, however, it likely also results in a further distance from propagule sources</w:t>
            </w:r>
          </w:p>
        </w:tc>
        <w:tc>
          <w:tcPr>
            <w:tcW w:w="405" w:type="pct"/>
          </w:tcPr>
          <w:p w14:paraId="2C5B74E1" w14:textId="77777777" w:rsidR="008A6D82" w:rsidRPr="00FE1494" w:rsidRDefault="008A6D82" w:rsidP="00CB618A">
            <w:pPr>
              <w:spacing w:line="276" w:lineRule="auto"/>
              <w:rPr>
                <w:rFonts w:ascii="Arial" w:hAnsi="Arial" w:cs="Arial"/>
                <w:sz w:val="16"/>
                <w:szCs w:val="16"/>
              </w:rPr>
            </w:pPr>
            <w:r w:rsidRPr="00FE1494">
              <w:rPr>
                <w:rFonts w:ascii="Arial" w:hAnsi="Arial" w:cs="Arial"/>
                <w:sz w:val="16"/>
                <w:szCs w:val="16"/>
              </w:rPr>
              <w:t>Continuous</w:t>
            </w:r>
          </w:p>
        </w:tc>
        <w:tc>
          <w:tcPr>
            <w:tcW w:w="1824" w:type="pct"/>
            <w:gridSpan w:val="2"/>
          </w:tcPr>
          <w:p w14:paraId="4B9FAEAF" w14:textId="77777777" w:rsidR="008A6D82" w:rsidRPr="00FE1494" w:rsidRDefault="008A6D82" w:rsidP="00CB618A">
            <w:pPr>
              <w:spacing w:line="276" w:lineRule="auto"/>
              <w:rPr>
                <w:rFonts w:ascii="Arial" w:hAnsi="Arial" w:cs="Arial"/>
                <w:sz w:val="16"/>
                <w:szCs w:val="16"/>
              </w:rPr>
            </w:pPr>
            <w:r w:rsidRPr="00FE1494">
              <w:rPr>
                <w:rFonts w:ascii="Arial" w:hAnsi="Arial" w:cs="Arial"/>
                <w:sz w:val="16"/>
                <w:szCs w:val="16"/>
              </w:rPr>
              <w:t>Derived using 2016 Forestry Commission National Forest Inventory (NFI) Map (vector) for Great Britain (</w:t>
            </w:r>
            <w:hyperlink r:id="rId17" w:history="1">
              <w:r w:rsidRPr="00FE1494">
                <w:rPr>
                  <w:rStyle w:val="Hyperlink"/>
                  <w:rFonts w:ascii="Arial" w:hAnsi="Arial" w:cs="Arial"/>
                </w:rPr>
                <w:t>http://data-forestry.opendata.arcgis.com/datasets/national-forest-inventory-woodland-gb</w:t>
              </w:r>
            </w:hyperlink>
            <w:r w:rsidRPr="00FE1494">
              <w:rPr>
                <w:rFonts w:ascii="Arial" w:hAnsi="Arial" w:cs="Arial"/>
                <w:sz w:val="16"/>
                <w:szCs w:val="16"/>
              </w:rPr>
              <w:t>). Measured using ArcGIS (</w:t>
            </w:r>
            <w:hyperlink r:id="rId18" w:history="1">
              <w:r w:rsidRPr="00FE1494">
                <w:rPr>
                  <w:rStyle w:val="Hyperlink"/>
                  <w:rFonts w:ascii="Arial" w:hAnsi="Arial" w:cs="Arial"/>
                </w:rPr>
                <w:t>www.esri.com</w:t>
              </w:r>
            </w:hyperlink>
            <w:r w:rsidRPr="00FE1494">
              <w:rPr>
                <w:rFonts w:ascii="Arial" w:hAnsi="Arial" w:cs="Arial"/>
                <w:sz w:val="16"/>
                <w:szCs w:val="16"/>
              </w:rPr>
              <w:t>, v10.2.2), using section centroids.</w:t>
            </w:r>
          </w:p>
        </w:tc>
      </w:tr>
      <w:tr w:rsidR="008A6D82" w:rsidRPr="00FE1494" w14:paraId="5C65D55C" w14:textId="77777777" w:rsidTr="00CB618A">
        <w:tc>
          <w:tcPr>
            <w:tcW w:w="947" w:type="pct"/>
            <w:tcBorders>
              <w:bottom w:val="single" w:sz="4" w:space="0" w:color="auto"/>
            </w:tcBorders>
          </w:tcPr>
          <w:p w14:paraId="5B665422" w14:textId="77777777" w:rsidR="008A6D82" w:rsidRPr="00FE1494" w:rsidRDefault="008A6D82" w:rsidP="00CB618A">
            <w:pPr>
              <w:spacing w:line="276" w:lineRule="auto"/>
              <w:rPr>
                <w:rFonts w:ascii="Arial" w:hAnsi="Arial" w:cs="Arial"/>
                <w:sz w:val="16"/>
                <w:szCs w:val="16"/>
              </w:rPr>
            </w:pPr>
            <w:r w:rsidRPr="00FE1494">
              <w:rPr>
                <w:rFonts w:ascii="Arial" w:hAnsi="Arial" w:cs="Arial"/>
                <w:sz w:val="16"/>
                <w:szCs w:val="16"/>
              </w:rPr>
              <w:t>Distance to historic park or garden</w:t>
            </w:r>
          </w:p>
        </w:tc>
        <w:tc>
          <w:tcPr>
            <w:tcW w:w="1824" w:type="pct"/>
            <w:gridSpan w:val="2"/>
            <w:tcBorders>
              <w:bottom w:val="single" w:sz="4" w:space="0" w:color="auto"/>
            </w:tcBorders>
          </w:tcPr>
          <w:p w14:paraId="7FB694D5" w14:textId="77777777" w:rsidR="008A6D82" w:rsidRPr="00FE1494" w:rsidRDefault="008A6D82" w:rsidP="00CB618A">
            <w:pPr>
              <w:spacing w:line="276" w:lineRule="auto"/>
              <w:rPr>
                <w:rFonts w:ascii="Arial" w:hAnsi="Arial" w:cs="Arial"/>
                <w:sz w:val="16"/>
                <w:szCs w:val="16"/>
              </w:rPr>
            </w:pPr>
            <w:r w:rsidRPr="00FE1494">
              <w:rPr>
                <w:rFonts w:ascii="Arial" w:hAnsi="Arial" w:cs="Arial"/>
                <w:sz w:val="16"/>
                <w:szCs w:val="16"/>
              </w:rPr>
              <w:t>Negative – will decline with increasing distance from this propagule source.</w:t>
            </w:r>
          </w:p>
        </w:tc>
        <w:tc>
          <w:tcPr>
            <w:tcW w:w="405" w:type="pct"/>
            <w:tcBorders>
              <w:bottom w:val="single" w:sz="4" w:space="0" w:color="auto"/>
            </w:tcBorders>
          </w:tcPr>
          <w:p w14:paraId="1A78B295" w14:textId="77777777" w:rsidR="008A6D82" w:rsidRPr="00FE1494" w:rsidRDefault="008A6D82" w:rsidP="00CB618A">
            <w:pPr>
              <w:spacing w:line="276" w:lineRule="auto"/>
              <w:rPr>
                <w:rFonts w:ascii="Arial" w:hAnsi="Arial" w:cs="Arial"/>
                <w:sz w:val="16"/>
                <w:szCs w:val="16"/>
              </w:rPr>
            </w:pPr>
            <w:r w:rsidRPr="00FE1494">
              <w:rPr>
                <w:rFonts w:ascii="Arial" w:hAnsi="Arial" w:cs="Arial"/>
                <w:sz w:val="16"/>
                <w:szCs w:val="16"/>
              </w:rPr>
              <w:t>Continuous</w:t>
            </w:r>
          </w:p>
        </w:tc>
        <w:tc>
          <w:tcPr>
            <w:tcW w:w="1824" w:type="pct"/>
            <w:gridSpan w:val="2"/>
            <w:tcBorders>
              <w:bottom w:val="single" w:sz="4" w:space="0" w:color="auto"/>
            </w:tcBorders>
          </w:tcPr>
          <w:p w14:paraId="2367B3B4" w14:textId="77777777" w:rsidR="008A6D82" w:rsidRPr="00FE1494" w:rsidRDefault="008A6D82" w:rsidP="00CB618A">
            <w:pPr>
              <w:spacing w:line="276" w:lineRule="auto"/>
              <w:rPr>
                <w:rFonts w:ascii="Arial" w:hAnsi="Arial" w:cs="Arial"/>
                <w:sz w:val="16"/>
                <w:szCs w:val="16"/>
              </w:rPr>
            </w:pPr>
            <w:r w:rsidRPr="00FE1494">
              <w:rPr>
                <w:rFonts w:ascii="Arial" w:hAnsi="Arial" w:cs="Arial"/>
                <w:sz w:val="16"/>
                <w:szCs w:val="16"/>
              </w:rPr>
              <w:t>(Historic England; The Welsh Historic Environment Service (Cadw), Historic Environment Scotland). Measured using ArcGIS (</w:t>
            </w:r>
            <w:hyperlink r:id="rId19" w:history="1">
              <w:r w:rsidRPr="00FE1494">
                <w:rPr>
                  <w:rStyle w:val="Hyperlink"/>
                  <w:rFonts w:ascii="Arial" w:hAnsi="Arial" w:cs="Arial"/>
                </w:rPr>
                <w:t>www.esri.com</w:t>
              </w:r>
            </w:hyperlink>
            <w:r w:rsidRPr="00FE1494">
              <w:rPr>
                <w:rFonts w:ascii="Arial" w:hAnsi="Arial" w:cs="Arial"/>
                <w:sz w:val="16"/>
                <w:szCs w:val="16"/>
              </w:rPr>
              <w:t>, v10.2.2), using section centroids</w:t>
            </w:r>
          </w:p>
        </w:tc>
      </w:tr>
      <w:tr w:rsidR="008A6D82" w:rsidRPr="00FE1494" w14:paraId="210D54B6" w14:textId="77777777" w:rsidTr="00CB618A">
        <w:tc>
          <w:tcPr>
            <w:tcW w:w="947" w:type="pct"/>
            <w:tcBorders>
              <w:bottom w:val="single" w:sz="4" w:space="0" w:color="auto"/>
            </w:tcBorders>
          </w:tcPr>
          <w:p w14:paraId="49B70383" w14:textId="77777777" w:rsidR="008A6D82" w:rsidRPr="00FE1494" w:rsidRDefault="008A6D82" w:rsidP="00CB618A">
            <w:pPr>
              <w:spacing w:line="276" w:lineRule="auto"/>
              <w:rPr>
                <w:rFonts w:ascii="Arial" w:hAnsi="Arial" w:cs="Arial"/>
                <w:sz w:val="16"/>
                <w:szCs w:val="16"/>
              </w:rPr>
            </w:pPr>
            <w:r w:rsidRPr="00FE1494">
              <w:rPr>
                <w:rFonts w:ascii="Arial" w:hAnsi="Arial" w:cs="Arial"/>
                <w:sz w:val="16"/>
                <w:szCs w:val="16"/>
              </w:rPr>
              <w:t>Woodland amount and configuration metrics</w:t>
            </w:r>
          </w:p>
        </w:tc>
        <w:tc>
          <w:tcPr>
            <w:tcW w:w="1824" w:type="pct"/>
            <w:gridSpan w:val="2"/>
            <w:tcBorders>
              <w:bottom w:val="single" w:sz="4" w:space="0" w:color="auto"/>
            </w:tcBorders>
          </w:tcPr>
          <w:p w14:paraId="0D0E914F" w14:textId="77777777" w:rsidR="008A6D82" w:rsidRPr="00FE1494" w:rsidRDefault="008A6D82" w:rsidP="00CB618A">
            <w:pPr>
              <w:spacing w:line="276" w:lineRule="auto"/>
              <w:rPr>
                <w:rFonts w:ascii="Arial" w:hAnsi="Arial" w:cs="Arial"/>
                <w:sz w:val="16"/>
                <w:szCs w:val="16"/>
              </w:rPr>
            </w:pPr>
            <w:r w:rsidRPr="00FE1494">
              <w:rPr>
                <w:rFonts w:ascii="Arial" w:hAnsi="Arial" w:cs="Arial"/>
                <w:sz w:val="16"/>
                <w:szCs w:val="16"/>
              </w:rPr>
              <w:t>Positive - woodland cover serves a potential source of propagules for establishment.</w:t>
            </w:r>
          </w:p>
        </w:tc>
        <w:tc>
          <w:tcPr>
            <w:tcW w:w="405" w:type="pct"/>
            <w:tcBorders>
              <w:bottom w:val="single" w:sz="4" w:space="0" w:color="auto"/>
            </w:tcBorders>
          </w:tcPr>
          <w:p w14:paraId="02E93994" w14:textId="77777777" w:rsidR="008A6D82" w:rsidRPr="00FE1494" w:rsidRDefault="008A6D82" w:rsidP="00CB618A">
            <w:pPr>
              <w:spacing w:line="276" w:lineRule="auto"/>
              <w:rPr>
                <w:rFonts w:ascii="Arial" w:hAnsi="Arial" w:cs="Arial"/>
                <w:sz w:val="16"/>
                <w:szCs w:val="16"/>
              </w:rPr>
            </w:pPr>
            <w:r w:rsidRPr="00FE1494">
              <w:rPr>
                <w:rFonts w:ascii="Arial" w:hAnsi="Arial" w:cs="Arial"/>
                <w:sz w:val="16"/>
                <w:szCs w:val="16"/>
              </w:rPr>
              <w:t>Continuous</w:t>
            </w:r>
          </w:p>
        </w:tc>
        <w:tc>
          <w:tcPr>
            <w:tcW w:w="1824" w:type="pct"/>
            <w:gridSpan w:val="2"/>
            <w:tcBorders>
              <w:bottom w:val="single" w:sz="4" w:space="0" w:color="auto"/>
            </w:tcBorders>
          </w:tcPr>
          <w:p w14:paraId="485286E2" w14:textId="77777777" w:rsidR="008A6D82" w:rsidRPr="00FE1494" w:rsidRDefault="008A6D82" w:rsidP="00CB618A">
            <w:pPr>
              <w:spacing w:line="276" w:lineRule="auto"/>
              <w:rPr>
                <w:rFonts w:ascii="Arial" w:hAnsi="Arial" w:cs="Arial"/>
                <w:sz w:val="16"/>
                <w:szCs w:val="16"/>
              </w:rPr>
            </w:pPr>
            <w:r w:rsidRPr="00FE1494">
              <w:rPr>
                <w:rFonts w:ascii="Arial" w:hAnsi="Arial" w:cs="Arial"/>
                <w:sz w:val="16"/>
                <w:szCs w:val="16"/>
              </w:rPr>
              <w:t>25-m resolution land cover raster for Britain, LCM2007</w:t>
            </w:r>
            <w:r w:rsidRPr="00FE1494">
              <w:rPr>
                <w:rFonts w:ascii="Arial" w:hAnsi="Arial" w:cs="Arial"/>
                <w:sz w:val="16"/>
                <w:szCs w:val="16"/>
              </w:rPr>
              <w:fldChar w:fldCharType="begin" w:fldLock="1"/>
            </w:r>
            <w:r w:rsidRPr="00FE1494">
              <w:rPr>
                <w:rFonts w:ascii="Arial" w:hAnsi="Arial" w:cs="Arial"/>
                <w:sz w:val="16"/>
                <w:szCs w:val="16"/>
              </w:rPr>
              <w:instrText>ADDIN CSL_CITATION { "citationItems" : [ { "id" : "ITEM-1", "itemData" : { "author" : [ { "dropping-particle" : "", "family" : "Morton", "given" : "R.D.", "non-dropping-particle" : "", "parse-names" : false, "suffix" : "" }, { "dropping-particle" : "", "family" : "Rowland", "given" : "C.S.", "non-dropping-particle" : "", "parse-names" : false, "suffix" : "" }, { "dropping-particle" : "", "family" : "Wood", "given" : "C.M.", "non-dropping-particle" : "", "parse-names" : false, "suffix" : "" }, { "dropping-particle" : "", "family" : "Meek", "given" : "L.", "non-dropping-particle" : "", "parse-names" : false, "suffix" : "" }, { "dropping-particle" : "", "family" : "Marston", "given" : "C.G.", "non-dropping-particle" : "", "parse-names" : false, "suffix" : "" }, { "dropping-particle" : "", "family" : "Smith", "given" : "G.M.", "non-dropping-particle" : "", "parse-names" : false, "suffix" : "" } ], "id" : "ITEM-1", "issued" : { "date-parts" : [ [ "2014" ] ] }, "publisher" : "NERC Environmental Information Data Centre", "title" : "Land Cover Map 2007 (25m raster, GB) v1.2.", "type" : "article" }, "uris" : [ "http://www.mendeley.com/documents/?uuid=e9ec0758-8ce7-4197-9449-32137e3982f7" ] } ], "mendeley" : { "formattedCitation" : "&lt;sup&gt;53&lt;/sup&gt;", "plainTextFormattedCitation" : "53", "previouslyFormattedCitation" : "&lt;sup&gt;53&lt;/sup&gt;" }, "properties" : {  }, "schema" : "https://github.com/citation-style-language/schema/raw/master/csl-citation.json" }</w:instrText>
            </w:r>
            <w:r w:rsidRPr="00FE1494">
              <w:rPr>
                <w:rFonts w:ascii="Arial" w:hAnsi="Arial" w:cs="Arial"/>
                <w:sz w:val="16"/>
                <w:szCs w:val="16"/>
              </w:rPr>
              <w:fldChar w:fldCharType="separate"/>
            </w:r>
            <w:r w:rsidRPr="00FE1494">
              <w:rPr>
                <w:rFonts w:ascii="Arial" w:hAnsi="Arial" w:cs="Arial"/>
                <w:noProof/>
                <w:sz w:val="16"/>
                <w:szCs w:val="16"/>
                <w:vertAlign w:val="superscript"/>
              </w:rPr>
              <w:t>53</w:t>
            </w:r>
            <w:r w:rsidRPr="00FE1494">
              <w:rPr>
                <w:rFonts w:ascii="Arial" w:hAnsi="Arial" w:cs="Arial"/>
                <w:sz w:val="16"/>
                <w:szCs w:val="16"/>
              </w:rPr>
              <w:fldChar w:fldCharType="end"/>
            </w:r>
            <w:r w:rsidRPr="00FE1494">
              <w:rPr>
                <w:rFonts w:ascii="Arial" w:hAnsi="Arial" w:cs="Arial"/>
                <w:sz w:val="16"/>
                <w:szCs w:val="16"/>
              </w:rPr>
              <w:t xml:space="preserve">. Landscape metrics were calculated using the </w:t>
            </w:r>
            <w:r w:rsidRPr="00FE1494">
              <w:rPr>
                <w:rFonts w:ascii="Arial" w:hAnsi="Arial" w:cs="Arial"/>
                <w:i/>
                <w:sz w:val="16"/>
                <w:szCs w:val="16"/>
              </w:rPr>
              <w:t>ClassStat</w:t>
            </w:r>
            <w:r w:rsidRPr="00FE1494">
              <w:rPr>
                <w:rFonts w:ascii="Arial" w:hAnsi="Arial" w:cs="Arial"/>
                <w:sz w:val="16"/>
                <w:szCs w:val="16"/>
              </w:rPr>
              <w:t xml:space="preserve"> function provide by the R package SDMTools (VanDerWal et al. 2014).</w:t>
            </w:r>
            <w:r>
              <w:rPr>
                <w:rFonts w:ascii="Arial" w:hAnsi="Arial" w:cs="Arial"/>
                <w:sz w:val="16"/>
                <w:szCs w:val="16"/>
              </w:rPr>
              <w:t xml:space="preserve"> </w:t>
            </w:r>
            <w:hyperlink r:id="rId20" w:history="1">
              <w:r w:rsidRPr="001734F9">
                <w:rPr>
                  <w:rStyle w:val="Hyperlink"/>
                  <w:rFonts w:ascii="Arial" w:hAnsi="Arial" w:cs="Arial"/>
                </w:rPr>
                <w:t>https://digimap.edina.ac.uk/webhelp/environment/data_information/lcm2007.htm</w:t>
              </w:r>
            </w:hyperlink>
            <w:r>
              <w:rPr>
                <w:rFonts w:ascii="Arial" w:hAnsi="Arial" w:cs="Arial"/>
                <w:sz w:val="16"/>
                <w:szCs w:val="16"/>
              </w:rPr>
              <w:t xml:space="preserve"> </w:t>
            </w:r>
          </w:p>
        </w:tc>
      </w:tr>
      <w:tr w:rsidR="008A6D82" w:rsidRPr="00FE1494" w14:paraId="4EEB2ED5" w14:textId="77777777" w:rsidTr="00CB618A">
        <w:tc>
          <w:tcPr>
            <w:tcW w:w="1772" w:type="pct"/>
            <w:gridSpan w:val="2"/>
            <w:tcBorders>
              <w:right w:val="nil"/>
            </w:tcBorders>
          </w:tcPr>
          <w:p w14:paraId="177794F9" w14:textId="77777777" w:rsidR="008A6D82" w:rsidRPr="00FE1494" w:rsidRDefault="008A6D82" w:rsidP="00CB618A">
            <w:pPr>
              <w:spacing w:line="276" w:lineRule="auto"/>
              <w:rPr>
                <w:rFonts w:ascii="Arial" w:hAnsi="Arial" w:cs="Arial"/>
                <w:sz w:val="16"/>
                <w:szCs w:val="16"/>
              </w:rPr>
            </w:pPr>
            <w:r w:rsidRPr="00FE1494">
              <w:rPr>
                <w:rFonts w:ascii="Arial" w:hAnsi="Arial" w:cs="Arial"/>
                <w:b/>
                <w:sz w:val="16"/>
                <w:szCs w:val="16"/>
              </w:rPr>
              <w:t>Local-level</w:t>
            </w:r>
          </w:p>
        </w:tc>
        <w:tc>
          <w:tcPr>
            <w:tcW w:w="1431" w:type="pct"/>
            <w:gridSpan w:val="3"/>
            <w:tcBorders>
              <w:left w:val="nil"/>
              <w:right w:val="nil"/>
            </w:tcBorders>
          </w:tcPr>
          <w:p w14:paraId="619AD98A" w14:textId="77777777" w:rsidR="008A6D82" w:rsidRPr="00FE1494" w:rsidRDefault="008A6D82" w:rsidP="00CB618A">
            <w:pPr>
              <w:spacing w:line="276" w:lineRule="auto"/>
              <w:rPr>
                <w:rFonts w:ascii="Arial" w:hAnsi="Arial" w:cs="Arial"/>
                <w:sz w:val="16"/>
                <w:szCs w:val="16"/>
              </w:rPr>
            </w:pPr>
          </w:p>
        </w:tc>
        <w:tc>
          <w:tcPr>
            <w:tcW w:w="1797" w:type="pct"/>
            <w:tcBorders>
              <w:left w:val="nil"/>
              <w:right w:val="single" w:sz="4" w:space="0" w:color="auto"/>
            </w:tcBorders>
          </w:tcPr>
          <w:p w14:paraId="0C986F1C" w14:textId="77777777" w:rsidR="008A6D82" w:rsidRPr="00FE1494" w:rsidRDefault="008A6D82" w:rsidP="00CB618A">
            <w:pPr>
              <w:spacing w:line="276" w:lineRule="auto"/>
              <w:rPr>
                <w:rFonts w:ascii="Arial" w:hAnsi="Arial" w:cs="Arial"/>
                <w:sz w:val="16"/>
                <w:szCs w:val="16"/>
              </w:rPr>
            </w:pPr>
          </w:p>
        </w:tc>
      </w:tr>
      <w:tr w:rsidR="008A6D82" w:rsidRPr="00FE1494" w14:paraId="453911F1" w14:textId="77777777" w:rsidTr="00CB618A">
        <w:tc>
          <w:tcPr>
            <w:tcW w:w="947" w:type="pct"/>
          </w:tcPr>
          <w:p w14:paraId="2F707AEB" w14:textId="77777777" w:rsidR="008A6D82" w:rsidRPr="00FE1494" w:rsidRDefault="008A6D82" w:rsidP="00CB618A">
            <w:pPr>
              <w:spacing w:line="276" w:lineRule="auto"/>
              <w:rPr>
                <w:rFonts w:ascii="Arial" w:hAnsi="Arial" w:cs="Arial"/>
                <w:sz w:val="16"/>
                <w:szCs w:val="16"/>
              </w:rPr>
            </w:pPr>
            <w:r w:rsidRPr="00FE1494">
              <w:rPr>
                <w:rFonts w:ascii="Arial" w:hAnsi="Arial" w:cs="Arial"/>
                <w:sz w:val="16"/>
                <w:szCs w:val="16"/>
              </w:rPr>
              <w:t>Interpreted forest type (IFT)</w:t>
            </w:r>
          </w:p>
        </w:tc>
        <w:tc>
          <w:tcPr>
            <w:tcW w:w="1824" w:type="pct"/>
            <w:gridSpan w:val="2"/>
          </w:tcPr>
          <w:p w14:paraId="09286589" w14:textId="77777777" w:rsidR="008A6D82" w:rsidRPr="00FE1494" w:rsidRDefault="008A6D82" w:rsidP="00CB618A">
            <w:pPr>
              <w:spacing w:line="276" w:lineRule="auto"/>
              <w:rPr>
                <w:rFonts w:ascii="Arial" w:hAnsi="Arial" w:cs="Arial"/>
                <w:sz w:val="16"/>
                <w:szCs w:val="16"/>
              </w:rPr>
            </w:pPr>
            <w:r w:rsidRPr="00FE1494">
              <w:rPr>
                <w:rFonts w:ascii="Arial" w:hAnsi="Arial" w:cs="Arial"/>
                <w:sz w:val="16"/>
                <w:szCs w:val="16"/>
              </w:rPr>
              <w:t>Rhododendron is typically associated with mixed, rather than monoculture forest stands.</w:t>
            </w:r>
          </w:p>
        </w:tc>
        <w:tc>
          <w:tcPr>
            <w:tcW w:w="405" w:type="pct"/>
          </w:tcPr>
          <w:p w14:paraId="6DCBFC47" w14:textId="77777777" w:rsidR="008A6D82" w:rsidRPr="00FE1494" w:rsidRDefault="008A6D82" w:rsidP="00CB618A">
            <w:pPr>
              <w:spacing w:line="276" w:lineRule="auto"/>
              <w:rPr>
                <w:rFonts w:ascii="Arial" w:hAnsi="Arial" w:cs="Arial"/>
                <w:sz w:val="16"/>
                <w:szCs w:val="16"/>
              </w:rPr>
            </w:pPr>
            <w:r>
              <w:rPr>
                <w:rFonts w:ascii="Arial" w:hAnsi="Arial" w:cs="Arial"/>
                <w:sz w:val="16"/>
                <w:szCs w:val="16"/>
              </w:rPr>
              <w:t>Categorical</w:t>
            </w:r>
          </w:p>
        </w:tc>
        <w:tc>
          <w:tcPr>
            <w:tcW w:w="1824" w:type="pct"/>
            <w:gridSpan w:val="2"/>
          </w:tcPr>
          <w:p w14:paraId="459A22E2" w14:textId="77777777" w:rsidR="008A6D82" w:rsidRPr="00FE1494" w:rsidRDefault="008A6D82" w:rsidP="00CB618A">
            <w:pPr>
              <w:spacing w:line="276" w:lineRule="auto"/>
              <w:rPr>
                <w:rFonts w:ascii="Arial" w:hAnsi="Arial" w:cs="Arial"/>
                <w:sz w:val="16"/>
                <w:szCs w:val="16"/>
              </w:rPr>
            </w:pPr>
            <w:r w:rsidRPr="00FE1494">
              <w:rPr>
                <w:rFonts w:ascii="Arial" w:hAnsi="Arial" w:cs="Arial"/>
                <w:sz w:val="16"/>
                <w:szCs w:val="16"/>
              </w:rPr>
              <w:t>NFI field survey. Sites classified as IFT category ‘Young trees’ (</w:t>
            </w:r>
            <w:r w:rsidRPr="00FE1494">
              <w:rPr>
                <w:rFonts w:ascii="Arial" w:hAnsi="Arial" w:cs="Arial"/>
                <w:i/>
                <w:sz w:val="16"/>
                <w:szCs w:val="16"/>
              </w:rPr>
              <w:t>n=</w:t>
            </w:r>
            <w:r w:rsidRPr="00FE1494">
              <w:rPr>
                <w:rFonts w:ascii="Arial" w:hAnsi="Arial" w:cs="Arial"/>
                <w:sz w:val="16"/>
                <w:szCs w:val="16"/>
              </w:rPr>
              <w:t>) were removed due to ambiguity.</w:t>
            </w:r>
          </w:p>
        </w:tc>
      </w:tr>
      <w:tr w:rsidR="008A6D82" w:rsidRPr="00FE1494" w14:paraId="3F2C8D1E" w14:textId="77777777" w:rsidTr="00CB618A">
        <w:tc>
          <w:tcPr>
            <w:tcW w:w="947" w:type="pct"/>
          </w:tcPr>
          <w:p w14:paraId="39721C39" w14:textId="77777777" w:rsidR="008A6D82" w:rsidRPr="00FE1494" w:rsidRDefault="008A6D82" w:rsidP="00CB618A">
            <w:pPr>
              <w:spacing w:line="276" w:lineRule="auto"/>
              <w:rPr>
                <w:rFonts w:ascii="Arial" w:hAnsi="Arial" w:cs="Arial"/>
                <w:sz w:val="16"/>
                <w:szCs w:val="16"/>
              </w:rPr>
            </w:pPr>
            <w:r w:rsidRPr="00FE1494">
              <w:rPr>
                <w:rFonts w:ascii="Arial" w:hAnsi="Arial" w:cs="Arial"/>
                <w:sz w:val="16"/>
                <w:szCs w:val="16"/>
              </w:rPr>
              <w:t>Stocking density</w:t>
            </w:r>
          </w:p>
        </w:tc>
        <w:tc>
          <w:tcPr>
            <w:tcW w:w="1824" w:type="pct"/>
            <w:gridSpan w:val="2"/>
          </w:tcPr>
          <w:p w14:paraId="69B19018" w14:textId="77777777" w:rsidR="008A6D82" w:rsidRPr="00FE1494" w:rsidRDefault="008A6D82" w:rsidP="00CB618A">
            <w:pPr>
              <w:spacing w:line="276" w:lineRule="auto"/>
              <w:rPr>
                <w:rFonts w:ascii="Arial" w:hAnsi="Arial" w:cs="Arial"/>
                <w:sz w:val="16"/>
                <w:szCs w:val="16"/>
              </w:rPr>
            </w:pPr>
            <w:r w:rsidRPr="00FE1494">
              <w:rPr>
                <w:rFonts w:ascii="Arial" w:hAnsi="Arial" w:cs="Arial"/>
                <w:sz w:val="16"/>
                <w:szCs w:val="16"/>
              </w:rPr>
              <w:t>Negative – a high stocking density of trees, limits both the amount of light reaching the forest floor and water availability, therefore limiting rhododendron establishment.</w:t>
            </w:r>
          </w:p>
        </w:tc>
        <w:tc>
          <w:tcPr>
            <w:tcW w:w="405" w:type="pct"/>
          </w:tcPr>
          <w:p w14:paraId="5BF1DD4E" w14:textId="77777777" w:rsidR="008A6D82" w:rsidRPr="00FE1494" w:rsidRDefault="008A6D82" w:rsidP="00CB618A">
            <w:pPr>
              <w:spacing w:line="276" w:lineRule="auto"/>
              <w:rPr>
                <w:rFonts w:ascii="Arial" w:hAnsi="Arial" w:cs="Arial"/>
                <w:sz w:val="16"/>
                <w:szCs w:val="16"/>
              </w:rPr>
            </w:pPr>
            <w:r w:rsidRPr="00FE1494">
              <w:rPr>
                <w:rFonts w:ascii="Arial" w:hAnsi="Arial" w:cs="Arial"/>
                <w:sz w:val="16"/>
                <w:szCs w:val="16"/>
              </w:rPr>
              <w:t>Continuous</w:t>
            </w:r>
          </w:p>
        </w:tc>
        <w:tc>
          <w:tcPr>
            <w:tcW w:w="1824" w:type="pct"/>
            <w:gridSpan w:val="2"/>
          </w:tcPr>
          <w:p w14:paraId="68C3EB73" w14:textId="77777777" w:rsidR="008A6D82" w:rsidRPr="00FE1494" w:rsidRDefault="008A6D82" w:rsidP="00CB618A">
            <w:pPr>
              <w:spacing w:line="276" w:lineRule="auto"/>
              <w:rPr>
                <w:rFonts w:ascii="Arial" w:hAnsi="Arial" w:cs="Arial"/>
                <w:sz w:val="16"/>
                <w:szCs w:val="16"/>
              </w:rPr>
            </w:pPr>
            <w:r w:rsidRPr="00FE1494">
              <w:rPr>
                <w:rFonts w:ascii="Arial" w:hAnsi="Arial" w:cs="Arial"/>
                <w:sz w:val="16"/>
                <w:szCs w:val="16"/>
              </w:rPr>
              <w:t>NFI field survey</w:t>
            </w:r>
          </w:p>
        </w:tc>
      </w:tr>
      <w:tr w:rsidR="008A6D82" w:rsidRPr="00FE1494" w14:paraId="5B2B69AF" w14:textId="77777777" w:rsidTr="00CB618A">
        <w:tc>
          <w:tcPr>
            <w:tcW w:w="947" w:type="pct"/>
          </w:tcPr>
          <w:p w14:paraId="2B2E98C8" w14:textId="77777777" w:rsidR="008A6D82" w:rsidRPr="00FE1494" w:rsidRDefault="008A6D82" w:rsidP="00CB618A">
            <w:pPr>
              <w:spacing w:line="276" w:lineRule="auto"/>
              <w:rPr>
                <w:rFonts w:ascii="Arial" w:hAnsi="Arial" w:cs="Arial"/>
                <w:sz w:val="16"/>
                <w:szCs w:val="16"/>
              </w:rPr>
            </w:pPr>
            <w:r w:rsidRPr="00FE1494">
              <w:rPr>
                <w:rFonts w:ascii="Arial" w:hAnsi="Arial" w:cs="Arial"/>
                <w:sz w:val="16"/>
                <w:szCs w:val="16"/>
              </w:rPr>
              <w:t>Stand vertical complexity</w:t>
            </w:r>
          </w:p>
        </w:tc>
        <w:tc>
          <w:tcPr>
            <w:tcW w:w="1824" w:type="pct"/>
            <w:gridSpan w:val="2"/>
          </w:tcPr>
          <w:p w14:paraId="35A8052D" w14:textId="77777777" w:rsidR="008A6D82" w:rsidRPr="00FE1494" w:rsidRDefault="008A6D82" w:rsidP="00CB618A">
            <w:pPr>
              <w:spacing w:line="276" w:lineRule="auto"/>
              <w:rPr>
                <w:rFonts w:ascii="Arial" w:hAnsi="Arial" w:cs="Arial"/>
                <w:sz w:val="16"/>
                <w:szCs w:val="16"/>
              </w:rPr>
            </w:pPr>
            <w:r w:rsidRPr="00FE1494">
              <w:rPr>
                <w:rFonts w:ascii="Arial" w:hAnsi="Arial" w:cs="Arial"/>
                <w:sz w:val="16"/>
                <w:szCs w:val="16"/>
              </w:rPr>
              <w:t>Positive – seedling establishment is typically associated with bryophytes, which are more abundant under more complex canopies. Rhododendron also associated with deep leaf litter, a correlate of stand vertical complexity</w:t>
            </w:r>
            <w:r w:rsidRPr="00FE1494">
              <w:rPr>
                <w:rFonts w:ascii="Arial" w:hAnsi="Arial" w:cs="Arial"/>
                <w:sz w:val="16"/>
                <w:szCs w:val="16"/>
              </w:rPr>
              <w:fldChar w:fldCharType="begin" w:fldLock="1"/>
            </w:r>
            <w:r w:rsidRPr="00FE1494">
              <w:rPr>
                <w:rFonts w:ascii="Arial" w:hAnsi="Arial" w:cs="Arial"/>
                <w:sz w:val="16"/>
                <w:szCs w:val="16"/>
              </w:rPr>
              <w:instrText>ADDIN CSL_CITATION { "citationItems" : [ { "id" : "ITEM-1", "itemData" : { "author" : [ { "dropping-particle" : "", "family" : "Cross", "given" : "J.R.", "non-dropping-particle" : "", "parse-names" : false, "suffix" : "" } ], "container-title" : "Journal of Ecology", "id" : "ITEM-1", "issued" : { "date-parts" : [ [ "1975" ] ] }, "page" : "345\u2013364", "title" : "Biological flora of the British Isles: Rhododendron ponticum.", "type" : "article-journal", "volume" : "63" }, "uris" : [ "http://www.mendeley.com/documents/?uuid=a4d198bb-bb2c-4dc6-b6a9-25f3ada0b48f" ] } ], "mendeley" : { "formattedCitation" : "&lt;sup&gt;37&lt;/sup&gt;", "plainTextFormattedCitation" : "37", "previouslyFormattedCitation" : "&lt;sup&gt;37&lt;/sup&gt;" }, "properties" : {  }, "schema" : "https://github.com/citation-style-language/schema/raw/master/csl-citation.json" }</w:instrText>
            </w:r>
            <w:r w:rsidRPr="00FE1494">
              <w:rPr>
                <w:rFonts w:ascii="Arial" w:hAnsi="Arial" w:cs="Arial"/>
                <w:sz w:val="16"/>
                <w:szCs w:val="16"/>
              </w:rPr>
              <w:fldChar w:fldCharType="separate"/>
            </w:r>
            <w:r w:rsidRPr="00FE1494">
              <w:rPr>
                <w:rFonts w:ascii="Arial" w:hAnsi="Arial" w:cs="Arial"/>
                <w:noProof/>
                <w:sz w:val="16"/>
                <w:szCs w:val="16"/>
                <w:vertAlign w:val="superscript"/>
              </w:rPr>
              <w:t>37</w:t>
            </w:r>
            <w:r w:rsidRPr="00FE1494">
              <w:rPr>
                <w:rFonts w:ascii="Arial" w:hAnsi="Arial" w:cs="Arial"/>
                <w:sz w:val="16"/>
                <w:szCs w:val="16"/>
              </w:rPr>
              <w:fldChar w:fldCharType="end"/>
            </w:r>
            <w:r w:rsidRPr="00FE1494">
              <w:rPr>
                <w:rFonts w:ascii="Arial" w:hAnsi="Arial" w:cs="Arial"/>
                <w:sz w:val="16"/>
                <w:szCs w:val="16"/>
              </w:rPr>
              <w:t>.</w:t>
            </w:r>
          </w:p>
        </w:tc>
        <w:tc>
          <w:tcPr>
            <w:tcW w:w="405" w:type="pct"/>
          </w:tcPr>
          <w:p w14:paraId="09DB64FF" w14:textId="77777777" w:rsidR="008A6D82" w:rsidRPr="00FE1494" w:rsidRDefault="008A6D82" w:rsidP="00CB618A">
            <w:pPr>
              <w:spacing w:line="276" w:lineRule="auto"/>
              <w:rPr>
                <w:rFonts w:ascii="Arial" w:hAnsi="Arial" w:cs="Arial"/>
                <w:sz w:val="16"/>
                <w:szCs w:val="16"/>
              </w:rPr>
            </w:pPr>
            <w:r w:rsidRPr="00FE1494">
              <w:rPr>
                <w:rFonts w:ascii="Arial" w:hAnsi="Arial" w:cs="Arial"/>
                <w:sz w:val="16"/>
                <w:szCs w:val="16"/>
              </w:rPr>
              <w:t>Ordinal (1-5)</w:t>
            </w:r>
          </w:p>
        </w:tc>
        <w:tc>
          <w:tcPr>
            <w:tcW w:w="1824" w:type="pct"/>
            <w:gridSpan w:val="2"/>
          </w:tcPr>
          <w:p w14:paraId="40BE2F5A" w14:textId="77777777" w:rsidR="008A6D82" w:rsidRPr="00FE1494" w:rsidRDefault="008A6D82" w:rsidP="00CB618A">
            <w:pPr>
              <w:spacing w:line="276" w:lineRule="auto"/>
              <w:rPr>
                <w:rFonts w:ascii="Arial" w:hAnsi="Arial" w:cs="Arial"/>
                <w:sz w:val="16"/>
                <w:szCs w:val="16"/>
              </w:rPr>
            </w:pPr>
            <w:r w:rsidRPr="00FE1494">
              <w:rPr>
                <w:rFonts w:ascii="Arial" w:hAnsi="Arial" w:cs="Arial"/>
                <w:sz w:val="16"/>
                <w:szCs w:val="16"/>
              </w:rPr>
              <w:t>NFI field survey (level 5 was merged with level 4 due to very low sample size)</w:t>
            </w:r>
          </w:p>
        </w:tc>
      </w:tr>
      <w:tr w:rsidR="008A6D82" w:rsidRPr="00FE1494" w14:paraId="3AF7CABA" w14:textId="77777777" w:rsidTr="00CB618A">
        <w:tc>
          <w:tcPr>
            <w:tcW w:w="947" w:type="pct"/>
          </w:tcPr>
          <w:p w14:paraId="2B823E2F" w14:textId="77777777" w:rsidR="008A6D82" w:rsidRPr="00FE1494" w:rsidRDefault="008A6D82" w:rsidP="00CB618A">
            <w:pPr>
              <w:spacing w:line="276" w:lineRule="auto"/>
              <w:rPr>
                <w:rFonts w:ascii="Arial" w:hAnsi="Arial" w:cs="Arial"/>
                <w:sz w:val="16"/>
                <w:szCs w:val="16"/>
              </w:rPr>
            </w:pPr>
            <w:r w:rsidRPr="00FE1494">
              <w:rPr>
                <w:rFonts w:ascii="Arial" w:hAnsi="Arial" w:cs="Arial"/>
                <w:sz w:val="16"/>
                <w:szCs w:val="16"/>
              </w:rPr>
              <w:t>Stand age</w:t>
            </w:r>
          </w:p>
        </w:tc>
        <w:tc>
          <w:tcPr>
            <w:tcW w:w="1824" w:type="pct"/>
            <w:gridSpan w:val="2"/>
          </w:tcPr>
          <w:p w14:paraId="3E986239" w14:textId="77777777" w:rsidR="008A6D82" w:rsidRPr="00FE1494" w:rsidRDefault="008A6D82" w:rsidP="00CB618A">
            <w:pPr>
              <w:spacing w:line="276" w:lineRule="auto"/>
              <w:rPr>
                <w:rFonts w:ascii="Arial" w:hAnsi="Arial" w:cs="Arial"/>
                <w:sz w:val="16"/>
                <w:szCs w:val="16"/>
              </w:rPr>
            </w:pPr>
            <w:r w:rsidRPr="00FE1494">
              <w:rPr>
                <w:rFonts w:ascii="Arial" w:hAnsi="Arial" w:cs="Arial"/>
                <w:sz w:val="16"/>
                <w:szCs w:val="16"/>
              </w:rPr>
              <w:t>. Canopy closure, and therefore the amount of light reaching the forest floor, varies with stand age, so rhododendron establishment may vary with stand age. Quadratic, linear or log relationships are plausible.</w:t>
            </w:r>
          </w:p>
        </w:tc>
        <w:tc>
          <w:tcPr>
            <w:tcW w:w="405" w:type="pct"/>
          </w:tcPr>
          <w:p w14:paraId="76FCF3AE" w14:textId="77777777" w:rsidR="008A6D82" w:rsidRPr="00FE1494" w:rsidRDefault="008A6D82" w:rsidP="00CB618A">
            <w:pPr>
              <w:spacing w:line="276" w:lineRule="auto"/>
              <w:rPr>
                <w:rFonts w:ascii="Arial" w:hAnsi="Arial" w:cs="Arial"/>
                <w:sz w:val="16"/>
                <w:szCs w:val="16"/>
              </w:rPr>
            </w:pPr>
          </w:p>
        </w:tc>
        <w:tc>
          <w:tcPr>
            <w:tcW w:w="1824" w:type="pct"/>
            <w:gridSpan w:val="2"/>
          </w:tcPr>
          <w:p w14:paraId="611D4548" w14:textId="77777777" w:rsidR="008A6D82" w:rsidRPr="00FE1494" w:rsidRDefault="008A6D82" w:rsidP="00CB618A">
            <w:pPr>
              <w:spacing w:line="276" w:lineRule="auto"/>
              <w:rPr>
                <w:rFonts w:ascii="Arial" w:hAnsi="Arial" w:cs="Arial"/>
                <w:sz w:val="16"/>
                <w:szCs w:val="16"/>
              </w:rPr>
            </w:pPr>
            <w:r w:rsidRPr="00FE1494">
              <w:rPr>
                <w:rFonts w:ascii="Arial" w:hAnsi="Arial" w:cs="Arial"/>
                <w:sz w:val="16"/>
                <w:szCs w:val="16"/>
              </w:rPr>
              <w:t>NFI field survey</w:t>
            </w:r>
          </w:p>
        </w:tc>
      </w:tr>
      <w:tr w:rsidR="008A6D82" w:rsidRPr="00FE1494" w14:paraId="25C953B1" w14:textId="77777777" w:rsidTr="00CB618A">
        <w:tc>
          <w:tcPr>
            <w:tcW w:w="947" w:type="pct"/>
          </w:tcPr>
          <w:p w14:paraId="4F2906CE" w14:textId="77777777" w:rsidR="008A6D82" w:rsidRPr="00FE1494" w:rsidRDefault="008A6D82" w:rsidP="00CB618A">
            <w:pPr>
              <w:spacing w:line="276" w:lineRule="auto"/>
              <w:rPr>
                <w:rFonts w:ascii="Arial" w:hAnsi="Arial" w:cs="Arial"/>
                <w:sz w:val="16"/>
                <w:szCs w:val="16"/>
              </w:rPr>
            </w:pPr>
            <w:r w:rsidRPr="00FE1494">
              <w:rPr>
                <w:rFonts w:ascii="Arial" w:hAnsi="Arial" w:cs="Arial"/>
                <w:sz w:val="16"/>
                <w:szCs w:val="16"/>
              </w:rPr>
              <w:t>Signs of herbivory</w:t>
            </w:r>
          </w:p>
        </w:tc>
        <w:tc>
          <w:tcPr>
            <w:tcW w:w="1824" w:type="pct"/>
            <w:gridSpan w:val="2"/>
          </w:tcPr>
          <w:p w14:paraId="73F6E061" w14:textId="77777777" w:rsidR="008A6D82" w:rsidRPr="00FE1494" w:rsidRDefault="008A6D82" w:rsidP="00CB618A">
            <w:pPr>
              <w:spacing w:line="276" w:lineRule="auto"/>
              <w:rPr>
                <w:rFonts w:ascii="Arial" w:hAnsi="Arial" w:cs="Arial"/>
                <w:sz w:val="16"/>
                <w:szCs w:val="16"/>
              </w:rPr>
            </w:pPr>
            <w:r w:rsidRPr="00FE1494">
              <w:rPr>
                <w:rFonts w:ascii="Arial" w:hAnsi="Arial" w:cs="Arial"/>
                <w:sz w:val="16"/>
                <w:szCs w:val="16"/>
              </w:rPr>
              <w:t>Positive – Disturbances caused by grazing creates ‘safe sites’ for seedling establishment</w:t>
            </w:r>
            <w:r w:rsidRPr="00FE1494">
              <w:rPr>
                <w:rFonts w:ascii="Arial" w:hAnsi="Arial" w:cs="Arial"/>
                <w:sz w:val="16"/>
                <w:szCs w:val="16"/>
              </w:rPr>
              <w:fldChar w:fldCharType="begin" w:fldLock="1"/>
            </w:r>
            <w:r w:rsidRPr="00FE1494">
              <w:rPr>
                <w:rFonts w:ascii="Arial" w:hAnsi="Arial" w:cs="Arial"/>
                <w:sz w:val="16"/>
                <w:szCs w:val="16"/>
              </w:rPr>
              <w:instrText>ADDIN CSL_CITATION { "citationItems" : [ { "id" : "ITEM-1", "itemData" : { "author" : [ { "dropping-particle" : "", "family" : "Cross", "given" : "J.R.", "non-dropping-particle" : "", "parse-names" : false, "suffix" : "" } ], "container-title" : "Journal of Ecology", "id" : "ITEM-1", "issue" : "3", "issued" : { "date-parts" : [ [ "1981" ] ] }, "page" : "807-824", "title" : "The Establishment of Rhododendron Ponticum in the Killarney Oakwoods , S . W . Ireland Author ( s ): J . R . Cross Published by : British Ecological Society Stable URL : http://www.jstor.org/stable/2259638 JSTOR is a not-for-profit service that helps scho", "type" : "article-journal", "volume" : "69" }, "uris" : [ "http://www.mendeley.com/documents/?uuid=1ee3a97b-2f25-4170-8edb-fde53e858d6d" ] } ], "mendeley" : { "formattedCitation" : "&lt;sup&gt;76&lt;/sup&gt;", "plainTextFormattedCitation" : "76", "previouslyFormattedCitation" : "&lt;sup&gt;76&lt;/sup&gt;" }, "properties" : {  }, "schema" : "https://github.com/citation-style-language/schema/raw/master/csl-citation.json" }</w:instrText>
            </w:r>
            <w:r w:rsidRPr="00FE1494">
              <w:rPr>
                <w:rFonts w:ascii="Arial" w:hAnsi="Arial" w:cs="Arial"/>
                <w:sz w:val="16"/>
                <w:szCs w:val="16"/>
              </w:rPr>
              <w:fldChar w:fldCharType="separate"/>
            </w:r>
            <w:r w:rsidRPr="00FE1494">
              <w:rPr>
                <w:rFonts w:ascii="Arial" w:hAnsi="Arial" w:cs="Arial"/>
                <w:noProof/>
                <w:sz w:val="16"/>
                <w:szCs w:val="16"/>
                <w:vertAlign w:val="superscript"/>
              </w:rPr>
              <w:t>76</w:t>
            </w:r>
            <w:r w:rsidRPr="00FE1494">
              <w:rPr>
                <w:rFonts w:ascii="Arial" w:hAnsi="Arial" w:cs="Arial"/>
                <w:sz w:val="16"/>
                <w:szCs w:val="16"/>
              </w:rPr>
              <w:fldChar w:fldCharType="end"/>
            </w:r>
            <w:r w:rsidRPr="00FE1494">
              <w:rPr>
                <w:rFonts w:ascii="Arial" w:hAnsi="Arial" w:cs="Arial"/>
                <w:sz w:val="16"/>
                <w:szCs w:val="16"/>
              </w:rPr>
              <w:t>.</w:t>
            </w:r>
          </w:p>
        </w:tc>
        <w:tc>
          <w:tcPr>
            <w:tcW w:w="405" w:type="pct"/>
          </w:tcPr>
          <w:p w14:paraId="610AD762" w14:textId="77777777" w:rsidR="008A6D82" w:rsidRPr="00FE1494" w:rsidRDefault="008A6D82" w:rsidP="00CB618A">
            <w:pPr>
              <w:spacing w:line="276" w:lineRule="auto"/>
              <w:rPr>
                <w:rFonts w:ascii="Arial" w:hAnsi="Arial" w:cs="Arial"/>
                <w:sz w:val="16"/>
                <w:szCs w:val="16"/>
              </w:rPr>
            </w:pPr>
            <w:r w:rsidRPr="00FE1494">
              <w:rPr>
                <w:rFonts w:ascii="Arial" w:hAnsi="Arial" w:cs="Arial"/>
                <w:sz w:val="16"/>
                <w:szCs w:val="16"/>
              </w:rPr>
              <w:t>Binary</w:t>
            </w:r>
          </w:p>
        </w:tc>
        <w:tc>
          <w:tcPr>
            <w:tcW w:w="1824" w:type="pct"/>
            <w:gridSpan w:val="2"/>
          </w:tcPr>
          <w:p w14:paraId="77F5A509" w14:textId="77777777" w:rsidR="008A6D82" w:rsidRPr="00FE1494" w:rsidRDefault="008A6D82" w:rsidP="00CB618A">
            <w:pPr>
              <w:spacing w:line="276" w:lineRule="auto"/>
              <w:rPr>
                <w:rFonts w:ascii="Arial" w:hAnsi="Arial" w:cs="Arial"/>
                <w:sz w:val="16"/>
                <w:szCs w:val="16"/>
              </w:rPr>
            </w:pPr>
            <w:r w:rsidRPr="00FE1494">
              <w:rPr>
                <w:rFonts w:ascii="Arial" w:hAnsi="Arial" w:cs="Arial"/>
                <w:sz w:val="16"/>
                <w:szCs w:val="16"/>
              </w:rPr>
              <w:t>NFI field survey</w:t>
            </w:r>
          </w:p>
        </w:tc>
      </w:tr>
      <w:tr w:rsidR="008A6D82" w:rsidRPr="00FE1494" w14:paraId="59089741" w14:textId="77777777" w:rsidTr="00CB618A">
        <w:tc>
          <w:tcPr>
            <w:tcW w:w="947" w:type="pct"/>
          </w:tcPr>
          <w:p w14:paraId="379C65DF" w14:textId="77777777" w:rsidR="008A6D82" w:rsidRPr="00FE1494" w:rsidRDefault="008A6D82" w:rsidP="00CB618A">
            <w:pPr>
              <w:spacing w:line="276" w:lineRule="auto"/>
              <w:rPr>
                <w:rFonts w:ascii="Arial" w:hAnsi="Arial" w:cs="Arial"/>
                <w:sz w:val="16"/>
                <w:szCs w:val="16"/>
              </w:rPr>
            </w:pPr>
            <w:r w:rsidRPr="00FE1494">
              <w:rPr>
                <w:rFonts w:ascii="Arial" w:hAnsi="Arial" w:cs="Arial"/>
                <w:sz w:val="16"/>
                <w:szCs w:val="16"/>
              </w:rPr>
              <w:t>Aspect</w:t>
            </w:r>
          </w:p>
        </w:tc>
        <w:tc>
          <w:tcPr>
            <w:tcW w:w="1824" w:type="pct"/>
            <w:gridSpan w:val="2"/>
          </w:tcPr>
          <w:p w14:paraId="05FCFB2D" w14:textId="77777777" w:rsidR="008A6D82" w:rsidRPr="00FE1494" w:rsidRDefault="008A6D82" w:rsidP="00CB618A">
            <w:pPr>
              <w:spacing w:line="276" w:lineRule="auto"/>
              <w:rPr>
                <w:rFonts w:ascii="Arial" w:hAnsi="Arial" w:cs="Arial"/>
                <w:sz w:val="16"/>
                <w:szCs w:val="16"/>
              </w:rPr>
            </w:pPr>
            <w:r w:rsidRPr="00FE1494">
              <w:rPr>
                <w:rFonts w:ascii="Arial" w:hAnsi="Arial" w:cs="Arial"/>
                <w:sz w:val="16"/>
                <w:szCs w:val="16"/>
              </w:rPr>
              <w:t>Rhododendron has been shown to favour northerly aspects</w:t>
            </w:r>
            <w:r w:rsidRPr="00FE1494">
              <w:rPr>
                <w:rFonts w:ascii="Arial" w:hAnsi="Arial" w:cs="Arial"/>
                <w:sz w:val="16"/>
                <w:szCs w:val="16"/>
              </w:rPr>
              <w:fldChar w:fldCharType="begin" w:fldLock="1"/>
            </w:r>
            <w:r w:rsidRPr="00FE1494">
              <w:rPr>
                <w:rFonts w:ascii="Arial" w:hAnsi="Arial" w:cs="Arial"/>
                <w:sz w:val="16"/>
                <w:szCs w:val="16"/>
              </w:rPr>
              <w:instrText>ADDIN CSL_CITATION { "citationItems" : [ { "id" : "ITEM-1", "itemData" : { "DOI" : "10.1016/j.ecolmodel.2005.09.007", "ISBN" : "0304-3800", "ISSN" : "03043800", "PMID" : "76", "abstract" : "Rhododendron ponticum has become a well-established invasive species throughout the British Isles and is now considered a problematic invasive weed species. The habitat requirements for establishment, however, have only previously been described qualitatively. The aim of this study was to quantify the influence of topographical and environmental characteristics on the probability of establishment of this invasive shrub in a woodland environment. A binomial generalized linear model (GLM), incorporating spatial autocorrelation, was used to model the presence/absence of R. ponticum seedlings (&lt;7-year-old plants) given substrate type and depth, canopy type and percent cover, altitude, slope, aspect and the distance to the nearest seed source as covariates. Depth and type of substrate along with distance from the closest seed source were found to be the most important predictors of seedling establishment. Specifically, fallen logs or tree stumps, newly colonised by moss, were identified as the most favourable habitat type for R. ponticum invasion. We show that the inclusion of spatial autocorrelation can affect model conclusions and, as a consequence, may influence management recommendations. Knowing how to reduce establishment can assist in managing invasive populations. Similarly, understanding how establishment probabilities vary according to habitat may aid the conservation of threatened populations. \u00a9 2005 Elsevier B.V. All rights reserved.", "author" : [ { "dropping-particle" : "", "family" : "Stephenson", "given" : "C. M.", "non-dropping-particle" : "", "parse-names" : false, "suffix" : "" }, { "dropping-particle" : "", "family" : "MacKenzie", "given" : "M. L.", "non-dropping-particle" : "", "parse-names" : false, "suffix" : "" }, { "dropping-particle" : "", "family" : "Edwards", "given" : "C.", "non-dropping-particle" : "", "parse-names" : false, "suffix" : "" }, { "dropping-particle" : "", "family" : "Travis", "given" : "J. M.J.", "non-dropping-particle" : "", "parse-names" : false, "suffix" : "" } ], "container-title" : "Ecological Modelling", "id" : "ITEM-1", "issue" : "3-4", "issued" : { "date-parts" : [ [ "2006" ] ] }, "page" : "747-758", "title" : "Modelling establishment probabilities of an exotic plant, Rhododendron ponticum, invading a heterogeneous, woodland landscape using logistic regression with spatial autocorrelation", "type" : "article-journal", "volume" : "193" }, "uris" : [ "http://www.mendeley.com/documents/?uuid=f982a4cc-7fd9-442e-91e4-6986505ed0d4" ] } ], "mendeley" : { "formattedCitation" : "&lt;sup&gt;36&lt;/sup&gt;", "plainTextFormattedCitation" : "36", "previouslyFormattedCitation" : "&lt;sup&gt;36&lt;/sup&gt;" }, "properties" : {  }, "schema" : "https://github.com/citation-style-language/schema/raw/master/csl-citation.json" }</w:instrText>
            </w:r>
            <w:r w:rsidRPr="00FE1494">
              <w:rPr>
                <w:rFonts w:ascii="Arial" w:hAnsi="Arial" w:cs="Arial"/>
                <w:sz w:val="16"/>
                <w:szCs w:val="16"/>
              </w:rPr>
              <w:fldChar w:fldCharType="separate"/>
            </w:r>
            <w:r w:rsidRPr="00FE1494">
              <w:rPr>
                <w:rFonts w:ascii="Arial" w:hAnsi="Arial" w:cs="Arial"/>
                <w:noProof/>
                <w:sz w:val="16"/>
                <w:szCs w:val="16"/>
                <w:vertAlign w:val="superscript"/>
              </w:rPr>
              <w:t>36</w:t>
            </w:r>
            <w:r w:rsidRPr="00FE1494">
              <w:rPr>
                <w:rFonts w:ascii="Arial" w:hAnsi="Arial" w:cs="Arial"/>
                <w:sz w:val="16"/>
                <w:szCs w:val="16"/>
              </w:rPr>
              <w:fldChar w:fldCharType="end"/>
            </w:r>
            <w:r w:rsidRPr="00FE1494">
              <w:rPr>
                <w:rFonts w:ascii="Arial" w:hAnsi="Arial" w:cs="Arial"/>
                <w:sz w:val="16"/>
                <w:szCs w:val="16"/>
              </w:rPr>
              <w:t xml:space="preserve">. </w:t>
            </w:r>
          </w:p>
        </w:tc>
        <w:tc>
          <w:tcPr>
            <w:tcW w:w="405" w:type="pct"/>
          </w:tcPr>
          <w:p w14:paraId="553C94AF" w14:textId="77777777" w:rsidR="008A6D82" w:rsidRPr="00FE1494" w:rsidRDefault="008A6D82" w:rsidP="00CB618A">
            <w:pPr>
              <w:spacing w:line="276" w:lineRule="auto"/>
              <w:rPr>
                <w:rFonts w:ascii="Arial" w:hAnsi="Arial" w:cs="Arial"/>
                <w:sz w:val="16"/>
                <w:szCs w:val="16"/>
              </w:rPr>
            </w:pPr>
            <w:r w:rsidRPr="00FE1494">
              <w:rPr>
                <w:rFonts w:ascii="Arial" w:hAnsi="Arial" w:cs="Arial"/>
                <w:sz w:val="16"/>
                <w:szCs w:val="16"/>
              </w:rPr>
              <w:t>Categorical (NSEW)</w:t>
            </w:r>
          </w:p>
        </w:tc>
        <w:tc>
          <w:tcPr>
            <w:tcW w:w="1824" w:type="pct"/>
            <w:gridSpan w:val="2"/>
          </w:tcPr>
          <w:p w14:paraId="1020E547" w14:textId="77777777" w:rsidR="008A6D82" w:rsidRPr="00FE1494" w:rsidRDefault="008A6D82" w:rsidP="00CB618A">
            <w:pPr>
              <w:spacing w:line="276" w:lineRule="auto"/>
              <w:rPr>
                <w:rFonts w:ascii="Arial" w:hAnsi="Arial" w:cs="Arial"/>
                <w:sz w:val="16"/>
                <w:szCs w:val="16"/>
              </w:rPr>
            </w:pPr>
            <w:r w:rsidRPr="00FE1494">
              <w:rPr>
                <w:rFonts w:ascii="Arial" w:hAnsi="Arial" w:cs="Arial"/>
                <w:sz w:val="16"/>
                <w:szCs w:val="16"/>
              </w:rPr>
              <w:t>Derived using ArcGIS (</w:t>
            </w:r>
            <w:hyperlink r:id="rId21" w:history="1">
              <w:r w:rsidRPr="00FE1494">
                <w:rPr>
                  <w:rStyle w:val="Hyperlink"/>
                  <w:rFonts w:ascii="Arial" w:hAnsi="Arial" w:cs="Arial"/>
                </w:rPr>
                <w:t>www.esri.com</w:t>
              </w:r>
            </w:hyperlink>
            <w:r w:rsidRPr="00FE1494">
              <w:rPr>
                <w:rFonts w:ascii="Arial" w:hAnsi="Arial" w:cs="Arial"/>
                <w:sz w:val="16"/>
                <w:szCs w:val="16"/>
              </w:rPr>
              <w:t>, v10.2.2), using section centroids</w:t>
            </w:r>
          </w:p>
        </w:tc>
      </w:tr>
      <w:tr w:rsidR="008A6D82" w:rsidRPr="00FE1494" w14:paraId="421F0E2C" w14:textId="77777777" w:rsidTr="00CB618A">
        <w:tc>
          <w:tcPr>
            <w:tcW w:w="947" w:type="pct"/>
          </w:tcPr>
          <w:p w14:paraId="399F76E0" w14:textId="77777777" w:rsidR="008A6D82" w:rsidRPr="00FE1494" w:rsidRDefault="008A6D82" w:rsidP="00CB618A">
            <w:pPr>
              <w:spacing w:line="276" w:lineRule="auto"/>
              <w:rPr>
                <w:rFonts w:ascii="Arial" w:hAnsi="Arial" w:cs="Arial"/>
                <w:sz w:val="16"/>
                <w:szCs w:val="16"/>
              </w:rPr>
            </w:pPr>
            <w:r w:rsidRPr="00FE1494">
              <w:rPr>
                <w:rFonts w:ascii="Arial" w:hAnsi="Arial" w:cs="Arial"/>
                <w:sz w:val="16"/>
                <w:szCs w:val="16"/>
              </w:rPr>
              <w:t>Woodland patch size</w:t>
            </w:r>
          </w:p>
        </w:tc>
        <w:tc>
          <w:tcPr>
            <w:tcW w:w="1824" w:type="pct"/>
            <w:gridSpan w:val="2"/>
          </w:tcPr>
          <w:p w14:paraId="35A0362F" w14:textId="77777777" w:rsidR="008A6D82" w:rsidRPr="00FE1494" w:rsidRDefault="008A6D82" w:rsidP="00CB618A">
            <w:pPr>
              <w:spacing w:line="276" w:lineRule="auto"/>
              <w:rPr>
                <w:rFonts w:ascii="Arial" w:hAnsi="Arial" w:cs="Arial"/>
                <w:sz w:val="16"/>
                <w:szCs w:val="16"/>
              </w:rPr>
            </w:pPr>
            <w:r w:rsidRPr="00FE1494">
              <w:rPr>
                <w:rFonts w:ascii="Arial" w:hAnsi="Arial" w:cs="Arial"/>
                <w:sz w:val="16"/>
                <w:szCs w:val="16"/>
              </w:rPr>
              <w:t>Positive or negative – increasing distance to an edge tends towards damper conditions that favour germination, however, it likely also results in a further distance from propagule sources.</w:t>
            </w:r>
          </w:p>
        </w:tc>
        <w:tc>
          <w:tcPr>
            <w:tcW w:w="405" w:type="pct"/>
          </w:tcPr>
          <w:p w14:paraId="5E4B7580" w14:textId="77777777" w:rsidR="008A6D82" w:rsidRPr="00FE1494" w:rsidRDefault="008A6D82" w:rsidP="00CB618A">
            <w:pPr>
              <w:spacing w:line="276" w:lineRule="auto"/>
              <w:rPr>
                <w:rFonts w:ascii="Arial" w:hAnsi="Arial" w:cs="Arial"/>
                <w:sz w:val="16"/>
                <w:szCs w:val="16"/>
              </w:rPr>
            </w:pPr>
            <w:r w:rsidRPr="00FE1494">
              <w:rPr>
                <w:rFonts w:ascii="Arial" w:hAnsi="Arial" w:cs="Arial"/>
                <w:sz w:val="16"/>
                <w:szCs w:val="16"/>
              </w:rPr>
              <w:t>Continuous</w:t>
            </w:r>
          </w:p>
        </w:tc>
        <w:tc>
          <w:tcPr>
            <w:tcW w:w="1824" w:type="pct"/>
            <w:gridSpan w:val="2"/>
          </w:tcPr>
          <w:p w14:paraId="0FE793D5" w14:textId="77777777" w:rsidR="008A6D82" w:rsidRPr="00FE1494" w:rsidRDefault="008A6D82" w:rsidP="00CB618A">
            <w:pPr>
              <w:spacing w:line="276" w:lineRule="auto"/>
              <w:rPr>
                <w:rFonts w:ascii="Arial" w:hAnsi="Arial" w:cs="Arial"/>
                <w:sz w:val="16"/>
                <w:szCs w:val="16"/>
              </w:rPr>
            </w:pPr>
            <w:r w:rsidRPr="00FE1494">
              <w:rPr>
                <w:rFonts w:ascii="Arial" w:hAnsi="Arial" w:cs="Arial"/>
                <w:sz w:val="16"/>
                <w:szCs w:val="16"/>
              </w:rPr>
              <w:t>NFI map data</w:t>
            </w:r>
          </w:p>
        </w:tc>
      </w:tr>
    </w:tbl>
    <w:p w14:paraId="3C6F85E0" w14:textId="77777777" w:rsidR="008A6D82" w:rsidRPr="00720204" w:rsidRDefault="008A6D82" w:rsidP="008A6D82">
      <w:pPr>
        <w:pStyle w:val="Heading2"/>
      </w:pPr>
      <w:bookmarkStart w:id="50" w:name="_Toc517431844"/>
      <w:r w:rsidRPr="00720204">
        <w:t>Appendix S1.</w:t>
      </w:r>
      <w:r>
        <w:t>3</w:t>
      </w:r>
      <w:r w:rsidRPr="00720204">
        <w:t xml:space="preserve"> Defining regional contexts</w:t>
      </w:r>
      <w:bookmarkEnd w:id="50"/>
    </w:p>
    <w:p w14:paraId="1D6FBEB0" w14:textId="77777777" w:rsidR="008A6D82" w:rsidRDefault="008A6D82" w:rsidP="008A6D82">
      <w:r>
        <w:t xml:space="preserve">Regional drivers of rhododendron establishment (identified in Step 2) were harmonised to a common resolution of 1-km and subjected to Spearman’s correlation analysis within the variable ranges sampled by the NFI, following standardisation to </w:t>
      </w:r>
      <w:r w:rsidRPr="00FB5DBE">
        <w:rPr>
          <w:i/>
        </w:rPr>
        <w:t>z</w:t>
      </w:r>
      <w:r>
        <w:t xml:space="preserve">-scores. Principal component analysis (PCA) was applied to moisture deficit (MD) and elevation as these were highly correlated </w:t>
      </w:r>
      <w:r w:rsidRPr="00642823">
        <w:t>across Britain as a whole (Spearman’s rho = 0.80 within the range sampled by NFI squares)</w:t>
      </w:r>
      <w:r>
        <w:t xml:space="preserve">. PCA </w:t>
      </w:r>
      <w:r w:rsidRPr="00642823">
        <w:t>identified two gradients</w:t>
      </w:r>
      <w:r>
        <w:t xml:space="preserve">. </w:t>
      </w:r>
    </w:p>
    <w:p w14:paraId="62F33762" w14:textId="77777777" w:rsidR="008A6D82" w:rsidRPr="00D33A45" w:rsidRDefault="008A6D82" w:rsidP="008A6D82">
      <w:pPr>
        <w:pStyle w:val="Heading2"/>
        <w:rPr>
          <w:rFonts w:cs="Times New Roman"/>
        </w:rPr>
      </w:pPr>
      <w:bookmarkStart w:id="51" w:name="_Toc517431845"/>
      <w:r>
        <w:t xml:space="preserve">Appendix S1.4 </w:t>
      </w:r>
      <w:r w:rsidRPr="00FA41C1">
        <w:t>Characteris</w:t>
      </w:r>
      <w:r>
        <w:t>ing</w:t>
      </w:r>
      <w:r w:rsidRPr="00FA41C1">
        <w:t xml:space="preserve"> landscape structure</w:t>
      </w:r>
      <w:bookmarkEnd w:id="51"/>
      <w:r w:rsidRPr="00FA41C1">
        <w:t xml:space="preserve"> </w:t>
      </w:r>
    </w:p>
    <w:p w14:paraId="27A09573" w14:textId="77777777" w:rsidR="008A6D82" w:rsidRDefault="008A6D82" w:rsidP="008A6D82">
      <w:r>
        <w:rPr>
          <w:rFonts w:cs="Times New Roman"/>
          <w:szCs w:val="24"/>
        </w:rPr>
        <w:t>We used a 25-m resolution</w:t>
      </w:r>
      <w:r>
        <w:t xml:space="preserve"> land cover raster for Britain, LCM2007 (Morton et al. 2014). Landscape metrics were calculated using the </w:t>
      </w:r>
      <w:r w:rsidRPr="00DF5736">
        <w:rPr>
          <w:i/>
        </w:rPr>
        <w:t>ClassStat</w:t>
      </w:r>
      <w:r>
        <w:t xml:space="preserve"> function provide by the R package SDMTools (</w:t>
      </w:r>
      <w:r w:rsidRPr="00D27881">
        <w:t>VanDerWal</w:t>
      </w:r>
      <w:r>
        <w:t xml:space="preserve"> et al</w:t>
      </w:r>
      <w:r w:rsidRPr="00E64BFD">
        <w:t>. 2014). Distance measures were carried out in ArcGIS (</w:t>
      </w:r>
      <w:hyperlink r:id="rId22" w:history="1">
        <w:r w:rsidRPr="00E64BFD">
          <w:rPr>
            <w:rStyle w:val="Hyperlink"/>
          </w:rPr>
          <w:t>www.esri.com</w:t>
        </w:r>
      </w:hyperlink>
      <w:r w:rsidRPr="00E64BFD">
        <w:t>, v10.2.2), using section centroids. R code to calculate landscape metrics within multiple buffers for multiple sites can be found in Appendix S4.</w:t>
      </w:r>
    </w:p>
    <w:p w14:paraId="5692375D" w14:textId="77777777" w:rsidR="008A6D82" w:rsidRDefault="008A6D82" w:rsidP="008A6D82">
      <w:pPr>
        <w:jc w:val="center"/>
      </w:pPr>
      <w:r w:rsidRPr="0027031D">
        <w:rPr>
          <w:noProof/>
          <w:lang w:eastAsia="en-GB"/>
        </w:rPr>
        <w:drawing>
          <wp:inline distT="0" distB="0" distL="0" distR="0" wp14:anchorId="3D042F15" wp14:editId="648F1A8F">
            <wp:extent cx="5731510" cy="1831447"/>
            <wp:effectExtent l="0" t="0" r="2540" b="0"/>
            <wp:docPr id="260" name="Picture 260" descr="C:\Users\rs15g08\AppData\Local\Microsoft\Windows\INetCache\Content.Outlook\XCAGD3Z7\Sections_figure_updat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s15g08\AppData\Local\Microsoft\Windows\INetCache\Content.Outlook\XCAGD3Z7\Sections_figure_updated.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1510" cy="1831447"/>
                    </a:xfrm>
                    <a:prstGeom prst="rect">
                      <a:avLst/>
                    </a:prstGeom>
                    <a:noFill/>
                    <a:ln>
                      <a:noFill/>
                    </a:ln>
                  </pic:spPr>
                </pic:pic>
              </a:graphicData>
            </a:graphic>
          </wp:inline>
        </w:drawing>
      </w:r>
    </w:p>
    <w:p w14:paraId="4262DBC7" w14:textId="77777777" w:rsidR="008A6D82" w:rsidRDefault="008A6D82" w:rsidP="008A6D82">
      <w:pPr>
        <w:spacing w:line="360" w:lineRule="auto"/>
        <w:rPr>
          <w:rFonts w:ascii="Arial" w:hAnsi="Arial" w:cs="Arial"/>
          <w:sz w:val="20"/>
          <w:szCs w:val="20"/>
        </w:rPr>
      </w:pPr>
      <w:r>
        <w:t xml:space="preserve">Figure S1.1 </w:t>
      </w:r>
      <w:r>
        <w:rPr>
          <w:rFonts w:ascii="Arial" w:hAnsi="Arial" w:cs="Arial"/>
          <w:sz w:val="20"/>
          <w:szCs w:val="20"/>
        </w:rPr>
        <w:t>L</w:t>
      </w:r>
      <w:r w:rsidRPr="008E51A5">
        <w:rPr>
          <w:rFonts w:ascii="Arial" w:hAnsi="Arial" w:cs="Arial"/>
          <w:sz w:val="20"/>
          <w:szCs w:val="20"/>
        </w:rPr>
        <w:t xml:space="preserve">andscape structure </w:t>
      </w:r>
      <w:r>
        <w:rPr>
          <w:rFonts w:ascii="Arial" w:hAnsi="Arial" w:cs="Arial"/>
          <w:sz w:val="20"/>
          <w:szCs w:val="20"/>
        </w:rPr>
        <w:t>metrics hypothesised to influence the probability of rhododendron establishment were</w:t>
      </w:r>
      <w:r w:rsidRPr="008E51A5">
        <w:rPr>
          <w:rFonts w:ascii="Arial" w:hAnsi="Arial" w:cs="Arial"/>
          <w:sz w:val="20"/>
          <w:szCs w:val="20"/>
        </w:rPr>
        <w:t xml:space="preserve"> </w:t>
      </w:r>
      <w:r>
        <w:rPr>
          <w:rFonts w:ascii="Arial" w:hAnsi="Arial" w:cs="Arial"/>
          <w:sz w:val="20"/>
          <w:szCs w:val="20"/>
        </w:rPr>
        <w:t>quantified</w:t>
      </w:r>
      <w:r w:rsidRPr="008E51A5">
        <w:rPr>
          <w:rFonts w:ascii="Arial" w:hAnsi="Arial" w:cs="Arial"/>
          <w:sz w:val="20"/>
          <w:szCs w:val="20"/>
        </w:rPr>
        <w:t xml:space="preserve"> within multiple buffers surrounding each NFI section.</w:t>
      </w:r>
    </w:p>
    <w:p w14:paraId="659637D5" w14:textId="77777777" w:rsidR="008A6D82" w:rsidRDefault="008A6D82" w:rsidP="008A6D82">
      <w:pPr>
        <w:rPr>
          <w:rFonts w:asciiTheme="majorHAnsi" w:eastAsiaTheme="majorEastAsia" w:hAnsiTheme="majorHAnsi" w:cstheme="majorBidi"/>
          <w:b/>
          <w:sz w:val="26"/>
          <w:szCs w:val="26"/>
          <w:lang w:eastAsia="zh-CN"/>
        </w:rPr>
      </w:pPr>
      <w:bookmarkStart w:id="52" w:name="_Toc517431846"/>
      <w:r>
        <w:br w:type="page"/>
      </w:r>
    </w:p>
    <w:p w14:paraId="4EE8DEB7" w14:textId="77777777" w:rsidR="008A6D82" w:rsidRDefault="008A6D82" w:rsidP="008A6D82">
      <w:pPr>
        <w:pStyle w:val="Heading2"/>
      </w:pPr>
      <w:r>
        <w:t>Appendix S1.5 Details of data exploration and processing</w:t>
      </w:r>
      <w:bookmarkEnd w:id="52"/>
    </w:p>
    <w:p w14:paraId="56B4E161" w14:textId="77777777" w:rsidR="008A6D82" w:rsidRDefault="008A6D82" w:rsidP="008A6D82">
      <w:r>
        <w:t>Woodland patch size (“wood.size”) was omitted from the global model due to high collinearity with landscape-level woodland cover (“wood.cov”):</w:t>
      </w:r>
    </w:p>
    <w:p w14:paraId="74372A57" w14:textId="77777777" w:rsidR="008A6D82" w:rsidRDefault="008A6D82" w:rsidP="008A6D82">
      <w:r w:rsidRPr="002F20FE">
        <w:rPr>
          <w:noProof/>
          <w:lang w:eastAsia="en-GB"/>
        </w:rPr>
        <w:drawing>
          <wp:inline distT="0" distB="0" distL="0" distR="0" wp14:anchorId="60FAC94C" wp14:editId="1009514A">
            <wp:extent cx="5731510" cy="4221440"/>
            <wp:effectExtent l="0" t="0" r="2540" b="8255"/>
            <wp:docPr id="12" name="Picture 12" descr="C:\Users\rs15g08\Desktop\rhody_analysis\Rhody_Analysis\Rpl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s15g08\Desktop\rhody_analysis\Rhody_Analysis\Rplo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4221440"/>
                    </a:xfrm>
                    <a:prstGeom prst="rect">
                      <a:avLst/>
                    </a:prstGeom>
                    <a:noFill/>
                    <a:ln>
                      <a:noFill/>
                    </a:ln>
                  </pic:spPr>
                </pic:pic>
              </a:graphicData>
            </a:graphic>
          </wp:inline>
        </w:drawing>
      </w:r>
    </w:p>
    <w:p w14:paraId="03603F39" w14:textId="77777777" w:rsidR="008A6D82" w:rsidRPr="008A699C" w:rsidRDefault="008A6D82" w:rsidP="008A6D82">
      <w:pPr>
        <w:rPr>
          <w:rFonts w:ascii="Arial" w:hAnsi="Arial" w:cs="Arial"/>
          <w:sz w:val="20"/>
        </w:rPr>
      </w:pPr>
      <w:r w:rsidRPr="008A699C">
        <w:rPr>
          <w:rFonts w:ascii="Arial" w:hAnsi="Arial" w:cs="Arial"/>
          <w:sz w:val="20"/>
        </w:rPr>
        <w:t>Fig. S1.</w:t>
      </w:r>
      <w:r>
        <w:rPr>
          <w:rFonts w:ascii="Arial" w:hAnsi="Arial" w:cs="Arial"/>
          <w:sz w:val="20"/>
        </w:rPr>
        <w:t>2</w:t>
      </w:r>
      <w:r w:rsidRPr="008A699C">
        <w:rPr>
          <w:rFonts w:ascii="Arial" w:hAnsi="Arial" w:cs="Arial"/>
          <w:sz w:val="20"/>
        </w:rPr>
        <w:t>.</w:t>
      </w:r>
      <w:r w:rsidRPr="008A699C">
        <w:rPr>
          <w:rFonts w:ascii="Arial" w:hAnsi="Arial" w:cs="Arial"/>
          <w:sz w:val="20"/>
        </w:rPr>
        <w:tab/>
        <w:t>Spearman’s rank correlation coefficients of variables considered in the analysis of rhododendron occurrence</w:t>
      </w:r>
      <w:r w:rsidRPr="008A699C">
        <w:rPr>
          <w:rFonts w:ascii="Arial" w:hAnsi="Arial" w:cs="Arial"/>
          <w:sz w:val="20"/>
        </w:rPr>
        <w:tab/>
      </w:r>
    </w:p>
    <w:p w14:paraId="1E662BAD" w14:textId="77777777" w:rsidR="008A6D82" w:rsidRDefault="008A6D82" w:rsidP="008A6D82">
      <w:pPr>
        <w:rPr>
          <w:rFonts w:asciiTheme="majorHAnsi" w:eastAsiaTheme="majorEastAsia" w:hAnsiTheme="majorHAnsi" w:cstheme="majorBidi"/>
          <w:b/>
          <w:sz w:val="26"/>
          <w:szCs w:val="26"/>
          <w:lang w:eastAsia="zh-CN"/>
        </w:rPr>
      </w:pPr>
      <w:bookmarkStart w:id="53" w:name="_Toc517431847"/>
      <w:r>
        <w:br w:type="page"/>
      </w:r>
    </w:p>
    <w:p w14:paraId="50A647A4" w14:textId="77777777" w:rsidR="008A6D82" w:rsidRDefault="008A6D82" w:rsidP="008A6D82">
      <w:pPr>
        <w:pStyle w:val="Heading2"/>
      </w:pPr>
      <w:r>
        <w:t>Appendix S1.6 Details of model</w:t>
      </w:r>
      <w:r w:rsidRPr="00126332">
        <w:t xml:space="preserve"> selection to identify important drivers and scales</w:t>
      </w:r>
      <w:bookmarkEnd w:id="53"/>
    </w:p>
    <w:p w14:paraId="16173679" w14:textId="77777777" w:rsidR="008A6D82" w:rsidRDefault="008A6D82" w:rsidP="008A6D82">
      <w:r>
        <w:t xml:space="preserve">To quantify how susceptibility to invasion varied with regional, landscape, local-level drivers and their interactions as hypothesised in Step 5 (Table 1), we </w:t>
      </w:r>
      <w:r w:rsidRPr="00191785">
        <w:t xml:space="preserve">fitted generalised linear models against a binomial distribution </w:t>
      </w:r>
      <w:r>
        <w:t>with</w:t>
      </w:r>
      <w:r w:rsidRPr="00191785">
        <w:t xml:space="preserve"> a clog</w:t>
      </w:r>
      <w:r>
        <w:t>-</w:t>
      </w:r>
      <w:r w:rsidRPr="00191785">
        <w:t>log link</w:t>
      </w:r>
      <w:r>
        <w:t xml:space="preserve"> function to the rhododendron occurrence data. Sections area </w:t>
      </w:r>
      <w:r w:rsidRPr="00C61914">
        <w:t xml:space="preserve">varied, so </w:t>
      </w:r>
      <w:r>
        <w:t xml:space="preserve">section area was fitted as an offset, </w:t>
      </w:r>
      <w:r w:rsidRPr="00C61914">
        <w:t xml:space="preserve">thus controlling for effects of </w:t>
      </w:r>
      <w:r>
        <w:t>section</w:t>
      </w:r>
      <w:r w:rsidRPr="00C61914">
        <w:t xml:space="preserve"> area on the probability of </w:t>
      </w:r>
      <w:r>
        <w:t>rhododendron occurrence. To account for the spatial non-independence of sections within squares, a single section was randomly selected from each NFI square, leaving a total of 12,473 sections. This subsampling approach was used instead of a mixed-effects modelling framework (with NFI squares identified as random effects), due to insufficient c</w:t>
      </w:r>
      <w:r w:rsidRPr="00DD3A84">
        <w:t>omputational power</w:t>
      </w:r>
      <w:r>
        <w:t xml:space="preserve"> and also because</w:t>
      </w:r>
      <w:r w:rsidRPr="00DD3A84">
        <w:t xml:space="preserve"> </w:t>
      </w:r>
      <w:r w:rsidRPr="006466C8">
        <w:t>handling random effects in the</w:t>
      </w:r>
      <w:r>
        <w:t xml:space="preserve"> IT environment </w:t>
      </w:r>
      <w:r w:rsidRPr="006466C8">
        <w:t xml:space="preserve">is </w:t>
      </w:r>
      <w:r>
        <w:t>troublesome, particularly when averaging models</w:t>
      </w:r>
      <w:r>
        <w:fldChar w:fldCharType="begin" w:fldLock="1"/>
      </w:r>
      <w:r>
        <w:instrText>ADDIN CSL_CITATION { "citationItems" : [ { "id" : "ITEM-1", "itemData" : { "DOI" : "10.1111/j.1420-9101.2010.02210.x", "ISBN" : "1420-9101", "ISSN" : "1010061X", "PMID" : "21272107", "abstract" : "Information theoretic approaches and model averaging are increasing in popularity, but this approach can be difficult to apply to the realistic, complex models that typify many ecological and evolutionary analyses. This is especially true for those researchers without a formal background in information theory. Here, we highlight a number of practical obstacles to model averaging complex models. Although not meant to be an exhaustive review, we identify several important issues with tentative solutions where they exist (e.g. dealing with collinearity amongst predictors; how to compute model-averaged parameters) and highlight areas for future research where solutions are not clear (e.g. when to use random intercepts or slopes; which information criteria to use when random factors are involved). We also provide a worked example of a mixed model analysis of inbreeding depression in a wild population. By providing an overview of these issues, we hope that this approach will become more accessible to those investigating any process where multiple variables impact an evolutionary or ecological response.", "author" : [ { "dropping-particle" : "", "family" : "Grueber", "given" : "C. E.", "non-dropping-particle" : "", "parse-names" : false, "suffix" : "" }, { "dropping-particle" : "", "family" : "Nakagawa", "given" : "S.", "non-dropping-particle" : "", "parse-names" : false, "suffix" : "" }, { "dropping-particle" : "", "family" : "Laws", "given" : "R. J.", "non-dropping-particle" : "", "parse-names" : false, "suffix" : "" }, { "dropping-particle" : "", "family" : "Jamieson", "given" : "I. G.", "non-dropping-particle" : "", "parse-names" : false, "suffix" : "" } ], "container-title" : "Journal of Evolutionary Biology", "id" : "ITEM-1", "issue" : "4", "issued" : { "date-parts" : [ [ "2011" ] ] }, "page" : "699-711", "title" : "Multimodel inference in ecology and evolution: Challenges and solutions", "type" : "article-journal", "volume" : "24" }, "uris" : [ "http://www.mendeley.com/documents/?uuid=678a37a4-3e90-465f-bea9-3ca8fdf2d51d" ] } ], "mendeley" : { "formattedCitation" : "&lt;sup&gt;82&lt;/sup&gt;", "plainTextFormattedCitation" : "82", "previouslyFormattedCitation" : "&lt;sup&gt;82&lt;/sup&gt;" }, "properties" : {  }, "schema" : "https://github.com/citation-style-language/schema/raw/master/csl-citation.json" }</w:instrText>
      </w:r>
      <w:r>
        <w:fldChar w:fldCharType="separate"/>
      </w:r>
      <w:r w:rsidRPr="00A801AF">
        <w:rPr>
          <w:noProof/>
          <w:vertAlign w:val="superscript"/>
        </w:rPr>
        <w:t>82</w:t>
      </w:r>
      <w:r>
        <w:fldChar w:fldCharType="end"/>
      </w:r>
      <w:r>
        <w:t xml:space="preserve">. All possible combinations of meaningful terms were included in models constructed by maximum likelihood methods with R package MuMIn (Barton, 2013), to allow model comparisons based on AIC with small-sample correction (AICc; Burnham and Anderson, 2004). </w:t>
      </w:r>
      <w:r>
        <w:rPr>
          <w:rFonts w:eastAsiaTheme="minorEastAsia"/>
        </w:rPr>
        <w:t xml:space="preserve">We included quadratic relationships with regional gradients and log relationships with landscape and local-level metrics. The </w:t>
      </w:r>
      <w:r>
        <w:rPr>
          <w:rFonts w:eastAsiaTheme="minorEastAsia" w:cstheme="minorHAnsi"/>
        </w:rPr>
        <w:t>Δ</w:t>
      </w:r>
      <w:r>
        <w:rPr>
          <w:rFonts w:eastAsiaTheme="minorEastAsia"/>
        </w:rPr>
        <w:t>AIC value between the best and second best model was 1.7.</w:t>
      </w:r>
    </w:p>
    <w:p w14:paraId="139175E9" w14:textId="77777777" w:rsidR="008A6D82" w:rsidRPr="00C443B4" w:rsidRDefault="008A6D82" w:rsidP="008A6D82">
      <w:pPr>
        <w:rPr>
          <w:lang w:eastAsia="zh-CN"/>
        </w:rPr>
      </w:pPr>
    </w:p>
    <w:p w14:paraId="4E6516BA" w14:textId="77777777" w:rsidR="008A6D82" w:rsidRPr="0064299A" w:rsidRDefault="008A6D82" w:rsidP="008A6D82">
      <w:pPr>
        <w:rPr>
          <w:rFonts w:ascii="Arial" w:hAnsi="Arial" w:cs="Arial"/>
          <w:sz w:val="20"/>
          <w:szCs w:val="20"/>
        </w:rPr>
      </w:pPr>
      <w:r w:rsidRPr="0064299A">
        <w:rPr>
          <w:rFonts w:ascii="Arial" w:hAnsi="Arial" w:cs="Arial"/>
          <w:sz w:val="20"/>
          <w:szCs w:val="20"/>
        </w:rPr>
        <w:t xml:space="preserve">Table </w:t>
      </w:r>
      <w:r>
        <w:rPr>
          <w:rFonts w:ascii="Arial" w:hAnsi="Arial" w:cs="Arial"/>
          <w:sz w:val="20"/>
          <w:szCs w:val="20"/>
        </w:rPr>
        <w:t>S1</w:t>
      </w:r>
      <w:r w:rsidRPr="0064299A">
        <w:rPr>
          <w:rFonts w:ascii="Arial" w:hAnsi="Arial" w:cs="Arial"/>
          <w:sz w:val="20"/>
          <w:szCs w:val="20"/>
        </w:rPr>
        <w:t>.</w:t>
      </w:r>
      <w:r>
        <w:rPr>
          <w:rFonts w:ascii="Arial" w:hAnsi="Arial" w:cs="Arial"/>
          <w:sz w:val="20"/>
          <w:szCs w:val="20"/>
        </w:rPr>
        <w:t>2.</w:t>
      </w:r>
      <w:r w:rsidRPr="0064299A">
        <w:rPr>
          <w:rFonts w:ascii="Arial" w:hAnsi="Arial" w:cs="Arial"/>
          <w:sz w:val="20"/>
          <w:szCs w:val="20"/>
        </w:rPr>
        <w:tab/>
        <w:t>Parameter estimates of the minimum adequate model explaining variation in the probability of rhododendron establishment at a woodland site. Explanatory variables were centred and scaled prior to analysis to improve interpretability of regression coefficients (Schielzeth, 2010).</w:t>
      </w:r>
    </w:p>
    <w:tbl>
      <w:tblPr>
        <w:tblW w:w="5979" w:type="dxa"/>
        <w:jc w:val="center"/>
        <w:tblLook w:val="04A0" w:firstRow="1" w:lastRow="0" w:firstColumn="1" w:lastColumn="0" w:noHBand="0" w:noVBand="1"/>
      </w:tblPr>
      <w:tblGrid>
        <w:gridCol w:w="578"/>
        <w:gridCol w:w="1317"/>
        <w:gridCol w:w="1072"/>
        <w:gridCol w:w="1150"/>
        <w:gridCol w:w="1028"/>
        <w:gridCol w:w="834"/>
      </w:tblGrid>
      <w:tr w:rsidR="008A6D82" w:rsidRPr="00210082" w14:paraId="030330FA" w14:textId="77777777" w:rsidTr="00CB618A">
        <w:trPr>
          <w:trHeight w:val="540"/>
          <w:jc w:val="center"/>
        </w:trPr>
        <w:tc>
          <w:tcPr>
            <w:tcW w:w="1895" w:type="dxa"/>
            <w:gridSpan w:val="2"/>
            <w:tcBorders>
              <w:top w:val="single" w:sz="4" w:space="0" w:color="auto"/>
              <w:left w:val="nil"/>
              <w:bottom w:val="single" w:sz="4" w:space="0" w:color="auto"/>
              <w:right w:val="nil"/>
            </w:tcBorders>
            <w:shd w:val="clear" w:color="auto" w:fill="auto"/>
            <w:vAlign w:val="center"/>
            <w:hideMark/>
          </w:tcPr>
          <w:p w14:paraId="1725C86C" w14:textId="77777777" w:rsidR="008A6D82" w:rsidRPr="00210082" w:rsidRDefault="008A6D82" w:rsidP="00CB618A">
            <w:pPr>
              <w:spacing w:after="0" w:line="240" w:lineRule="auto"/>
              <w:rPr>
                <w:rFonts w:ascii="Arial" w:eastAsia="Times New Roman" w:hAnsi="Arial" w:cs="Arial"/>
                <w:color w:val="000000"/>
                <w:sz w:val="20"/>
                <w:szCs w:val="20"/>
                <w:lang w:eastAsia="en-GB"/>
              </w:rPr>
            </w:pPr>
            <w:r w:rsidRPr="00210082">
              <w:rPr>
                <w:rFonts w:ascii="Arial" w:eastAsia="Times New Roman" w:hAnsi="Arial" w:cs="Arial"/>
                <w:color w:val="000000"/>
                <w:sz w:val="20"/>
                <w:szCs w:val="20"/>
                <w:lang w:eastAsia="en-GB"/>
              </w:rPr>
              <w:t>Explanatory variable</w:t>
            </w:r>
          </w:p>
        </w:tc>
        <w:tc>
          <w:tcPr>
            <w:tcW w:w="1072" w:type="dxa"/>
            <w:tcBorders>
              <w:top w:val="single" w:sz="4" w:space="0" w:color="auto"/>
              <w:left w:val="nil"/>
              <w:bottom w:val="single" w:sz="4" w:space="0" w:color="auto"/>
              <w:right w:val="nil"/>
            </w:tcBorders>
            <w:shd w:val="clear" w:color="auto" w:fill="auto"/>
            <w:vAlign w:val="center"/>
            <w:hideMark/>
          </w:tcPr>
          <w:p w14:paraId="1F868B76" w14:textId="77777777" w:rsidR="008A6D82" w:rsidRPr="00210082" w:rsidRDefault="008A6D82" w:rsidP="00CB618A">
            <w:pPr>
              <w:spacing w:after="0" w:line="240" w:lineRule="auto"/>
              <w:rPr>
                <w:rFonts w:ascii="Arial" w:eastAsia="Times New Roman" w:hAnsi="Arial" w:cs="Arial"/>
                <w:color w:val="000000"/>
                <w:sz w:val="20"/>
                <w:szCs w:val="20"/>
                <w:lang w:eastAsia="en-GB"/>
              </w:rPr>
            </w:pPr>
            <w:r w:rsidRPr="00210082">
              <w:rPr>
                <w:rFonts w:ascii="Arial" w:eastAsia="Times New Roman" w:hAnsi="Arial" w:cs="Arial"/>
                <w:color w:val="000000"/>
                <w:sz w:val="20"/>
                <w:szCs w:val="20"/>
                <w:lang w:eastAsia="en-GB"/>
              </w:rPr>
              <w:t>Hierarchy level</w:t>
            </w:r>
          </w:p>
        </w:tc>
        <w:tc>
          <w:tcPr>
            <w:tcW w:w="1150" w:type="dxa"/>
            <w:tcBorders>
              <w:top w:val="single" w:sz="4" w:space="0" w:color="auto"/>
              <w:left w:val="nil"/>
              <w:bottom w:val="single" w:sz="4" w:space="0" w:color="auto"/>
              <w:right w:val="nil"/>
            </w:tcBorders>
            <w:shd w:val="clear" w:color="auto" w:fill="auto"/>
            <w:vAlign w:val="center"/>
            <w:hideMark/>
          </w:tcPr>
          <w:p w14:paraId="07A0F880" w14:textId="77777777" w:rsidR="008A6D82" w:rsidRPr="00210082" w:rsidRDefault="008A6D82" w:rsidP="00CB618A">
            <w:pPr>
              <w:spacing w:after="0" w:line="240" w:lineRule="auto"/>
              <w:rPr>
                <w:rFonts w:ascii="Arial" w:eastAsia="Times New Roman" w:hAnsi="Arial" w:cs="Arial"/>
                <w:color w:val="000000"/>
                <w:sz w:val="20"/>
                <w:szCs w:val="20"/>
                <w:lang w:eastAsia="en-GB"/>
              </w:rPr>
            </w:pPr>
            <w:r w:rsidRPr="00210082">
              <w:rPr>
                <w:rFonts w:ascii="Arial" w:eastAsia="Times New Roman" w:hAnsi="Arial" w:cs="Arial"/>
                <w:color w:val="000000"/>
                <w:sz w:val="20"/>
                <w:szCs w:val="20"/>
                <w:lang w:eastAsia="en-GB"/>
              </w:rPr>
              <w:t>Parameter est.</w:t>
            </w:r>
          </w:p>
        </w:tc>
        <w:tc>
          <w:tcPr>
            <w:tcW w:w="1028" w:type="dxa"/>
            <w:tcBorders>
              <w:top w:val="single" w:sz="4" w:space="0" w:color="auto"/>
              <w:left w:val="nil"/>
              <w:bottom w:val="single" w:sz="4" w:space="0" w:color="auto"/>
              <w:right w:val="nil"/>
            </w:tcBorders>
            <w:shd w:val="clear" w:color="auto" w:fill="auto"/>
            <w:vAlign w:val="center"/>
            <w:hideMark/>
          </w:tcPr>
          <w:p w14:paraId="4569F6AE" w14:textId="77777777" w:rsidR="008A6D82" w:rsidRPr="00210082" w:rsidRDefault="008A6D82" w:rsidP="00CB618A">
            <w:pPr>
              <w:spacing w:after="0" w:line="240" w:lineRule="auto"/>
              <w:rPr>
                <w:rFonts w:ascii="Arial" w:eastAsia="Times New Roman" w:hAnsi="Arial" w:cs="Arial"/>
                <w:color w:val="000000"/>
                <w:sz w:val="20"/>
                <w:szCs w:val="20"/>
                <w:lang w:eastAsia="en-GB"/>
              </w:rPr>
            </w:pPr>
            <w:r w:rsidRPr="00210082">
              <w:rPr>
                <w:rFonts w:ascii="Arial" w:eastAsia="Times New Roman" w:hAnsi="Arial" w:cs="Arial"/>
                <w:color w:val="000000"/>
                <w:sz w:val="20"/>
                <w:szCs w:val="20"/>
                <w:lang w:eastAsia="en-GB"/>
              </w:rPr>
              <w:t>Standard error</w:t>
            </w:r>
          </w:p>
        </w:tc>
        <w:tc>
          <w:tcPr>
            <w:tcW w:w="834" w:type="dxa"/>
            <w:tcBorders>
              <w:top w:val="single" w:sz="4" w:space="0" w:color="auto"/>
              <w:left w:val="nil"/>
              <w:bottom w:val="single" w:sz="4" w:space="0" w:color="auto"/>
              <w:right w:val="nil"/>
            </w:tcBorders>
            <w:shd w:val="clear" w:color="auto" w:fill="auto"/>
            <w:vAlign w:val="center"/>
            <w:hideMark/>
          </w:tcPr>
          <w:p w14:paraId="0D294330" w14:textId="77777777" w:rsidR="008A6D82" w:rsidRPr="00210082" w:rsidRDefault="008A6D82" w:rsidP="00CB618A">
            <w:pPr>
              <w:spacing w:after="0" w:line="240" w:lineRule="auto"/>
              <w:rPr>
                <w:rFonts w:ascii="Arial" w:eastAsia="Times New Roman" w:hAnsi="Arial" w:cs="Arial"/>
                <w:i/>
                <w:iCs/>
                <w:color w:val="000000"/>
                <w:sz w:val="20"/>
                <w:szCs w:val="20"/>
                <w:lang w:eastAsia="en-GB"/>
              </w:rPr>
            </w:pPr>
            <w:r w:rsidRPr="00210082">
              <w:rPr>
                <w:rFonts w:ascii="Arial" w:eastAsia="Times New Roman" w:hAnsi="Arial" w:cs="Arial"/>
                <w:i/>
                <w:iCs/>
                <w:color w:val="000000"/>
                <w:sz w:val="20"/>
                <w:szCs w:val="20"/>
                <w:lang w:eastAsia="en-GB"/>
              </w:rPr>
              <w:t>P</w:t>
            </w:r>
          </w:p>
        </w:tc>
      </w:tr>
      <w:tr w:rsidR="008A6D82" w:rsidRPr="00210082" w14:paraId="615903B0" w14:textId="77777777" w:rsidTr="00CB618A">
        <w:trPr>
          <w:trHeight w:val="300"/>
          <w:jc w:val="center"/>
        </w:trPr>
        <w:tc>
          <w:tcPr>
            <w:tcW w:w="1895" w:type="dxa"/>
            <w:gridSpan w:val="2"/>
            <w:tcBorders>
              <w:top w:val="nil"/>
              <w:left w:val="nil"/>
              <w:bottom w:val="nil"/>
              <w:right w:val="nil"/>
            </w:tcBorders>
            <w:shd w:val="clear" w:color="auto" w:fill="auto"/>
            <w:vAlign w:val="center"/>
            <w:hideMark/>
          </w:tcPr>
          <w:p w14:paraId="2C7AA490" w14:textId="77777777" w:rsidR="008A6D82" w:rsidRPr="00210082" w:rsidRDefault="008A6D82" w:rsidP="00CB618A">
            <w:pPr>
              <w:spacing w:after="0" w:line="240" w:lineRule="auto"/>
              <w:rPr>
                <w:rFonts w:ascii="Arial" w:eastAsia="Times New Roman" w:hAnsi="Arial" w:cs="Arial"/>
                <w:color w:val="000000"/>
                <w:sz w:val="20"/>
                <w:szCs w:val="20"/>
                <w:lang w:eastAsia="en-GB"/>
              </w:rPr>
            </w:pPr>
            <w:r w:rsidRPr="00210082">
              <w:rPr>
                <w:rFonts w:ascii="Arial" w:eastAsia="Times New Roman" w:hAnsi="Arial" w:cs="Arial"/>
                <w:color w:val="000000"/>
                <w:sz w:val="20"/>
                <w:szCs w:val="20"/>
                <w:lang w:eastAsia="en-GB"/>
              </w:rPr>
              <w:t>intercept</w:t>
            </w:r>
          </w:p>
        </w:tc>
        <w:tc>
          <w:tcPr>
            <w:tcW w:w="1072" w:type="dxa"/>
            <w:tcBorders>
              <w:top w:val="nil"/>
              <w:left w:val="nil"/>
              <w:bottom w:val="nil"/>
              <w:right w:val="nil"/>
            </w:tcBorders>
            <w:shd w:val="clear" w:color="auto" w:fill="auto"/>
            <w:vAlign w:val="center"/>
            <w:hideMark/>
          </w:tcPr>
          <w:p w14:paraId="7807F590" w14:textId="77777777" w:rsidR="008A6D82" w:rsidRPr="00210082" w:rsidRDefault="008A6D82" w:rsidP="00CB618A">
            <w:pPr>
              <w:spacing w:after="0" w:line="240" w:lineRule="auto"/>
              <w:rPr>
                <w:rFonts w:ascii="Arial" w:eastAsia="Times New Roman" w:hAnsi="Arial" w:cs="Arial"/>
                <w:color w:val="000000"/>
                <w:sz w:val="20"/>
                <w:szCs w:val="20"/>
                <w:lang w:eastAsia="en-GB"/>
              </w:rPr>
            </w:pPr>
            <w:r w:rsidRPr="00210082">
              <w:rPr>
                <w:rFonts w:ascii="Arial" w:eastAsia="Times New Roman" w:hAnsi="Arial" w:cs="Arial"/>
                <w:color w:val="000000"/>
                <w:sz w:val="20"/>
                <w:szCs w:val="20"/>
                <w:lang w:eastAsia="en-GB"/>
              </w:rPr>
              <w:t>NA</w:t>
            </w:r>
          </w:p>
        </w:tc>
        <w:tc>
          <w:tcPr>
            <w:tcW w:w="1150" w:type="dxa"/>
            <w:tcBorders>
              <w:top w:val="nil"/>
              <w:left w:val="nil"/>
              <w:bottom w:val="nil"/>
              <w:right w:val="nil"/>
            </w:tcBorders>
            <w:shd w:val="clear" w:color="auto" w:fill="auto"/>
            <w:noWrap/>
            <w:vAlign w:val="center"/>
            <w:hideMark/>
          </w:tcPr>
          <w:p w14:paraId="64649091" w14:textId="77777777" w:rsidR="008A6D82" w:rsidRPr="00210082" w:rsidRDefault="008A6D82" w:rsidP="00CB618A">
            <w:pPr>
              <w:spacing w:after="0" w:line="240" w:lineRule="auto"/>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-0.17</w:t>
            </w:r>
          </w:p>
        </w:tc>
        <w:tc>
          <w:tcPr>
            <w:tcW w:w="1028" w:type="dxa"/>
            <w:tcBorders>
              <w:top w:val="nil"/>
              <w:left w:val="nil"/>
              <w:bottom w:val="nil"/>
              <w:right w:val="nil"/>
            </w:tcBorders>
            <w:shd w:val="clear" w:color="auto" w:fill="auto"/>
            <w:noWrap/>
            <w:vAlign w:val="center"/>
            <w:hideMark/>
          </w:tcPr>
          <w:p w14:paraId="010B033D" w14:textId="77777777" w:rsidR="008A6D82" w:rsidRPr="00210082" w:rsidRDefault="008A6D82" w:rsidP="00CB618A">
            <w:pPr>
              <w:spacing w:after="0" w:line="240" w:lineRule="auto"/>
              <w:jc w:val="right"/>
              <w:rPr>
                <w:rFonts w:ascii="Arial" w:eastAsia="Times New Roman" w:hAnsi="Arial" w:cs="Arial"/>
                <w:color w:val="000000"/>
                <w:sz w:val="20"/>
                <w:szCs w:val="20"/>
                <w:lang w:eastAsia="en-GB"/>
              </w:rPr>
            </w:pPr>
            <w:r w:rsidRPr="00210082">
              <w:rPr>
                <w:rFonts w:ascii="Arial" w:eastAsia="Times New Roman" w:hAnsi="Arial" w:cs="Arial"/>
                <w:color w:val="000000"/>
                <w:sz w:val="20"/>
                <w:szCs w:val="20"/>
                <w:lang w:eastAsia="en-GB"/>
              </w:rPr>
              <w:t>0.4</w:t>
            </w:r>
            <w:r>
              <w:rPr>
                <w:rFonts w:ascii="Arial" w:eastAsia="Times New Roman" w:hAnsi="Arial" w:cs="Arial"/>
                <w:color w:val="000000"/>
                <w:sz w:val="20"/>
                <w:szCs w:val="20"/>
                <w:lang w:eastAsia="en-GB"/>
              </w:rPr>
              <w:t>3</w:t>
            </w:r>
          </w:p>
        </w:tc>
        <w:tc>
          <w:tcPr>
            <w:tcW w:w="834" w:type="dxa"/>
            <w:tcBorders>
              <w:top w:val="nil"/>
              <w:left w:val="nil"/>
              <w:bottom w:val="nil"/>
              <w:right w:val="nil"/>
            </w:tcBorders>
            <w:shd w:val="clear" w:color="auto" w:fill="auto"/>
            <w:vAlign w:val="center"/>
            <w:hideMark/>
          </w:tcPr>
          <w:p w14:paraId="1E87F89B" w14:textId="77777777" w:rsidR="008A6D82" w:rsidRPr="00482C71" w:rsidRDefault="008A6D82" w:rsidP="00CB618A">
            <w:pPr>
              <w:spacing w:after="0" w:line="240" w:lineRule="auto"/>
              <w:rPr>
                <w:rFonts w:ascii="Arial" w:eastAsia="Times New Roman" w:hAnsi="Arial" w:cs="Arial"/>
                <w:bCs/>
                <w:color w:val="000000"/>
                <w:sz w:val="20"/>
                <w:szCs w:val="20"/>
                <w:lang w:eastAsia="en-GB"/>
              </w:rPr>
            </w:pPr>
            <w:r w:rsidRPr="00482C71">
              <w:rPr>
                <w:rFonts w:ascii="Arial" w:eastAsia="Times New Roman" w:hAnsi="Arial" w:cs="Arial"/>
                <w:bCs/>
                <w:color w:val="000000"/>
                <w:sz w:val="20"/>
                <w:szCs w:val="20"/>
                <w:lang w:eastAsia="en-GB"/>
              </w:rPr>
              <w:t>&lt;0.001</w:t>
            </w:r>
          </w:p>
        </w:tc>
      </w:tr>
      <w:tr w:rsidR="008A6D82" w:rsidRPr="00210082" w14:paraId="1F609702" w14:textId="77777777" w:rsidTr="00CB618A">
        <w:trPr>
          <w:trHeight w:val="528"/>
          <w:jc w:val="center"/>
        </w:trPr>
        <w:tc>
          <w:tcPr>
            <w:tcW w:w="1895" w:type="dxa"/>
            <w:gridSpan w:val="2"/>
            <w:tcBorders>
              <w:top w:val="nil"/>
              <w:left w:val="nil"/>
              <w:bottom w:val="nil"/>
              <w:right w:val="nil"/>
            </w:tcBorders>
            <w:shd w:val="clear" w:color="auto" w:fill="auto"/>
            <w:vAlign w:val="center"/>
            <w:hideMark/>
          </w:tcPr>
          <w:p w14:paraId="2EEF50D1" w14:textId="77777777" w:rsidR="008A6D82" w:rsidRPr="00210082" w:rsidRDefault="008A6D82" w:rsidP="00CB618A">
            <w:pPr>
              <w:spacing w:after="0" w:line="240" w:lineRule="auto"/>
              <w:rPr>
                <w:rFonts w:ascii="Arial" w:eastAsia="Times New Roman" w:hAnsi="Arial" w:cs="Arial"/>
                <w:color w:val="000000"/>
                <w:sz w:val="20"/>
                <w:szCs w:val="20"/>
                <w:lang w:eastAsia="en-GB"/>
              </w:rPr>
            </w:pPr>
            <w:r w:rsidRPr="00210082">
              <w:rPr>
                <w:rFonts w:ascii="Arial" w:eastAsia="Times New Roman" w:hAnsi="Arial" w:cs="Arial"/>
                <w:color w:val="000000"/>
                <w:sz w:val="20"/>
                <w:szCs w:val="20"/>
                <w:lang w:eastAsia="en-GB"/>
              </w:rPr>
              <w:t>log10(woodland cover)</w:t>
            </w:r>
            <w:r w:rsidRPr="00210082">
              <w:rPr>
                <w:rFonts w:ascii="Times New Roman" w:eastAsia="Times New Roman" w:hAnsi="Times New Roman" w:cs="Times New Roman"/>
                <w:color w:val="000000"/>
                <w:sz w:val="16"/>
                <w:szCs w:val="16"/>
                <w:lang w:eastAsia="en-GB"/>
              </w:rPr>
              <w:t> </w:t>
            </w:r>
          </w:p>
        </w:tc>
        <w:tc>
          <w:tcPr>
            <w:tcW w:w="1072" w:type="dxa"/>
            <w:tcBorders>
              <w:top w:val="nil"/>
              <w:left w:val="nil"/>
              <w:bottom w:val="nil"/>
              <w:right w:val="nil"/>
            </w:tcBorders>
            <w:shd w:val="clear" w:color="auto" w:fill="auto"/>
            <w:vAlign w:val="center"/>
            <w:hideMark/>
          </w:tcPr>
          <w:p w14:paraId="2DFC23DD" w14:textId="77777777" w:rsidR="008A6D82" w:rsidRPr="00210082" w:rsidRDefault="008A6D82" w:rsidP="00CB618A">
            <w:pPr>
              <w:spacing w:after="0" w:line="240" w:lineRule="auto"/>
              <w:rPr>
                <w:rFonts w:ascii="Arial" w:eastAsia="Times New Roman" w:hAnsi="Arial" w:cs="Arial"/>
                <w:color w:val="000000"/>
                <w:sz w:val="20"/>
                <w:szCs w:val="20"/>
                <w:lang w:eastAsia="en-GB"/>
              </w:rPr>
            </w:pPr>
            <w:r w:rsidRPr="00210082">
              <w:rPr>
                <w:rFonts w:ascii="Arial" w:eastAsia="Times New Roman" w:hAnsi="Arial" w:cs="Arial"/>
                <w:color w:val="000000"/>
                <w:sz w:val="20"/>
                <w:szCs w:val="20"/>
                <w:lang w:eastAsia="en-GB"/>
              </w:rPr>
              <w:t>lands</w:t>
            </w:r>
          </w:p>
        </w:tc>
        <w:tc>
          <w:tcPr>
            <w:tcW w:w="1150" w:type="dxa"/>
            <w:tcBorders>
              <w:top w:val="nil"/>
              <w:left w:val="nil"/>
              <w:bottom w:val="nil"/>
              <w:right w:val="nil"/>
            </w:tcBorders>
            <w:shd w:val="clear" w:color="auto" w:fill="auto"/>
            <w:noWrap/>
            <w:vAlign w:val="center"/>
            <w:hideMark/>
          </w:tcPr>
          <w:p w14:paraId="3CF8A921" w14:textId="77777777" w:rsidR="008A6D82" w:rsidRPr="00210082" w:rsidRDefault="008A6D82" w:rsidP="00CB618A">
            <w:pPr>
              <w:spacing w:after="0" w:line="240" w:lineRule="auto"/>
              <w:jc w:val="right"/>
              <w:rPr>
                <w:rFonts w:ascii="Arial" w:eastAsia="Times New Roman" w:hAnsi="Arial" w:cs="Arial"/>
                <w:color w:val="000000"/>
                <w:sz w:val="20"/>
                <w:szCs w:val="20"/>
                <w:lang w:eastAsia="en-GB"/>
              </w:rPr>
            </w:pPr>
            <w:r w:rsidRPr="00210082">
              <w:rPr>
                <w:rFonts w:ascii="Arial" w:eastAsia="Times New Roman" w:hAnsi="Arial" w:cs="Arial"/>
                <w:color w:val="000000"/>
                <w:sz w:val="20"/>
                <w:szCs w:val="20"/>
                <w:lang w:eastAsia="en-GB"/>
              </w:rPr>
              <w:t>0.</w:t>
            </w:r>
            <w:r>
              <w:rPr>
                <w:rFonts w:ascii="Arial" w:eastAsia="Times New Roman" w:hAnsi="Arial" w:cs="Arial"/>
                <w:color w:val="000000"/>
                <w:sz w:val="20"/>
                <w:szCs w:val="20"/>
                <w:lang w:eastAsia="en-GB"/>
              </w:rPr>
              <w:t>61</w:t>
            </w:r>
          </w:p>
        </w:tc>
        <w:tc>
          <w:tcPr>
            <w:tcW w:w="1028" w:type="dxa"/>
            <w:tcBorders>
              <w:top w:val="nil"/>
              <w:left w:val="nil"/>
              <w:bottom w:val="nil"/>
              <w:right w:val="nil"/>
            </w:tcBorders>
            <w:shd w:val="clear" w:color="auto" w:fill="auto"/>
            <w:noWrap/>
            <w:vAlign w:val="center"/>
            <w:hideMark/>
          </w:tcPr>
          <w:p w14:paraId="2A7D3AA5" w14:textId="77777777" w:rsidR="008A6D82" w:rsidRPr="00210082" w:rsidRDefault="008A6D82" w:rsidP="00CB618A">
            <w:pPr>
              <w:spacing w:after="0" w:line="240" w:lineRule="auto"/>
              <w:jc w:val="right"/>
              <w:rPr>
                <w:rFonts w:ascii="Arial" w:eastAsia="Times New Roman" w:hAnsi="Arial" w:cs="Arial"/>
                <w:color w:val="000000"/>
                <w:sz w:val="20"/>
                <w:szCs w:val="20"/>
                <w:lang w:eastAsia="en-GB"/>
              </w:rPr>
            </w:pPr>
            <w:r w:rsidRPr="00210082">
              <w:rPr>
                <w:rFonts w:ascii="Arial" w:eastAsia="Times New Roman" w:hAnsi="Arial" w:cs="Arial"/>
                <w:color w:val="000000"/>
                <w:sz w:val="20"/>
                <w:szCs w:val="20"/>
                <w:lang w:eastAsia="en-GB"/>
              </w:rPr>
              <w:t>0.1</w:t>
            </w:r>
            <w:r>
              <w:rPr>
                <w:rFonts w:ascii="Arial" w:eastAsia="Times New Roman" w:hAnsi="Arial" w:cs="Arial"/>
                <w:color w:val="000000"/>
                <w:sz w:val="20"/>
                <w:szCs w:val="20"/>
                <w:lang w:eastAsia="en-GB"/>
              </w:rPr>
              <w:t>5</w:t>
            </w:r>
          </w:p>
        </w:tc>
        <w:tc>
          <w:tcPr>
            <w:tcW w:w="834" w:type="dxa"/>
            <w:tcBorders>
              <w:top w:val="nil"/>
              <w:left w:val="nil"/>
              <w:bottom w:val="nil"/>
              <w:right w:val="nil"/>
            </w:tcBorders>
            <w:shd w:val="clear" w:color="auto" w:fill="auto"/>
            <w:vAlign w:val="center"/>
            <w:hideMark/>
          </w:tcPr>
          <w:p w14:paraId="213F95BF" w14:textId="77777777" w:rsidR="008A6D82" w:rsidRPr="00482C71" w:rsidRDefault="008A6D82" w:rsidP="00CB618A">
            <w:pPr>
              <w:spacing w:after="0" w:line="240" w:lineRule="auto"/>
              <w:rPr>
                <w:rFonts w:ascii="Arial" w:eastAsia="Times New Roman" w:hAnsi="Arial" w:cs="Arial"/>
                <w:bCs/>
                <w:color w:val="000000"/>
                <w:sz w:val="20"/>
                <w:szCs w:val="20"/>
                <w:lang w:eastAsia="en-GB"/>
              </w:rPr>
            </w:pPr>
            <w:r w:rsidRPr="00482C71">
              <w:rPr>
                <w:rFonts w:ascii="Arial" w:eastAsia="Times New Roman" w:hAnsi="Arial" w:cs="Arial"/>
                <w:bCs/>
                <w:color w:val="000000"/>
                <w:sz w:val="20"/>
                <w:szCs w:val="20"/>
                <w:lang w:eastAsia="en-GB"/>
              </w:rPr>
              <w:t>&lt;0.001</w:t>
            </w:r>
          </w:p>
        </w:tc>
      </w:tr>
      <w:tr w:rsidR="008A6D82" w:rsidRPr="00210082" w14:paraId="537D5B28" w14:textId="77777777" w:rsidTr="00CB618A">
        <w:trPr>
          <w:trHeight w:val="300"/>
          <w:jc w:val="center"/>
        </w:trPr>
        <w:tc>
          <w:tcPr>
            <w:tcW w:w="1895" w:type="dxa"/>
            <w:gridSpan w:val="2"/>
            <w:tcBorders>
              <w:top w:val="nil"/>
              <w:left w:val="nil"/>
              <w:bottom w:val="nil"/>
              <w:right w:val="nil"/>
            </w:tcBorders>
            <w:shd w:val="clear" w:color="auto" w:fill="auto"/>
            <w:vAlign w:val="center"/>
            <w:hideMark/>
          </w:tcPr>
          <w:p w14:paraId="578DDA4D" w14:textId="77777777" w:rsidR="008A6D82" w:rsidRPr="00210082" w:rsidRDefault="008A6D82" w:rsidP="00CB618A">
            <w:pPr>
              <w:spacing w:after="0" w:line="240" w:lineRule="auto"/>
              <w:rPr>
                <w:rFonts w:ascii="Arial" w:eastAsia="Times New Roman" w:hAnsi="Arial" w:cs="Arial"/>
                <w:color w:val="000000"/>
                <w:sz w:val="20"/>
                <w:szCs w:val="20"/>
                <w:lang w:eastAsia="en-GB"/>
              </w:rPr>
            </w:pPr>
            <w:r w:rsidRPr="00210082">
              <w:rPr>
                <w:rFonts w:ascii="Arial" w:eastAsia="Times New Roman" w:hAnsi="Arial" w:cs="Arial"/>
                <w:color w:val="000000"/>
                <w:sz w:val="20"/>
                <w:szCs w:val="20"/>
                <w:lang w:eastAsia="en-GB"/>
              </w:rPr>
              <w:t xml:space="preserve">pH </w:t>
            </w:r>
          </w:p>
        </w:tc>
        <w:tc>
          <w:tcPr>
            <w:tcW w:w="1072" w:type="dxa"/>
            <w:tcBorders>
              <w:top w:val="nil"/>
              <w:left w:val="nil"/>
              <w:bottom w:val="nil"/>
              <w:right w:val="nil"/>
            </w:tcBorders>
            <w:shd w:val="clear" w:color="auto" w:fill="auto"/>
            <w:vAlign w:val="center"/>
            <w:hideMark/>
          </w:tcPr>
          <w:p w14:paraId="77FCAD1C" w14:textId="77777777" w:rsidR="008A6D82" w:rsidRPr="00210082" w:rsidRDefault="008A6D82" w:rsidP="00CB618A">
            <w:pPr>
              <w:spacing w:after="0" w:line="240" w:lineRule="auto"/>
              <w:rPr>
                <w:rFonts w:ascii="Arial" w:eastAsia="Times New Roman" w:hAnsi="Arial" w:cs="Arial"/>
                <w:color w:val="000000"/>
                <w:sz w:val="20"/>
                <w:szCs w:val="20"/>
                <w:lang w:eastAsia="en-GB"/>
              </w:rPr>
            </w:pPr>
            <w:r w:rsidRPr="00210082">
              <w:rPr>
                <w:rFonts w:ascii="Arial" w:eastAsia="Times New Roman" w:hAnsi="Arial" w:cs="Arial"/>
                <w:color w:val="000000"/>
                <w:sz w:val="20"/>
                <w:szCs w:val="20"/>
                <w:lang w:eastAsia="en-GB"/>
              </w:rPr>
              <w:t>rgn</w:t>
            </w:r>
          </w:p>
        </w:tc>
        <w:tc>
          <w:tcPr>
            <w:tcW w:w="1150" w:type="dxa"/>
            <w:tcBorders>
              <w:top w:val="nil"/>
              <w:left w:val="nil"/>
              <w:bottom w:val="nil"/>
              <w:right w:val="nil"/>
            </w:tcBorders>
            <w:shd w:val="clear" w:color="auto" w:fill="auto"/>
            <w:noWrap/>
            <w:vAlign w:val="center"/>
            <w:hideMark/>
          </w:tcPr>
          <w:p w14:paraId="338A1604" w14:textId="77777777" w:rsidR="008A6D82" w:rsidRPr="00210082" w:rsidRDefault="008A6D82" w:rsidP="00CB618A">
            <w:pPr>
              <w:spacing w:after="0" w:line="240" w:lineRule="auto"/>
              <w:jc w:val="right"/>
              <w:rPr>
                <w:rFonts w:ascii="Arial" w:eastAsia="Times New Roman" w:hAnsi="Arial" w:cs="Arial"/>
                <w:color w:val="000000"/>
                <w:sz w:val="20"/>
                <w:szCs w:val="20"/>
                <w:lang w:eastAsia="en-GB"/>
              </w:rPr>
            </w:pPr>
            <w:r w:rsidRPr="00210082">
              <w:rPr>
                <w:rFonts w:ascii="Arial" w:eastAsia="Times New Roman" w:hAnsi="Arial" w:cs="Arial"/>
                <w:color w:val="000000"/>
                <w:sz w:val="20"/>
                <w:szCs w:val="20"/>
                <w:lang w:eastAsia="en-GB"/>
              </w:rPr>
              <w:t>-0.0</w:t>
            </w:r>
            <w:r>
              <w:rPr>
                <w:rFonts w:ascii="Arial" w:eastAsia="Times New Roman" w:hAnsi="Arial" w:cs="Arial"/>
                <w:color w:val="000000"/>
                <w:sz w:val="20"/>
                <w:szCs w:val="20"/>
                <w:lang w:eastAsia="en-GB"/>
              </w:rPr>
              <w:t>8</w:t>
            </w:r>
          </w:p>
        </w:tc>
        <w:tc>
          <w:tcPr>
            <w:tcW w:w="1028" w:type="dxa"/>
            <w:tcBorders>
              <w:top w:val="nil"/>
              <w:left w:val="nil"/>
              <w:bottom w:val="nil"/>
              <w:right w:val="nil"/>
            </w:tcBorders>
            <w:shd w:val="clear" w:color="auto" w:fill="auto"/>
            <w:noWrap/>
            <w:vAlign w:val="center"/>
            <w:hideMark/>
          </w:tcPr>
          <w:p w14:paraId="537B6142" w14:textId="77777777" w:rsidR="008A6D82" w:rsidRPr="00210082" w:rsidRDefault="008A6D82" w:rsidP="00CB618A">
            <w:pPr>
              <w:spacing w:after="0" w:line="240" w:lineRule="auto"/>
              <w:jc w:val="right"/>
              <w:rPr>
                <w:rFonts w:ascii="Arial" w:eastAsia="Times New Roman" w:hAnsi="Arial" w:cs="Arial"/>
                <w:color w:val="000000"/>
                <w:sz w:val="20"/>
                <w:szCs w:val="20"/>
                <w:lang w:eastAsia="en-GB"/>
              </w:rPr>
            </w:pPr>
            <w:r w:rsidRPr="00210082">
              <w:rPr>
                <w:rFonts w:ascii="Arial" w:eastAsia="Times New Roman" w:hAnsi="Arial" w:cs="Arial"/>
                <w:color w:val="000000"/>
                <w:sz w:val="20"/>
                <w:szCs w:val="20"/>
                <w:lang w:eastAsia="en-GB"/>
              </w:rPr>
              <w:t>0.08</w:t>
            </w:r>
          </w:p>
        </w:tc>
        <w:tc>
          <w:tcPr>
            <w:tcW w:w="834" w:type="dxa"/>
            <w:tcBorders>
              <w:top w:val="nil"/>
              <w:left w:val="nil"/>
              <w:bottom w:val="nil"/>
              <w:right w:val="nil"/>
            </w:tcBorders>
            <w:shd w:val="clear" w:color="auto" w:fill="auto"/>
            <w:vAlign w:val="center"/>
            <w:hideMark/>
          </w:tcPr>
          <w:p w14:paraId="3F4EF798" w14:textId="77777777" w:rsidR="008A6D82" w:rsidRPr="00482C71" w:rsidRDefault="008A6D82" w:rsidP="00CB618A">
            <w:pPr>
              <w:spacing w:after="0" w:line="240" w:lineRule="auto"/>
              <w:jc w:val="right"/>
              <w:rPr>
                <w:rFonts w:ascii="Arial" w:eastAsia="Times New Roman" w:hAnsi="Arial" w:cs="Arial"/>
                <w:bCs/>
                <w:color w:val="000000"/>
                <w:sz w:val="20"/>
                <w:szCs w:val="20"/>
                <w:lang w:eastAsia="en-GB"/>
              </w:rPr>
            </w:pPr>
            <w:r w:rsidRPr="00482C71">
              <w:rPr>
                <w:rFonts w:ascii="Arial" w:eastAsia="Times New Roman" w:hAnsi="Arial" w:cs="Arial"/>
                <w:bCs/>
                <w:color w:val="000000"/>
                <w:sz w:val="20"/>
                <w:szCs w:val="20"/>
                <w:lang w:eastAsia="en-GB"/>
              </w:rPr>
              <w:t>0.003</w:t>
            </w:r>
          </w:p>
        </w:tc>
      </w:tr>
      <w:tr w:rsidR="008A6D82" w:rsidRPr="00210082" w14:paraId="30AF33DC" w14:textId="77777777" w:rsidTr="00CB618A">
        <w:trPr>
          <w:trHeight w:val="528"/>
          <w:jc w:val="center"/>
        </w:trPr>
        <w:tc>
          <w:tcPr>
            <w:tcW w:w="1895" w:type="dxa"/>
            <w:gridSpan w:val="2"/>
            <w:tcBorders>
              <w:top w:val="nil"/>
              <w:left w:val="nil"/>
              <w:bottom w:val="nil"/>
              <w:right w:val="nil"/>
            </w:tcBorders>
            <w:shd w:val="clear" w:color="auto" w:fill="auto"/>
            <w:vAlign w:val="center"/>
            <w:hideMark/>
          </w:tcPr>
          <w:p w14:paraId="0B1EFEAD" w14:textId="77777777" w:rsidR="008A6D82" w:rsidRPr="00210082" w:rsidRDefault="008A6D82" w:rsidP="00CB618A">
            <w:pPr>
              <w:spacing w:after="0" w:line="240" w:lineRule="auto"/>
              <w:rPr>
                <w:rFonts w:ascii="Arial" w:eastAsia="Times New Roman" w:hAnsi="Arial" w:cs="Arial"/>
                <w:color w:val="000000"/>
                <w:sz w:val="20"/>
                <w:szCs w:val="20"/>
                <w:lang w:eastAsia="en-GB"/>
              </w:rPr>
            </w:pPr>
            <w:r w:rsidRPr="00210082">
              <w:rPr>
                <w:rFonts w:ascii="Arial" w:eastAsia="Times New Roman" w:hAnsi="Arial" w:cs="Arial"/>
                <w:color w:val="000000"/>
                <w:sz w:val="20"/>
                <w:szCs w:val="20"/>
                <w:lang w:eastAsia="en-GB"/>
              </w:rPr>
              <w:t>poly(favourability gradient,2)1</w:t>
            </w:r>
          </w:p>
        </w:tc>
        <w:tc>
          <w:tcPr>
            <w:tcW w:w="1072" w:type="dxa"/>
            <w:tcBorders>
              <w:top w:val="nil"/>
              <w:left w:val="nil"/>
              <w:bottom w:val="nil"/>
              <w:right w:val="nil"/>
            </w:tcBorders>
            <w:shd w:val="clear" w:color="auto" w:fill="auto"/>
            <w:vAlign w:val="center"/>
            <w:hideMark/>
          </w:tcPr>
          <w:p w14:paraId="3F1CF0F7" w14:textId="77777777" w:rsidR="008A6D82" w:rsidRPr="00210082" w:rsidRDefault="008A6D82" w:rsidP="00CB618A">
            <w:pPr>
              <w:spacing w:after="0" w:line="240" w:lineRule="auto"/>
              <w:rPr>
                <w:rFonts w:ascii="Arial" w:eastAsia="Times New Roman" w:hAnsi="Arial" w:cs="Arial"/>
                <w:color w:val="000000"/>
                <w:sz w:val="20"/>
                <w:szCs w:val="20"/>
                <w:lang w:eastAsia="en-GB"/>
              </w:rPr>
            </w:pPr>
            <w:r w:rsidRPr="00210082">
              <w:rPr>
                <w:rFonts w:ascii="Arial" w:eastAsia="Times New Roman" w:hAnsi="Arial" w:cs="Arial"/>
                <w:color w:val="000000"/>
                <w:sz w:val="20"/>
                <w:szCs w:val="20"/>
                <w:lang w:eastAsia="en-GB"/>
              </w:rPr>
              <w:t>rgn</w:t>
            </w:r>
          </w:p>
        </w:tc>
        <w:tc>
          <w:tcPr>
            <w:tcW w:w="1150" w:type="dxa"/>
            <w:tcBorders>
              <w:top w:val="nil"/>
              <w:left w:val="nil"/>
              <w:bottom w:val="nil"/>
              <w:right w:val="nil"/>
            </w:tcBorders>
            <w:shd w:val="clear" w:color="auto" w:fill="auto"/>
            <w:noWrap/>
            <w:vAlign w:val="center"/>
            <w:hideMark/>
          </w:tcPr>
          <w:p w14:paraId="5454FD76" w14:textId="77777777" w:rsidR="008A6D82" w:rsidRPr="00210082" w:rsidRDefault="008A6D82" w:rsidP="00CB618A">
            <w:pPr>
              <w:spacing w:after="0" w:line="240" w:lineRule="auto"/>
              <w:jc w:val="right"/>
              <w:rPr>
                <w:rFonts w:ascii="Arial" w:eastAsia="Times New Roman" w:hAnsi="Arial" w:cs="Arial"/>
                <w:color w:val="000000"/>
                <w:sz w:val="20"/>
                <w:szCs w:val="20"/>
                <w:lang w:eastAsia="en-GB"/>
              </w:rPr>
            </w:pPr>
            <w:r w:rsidRPr="00210082">
              <w:rPr>
                <w:rFonts w:ascii="Arial" w:eastAsia="Times New Roman" w:hAnsi="Arial" w:cs="Arial"/>
                <w:color w:val="000000"/>
                <w:sz w:val="20"/>
                <w:szCs w:val="20"/>
                <w:lang w:eastAsia="en-GB"/>
              </w:rPr>
              <w:t>-1</w:t>
            </w:r>
            <w:r>
              <w:rPr>
                <w:rFonts w:ascii="Arial" w:eastAsia="Times New Roman" w:hAnsi="Arial" w:cs="Arial"/>
                <w:color w:val="000000"/>
                <w:sz w:val="20"/>
                <w:szCs w:val="20"/>
                <w:lang w:eastAsia="en-GB"/>
              </w:rPr>
              <w:t>5</w:t>
            </w:r>
            <w:r w:rsidRPr="00210082">
              <w:rPr>
                <w:rFonts w:ascii="Arial" w:eastAsia="Times New Roman" w:hAnsi="Arial" w:cs="Arial"/>
                <w:color w:val="000000"/>
                <w:sz w:val="20"/>
                <w:szCs w:val="20"/>
                <w:lang w:eastAsia="en-GB"/>
              </w:rPr>
              <w:t>.</w:t>
            </w:r>
            <w:r>
              <w:rPr>
                <w:rFonts w:ascii="Arial" w:eastAsia="Times New Roman" w:hAnsi="Arial" w:cs="Arial"/>
                <w:color w:val="000000"/>
                <w:sz w:val="20"/>
                <w:szCs w:val="20"/>
                <w:lang w:eastAsia="en-GB"/>
              </w:rPr>
              <w:t>26</w:t>
            </w:r>
          </w:p>
        </w:tc>
        <w:tc>
          <w:tcPr>
            <w:tcW w:w="1028" w:type="dxa"/>
            <w:tcBorders>
              <w:top w:val="nil"/>
              <w:left w:val="nil"/>
              <w:bottom w:val="nil"/>
              <w:right w:val="nil"/>
            </w:tcBorders>
            <w:shd w:val="clear" w:color="auto" w:fill="auto"/>
            <w:noWrap/>
            <w:vAlign w:val="center"/>
            <w:hideMark/>
          </w:tcPr>
          <w:p w14:paraId="5B8C6784" w14:textId="77777777" w:rsidR="008A6D82" w:rsidRPr="00210082" w:rsidRDefault="008A6D82" w:rsidP="00CB618A">
            <w:pPr>
              <w:spacing w:after="0" w:line="240" w:lineRule="auto"/>
              <w:jc w:val="right"/>
              <w:rPr>
                <w:rFonts w:ascii="Arial" w:eastAsia="Times New Roman" w:hAnsi="Arial" w:cs="Arial"/>
                <w:color w:val="000000"/>
                <w:sz w:val="20"/>
                <w:szCs w:val="20"/>
                <w:lang w:eastAsia="en-GB"/>
              </w:rPr>
            </w:pPr>
            <w:r w:rsidRPr="00210082">
              <w:rPr>
                <w:rFonts w:ascii="Arial" w:eastAsia="Times New Roman" w:hAnsi="Arial" w:cs="Arial"/>
                <w:color w:val="000000"/>
                <w:sz w:val="20"/>
                <w:szCs w:val="20"/>
                <w:lang w:eastAsia="en-GB"/>
              </w:rPr>
              <w:t>6.</w:t>
            </w:r>
            <w:r>
              <w:rPr>
                <w:rFonts w:ascii="Arial" w:eastAsia="Times New Roman" w:hAnsi="Arial" w:cs="Arial"/>
                <w:color w:val="000000"/>
                <w:sz w:val="20"/>
                <w:szCs w:val="20"/>
                <w:lang w:eastAsia="en-GB"/>
              </w:rPr>
              <w:t>52</w:t>
            </w:r>
          </w:p>
        </w:tc>
        <w:tc>
          <w:tcPr>
            <w:tcW w:w="834" w:type="dxa"/>
            <w:tcBorders>
              <w:top w:val="nil"/>
              <w:left w:val="nil"/>
              <w:bottom w:val="nil"/>
              <w:right w:val="nil"/>
            </w:tcBorders>
            <w:shd w:val="clear" w:color="auto" w:fill="auto"/>
            <w:vAlign w:val="center"/>
            <w:hideMark/>
          </w:tcPr>
          <w:p w14:paraId="346C1004" w14:textId="77777777" w:rsidR="008A6D82" w:rsidRPr="00482C71" w:rsidRDefault="008A6D82" w:rsidP="00CB618A">
            <w:pPr>
              <w:spacing w:after="0" w:line="240" w:lineRule="auto"/>
              <w:rPr>
                <w:rFonts w:ascii="Arial" w:eastAsia="Times New Roman" w:hAnsi="Arial" w:cs="Arial"/>
                <w:bCs/>
                <w:color w:val="000000"/>
                <w:sz w:val="20"/>
                <w:szCs w:val="20"/>
                <w:lang w:eastAsia="en-GB"/>
              </w:rPr>
            </w:pPr>
            <w:r w:rsidRPr="00482C71">
              <w:rPr>
                <w:rFonts w:ascii="Arial" w:eastAsia="Times New Roman" w:hAnsi="Arial" w:cs="Arial"/>
                <w:bCs/>
                <w:color w:val="000000"/>
                <w:sz w:val="20"/>
                <w:szCs w:val="20"/>
                <w:lang w:eastAsia="en-GB"/>
              </w:rPr>
              <w:t>&lt;0.001</w:t>
            </w:r>
          </w:p>
        </w:tc>
      </w:tr>
      <w:tr w:rsidR="008A6D82" w:rsidRPr="00210082" w14:paraId="02E1EAC1" w14:textId="77777777" w:rsidTr="00CB618A">
        <w:trPr>
          <w:trHeight w:val="528"/>
          <w:jc w:val="center"/>
        </w:trPr>
        <w:tc>
          <w:tcPr>
            <w:tcW w:w="1895" w:type="dxa"/>
            <w:gridSpan w:val="2"/>
            <w:tcBorders>
              <w:top w:val="nil"/>
              <w:left w:val="nil"/>
              <w:bottom w:val="nil"/>
              <w:right w:val="nil"/>
            </w:tcBorders>
            <w:shd w:val="clear" w:color="auto" w:fill="auto"/>
            <w:vAlign w:val="center"/>
            <w:hideMark/>
          </w:tcPr>
          <w:p w14:paraId="4C65408F" w14:textId="77777777" w:rsidR="008A6D82" w:rsidRPr="00210082" w:rsidRDefault="008A6D82" w:rsidP="00CB618A">
            <w:pPr>
              <w:spacing w:after="0" w:line="240" w:lineRule="auto"/>
              <w:rPr>
                <w:rFonts w:ascii="Arial" w:eastAsia="Times New Roman" w:hAnsi="Arial" w:cs="Arial"/>
                <w:color w:val="000000"/>
                <w:sz w:val="20"/>
                <w:szCs w:val="20"/>
                <w:lang w:eastAsia="en-GB"/>
              </w:rPr>
            </w:pPr>
            <w:r w:rsidRPr="00210082">
              <w:rPr>
                <w:rFonts w:ascii="Arial" w:eastAsia="Times New Roman" w:hAnsi="Arial" w:cs="Arial"/>
                <w:color w:val="000000"/>
                <w:sz w:val="20"/>
                <w:szCs w:val="20"/>
                <w:lang w:eastAsia="en-GB"/>
              </w:rPr>
              <w:t>poly(favourability gradient,2)2</w:t>
            </w:r>
          </w:p>
        </w:tc>
        <w:tc>
          <w:tcPr>
            <w:tcW w:w="1072" w:type="dxa"/>
            <w:tcBorders>
              <w:top w:val="nil"/>
              <w:left w:val="nil"/>
              <w:bottom w:val="nil"/>
              <w:right w:val="nil"/>
            </w:tcBorders>
            <w:shd w:val="clear" w:color="auto" w:fill="auto"/>
            <w:vAlign w:val="center"/>
            <w:hideMark/>
          </w:tcPr>
          <w:p w14:paraId="636A8C48" w14:textId="77777777" w:rsidR="008A6D82" w:rsidRPr="00210082" w:rsidRDefault="008A6D82" w:rsidP="00CB618A">
            <w:pPr>
              <w:spacing w:after="0" w:line="240" w:lineRule="auto"/>
              <w:rPr>
                <w:rFonts w:ascii="Arial" w:eastAsia="Times New Roman" w:hAnsi="Arial" w:cs="Arial"/>
                <w:color w:val="000000"/>
                <w:sz w:val="20"/>
                <w:szCs w:val="20"/>
                <w:lang w:eastAsia="en-GB"/>
              </w:rPr>
            </w:pPr>
            <w:r w:rsidRPr="00210082">
              <w:rPr>
                <w:rFonts w:ascii="Arial" w:eastAsia="Times New Roman" w:hAnsi="Arial" w:cs="Arial"/>
                <w:color w:val="000000"/>
                <w:sz w:val="20"/>
                <w:szCs w:val="20"/>
                <w:lang w:eastAsia="en-GB"/>
              </w:rPr>
              <w:t>rgn</w:t>
            </w:r>
          </w:p>
        </w:tc>
        <w:tc>
          <w:tcPr>
            <w:tcW w:w="1150" w:type="dxa"/>
            <w:tcBorders>
              <w:top w:val="nil"/>
              <w:left w:val="nil"/>
              <w:bottom w:val="nil"/>
              <w:right w:val="nil"/>
            </w:tcBorders>
            <w:shd w:val="clear" w:color="auto" w:fill="auto"/>
            <w:noWrap/>
            <w:vAlign w:val="center"/>
            <w:hideMark/>
          </w:tcPr>
          <w:p w14:paraId="09949A4C" w14:textId="77777777" w:rsidR="008A6D82" w:rsidRPr="00210082" w:rsidRDefault="008A6D82" w:rsidP="00CB618A">
            <w:pPr>
              <w:spacing w:after="0" w:line="240" w:lineRule="auto"/>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9.99</w:t>
            </w:r>
          </w:p>
        </w:tc>
        <w:tc>
          <w:tcPr>
            <w:tcW w:w="1028" w:type="dxa"/>
            <w:tcBorders>
              <w:top w:val="nil"/>
              <w:left w:val="nil"/>
              <w:bottom w:val="nil"/>
              <w:right w:val="nil"/>
            </w:tcBorders>
            <w:shd w:val="clear" w:color="auto" w:fill="auto"/>
            <w:noWrap/>
            <w:vAlign w:val="center"/>
            <w:hideMark/>
          </w:tcPr>
          <w:p w14:paraId="24F01DEB" w14:textId="77777777" w:rsidR="008A6D82" w:rsidRPr="00210082" w:rsidRDefault="008A6D82" w:rsidP="00CB618A">
            <w:pPr>
              <w:spacing w:after="0" w:line="240" w:lineRule="auto"/>
              <w:jc w:val="right"/>
              <w:rPr>
                <w:rFonts w:ascii="Arial" w:eastAsia="Times New Roman" w:hAnsi="Arial" w:cs="Arial"/>
                <w:color w:val="000000"/>
                <w:sz w:val="20"/>
                <w:szCs w:val="20"/>
                <w:lang w:eastAsia="en-GB"/>
              </w:rPr>
            </w:pPr>
            <w:r w:rsidRPr="00210082">
              <w:rPr>
                <w:rFonts w:ascii="Arial" w:eastAsia="Times New Roman" w:hAnsi="Arial" w:cs="Arial"/>
                <w:color w:val="000000"/>
                <w:sz w:val="20"/>
                <w:szCs w:val="20"/>
                <w:lang w:eastAsia="en-GB"/>
              </w:rPr>
              <w:t>3.</w:t>
            </w:r>
            <w:r>
              <w:rPr>
                <w:rFonts w:ascii="Arial" w:eastAsia="Times New Roman" w:hAnsi="Arial" w:cs="Arial"/>
                <w:color w:val="000000"/>
                <w:sz w:val="20"/>
                <w:szCs w:val="20"/>
                <w:lang w:eastAsia="en-GB"/>
              </w:rPr>
              <w:t>82</w:t>
            </w:r>
          </w:p>
        </w:tc>
        <w:tc>
          <w:tcPr>
            <w:tcW w:w="834" w:type="dxa"/>
            <w:tcBorders>
              <w:top w:val="nil"/>
              <w:left w:val="nil"/>
              <w:bottom w:val="nil"/>
              <w:right w:val="nil"/>
            </w:tcBorders>
            <w:shd w:val="clear" w:color="auto" w:fill="auto"/>
            <w:vAlign w:val="center"/>
            <w:hideMark/>
          </w:tcPr>
          <w:p w14:paraId="2AB87EB7" w14:textId="77777777" w:rsidR="008A6D82" w:rsidRPr="00482C71" w:rsidRDefault="008A6D82" w:rsidP="00CB618A">
            <w:pPr>
              <w:spacing w:after="0" w:line="240" w:lineRule="auto"/>
              <w:rPr>
                <w:rFonts w:ascii="Arial" w:eastAsia="Times New Roman" w:hAnsi="Arial" w:cs="Arial"/>
                <w:bCs/>
                <w:color w:val="000000"/>
                <w:sz w:val="20"/>
                <w:szCs w:val="20"/>
                <w:lang w:eastAsia="en-GB"/>
              </w:rPr>
            </w:pPr>
            <w:r w:rsidRPr="00482C71">
              <w:rPr>
                <w:rFonts w:ascii="Arial" w:eastAsia="Times New Roman" w:hAnsi="Arial" w:cs="Arial"/>
                <w:bCs/>
                <w:color w:val="000000"/>
                <w:sz w:val="20"/>
                <w:szCs w:val="20"/>
                <w:lang w:eastAsia="en-GB"/>
              </w:rPr>
              <w:t>&lt;0.001</w:t>
            </w:r>
          </w:p>
        </w:tc>
      </w:tr>
      <w:tr w:rsidR="008A6D82" w:rsidRPr="00210082" w14:paraId="6CB6C54E" w14:textId="77777777" w:rsidTr="00CB618A">
        <w:trPr>
          <w:trHeight w:val="528"/>
          <w:jc w:val="center"/>
        </w:trPr>
        <w:tc>
          <w:tcPr>
            <w:tcW w:w="1895" w:type="dxa"/>
            <w:gridSpan w:val="2"/>
            <w:tcBorders>
              <w:top w:val="nil"/>
              <w:left w:val="nil"/>
              <w:bottom w:val="nil"/>
              <w:right w:val="nil"/>
            </w:tcBorders>
            <w:shd w:val="clear" w:color="auto" w:fill="auto"/>
            <w:vAlign w:val="center"/>
          </w:tcPr>
          <w:p w14:paraId="2FF7B166" w14:textId="77777777" w:rsidR="008A6D82" w:rsidRPr="00210082" w:rsidRDefault="008A6D82" w:rsidP="00CB618A">
            <w:pPr>
              <w:spacing w:after="0" w:line="240" w:lineRule="auto"/>
              <w:rPr>
                <w:rFonts w:ascii="Arial" w:eastAsia="Times New Roman" w:hAnsi="Arial" w:cs="Arial"/>
                <w:color w:val="000000"/>
                <w:sz w:val="20"/>
                <w:szCs w:val="20"/>
                <w:lang w:eastAsia="en-GB"/>
              </w:rPr>
            </w:pPr>
            <w:r w:rsidRPr="00210082">
              <w:rPr>
                <w:rFonts w:ascii="Arial" w:eastAsia="Times New Roman" w:hAnsi="Arial" w:cs="Arial"/>
                <w:color w:val="000000"/>
                <w:sz w:val="20"/>
                <w:szCs w:val="20"/>
                <w:lang w:eastAsia="en-GB"/>
              </w:rPr>
              <w:t>log10(woodland cover):favourability gradient</w:t>
            </w:r>
          </w:p>
        </w:tc>
        <w:tc>
          <w:tcPr>
            <w:tcW w:w="1072" w:type="dxa"/>
            <w:tcBorders>
              <w:top w:val="nil"/>
              <w:left w:val="nil"/>
              <w:bottom w:val="nil"/>
              <w:right w:val="nil"/>
            </w:tcBorders>
            <w:shd w:val="clear" w:color="auto" w:fill="auto"/>
            <w:vAlign w:val="center"/>
          </w:tcPr>
          <w:p w14:paraId="4C5D743E" w14:textId="77777777" w:rsidR="008A6D82" w:rsidRPr="00210082" w:rsidRDefault="008A6D82" w:rsidP="00CB618A">
            <w:pPr>
              <w:spacing w:after="0" w:line="240" w:lineRule="auto"/>
              <w:rPr>
                <w:rFonts w:ascii="Arial" w:eastAsia="Times New Roman" w:hAnsi="Arial" w:cs="Arial"/>
                <w:color w:val="000000"/>
                <w:sz w:val="20"/>
                <w:szCs w:val="20"/>
                <w:lang w:eastAsia="en-GB"/>
              </w:rPr>
            </w:pPr>
            <w:r w:rsidRPr="00210082">
              <w:rPr>
                <w:rFonts w:ascii="Arial" w:eastAsia="Times New Roman" w:hAnsi="Arial" w:cs="Arial"/>
                <w:color w:val="000000"/>
                <w:sz w:val="20"/>
                <w:szCs w:val="20"/>
                <w:lang w:eastAsia="en-GB"/>
              </w:rPr>
              <w:t>rgn: lands</w:t>
            </w:r>
          </w:p>
        </w:tc>
        <w:tc>
          <w:tcPr>
            <w:tcW w:w="1150" w:type="dxa"/>
            <w:tcBorders>
              <w:top w:val="nil"/>
              <w:left w:val="nil"/>
              <w:bottom w:val="nil"/>
              <w:right w:val="nil"/>
            </w:tcBorders>
            <w:shd w:val="clear" w:color="auto" w:fill="auto"/>
            <w:noWrap/>
            <w:vAlign w:val="center"/>
          </w:tcPr>
          <w:p w14:paraId="3841455E" w14:textId="77777777" w:rsidR="008A6D82" w:rsidRPr="00210082" w:rsidRDefault="008A6D82" w:rsidP="00CB618A">
            <w:pPr>
              <w:spacing w:after="0" w:line="240" w:lineRule="auto"/>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0.61</w:t>
            </w:r>
          </w:p>
        </w:tc>
        <w:tc>
          <w:tcPr>
            <w:tcW w:w="1028" w:type="dxa"/>
            <w:tcBorders>
              <w:top w:val="nil"/>
              <w:left w:val="nil"/>
              <w:bottom w:val="nil"/>
              <w:right w:val="nil"/>
            </w:tcBorders>
            <w:shd w:val="clear" w:color="auto" w:fill="auto"/>
            <w:noWrap/>
            <w:vAlign w:val="center"/>
          </w:tcPr>
          <w:p w14:paraId="3B0EEEA1" w14:textId="77777777" w:rsidR="008A6D82" w:rsidRPr="00210082" w:rsidRDefault="008A6D82" w:rsidP="00CB618A">
            <w:pPr>
              <w:spacing w:after="0" w:line="240" w:lineRule="auto"/>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0.26</w:t>
            </w:r>
          </w:p>
        </w:tc>
        <w:tc>
          <w:tcPr>
            <w:tcW w:w="834" w:type="dxa"/>
            <w:tcBorders>
              <w:top w:val="nil"/>
              <w:left w:val="nil"/>
              <w:bottom w:val="nil"/>
              <w:right w:val="nil"/>
            </w:tcBorders>
            <w:shd w:val="clear" w:color="auto" w:fill="auto"/>
            <w:vAlign w:val="center"/>
          </w:tcPr>
          <w:p w14:paraId="46E57B44" w14:textId="77777777" w:rsidR="008A6D82" w:rsidRPr="00482C71" w:rsidRDefault="008A6D82" w:rsidP="00CB618A">
            <w:pPr>
              <w:spacing w:after="0" w:line="240" w:lineRule="auto"/>
              <w:rPr>
                <w:rFonts w:ascii="Arial" w:eastAsia="Times New Roman" w:hAnsi="Arial" w:cs="Arial"/>
                <w:bCs/>
                <w:color w:val="000000"/>
                <w:sz w:val="20"/>
                <w:szCs w:val="20"/>
                <w:lang w:eastAsia="en-GB"/>
              </w:rPr>
            </w:pPr>
            <w:r w:rsidRPr="00482C71">
              <w:rPr>
                <w:rFonts w:ascii="Arial" w:eastAsia="Times New Roman" w:hAnsi="Arial" w:cs="Arial"/>
                <w:bCs/>
                <w:color w:val="000000"/>
                <w:sz w:val="20"/>
                <w:szCs w:val="20"/>
                <w:lang w:eastAsia="en-GB"/>
              </w:rPr>
              <w:t>&lt;0.001</w:t>
            </w:r>
          </w:p>
        </w:tc>
      </w:tr>
      <w:tr w:rsidR="008A6D82" w:rsidRPr="00210082" w14:paraId="6BFDC670" w14:textId="77777777" w:rsidTr="00CB618A">
        <w:trPr>
          <w:trHeight w:val="528"/>
          <w:jc w:val="center"/>
        </w:trPr>
        <w:tc>
          <w:tcPr>
            <w:tcW w:w="1895" w:type="dxa"/>
            <w:gridSpan w:val="2"/>
            <w:tcBorders>
              <w:top w:val="nil"/>
              <w:left w:val="nil"/>
              <w:bottom w:val="nil"/>
              <w:right w:val="nil"/>
            </w:tcBorders>
            <w:shd w:val="clear" w:color="auto" w:fill="auto"/>
            <w:vAlign w:val="center"/>
            <w:hideMark/>
          </w:tcPr>
          <w:p w14:paraId="3ABC26DD" w14:textId="77777777" w:rsidR="008A6D82" w:rsidRPr="00210082" w:rsidRDefault="008A6D82" w:rsidP="00CB618A">
            <w:pPr>
              <w:spacing w:after="0" w:line="240" w:lineRule="auto"/>
              <w:rPr>
                <w:rFonts w:ascii="Arial" w:eastAsia="Times New Roman" w:hAnsi="Arial" w:cs="Arial"/>
                <w:color w:val="000000"/>
                <w:sz w:val="20"/>
                <w:szCs w:val="20"/>
                <w:lang w:eastAsia="en-GB"/>
              </w:rPr>
            </w:pPr>
            <w:r w:rsidRPr="00210082">
              <w:rPr>
                <w:rFonts w:ascii="Arial" w:eastAsia="Times New Roman" w:hAnsi="Arial" w:cs="Arial"/>
                <w:color w:val="000000"/>
                <w:sz w:val="20"/>
                <w:szCs w:val="20"/>
                <w:lang w:eastAsia="en-GB"/>
              </w:rPr>
              <w:t>log10(woodland cover): pH</w:t>
            </w:r>
          </w:p>
        </w:tc>
        <w:tc>
          <w:tcPr>
            <w:tcW w:w="1072" w:type="dxa"/>
            <w:tcBorders>
              <w:top w:val="nil"/>
              <w:left w:val="nil"/>
              <w:bottom w:val="nil"/>
              <w:right w:val="nil"/>
            </w:tcBorders>
            <w:shd w:val="clear" w:color="auto" w:fill="auto"/>
            <w:vAlign w:val="center"/>
            <w:hideMark/>
          </w:tcPr>
          <w:p w14:paraId="5F2BCAEB" w14:textId="77777777" w:rsidR="008A6D82" w:rsidRPr="00210082" w:rsidRDefault="008A6D82" w:rsidP="00CB618A">
            <w:pPr>
              <w:spacing w:after="0" w:line="240" w:lineRule="auto"/>
              <w:rPr>
                <w:rFonts w:ascii="Arial" w:eastAsia="Times New Roman" w:hAnsi="Arial" w:cs="Arial"/>
                <w:color w:val="000000"/>
                <w:sz w:val="20"/>
                <w:szCs w:val="20"/>
                <w:lang w:eastAsia="en-GB"/>
              </w:rPr>
            </w:pPr>
            <w:r w:rsidRPr="00210082">
              <w:rPr>
                <w:rFonts w:ascii="Arial" w:eastAsia="Times New Roman" w:hAnsi="Arial" w:cs="Arial"/>
                <w:color w:val="000000"/>
                <w:sz w:val="20"/>
                <w:szCs w:val="20"/>
                <w:lang w:eastAsia="en-GB"/>
              </w:rPr>
              <w:t>rgn: lands</w:t>
            </w:r>
          </w:p>
        </w:tc>
        <w:tc>
          <w:tcPr>
            <w:tcW w:w="1150" w:type="dxa"/>
            <w:tcBorders>
              <w:top w:val="nil"/>
              <w:left w:val="nil"/>
              <w:bottom w:val="nil"/>
              <w:right w:val="nil"/>
            </w:tcBorders>
            <w:shd w:val="clear" w:color="auto" w:fill="auto"/>
            <w:noWrap/>
            <w:vAlign w:val="center"/>
            <w:hideMark/>
          </w:tcPr>
          <w:p w14:paraId="2E148305" w14:textId="77777777" w:rsidR="008A6D82" w:rsidRPr="00210082" w:rsidRDefault="008A6D82" w:rsidP="00CB618A">
            <w:pPr>
              <w:spacing w:after="0" w:line="240" w:lineRule="auto"/>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0.40</w:t>
            </w:r>
          </w:p>
        </w:tc>
        <w:tc>
          <w:tcPr>
            <w:tcW w:w="1028" w:type="dxa"/>
            <w:tcBorders>
              <w:top w:val="nil"/>
              <w:left w:val="nil"/>
              <w:bottom w:val="nil"/>
              <w:right w:val="nil"/>
            </w:tcBorders>
            <w:shd w:val="clear" w:color="auto" w:fill="auto"/>
            <w:noWrap/>
            <w:vAlign w:val="center"/>
            <w:hideMark/>
          </w:tcPr>
          <w:p w14:paraId="63F33500" w14:textId="77777777" w:rsidR="008A6D82" w:rsidRPr="00210082" w:rsidRDefault="008A6D82" w:rsidP="00CB618A">
            <w:pPr>
              <w:spacing w:after="0" w:line="240" w:lineRule="auto"/>
              <w:jc w:val="right"/>
              <w:rPr>
                <w:rFonts w:ascii="Arial" w:eastAsia="Times New Roman" w:hAnsi="Arial" w:cs="Arial"/>
                <w:color w:val="000000"/>
                <w:sz w:val="20"/>
                <w:szCs w:val="20"/>
                <w:lang w:eastAsia="en-GB"/>
              </w:rPr>
            </w:pPr>
            <w:r w:rsidRPr="00210082">
              <w:rPr>
                <w:rFonts w:ascii="Arial" w:eastAsia="Times New Roman" w:hAnsi="Arial" w:cs="Arial"/>
                <w:color w:val="000000"/>
                <w:sz w:val="20"/>
                <w:szCs w:val="20"/>
                <w:lang w:eastAsia="en-GB"/>
              </w:rPr>
              <w:t>0.1</w:t>
            </w:r>
            <w:r>
              <w:rPr>
                <w:rFonts w:ascii="Arial" w:eastAsia="Times New Roman" w:hAnsi="Arial" w:cs="Arial"/>
                <w:color w:val="000000"/>
                <w:sz w:val="20"/>
                <w:szCs w:val="20"/>
                <w:lang w:eastAsia="en-GB"/>
              </w:rPr>
              <w:t>5</w:t>
            </w:r>
          </w:p>
        </w:tc>
        <w:tc>
          <w:tcPr>
            <w:tcW w:w="834" w:type="dxa"/>
            <w:tcBorders>
              <w:top w:val="nil"/>
              <w:left w:val="nil"/>
              <w:bottom w:val="nil"/>
              <w:right w:val="nil"/>
            </w:tcBorders>
            <w:shd w:val="clear" w:color="auto" w:fill="auto"/>
            <w:vAlign w:val="center"/>
            <w:hideMark/>
          </w:tcPr>
          <w:p w14:paraId="04452735" w14:textId="77777777" w:rsidR="008A6D82" w:rsidRPr="00482C71" w:rsidRDefault="008A6D82" w:rsidP="00CB618A">
            <w:pPr>
              <w:spacing w:after="0" w:line="240" w:lineRule="auto"/>
              <w:jc w:val="right"/>
              <w:rPr>
                <w:rFonts w:ascii="Arial" w:eastAsia="Times New Roman" w:hAnsi="Arial" w:cs="Arial"/>
                <w:bCs/>
                <w:color w:val="000000"/>
                <w:sz w:val="20"/>
                <w:szCs w:val="20"/>
                <w:lang w:eastAsia="en-GB"/>
              </w:rPr>
            </w:pPr>
            <w:r w:rsidRPr="00482C71">
              <w:rPr>
                <w:rFonts w:ascii="Arial" w:eastAsia="Times New Roman" w:hAnsi="Arial" w:cs="Arial"/>
                <w:bCs/>
                <w:color w:val="000000"/>
                <w:sz w:val="20"/>
                <w:szCs w:val="20"/>
                <w:lang w:eastAsia="en-GB"/>
              </w:rPr>
              <w:t>0.001</w:t>
            </w:r>
          </w:p>
        </w:tc>
      </w:tr>
      <w:tr w:rsidR="008A6D82" w:rsidRPr="00210082" w14:paraId="0E30D99B" w14:textId="77777777" w:rsidTr="00CB618A">
        <w:trPr>
          <w:trHeight w:val="300"/>
          <w:jc w:val="center"/>
        </w:trPr>
        <w:tc>
          <w:tcPr>
            <w:tcW w:w="1895" w:type="dxa"/>
            <w:gridSpan w:val="2"/>
            <w:tcBorders>
              <w:top w:val="nil"/>
              <w:left w:val="nil"/>
              <w:bottom w:val="nil"/>
              <w:right w:val="nil"/>
            </w:tcBorders>
            <w:shd w:val="clear" w:color="auto" w:fill="auto"/>
            <w:vAlign w:val="center"/>
            <w:hideMark/>
          </w:tcPr>
          <w:p w14:paraId="01B29AA5" w14:textId="77777777" w:rsidR="008A6D82" w:rsidRPr="00210082" w:rsidRDefault="008A6D82" w:rsidP="00CB618A">
            <w:pPr>
              <w:spacing w:after="0" w:line="240" w:lineRule="auto"/>
              <w:rPr>
                <w:rFonts w:ascii="Arial" w:eastAsia="Times New Roman" w:hAnsi="Arial" w:cs="Arial"/>
                <w:color w:val="000000"/>
                <w:sz w:val="20"/>
                <w:szCs w:val="20"/>
                <w:lang w:eastAsia="en-GB"/>
              </w:rPr>
            </w:pPr>
            <w:r w:rsidRPr="00210082">
              <w:rPr>
                <w:rFonts w:ascii="Arial" w:eastAsia="Times New Roman" w:hAnsi="Arial" w:cs="Arial"/>
                <w:color w:val="000000"/>
                <w:sz w:val="20"/>
                <w:szCs w:val="20"/>
                <w:lang w:eastAsia="en-GB"/>
              </w:rPr>
              <w:t>road density</w:t>
            </w:r>
          </w:p>
        </w:tc>
        <w:tc>
          <w:tcPr>
            <w:tcW w:w="1072" w:type="dxa"/>
            <w:tcBorders>
              <w:top w:val="nil"/>
              <w:left w:val="nil"/>
              <w:bottom w:val="nil"/>
              <w:right w:val="nil"/>
            </w:tcBorders>
            <w:shd w:val="clear" w:color="auto" w:fill="auto"/>
            <w:vAlign w:val="center"/>
            <w:hideMark/>
          </w:tcPr>
          <w:p w14:paraId="3BE36B68" w14:textId="77777777" w:rsidR="008A6D82" w:rsidRPr="00210082" w:rsidRDefault="008A6D82" w:rsidP="00CB618A">
            <w:pPr>
              <w:spacing w:after="0" w:line="240" w:lineRule="auto"/>
              <w:rPr>
                <w:rFonts w:ascii="Arial" w:eastAsia="Times New Roman" w:hAnsi="Arial" w:cs="Arial"/>
                <w:color w:val="000000"/>
                <w:sz w:val="20"/>
                <w:szCs w:val="20"/>
                <w:lang w:eastAsia="en-GB"/>
              </w:rPr>
            </w:pPr>
            <w:r w:rsidRPr="00210082">
              <w:rPr>
                <w:rFonts w:ascii="Arial" w:eastAsia="Times New Roman" w:hAnsi="Arial" w:cs="Arial"/>
                <w:color w:val="000000"/>
                <w:sz w:val="20"/>
                <w:szCs w:val="20"/>
                <w:lang w:eastAsia="en-GB"/>
              </w:rPr>
              <w:t>lands</w:t>
            </w:r>
          </w:p>
        </w:tc>
        <w:tc>
          <w:tcPr>
            <w:tcW w:w="1150" w:type="dxa"/>
            <w:tcBorders>
              <w:top w:val="nil"/>
              <w:left w:val="nil"/>
              <w:bottom w:val="nil"/>
              <w:right w:val="nil"/>
            </w:tcBorders>
            <w:shd w:val="clear" w:color="auto" w:fill="auto"/>
            <w:noWrap/>
            <w:vAlign w:val="center"/>
            <w:hideMark/>
          </w:tcPr>
          <w:p w14:paraId="1E9C48DB" w14:textId="77777777" w:rsidR="008A6D82" w:rsidRPr="00210082" w:rsidRDefault="008A6D82" w:rsidP="00CB618A">
            <w:pPr>
              <w:spacing w:after="0" w:line="240" w:lineRule="auto"/>
              <w:jc w:val="right"/>
              <w:rPr>
                <w:rFonts w:ascii="Arial" w:eastAsia="Times New Roman" w:hAnsi="Arial" w:cs="Arial"/>
                <w:color w:val="000000"/>
                <w:sz w:val="20"/>
                <w:szCs w:val="20"/>
                <w:lang w:eastAsia="en-GB"/>
              </w:rPr>
            </w:pPr>
            <w:r w:rsidRPr="00210082">
              <w:rPr>
                <w:rFonts w:ascii="Arial" w:eastAsia="Times New Roman" w:hAnsi="Arial" w:cs="Arial"/>
                <w:color w:val="000000"/>
                <w:sz w:val="20"/>
                <w:szCs w:val="20"/>
                <w:lang w:eastAsia="en-GB"/>
              </w:rPr>
              <w:t>0.2</w:t>
            </w:r>
            <w:r>
              <w:rPr>
                <w:rFonts w:ascii="Arial" w:eastAsia="Times New Roman" w:hAnsi="Arial" w:cs="Arial"/>
                <w:color w:val="000000"/>
                <w:sz w:val="20"/>
                <w:szCs w:val="20"/>
                <w:lang w:eastAsia="en-GB"/>
              </w:rPr>
              <w:t>4</w:t>
            </w:r>
          </w:p>
        </w:tc>
        <w:tc>
          <w:tcPr>
            <w:tcW w:w="1028" w:type="dxa"/>
            <w:tcBorders>
              <w:top w:val="nil"/>
              <w:left w:val="nil"/>
              <w:bottom w:val="nil"/>
              <w:right w:val="nil"/>
            </w:tcBorders>
            <w:shd w:val="clear" w:color="auto" w:fill="auto"/>
            <w:noWrap/>
            <w:vAlign w:val="center"/>
            <w:hideMark/>
          </w:tcPr>
          <w:p w14:paraId="6CA3BC64" w14:textId="77777777" w:rsidR="008A6D82" w:rsidRPr="00210082" w:rsidRDefault="008A6D82" w:rsidP="00CB618A">
            <w:pPr>
              <w:spacing w:after="0" w:line="240" w:lineRule="auto"/>
              <w:jc w:val="right"/>
              <w:rPr>
                <w:rFonts w:ascii="Arial" w:eastAsia="Times New Roman" w:hAnsi="Arial" w:cs="Arial"/>
                <w:color w:val="000000"/>
                <w:sz w:val="20"/>
                <w:szCs w:val="20"/>
                <w:lang w:eastAsia="en-GB"/>
              </w:rPr>
            </w:pPr>
            <w:r w:rsidRPr="00210082">
              <w:rPr>
                <w:rFonts w:ascii="Arial" w:eastAsia="Times New Roman" w:hAnsi="Arial" w:cs="Arial"/>
                <w:color w:val="000000"/>
                <w:sz w:val="20"/>
                <w:szCs w:val="20"/>
                <w:lang w:eastAsia="en-GB"/>
              </w:rPr>
              <w:t>0.03</w:t>
            </w:r>
          </w:p>
        </w:tc>
        <w:tc>
          <w:tcPr>
            <w:tcW w:w="834" w:type="dxa"/>
            <w:tcBorders>
              <w:top w:val="nil"/>
              <w:left w:val="nil"/>
              <w:bottom w:val="nil"/>
              <w:right w:val="nil"/>
            </w:tcBorders>
            <w:shd w:val="clear" w:color="auto" w:fill="auto"/>
            <w:vAlign w:val="center"/>
            <w:hideMark/>
          </w:tcPr>
          <w:p w14:paraId="607F496E" w14:textId="77777777" w:rsidR="008A6D82" w:rsidRPr="00482C71" w:rsidRDefault="008A6D82" w:rsidP="00CB618A">
            <w:pPr>
              <w:spacing w:after="0" w:line="240" w:lineRule="auto"/>
              <w:rPr>
                <w:rFonts w:ascii="Arial" w:eastAsia="Times New Roman" w:hAnsi="Arial" w:cs="Arial"/>
                <w:bCs/>
                <w:color w:val="000000"/>
                <w:sz w:val="20"/>
                <w:szCs w:val="20"/>
                <w:lang w:eastAsia="en-GB"/>
              </w:rPr>
            </w:pPr>
            <w:r w:rsidRPr="00482C71">
              <w:rPr>
                <w:rFonts w:ascii="Arial" w:eastAsia="Times New Roman" w:hAnsi="Arial" w:cs="Arial"/>
                <w:bCs/>
                <w:color w:val="000000"/>
                <w:sz w:val="20"/>
                <w:szCs w:val="20"/>
                <w:lang w:eastAsia="en-GB"/>
              </w:rPr>
              <w:t>&lt;0.001</w:t>
            </w:r>
          </w:p>
        </w:tc>
      </w:tr>
      <w:tr w:rsidR="008A6D82" w:rsidRPr="00210082" w14:paraId="5604F04D" w14:textId="77777777" w:rsidTr="00CB618A">
        <w:trPr>
          <w:trHeight w:val="528"/>
          <w:jc w:val="center"/>
        </w:trPr>
        <w:tc>
          <w:tcPr>
            <w:tcW w:w="1895" w:type="dxa"/>
            <w:gridSpan w:val="2"/>
            <w:tcBorders>
              <w:top w:val="nil"/>
              <w:left w:val="nil"/>
              <w:bottom w:val="nil"/>
              <w:right w:val="nil"/>
            </w:tcBorders>
            <w:shd w:val="clear" w:color="auto" w:fill="auto"/>
            <w:vAlign w:val="center"/>
            <w:hideMark/>
          </w:tcPr>
          <w:p w14:paraId="0318BE38" w14:textId="77777777" w:rsidR="008A6D82" w:rsidRPr="00210082" w:rsidRDefault="008A6D82" w:rsidP="00CB618A">
            <w:pPr>
              <w:spacing w:after="0" w:line="240" w:lineRule="auto"/>
              <w:rPr>
                <w:rFonts w:ascii="Arial" w:eastAsia="Times New Roman" w:hAnsi="Arial" w:cs="Arial"/>
                <w:color w:val="000000"/>
                <w:sz w:val="20"/>
                <w:szCs w:val="20"/>
                <w:lang w:eastAsia="en-GB"/>
              </w:rPr>
            </w:pPr>
            <w:r w:rsidRPr="00210082">
              <w:rPr>
                <w:rFonts w:ascii="Arial" w:eastAsia="Times New Roman" w:hAnsi="Arial" w:cs="Arial"/>
                <w:color w:val="000000"/>
                <w:sz w:val="20"/>
                <w:szCs w:val="20"/>
                <w:lang w:eastAsia="en-GB"/>
              </w:rPr>
              <w:t>distance to historic garden</w:t>
            </w:r>
          </w:p>
        </w:tc>
        <w:tc>
          <w:tcPr>
            <w:tcW w:w="1072" w:type="dxa"/>
            <w:tcBorders>
              <w:top w:val="nil"/>
              <w:left w:val="nil"/>
              <w:bottom w:val="nil"/>
              <w:right w:val="nil"/>
            </w:tcBorders>
            <w:shd w:val="clear" w:color="auto" w:fill="auto"/>
            <w:vAlign w:val="center"/>
            <w:hideMark/>
          </w:tcPr>
          <w:p w14:paraId="67461294" w14:textId="77777777" w:rsidR="008A6D82" w:rsidRPr="00210082" w:rsidRDefault="008A6D82" w:rsidP="00CB618A">
            <w:pPr>
              <w:spacing w:after="0" w:line="240" w:lineRule="auto"/>
              <w:rPr>
                <w:rFonts w:ascii="Arial" w:eastAsia="Times New Roman" w:hAnsi="Arial" w:cs="Arial"/>
                <w:color w:val="000000"/>
                <w:sz w:val="20"/>
                <w:szCs w:val="20"/>
                <w:lang w:eastAsia="en-GB"/>
              </w:rPr>
            </w:pPr>
            <w:r w:rsidRPr="00210082">
              <w:rPr>
                <w:rFonts w:ascii="Arial" w:eastAsia="Times New Roman" w:hAnsi="Arial" w:cs="Arial"/>
                <w:color w:val="000000"/>
                <w:sz w:val="20"/>
                <w:szCs w:val="20"/>
                <w:lang w:eastAsia="en-GB"/>
              </w:rPr>
              <w:t>lands</w:t>
            </w:r>
          </w:p>
        </w:tc>
        <w:tc>
          <w:tcPr>
            <w:tcW w:w="1150" w:type="dxa"/>
            <w:tcBorders>
              <w:top w:val="nil"/>
              <w:left w:val="nil"/>
              <w:bottom w:val="nil"/>
              <w:right w:val="nil"/>
            </w:tcBorders>
            <w:shd w:val="clear" w:color="auto" w:fill="auto"/>
            <w:noWrap/>
            <w:vAlign w:val="center"/>
            <w:hideMark/>
          </w:tcPr>
          <w:p w14:paraId="0643A65E" w14:textId="77777777" w:rsidR="008A6D82" w:rsidRPr="00210082" w:rsidRDefault="008A6D82" w:rsidP="00CB618A">
            <w:pPr>
              <w:spacing w:after="0" w:line="240" w:lineRule="auto"/>
              <w:jc w:val="right"/>
              <w:rPr>
                <w:rFonts w:ascii="Arial" w:eastAsia="Times New Roman" w:hAnsi="Arial" w:cs="Arial"/>
                <w:color w:val="000000"/>
                <w:sz w:val="20"/>
                <w:szCs w:val="20"/>
                <w:lang w:eastAsia="en-GB"/>
              </w:rPr>
            </w:pPr>
            <w:r w:rsidRPr="00210082">
              <w:rPr>
                <w:rFonts w:ascii="Arial" w:eastAsia="Times New Roman" w:hAnsi="Arial" w:cs="Arial"/>
                <w:color w:val="000000"/>
                <w:sz w:val="20"/>
                <w:szCs w:val="20"/>
                <w:lang w:eastAsia="en-GB"/>
              </w:rPr>
              <w:t>-0.</w:t>
            </w:r>
            <w:r>
              <w:rPr>
                <w:rFonts w:ascii="Arial" w:eastAsia="Times New Roman" w:hAnsi="Arial" w:cs="Arial"/>
                <w:color w:val="000000"/>
                <w:sz w:val="20"/>
                <w:szCs w:val="20"/>
                <w:lang w:eastAsia="en-GB"/>
              </w:rPr>
              <w:t>82</w:t>
            </w:r>
          </w:p>
        </w:tc>
        <w:tc>
          <w:tcPr>
            <w:tcW w:w="1028" w:type="dxa"/>
            <w:tcBorders>
              <w:top w:val="nil"/>
              <w:left w:val="nil"/>
              <w:bottom w:val="nil"/>
              <w:right w:val="nil"/>
            </w:tcBorders>
            <w:shd w:val="clear" w:color="auto" w:fill="auto"/>
            <w:noWrap/>
            <w:vAlign w:val="center"/>
            <w:hideMark/>
          </w:tcPr>
          <w:p w14:paraId="6C520C28" w14:textId="77777777" w:rsidR="008A6D82" w:rsidRPr="00210082" w:rsidRDefault="008A6D82" w:rsidP="00CB618A">
            <w:pPr>
              <w:spacing w:after="0" w:line="240" w:lineRule="auto"/>
              <w:jc w:val="right"/>
              <w:rPr>
                <w:rFonts w:ascii="Arial" w:eastAsia="Times New Roman" w:hAnsi="Arial" w:cs="Arial"/>
                <w:color w:val="000000"/>
                <w:sz w:val="20"/>
                <w:szCs w:val="20"/>
                <w:lang w:eastAsia="en-GB"/>
              </w:rPr>
            </w:pPr>
            <w:r w:rsidRPr="00210082">
              <w:rPr>
                <w:rFonts w:ascii="Arial" w:eastAsia="Times New Roman" w:hAnsi="Arial" w:cs="Arial"/>
                <w:color w:val="000000"/>
                <w:sz w:val="20"/>
                <w:szCs w:val="20"/>
                <w:lang w:eastAsia="en-GB"/>
              </w:rPr>
              <w:t>0.1</w:t>
            </w:r>
            <w:r>
              <w:rPr>
                <w:rFonts w:ascii="Arial" w:eastAsia="Times New Roman" w:hAnsi="Arial" w:cs="Arial"/>
                <w:color w:val="000000"/>
                <w:sz w:val="20"/>
                <w:szCs w:val="20"/>
                <w:lang w:eastAsia="en-GB"/>
              </w:rPr>
              <w:t>1</w:t>
            </w:r>
          </w:p>
        </w:tc>
        <w:tc>
          <w:tcPr>
            <w:tcW w:w="834" w:type="dxa"/>
            <w:tcBorders>
              <w:top w:val="nil"/>
              <w:left w:val="nil"/>
              <w:bottom w:val="nil"/>
              <w:right w:val="nil"/>
            </w:tcBorders>
            <w:shd w:val="clear" w:color="auto" w:fill="auto"/>
            <w:vAlign w:val="center"/>
            <w:hideMark/>
          </w:tcPr>
          <w:p w14:paraId="22A95A96" w14:textId="77777777" w:rsidR="008A6D82" w:rsidRPr="00482C71" w:rsidRDefault="008A6D82" w:rsidP="00CB618A">
            <w:pPr>
              <w:spacing w:after="0" w:line="240" w:lineRule="auto"/>
              <w:rPr>
                <w:rFonts w:ascii="Arial" w:eastAsia="Times New Roman" w:hAnsi="Arial" w:cs="Arial"/>
                <w:bCs/>
                <w:color w:val="000000"/>
                <w:sz w:val="20"/>
                <w:szCs w:val="20"/>
                <w:lang w:eastAsia="en-GB"/>
              </w:rPr>
            </w:pPr>
            <w:r w:rsidRPr="00482C71">
              <w:rPr>
                <w:rFonts w:ascii="Arial" w:eastAsia="Times New Roman" w:hAnsi="Arial" w:cs="Arial"/>
                <w:bCs/>
                <w:color w:val="000000"/>
                <w:sz w:val="20"/>
                <w:szCs w:val="20"/>
                <w:lang w:eastAsia="en-GB"/>
              </w:rPr>
              <w:t>&lt;0.001</w:t>
            </w:r>
          </w:p>
        </w:tc>
      </w:tr>
      <w:tr w:rsidR="008A6D82" w:rsidRPr="00210082" w14:paraId="53CA0923" w14:textId="77777777" w:rsidTr="00CB618A">
        <w:trPr>
          <w:trHeight w:val="300"/>
          <w:jc w:val="center"/>
        </w:trPr>
        <w:tc>
          <w:tcPr>
            <w:tcW w:w="1895" w:type="dxa"/>
            <w:gridSpan w:val="2"/>
            <w:tcBorders>
              <w:top w:val="nil"/>
              <w:left w:val="nil"/>
              <w:bottom w:val="nil"/>
              <w:right w:val="nil"/>
            </w:tcBorders>
            <w:shd w:val="clear" w:color="auto" w:fill="auto"/>
            <w:vAlign w:val="center"/>
            <w:hideMark/>
          </w:tcPr>
          <w:p w14:paraId="1683A293" w14:textId="77777777" w:rsidR="008A6D82" w:rsidRPr="00210082" w:rsidRDefault="008A6D82" w:rsidP="00CB618A">
            <w:pPr>
              <w:spacing w:after="0" w:line="240" w:lineRule="auto"/>
              <w:rPr>
                <w:rFonts w:ascii="Arial" w:eastAsia="Times New Roman" w:hAnsi="Arial" w:cs="Arial"/>
                <w:color w:val="000000"/>
                <w:sz w:val="20"/>
                <w:szCs w:val="20"/>
                <w:lang w:eastAsia="en-GB"/>
              </w:rPr>
            </w:pPr>
            <w:r w:rsidRPr="00210082">
              <w:rPr>
                <w:rFonts w:ascii="Arial" w:eastAsia="Times New Roman" w:hAnsi="Arial" w:cs="Arial"/>
                <w:color w:val="000000"/>
                <w:sz w:val="20"/>
                <w:szCs w:val="20"/>
                <w:lang w:eastAsia="en-GB"/>
              </w:rPr>
              <w:t>vertical structure</w:t>
            </w:r>
          </w:p>
        </w:tc>
        <w:tc>
          <w:tcPr>
            <w:tcW w:w="1072" w:type="dxa"/>
            <w:tcBorders>
              <w:top w:val="nil"/>
              <w:left w:val="nil"/>
              <w:bottom w:val="nil"/>
              <w:right w:val="nil"/>
            </w:tcBorders>
            <w:shd w:val="clear" w:color="auto" w:fill="auto"/>
            <w:vAlign w:val="center"/>
            <w:hideMark/>
          </w:tcPr>
          <w:p w14:paraId="5300AAC2" w14:textId="77777777" w:rsidR="008A6D82" w:rsidRPr="00210082" w:rsidRDefault="008A6D82" w:rsidP="00CB618A">
            <w:pPr>
              <w:spacing w:after="0" w:line="240" w:lineRule="auto"/>
              <w:rPr>
                <w:rFonts w:ascii="Arial" w:eastAsia="Times New Roman" w:hAnsi="Arial" w:cs="Arial"/>
                <w:color w:val="000000"/>
                <w:sz w:val="20"/>
                <w:szCs w:val="20"/>
                <w:lang w:eastAsia="en-GB"/>
              </w:rPr>
            </w:pPr>
            <w:r w:rsidRPr="00210082">
              <w:rPr>
                <w:rFonts w:ascii="Arial" w:eastAsia="Times New Roman" w:hAnsi="Arial" w:cs="Arial"/>
                <w:color w:val="000000"/>
                <w:sz w:val="20"/>
                <w:szCs w:val="20"/>
                <w:lang w:eastAsia="en-GB"/>
              </w:rPr>
              <w:t>loc</w:t>
            </w:r>
          </w:p>
        </w:tc>
        <w:tc>
          <w:tcPr>
            <w:tcW w:w="1150" w:type="dxa"/>
            <w:tcBorders>
              <w:top w:val="nil"/>
              <w:left w:val="nil"/>
              <w:bottom w:val="nil"/>
              <w:right w:val="nil"/>
            </w:tcBorders>
            <w:shd w:val="clear" w:color="auto" w:fill="auto"/>
            <w:noWrap/>
            <w:vAlign w:val="center"/>
            <w:hideMark/>
          </w:tcPr>
          <w:p w14:paraId="5BA3A7A5" w14:textId="77777777" w:rsidR="008A6D82" w:rsidRPr="00210082" w:rsidRDefault="008A6D82" w:rsidP="00CB618A">
            <w:pPr>
              <w:spacing w:after="0" w:line="240" w:lineRule="auto"/>
              <w:jc w:val="right"/>
              <w:rPr>
                <w:rFonts w:ascii="Arial" w:eastAsia="Times New Roman" w:hAnsi="Arial" w:cs="Arial"/>
                <w:color w:val="000000"/>
                <w:sz w:val="20"/>
                <w:szCs w:val="20"/>
                <w:lang w:eastAsia="en-GB"/>
              </w:rPr>
            </w:pPr>
            <w:r w:rsidRPr="00210082">
              <w:rPr>
                <w:rFonts w:ascii="Arial" w:eastAsia="Times New Roman" w:hAnsi="Arial" w:cs="Arial"/>
                <w:color w:val="000000"/>
                <w:sz w:val="20"/>
                <w:szCs w:val="20"/>
                <w:lang w:eastAsia="en-GB"/>
              </w:rPr>
              <w:t>1.</w:t>
            </w:r>
            <w:r>
              <w:rPr>
                <w:rFonts w:ascii="Arial" w:eastAsia="Times New Roman" w:hAnsi="Arial" w:cs="Arial"/>
                <w:color w:val="000000"/>
                <w:sz w:val="20"/>
                <w:szCs w:val="20"/>
                <w:lang w:eastAsia="en-GB"/>
              </w:rPr>
              <w:t>35</w:t>
            </w:r>
          </w:p>
        </w:tc>
        <w:tc>
          <w:tcPr>
            <w:tcW w:w="1028" w:type="dxa"/>
            <w:tcBorders>
              <w:top w:val="nil"/>
              <w:left w:val="nil"/>
              <w:bottom w:val="nil"/>
              <w:right w:val="nil"/>
            </w:tcBorders>
            <w:shd w:val="clear" w:color="auto" w:fill="auto"/>
            <w:noWrap/>
            <w:vAlign w:val="center"/>
            <w:hideMark/>
          </w:tcPr>
          <w:p w14:paraId="3063569C" w14:textId="77777777" w:rsidR="008A6D82" w:rsidRPr="00210082" w:rsidRDefault="008A6D82" w:rsidP="00CB618A">
            <w:pPr>
              <w:spacing w:after="0" w:line="240" w:lineRule="auto"/>
              <w:jc w:val="right"/>
              <w:rPr>
                <w:rFonts w:ascii="Arial" w:eastAsia="Times New Roman" w:hAnsi="Arial" w:cs="Arial"/>
                <w:color w:val="000000"/>
                <w:sz w:val="20"/>
                <w:szCs w:val="20"/>
                <w:lang w:eastAsia="en-GB"/>
              </w:rPr>
            </w:pPr>
            <w:r w:rsidRPr="00210082">
              <w:rPr>
                <w:rFonts w:ascii="Arial" w:eastAsia="Times New Roman" w:hAnsi="Arial" w:cs="Arial"/>
                <w:color w:val="000000"/>
                <w:sz w:val="20"/>
                <w:szCs w:val="20"/>
                <w:lang w:eastAsia="en-GB"/>
              </w:rPr>
              <w:t>0.14</w:t>
            </w:r>
          </w:p>
        </w:tc>
        <w:tc>
          <w:tcPr>
            <w:tcW w:w="834" w:type="dxa"/>
            <w:tcBorders>
              <w:top w:val="nil"/>
              <w:left w:val="nil"/>
              <w:bottom w:val="nil"/>
              <w:right w:val="nil"/>
            </w:tcBorders>
            <w:shd w:val="clear" w:color="auto" w:fill="auto"/>
            <w:vAlign w:val="center"/>
            <w:hideMark/>
          </w:tcPr>
          <w:p w14:paraId="6DFE6733" w14:textId="77777777" w:rsidR="008A6D82" w:rsidRPr="00482C71" w:rsidRDefault="008A6D82" w:rsidP="00CB618A">
            <w:pPr>
              <w:spacing w:after="0" w:line="240" w:lineRule="auto"/>
              <w:rPr>
                <w:rFonts w:ascii="Arial" w:eastAsia="Times New Roman" w:hAnsi="Arial" w:cs="Arial"/>
                <w:bCs/>
                <w:color w:val="000000"/>
                <w:sz w:val="20"/>
                <w:szCs w:val="20"/>
                <w:lang w:eastAsia="en-GB"/>
              </w:rPr>
            </w:pPr>
            <w:r w:rsidRPr="00482C71">
              <w:rPr>
                <w:rFonts w:ascii="Arial" w:eastAsia="Times New Roman" w:hAnsi="Arial" w:cs="Arial"/>
                <w:bCs/>
                <w:color w:val="000000"/>
                <w:sz w:val="20"/>
                <w:szCs w:val="20"/>
                <w:lang w:eastAsia="en-GB"/>
              </w:rPr>
              <w:t>&lt;0.001</w:t>
            </w:r>
          </w:p>
        </w:tc>
      </w:tr>
      <w:tr w:rsidR="008A6D82" w:rsidRPr="00210082" w14:paraId="12925B8A" w14:textId="77777777" w:rsidTr="00CB618A">
        <w:trPr>
          <w:trHeight w:val="540"/>
          <w:jc w:val="center"/>
        </w:trPr>
        <w:tc>
          <w:tcPr>
            <w:tcW w:w="578" w:type="dxa"/>
            <w:vMerge w:val="restart"/>
            <w:tcBorders>
              <w:top w:val="nil"/>
              <w:left w:val="nil"/>
              <w:bottom w:val="nil"/>
              <w:right w:val="nil"/>
            </w:tcBorders>
            <w:shd w:val="clear" w:color="auto" w:fill="auto"/>
            <w:vAlign w:val="center"/>
            <w:hideMark/>
          </w:tcPr>
          <w:p w14:paraId="08CD5611" w14:textId="77777777" w:rsidR="008A6D82" w:rsidRPr="00210082" w:rsidRDefault="008A6D82" w:rsidP="00CB618A">
            <w:pPr>
              <w:spacing w:after="0" w:line="240" w:lineRule="auto"/>
              <w:rPr>
                <w:rFonts w:ascii="Arial" w:eastAsia="Times New Roman" w:hAnsi="Arial" w:cs="Arial"/>
                <w:color w:val="000000"/>
                <w:sz w:val="20"/>
                <w:szCs w:val="20"/>
                <w:lang w:eastAsia="en-GB"/>
              </w:rPr>
            </w:pPr>
            <w:r w:rsidRPr="00210082">
              <w:rPr>
                <w:rFonts w:ascii="Arial" w:eastAsia="Times New Roman" w:hAnsi="Arial" w:cs="Arial"/>
                <w:color w:val="000000"/>
                <w:sz w:val="20"/>
                <w:szCs w:val="20"/>
                <w:lang w:eastAsia="en-GB"/>
              </w:rPr>
              <w:t>IFT</w:t>
            </w:r>
          </w:p>
        </w:tc>
        <w:tc>
          <w:tcPr>
            <w:tcW w:w="1317" w:type="dxa"/>
            <w:tcBorders>
              <w:top w:val="nil"/>
              <w:left w:val="nil"/>
              <w:bottom w:val="nil"/>
              <w:right w:val="nil"/>
            </w:tcBorders>
            <w:shd w:val="clear" w:color="auto" w:fill="auto"/>
            <w:vAlign w:val="center"/>
            <w:hideMark/>
          </w:tcPr>
          <w:p w14:paraId="486B6F31" w14:textId="77777777" w:rsidR="008A6D82" w:rsidRPr="00210082" w:rsidRDefault="008A6D82" w:rsidP="00CB618A">
            <w:pPr>
              <w:spacing w:after="0" w:line="240" w:lineRule="auto"/>
              <w:rPr>
                <w:rFonts w:ascii="Arial" w:eastAsia="Times New Roman" w:hAnsi="Arial" w:cs="Arial"/>
                <w:color w:val="000000"/>
                <w:sz w:val="20"/>
                <w:szCs w:val="20"/>
                <w:lang w:eastAsia="en-GB"/>
              </w:rPr>
            </w:pPr>
            <w:r w:rsidRPr="00210082">
              <w:rPr>
                <w:rFonts w:ascii="Arial" w:eastAsia="Times New Roman" w:hAnsi="Arial" w:cs="Arial"/>
                <w:color w:val="000000"/>
                <w:sz w:val="20"/>
                <w:szCs w:val="20"/>
                <w:lang w:eastAsia="en-GB"/>
              </w:rPr>
              <w:t>coniferous</w:t>
            </w:r>
          </w:p>
        </w:tc>
        <w:tc>
          <w:tcPr>
            <w:tcW w:w="1072" w:type="dxa"/>
            <w:tcBorders>
              <w:top w:val="nil"/>
              <w:left w:val="nil"/>
              <w:bottom w:val="nil"/>
              <w:right w:val="nil"/>
            </w:tcBorders>
            <w:shd w:val="clear" w:color="auto" w:fill="auto"/>
            <w:vAlign w:val="center"/>
            <w:hideMark/>
          </w:tcPr>
          <w:p w14:paraId="5C957A4C" w14:textId="77777777" w:rsidR="008A6D82" w:rsidRPr="00210082" w:rsidRDefault="008A6D82" w:rsidP="00CB618A">
            <w:pPr>
              <w:spacing w:after="0" w:line="240" w:lineRule="auto"/>
              <w:rPr>
                <w:rFonts w:ascii="Arial" w:eastAsia="Times New Roman" w:hAnsi="Arial" w:cs="Arial"/>
                <w:color w:val="000000"/>
                <w:sz w:val="20"/>
                <w:szCs w:val="20"/>
                <w:lang w:eastAsia="en-GB"/>
              </w:rPr>
            </w:pPr>
          </w:p>
        </w:tc>
        <w:tc>
          <w:tcPr>
            <w:tcW w:w="1150" w:type="dxa"/>
            <w:tcBorders>
              <w:top w:val="nil"/>
              <w:left w:val="nil"/>
              <w:bottom w:val="nil"/>
              <w:right w:val="nil"/>
            </w:tcBorders>
            <w:shd w:val="clear" w:color="auto" w:fill="auto"/>
            <w:noWrap/>
            <w:vAlign w:val="center"/>
            <w:hideMark/>
          </w:tcPr>
          <w:p w14:paraId="6D81AB18" w14:textId="77777777" w:rsidR="008A6D82" w:rsidRPr="00210082" w:rsidRDefault="008A6D82" w:rsidP="00CB618A">
            <w:pPr>
              <w:spacing w:after="0" w:line="240" w:lineRule="auto"/>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0.05</w:t>
            </w:r>
          </w:p>
        </w:tc>
        <w:tc>
          <w:tcPr>
            <w:tcW w:w="1028" w:type="dxa"/>
            <w:tcBorders>
              <w:top w:val="nil"/>
              <w:left w:val="nil"/>
              <w:bottom w:val="nil"/>
              <w:right w:val="nil"/>
            </w:tcBorders>
            <w:shd w:val="clear" w:color="auto" w:fill="auto"/>
            <w:noWrap/>
            <w:vAlign w:val="center"/>
            <w:hideMark/>
          </w:tcPr>
          <w:p w14:paraId="228DB0BB" w14:textId="77777777" w:rsidR="008A6D82" w:rsidRPr="00210082" w:rsidRDefault="008A6D82" w:rsidP="00CB618A">
            <w:pPr>
              <w:spacing w:after="0" w:line="240" w:lineRule="auto"/>
              <w:jc w:val="right"/>
              <w:rPr>
                <w:rFonts w:ascii="Arial" w:eastAsia="Times New Roman" w:hAnsi="Arial" w:cs="Arial"/>
                <w:color w:val="000000"/>
                <w:sz w:val="20"/>
                <w:szCs w:val="20"/>
                <w:lang w:eastAsia="en-GB"/>
              </w:rPr>
            </w:pPr>
            <w:r w:rsidRPr="00210082">
              <w:rPr>
                <w:rFonts w:ascii="Arial" w:eastAsia="Times New Roman" w:hAnsi="Arial" w:cs="Arial"/>
                <w:color w:val="000000"/>
                <w:sz w:val="20"/>
                <w:szCs w:val="20"/>
                <w:lang w:eastAsia="en-GB"/>
              </w:rPr>
              <w:t>0.11</w:t>
            </w:r>
          </w:p>
        </w:tc>
        <w:tc>
          <w:tcPr>
            <w:tcW w:w="834" w:type="dxa"/>
            <w:tcBorders>
              <w:top w:val="nil"/>
              <w:left w:val="nil"/>
              <w:bottom w:val="nil"/>
              <w:right w:val="nil"/>
            </w:tcBorders>
            <w:shd w:val="clear" w:color="auto" w:fill="auto"/>
            <w:vAlign w:val="center"/>
            <w:hideMark/>
          </w:tcPr>
          <w:p w14:paraId="30C1B6E6" w14:textId="77777777" w:rsidR="008A6D82" w:rsidRPr="00482C71" w:rsidRDefault="008A6D82" w:rsidP="00CB618A">
            <w:pPr>
              <w:spacing w:after="0" w:line="240" w:lineRule="auto"/>
              <w:jc w:val="right"/>
              <w:rPr>
                <w:rFonts w:ascii="Arial" w:eastAsia="Times New Roman" w:hAnsi="Arial" w:cs="Arial"/>
                <w:bCs/>
                <w:color w:val="000000"/>
                <w:sz w:val="20"/>
                <w:szCs w:val="20"/>
                <w:lang w:eastAsia="en-GB"/>
              </w:rPr>
            </w:pPr>
            <w:r w:rsidRPr="00482C71">
              <w:rPr>
                <w:rFonts w:ascii="Arial" w:eastAsia="Times New Roman" w:hAnsi="Arial" w:cs="Arial"/>
                <w:bCs/>
                <w:color w:val="000000"/>
                <w:sz w:val="20"/>
                <w:szCs w:val="20"/>
                <w:lang w:eastAsia="en-GB"/>
              </w:rPr>
              <w:t>0.042</w:t>
            </w:r>
          </w:p>
        </w:tc>
      </w:tr>
      <w:tr w:rsidR="008A6D82" w:rsidRPr="00210082" w14:paraId="3FEB8B04" w14:textId="77777777" w:rsidTr="00CB618A">
        <w:trPr>
          <w:trHeight w:val="540"/>
          <w:jc w:val="center"/>
        </w:trPr>
        <w:tc>
          <w:tcPr>
            <w:tcW w:w="578" w:type="dxa"/>
            <w:vMerge/>
            <w:tcBorders>
              <w:top w:val="nil"/>
              <w:left w:val="nil"/>
              <w:bottom w:val="nil"/>
              <w:right w:val="nil"/>
            </w:tcBorders>
            <w:vAlign w:val="center"/>
            <w:hideMark/>
          </w:tcPr>
          <w:p w14:paraId="13CE89A3" w14:textId="77777777" w:rsidR="008A6D82" w:rsidRPr="00210082" w:rsidRDefault="008A6D82" w:rsidP="00CB618A">
            <w:pPr>
              <w:spacing w:after="0" w:line="240" w:lineRule="auto"/>
              <w:rPr>
                <w:rFonts w:ascii="Arial" w:eastAsia="Times New Roman" w:hAnsi="Arial" w:cs="Arial"/>
                <w:color w:val="000000"/>
                <w:sz w:val="20"/>
                <w:szCs w:val="20"/>
                <w:lang w:eastAsia="en-GB"/>
              </w:rPr>
            </w:pPr>
          </w:p>
        </w:tc>
        <w:tc>
          <w:tcPr>
            <w:tcW w:w="1317" w:type="dxa"/>
            <w:tcBorders>
              <w:top w:val="nil"/>
              <w:left w:val="nil"/>
              <w:bottom w:val="nil"/>
              <w:right w:val="nil"/>
            </w:tcBorders>
            <w:shd w:val="clear" w:color="auto" w:fill="auto"/>
            <w:vAlign w:val="center"/>
            <w:hideMark/>
          </w:tcPr>
          <w:p w14:paraId="7582F725" w14:textId="77777777" w:rsidR="008A6D82" w:rsidRPr="00210082" w:rsidRDefault="008A6D82" w:rsidP="00CB618A">
            <w:pPr>
              <w:spacing w:after="0" w:line="240" w:lineRule="auto"/>
              <w:rPr>
                <w:rFonts w:ascii="Arial" w:eastAsia="Times New Roman" w:hAnsi="Arial" w:cs="Arial"/>
                <w:color w:val="000000"/>
                <w:sz w:val="20"/>
                <w:szCs w:val="20"/>
                <w:lang w:eastAsia="en-GB"/>
              </w:rPr>
            </w:pPr>
            <w:r w:rsidRPr="00210082">
              <w:rPr>
                <w:rFonts w:ascii="Arial" w:eastAsia="Times New Roman" w:hAnsi="Arial" w:cs="Arial"/>
                <w:color w:val="000000"/>
                <w:sz w:val="20"/>
                <w:szCs w:val="20"/>
                <w:lang w:eastAsia="en-GB"/>
              </w:rPr>
              <w:t>broadleaved mixed</w:t>
            </w:r>
          </w:p>
        </w:tc>
        <w:tc>
          <w:tcPr>
            <w:tcW w:w="1072" w:type="dxa"/>
            <w:tcBorders>
              <w:top w:val="nil"/>
              <w:left w:val="nil"/>
              <w:bottom w:val="nil"/>
              <w:right w:val="nil"/>
            </w:tcBorders>
            <w:shd w:val="clear" w:color="auto" w:fill="auto"/>
            <w:vAlign w:val="center"/>
            <w:hideMark/>
          </w:tcPr>
          <w:p w14:paraId="3C504AD7" w14:textId="77777777" w:rsidR="008A6D82" w:rsidRPr="00210082" w:rsidRDefault="008A6D82" w:rsidP="00CB618A">
            <w:pPr>
              <w:spacing w:after="0" w:line="240" w:lineRule="auto"/>
              <w:rPr>
                <w:rFonts w:ascii="Arial" w:eastAsia="Times New Roman" w:hAnsi="Arial" w:cs="Arial"/>
                <w:color w:val="000000"/>
                <w:sz w:val="20"/>
                <w:szCs w:val="20"/>
                <w:lang w:eastAsia="en-GB"/>
              </w:rPr>
            </w:pPr>
            <w:r w:rsidRPr="00210082">
              <w:rPr>
                <w:rFonts w:ascii="Arial" w:eastAsia="Times New Roman" w:hAnsi="Arial" w:cs="Arial"/>
                <w:color w:val="000000"/>
                <w:sz w:val="20"/>
                <w:szCs w:val="20"/>
                <w:lang w:eastAsia="en-GB"/>
              </w:rPr>
              <w:t>loc</w:t>
            </w:r>
          </w:p>
        </w:tc>
        <w:tc>
          <w:tcPr>
            <w:tcW w:w="1150" w:type="dxa"/>
            <w:tcBorders>
              <w:top w:val="nil"/>
              <w:left w:val="nil"/>
              <w:bottom w:val="nil"/>
              <w:right w:val="nil"/>
            </w:tcBorders>
            <w:shd w:val="clear" w:color="auto" w:fill="auto"/>
            <w:noWrap/>
            <w:vAlign w:val="center"/>
            <w:hideMark/>
          </w:tcPr>
          <w:p w14:paraId="6F53F272" w14:textId="77777777" w:rsidR="008A6D82" w:rsidRPr="00210082" w:rsidRDefault="008A6D82" w:rsidP="00CB618A">
            <w:pPr>
              <w:spacing w:after="0" w:line="240" w:lineRule="auto"/>
              <w:jc w:val="right"/>
              <w:rPr>
                <w:rFonts w:ascii="Arial" w:eastAsia="Times New Roman" w:hAnsi="Arial" w:cs="Arial"/>
                <w:color w:val="000000"/>
                <w:sz w:val="20"/>
                <w:szCs w:val="20"/>
                <w:lang w:eastAsia="en-GB"/>
              </w:rPr>
            </w:pPr>
            <w:r w:rsidRPr="00210082">
              <w:rPr>
                <w:rFonts w:ascii="Arial" w:eastAsia="Times New Roman" w:hAnsi="Arial" w:cs="Arial"/>
                <w:color w:val="000000"/>
                <w:sz w:val="20"/>
                <w:szCs w:val="20"/>
                <w:lang w:eastAsia="en-GB"/>
              </w:rPr>
              <w:t>0.</w:t>
            </w:r>
            <w:r>
              <w:rPr>
                <w:rFonts w:ascii="Arial" w:eastAsia="Times New Roman" w:hAnsi="Arial" w:cs="Arial"/>
                <w:color w:val="000000"/>
                <w:sz w:val="20"/>
                <w:szCs w:val="20"/>
                <w:lang w:eastAsia="en-GB"/>
              </w:rPr>
              <w:t>34</w:t>
            </w:r>
          </w:p>
        </w:tc>
        <w:tc>
          <w:tcPr>
            <w:tcW w:w="1028" w:type="dxa"/>
            <w:tcBorders>
              <w:top w:val="nil"/>
              <w:left w:val="nil"/>
              <w:bottom w:val="nil"/>
              <w:right w:val="nil"/>
            </w:tcBorders>
            <w:shd w:val="clear" w:color="auto" w:fill="auto"/>
            <w:noWrap/>
            <w:vAlign w:val="center"/>
            <w:hideMark/>
          </w:tcPr>
          <w:p w14:paraId="0288DF2D" w14:textId="77777777" w:rsidR="008A6D82" w:rsidRPr="00210082" w:rsidRDefault="008A6D82" w:rsidP="00CB618A">
            <w:pPr>
              <w:spacing w:after="0" w:line="240" w:lineRule="auto"/>
              <w:jc w:val="right"/>
              <w:rPr>
                <w:rFonts w:ascii="Arial" w:eastAsia="Times New Roman" w:hAnsi="Arial" w:cs="Arial"/>
                <w:color w:val="000000"/>
                <w:sz w:val="20"/>
                <w:szCs w:val="20"/>
                <w:lang w:eastAsia="en-GB"/>
              </w:rPr>
            </w:pPr>
            <w:r w:rsidRPr="00210082">
              <w:rPr>
                <w:rFonts w:ascii="Arial" w:eastAsia="Times New Roman" w:hAnsi="Arial" w:cs="Arial"/>
                <w:color w:val="000000"/>
                <w:sz w:val="20"/>
                <w:szCs w:val="20"/>
                <w:lang w:eastAsia="en-GB"/>
              </w:rPr>
              <w:t>0.1</w:t>
            </w:r>
            <w:r>
              <w:rPr>
                <w:rFonts w:ascii="Arial" w:eastAsia="Times New Roman" w:hAnsi="Arial" w:cs="Arial"/>
                <w:color w:val="000000"/>
                <w:sz w:val="20"/>
                <w:szCs w:val="20"/>
                <w:lang w:eastAsia="en-GB"/>
              </w:rPr>
              <w:t>7</w:t>
            </w:r>
          </w:p>
        </w:tc>
        <w:tc>
          <w:tcPr>
            <w:tcW w:w="834" w:type="dxa"/>
            <w:tcBorders>
              <w:top w:val="nil"/>
              <w:left w:val="nil"/>
              <w:bottom w:val="nil"/>
              <w:right w:val="nil"/>
            </w:tcBorders>
            <w:shd w:val="clear" w:color="auto" w:fill="auto"/>
            <w:vAlign w:val="center"/>
            <w:hideMark/>
          </w:tcPr>
          <w:p w14:paraId="57E67A38" w14:textId="77777777" w:rsidR="008A6D82" w:rsidRPr="00482C71" w:rsidRDefault="008A6D82" w:rsidP="00CB618A">
            <w:pPr>
              <w:spacing w:after="0" w:line="240" w:lineRule="auto"/>
              <w:rPr>
                <w:rFonts w:ascii="Arial" w:eastAsia="Times New Roman" w:hAnsi="Arial" w:cs="Arial"/>
                <w:bCs/>
                <w:color w:val="000000"/>
                <w:sz w:val="20"/>
                <w:szCs w:val="20"/>
                <w:lang w:eastAsia="en-GB"/>
              </w:rPr>
            </w:pPr>
            <w:r w:rsidRPr="00482C71">
              <w:rPr>
                <w:rFonts w:ascii="Arial" w:eastAsia="Times New Roman" w:hAnsi="Arial" w:cs="Arial"/>
                <w:bCs/>
                <w:color w:val="000000"/>
                <w:sz w:val="20"/>
                <w:szCs w:val="20"/>
                <w:lang w:eastAsia="en-GB"/>
              </w:rPr>
              <w:t>&lt;0.001</w:t>
            </w:r>
          </w:p>
        </w:tc>
      </w:tr>
      <w:tr w:rsidR="008A6D82" w:rsidRPr="00210082" w14:paraId="46EA55FC" w14:textId="77777777" w:rsidTr="00CB618A">
        <w:trPr>
          <w:trHeight w:val="540"/>
          <w:jc w:val="center"/>
        </w:trPr>
        <w:tc>
          <w:tcPr>
            <w:tcW w:w="578" w:type="dxa"/>
            <w:vMerge/>
            <w:tcBorders>
              <w:top w:val="nil"/>
              <w:left w:val="nil"/>
              <w:bottom w:val="nil"/>
              <w:right w:val="nil"/>
            </w:tcBorders>
            <w:vAlign w:val="center"/>
            <w:hideMark/>
          </w:tcPr>
          <w:p w14:paraId="4A40ECAC" w14:textId="77777777" w:rsidR="008A6D82" w:rsidRPr="00210082" w:rsidRDefault="008A6D82" w:rsidP="00CB618A">
            <w:pPr>
              <w:spacing w:after="0" w:line="240" w:lineRule="auto"/>
              <w:rPr>
                <w:rFonts w:ascii="Arial" w:eastAsia="Times New Roman" w:hAnsi="Arial" w:cs="Arial"/>
                <w:color w:val="000000"/>
                <w:sz w:val="20"/>
                <w:szCs w:val="20"/>
                <w:lang w:eastAsia="en-GB"/>
              </w:rPr>
            </w:pPr>
          </w:p>
        </w:tc>
        <w:tc>
          <w:tcPr>
            <w:tcW w:w="1317" w:type="dxa"/>
            <w:tcBorders>
              <w:top w:val="nil"/>
              <w:left w:val="nil"/>
              <w:bottom w:val="nil"/>
              <w:right w:val="nil"/>
            </w:tcBorders>
            <w:shd w:val="clear" w:color="auto" w:fill="auto"/>
            <w:vAlign w:val="center"/>
            <w:hideMark/>
          </w:tcPr>
          <w:p w14:paraId="37C4629E" w14:textId="77777777" w:rsidR="008A6D82" w:rsidRPr="00210082" w:rsidRDefault="008A6D82" w:rsidP="00CB618A">
            <w:pPr>
              <w:spacing w:after="0" w:line="240" w:lineRule="auto"/>
              <w:rPr>
                <w:rFonts w:ascii="Arial" w:eastAsia="Times New Roman" w:hAnsi="Arial" w:cs="Arial"/>
                <w:color w:val="000000"/>
                <w:sz w:val="20"/>
                <w:szCs w:val="20"/>
                <w:lang w:eastAsia="en-GB"/>
              </w:rPr>
            </w:pPr>
            <w:r w:rsidRPr="00210082">
              <w:rPr>
                <w:rFonts w:ascii="Arial" w:eastAsia="Times New Roman" w:hAnsi="Arial" w:cs="Arial"/>
                <w:color w:val="000000"/>
                <w:sz w:val="20"/>
                <w:szCs w:val="20"/>
                <w:lang w:eastAsia="en-GB"/>
              </w:rPr>
              <w:t>coniferous mixed</w:t>
            </w:r>
          </w:p>
        </w:tc>
        <w:tc>
          <w:tcPr>
            <w:tcW w:w="1072" w:type="dxa"/>
            <w:tcBorders>
              <w:top w:val="nil"/>
              <w:left w:val="nil"/>
              <w:bottom w:val="nil"/>
              <w:right w:val="nil"/>
            </w:tcBorders>
            <w:shd w:val="clear" w:color="auto" w:fill="auto"/>
            <w:vAlign w:val="center"/>
            <w:hideMark/>
          </w:tcPr>
          <w:p w14:paraId="040822F7" w14:textId="77777777" w:rsidR="008A6D82" w:rsidRPr="00210082" w:rsidRDefault="008A6D82" w:rsidP="00CB618A">
            <w:pPr>
              <w:spacing w:after="0" w:line="240" w:lineRule="auto"/>
              <w:rPr>
                <w:rFonts w:ascii="Arial" w:eastAsia="Times New Roman" w:hAnsi="Arial" w:cs="Arial"/>
                <w:color w:val="000000"/>
                <w:sz w:val="20"/>
                <w:szCs w:val="20"/>
                <w:lang w:eastAsia="en-GB"/>
              </w:rPr>
            </w:pPr>
          </w:p>
        </w:tc>
        <w:tc>
          <w:tcPr>
            <w:tcW w:w="1150" w:type="dxa"/>
            <w:tcBorders>
              <w:top w:val="nil"/>
              <w:left w:val="nil"/>
              <w:bottom w:val="nil"/>
              <w:right w:val="nil"/>
            </w:tcBorders>
            <w:shd w:val="clear" w:color="auto" w:fill="auto"/>
            <w:noWrap/>
            <w:vAlign w:val="center"/>
            <w:hideMark/>
          </w:tcPr>
          <w:p w14:paraId="47320FDB" w14:textId="77777777" w:rsidR="008A6D82" w:rsidRPr="00210082" w:rsidRDefault="008A6D82" w:rsidP="00CB618A">
            <w:pPr>
              <w:spacing w:after="0" w:line="240" w:lineRule="auto"/>
              <w:jc w:val="right"/>
              <w:rPr>
                <w:rFonts w:ascii="Arial" w:eastAsia="Times New Roman" w:hAnsi="Arial" w:cs="Arial"/>
                <w:color w:val="000000"/>
                <w:sz w:val="20"/>
                <w:szCs w:val="20"/>
                <w:lang w:eastAsia="en-GB"/>
              </w:rPr>
            </w:pPr>
            <w:r w:rsidRPr="00210082">
              <w:rPr>
                <w:rFonts w:ascii="Arial" w:eastAsia="Times New Roman" w:hAnsi="Arial" w:cs="Arial"/>
                <w:color w:val="000000"/>
                <w:sz w:val="20"/>
                <w:szCs w:val="20"/>
                <w:lang w:eastAsia="en-GB"/>
              </w:rPr>
              <w:t>0.</w:t>
            </w:r>
            <w:r>
              <w:rPr>
                <w:rFonts w:ascii="Arial" w:eastAsia="Times New Roman" w:hAnsi="Arial" w:cs="Arial"/>
                <w:color w:val="000000"/>
                <w:sz w:val="20"/>
                <w:szCs w:val="20"/>
                <w:lang w:eastAsia="en-GB"/>
              </w:rPr>
              <w:t>36</w:t>
            </w:r>
          </w:p>
        </w:tc>
        <w:tc>
          <w:tcPr>
            <w:tcW w:w="1028" w:type="dxa"/>
            <w:tcBorders>
              <w:top w:val="nil"/>
              <w:left w:val="nil"/>
              <w:bottom w:val="nil"/>
              <w:right w:val="nil"/>
            </w:tcBorders>
            <w:shd w:val="clear" w:color="auto" w:fill="auto"/>
            <w:noWrap/>
            <w:vAlign w:val="center"/>
            <w:hideMark/>
          </w:tcPr>
          <w:p w14:paraId="66973240" w14:textId="77777777" w:rsidR="008A6D82" w:rsidRPr="00210082" w:rsidRDefault="008A6D82" w:rsidP="00CB618A">
            <w:pPr>
              <w:spacing w:after="0" w:line="240" w:lineRule="auto"/>
              <w:jc w:val="right"/>
              <w:rPr>
                <w:rFonts w:ascii="Arial" w:eastAsia="Times New Roman" w:hAnsi="Arial" w:cs="Arial"/>
                <w:color w:val="000000"/>
                <w:sz w:val="20"/>
                <w:szCs w:val="20"/>
                <w:lang w:eastAsia="en-GB"/>
              </w:rPr>
            </w:pPr>
            <w:r w:rsidRPr="00210082">
              <w:rPr>
                <w:rFonts w:ascii="Arial" w:eastAsia="Times New Roman" w:hAnsi="Arial" w:cs="Arial"/>
                <w:color w:val="000000"/>
                <w:sz w:val="20"/>
                <w:szCs w:val="20"/>
                <w:lang w:eastAsia="en-GB"/>
              </w:rPr>
              <w:t>0.1</w:t>
            </w:r>
            <w:r>
              <w:rPr>
                <w:rFonts w:ascii="Arial" w:eastAsia="Times New Roman" w:hAnsi="Arial" w:cs="Arial"/>
                <w:color w:val="000000"/>
                <w:sz w:val="20"/>
                <w:szCs w:val="20"/>
                <w:lang w:eastAsia="en-GB"/>
              </w:rPr>
              <w:t>1</w:t>
            </w:r>
          </w:p>
        </w:tc>
        <w:tc>
          <w:tcPr>
            <w:tcW w:w="834" w:type="dxa"/>
            <w:tcBorders>
              <w:top w:val="nil"/>
              <w:left w:val="nil"/>
              <w:bottom w:val="nil"/>
              <w:right w:val="nil"/>
            </w:tcBorders>
            <w:shd w:val="clear" w:color="auto" w:fill="auto"/>
            <w:vAlign w:val="center"/>
            <w:hideMark/>
          </w:tcPr>
          <w:p w14:paraId="516FBE74" w14:textId="77777777" w:rsidR="008A6D82" w:rsidRPr="00482C71" w:rsidRDefault="008A6D82" w:rsidP="00CB618A">
            <w:pPr>
              <w:spacing w:after="0" w:line="240" w:lineRule="auto"/>
              <w:rPr>
                <w:rFonts w:ascii="Arial" w:eastAsia="Times New Roman" w:hAnsi="Arial" w:cs="Arial"/>
                <w:bCs/>
                <w:color w:val="000000"/>
                <w:sz w:val="20"/>
                <w:szCs w:val="20"/>
                <w:lang w:eastAsia="en-GB"/>
              </w:rPr>
            </w:pPr>
            <w:r w:rsidRPr="00482C71">
              <w:rPr>
                <w:rFonts w:ascii="Arial" w:eastAsia="Times New Roman" w:hAnsi="Arial" w:cs="Arial"/>
                <w:bCs/>
                <w:color w:val="000000"/>
                <w:sz w:val="20"/>
                <w:szCs w:val="20"/>
                <w:lang w:eastAsia="en-GB"/>
              </w:rPr>
              <w:t>&lt;0.001</w:t>
            </w:r>
          </w:p>
        </w:tc>
      </w:tr>
      <w:tr w:rsidR="008A6D82" w:rsidRPr="00210082" w14:paraId="185AD313" w14:textId="77777777" w:rsidTr="00CB618A">
        <w:trPr>
          <w:trHeight w:val="300"/>
          <w:jc w:val="center"/>
        </w:trPr>
        <w:tc>
          <w:tcPr>
            <w:tcW w:w="1895" w:type="dxa"/>
            <w:gridSpan w:val="2"/>
            <w:tcBorders>
              <w:top w:val="nil"/>
              <w:left w:val="nil"/>
              <w:bottom w:val="single" w:sz="4" w:space="0" w:color="auto"/>
              <w:right w:val="nil"/>
            </w:tcBorders>
            <w:shd w:val="clear" w:color="auto" w:fill="auto"/>
            <w:vAlign w:val="center"/>
            <w:hideMark/>
          </w:tcPr>
          <w:p w14:paraId="26F18954" w14:textId="77777777" w:rsidR="008A6D82" w:rsidRPr="00210082" w:rsidRDefault="008A6D82" w:rsidP="00CB618A">
            <w:pPr>
              <w:spacing w:after="0" w:line="240" w:lineRule="auto"/>
              <w:rPr>
                <w:rFonts w:ascii="Arial" w:eastAsia="Times New Roman" w:hAnsi="Arial" w:cs="Arial"/>
                <w:color w:val="000000"/>
                <w:sz w:val="20"/>
                <w:szCs w:val="20"/>
                <w:lang w:eastAsia="en-GB"/>
              </w:rPr>
            </w:pPr>
            <w:r w:rsidRPr="00210082">
              <w:rPr>
                <w:rFonts w:ascii="Arial" w:eastAsia="Times New Roman" w:hAnsi="Arial" w:cs="Arial"/>
                <w:color w:val="000000"/>
                <w:sz w:val="20"/>
                <w:szCs w:val="20"/>
                <w:lang w:eastAsia="en-GB"/>
              </w:rPr>
              <w:t>stand age</w:t>
            </w:r>
          </w:p>
        </w:tc>
        <w:tc>
          <w:tcPr>
            <w:tcW w:w="1072" w:type="dxa"/>
            <w:tcBorders>
              <w:top w:val="nil"/>
              <w:left w:val="nil"/>
              <w:bottom w:val="single" w:sz="4" w:space="0" w:color="auto"/>
              <w:right w:val="nil"/>
            </w:tcBorders>
            <w:shd w:val="clear" w:color="auto" w:fill="auto"/>
            <w:vAlign w:val="center"/>
            <w:hideMark/>
          </w:tcPr>
          <w:p w14:paraId="1B2E1AC2" w14:textId="77777777" w:rsidR="008A6D82" w:rsidRPr="00210082" w:rsidRDefault="008A6D82" w:rsidP="00CB618A">
            <w:pPr>
              <w:spacing w:after="0" w:line="240" w:lineRule="auto"/>
              <w:rPr>
                <w:rFonts w:ascii="Arial" w:eastAsia="Times New Roman" w:hAnsi="Arial" w:cs="Arial"/>
                <w:color w:val="000000"/>
                <w:sz w:val="20"/>
                <w:szCs w:val="20"/>
                <w:lang w:eastAsia="en-GB"/>
              </w:rPr>
            </w:pPr>
            <w:r w:rsidRPr="00210082">
              <w:rPr>
                <w:rFonts w:ascii="Arial" w:eastAsia="Times New Roman" w:hAnsi="Arial" w:cs="Arial"/>
                <w:color w:val="000000"/>
                <w:sz w:val="20"/>
                <w:szCs w:val="20"/>
                <w:lang w:eastAsia="en-GB"/>
              </w:rPr>
              <w:t>loc</w:t>
            </w:r>
          </w:p>
        </w:tc>
        <w:tc>
          <w:tcPr>
            <w:tcW w:w="1150" w:type="dxa"/>
            <w:tcBorders>
              <w:top w:val="nil"/>
              <w:left w:val="nil"/>
              <w:bottom w:val="single" w:sz="4" w:space="0" w:color="auto"/>
              <w:right w:val="nil"/>
            </w:tcBorders>
            <w:shd w:val="clear" w:color="auto" w:fill="auto"/>
            <w:noWrap/>
            <w:vAlign w:val="center"/>
            <w:hideMark/>
          </w:tcPr>
          <w:p w14:paraId="52C543A4" w14:textId="77777777" w:rsidR="008A6D82" w:rsidRPr="00210082" w:rsidRDefault="008A6D82" w:rsidP="00CB618A">
            <w:pPr>
              <w:spacing w:after="0" w:line="240" w:lineRule="auto"/>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0.19</w:t>
            </w:r>
          </w:p>
        </w:tc>
        <w:tc>
          <w:tcPr>
            <w:tcW w:w="1028" w:type="dxa"/>
            <w:tcBorders>
              <w:top w:val="nil"/>
              <w:left w:val="nil"/>
              <w:bottom w:val="single" w:sz="4" w:space="0" w:color="auto"/>
              <w:right w:val="nil"/>
            </w:tcBorders>
            <w:shd w:val="clear" w:color="auto" w:fill="auto"/>
            <w:noWrap/>
            <w:vAlign w:val="center"/>
            <w:hideMark/>
          </w:tcPr>
          <w:p w14:paraId="74C0C922" w14:textId="77777777" w:rsidR="008A6D82" w:rsidRPr="00210082" w:rsidRDefault="008A6D82" w:rsidP="00CB618A">
            <w:pPr>
              <w:spacing w:after="0" w:line="240" w:lineRule="auto"/>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0.37</w:t>
            </w:r>
          </w:p>
        </w:tc>
        <w:tc>
          <w:tcPr>
            <w:tcW w:w="834" w:type="dxa"/>
            <w:tcBorders>
              <w:top w:val="nil"/>
              <w:left w:val="nil"/>
              <w:bottom w:val="single" w:sz="4" w:space="0" w:color="auto"/>
              <w:right w:val="nil"/>
            </w:tcBorders>
            <w:shd w:val="clear" w:color="auto" w:fill="auto"/>
            <w:vAlign w:val="center"/>
            <w:hideMark/>
          </w:tcPr>
          <w:p w14:paraId="22F12666" w14:textId="77777777" w:rsidR="008A6D82" w:rsidRPr="00482C71" w:rsidRDefault="008A6D82" w:rsidP="00CB618A">
            <w:pPr>
              <w:spacing w:after="0" w:line="240" w:lineRule="auto"/>
              <w:rPr>
                <w:rFonts w:ascii="Arial" w:eastAsia="Times New Roman" w:hAnsi="Arial" w:cs="Arial"/>
                <w:bCs/>
                <w:color w:val="000000"/>
                <w:sz w:val="20"/>
                <w:szCs w:val="20"/>
                <w:lang w:eastAsia="en-GB"/>
              </w:rPr>
            </w:pPr>
            <w:r w:rsidRPr="00482C71">
              <w:rPr>
                <w:rFonts w:ascii="Arial" w:eastAsia="Times New Roman" w:hAnsi="Arial" w:cs="Arial"/>
                <w:bCs/>
                <w:color w:val="000000"/>
                <w:sz w:val="20"/>
                <w:szCs w:val="20"/>
                <w:lang w:eastAsia="en-GB"/>
              </w:rPr>
              <w:t>&lt;0.001</w:t>
            </w:r>
          </w:p>
        </w:tc>
      </w:tr>
    </w:tbl>
    <w:p w14:paraId="6F604655" w14:textId="77777777" w:rsidR="008A6D82" w:rsidRPr="00BD07C6" w:rsidRDefault="008A6D82" w:rsidP="008A6D82">
      <w:pPr>
        <w:rPr>
          <w:rFonts w:ascii="Arial" w:hAnsi="Arial" w:cs="Arial"/>
          <w:sz w:val="20"/>
        </w:rPr>
      </w:pPr>
    </w:p>
    <w:p w14:paraId="5B772130" w14:textId="77777777" w:rsidR="008A6D82" w:rsidRDefault="008A6D82" w:rsidP="008A6D8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ascii="Lucida Console" w:eastAsia="Times New Roman" w:hAnsi="Lucida Console" w:cs="Courier New"/>
          <w:color w:val="000000"/>
          <w:sz w:val="20"/>
          <w:szCs w:val="20"/>
          <w:lang w:eastAsia="en-GB"/>
        </w:rPr>
      </w:pPr>
    </w:p>
    <w:p w14:paraId="04412773" w14:textId="77777777" w:rsidR="008A6D82" w:rsidRDefault="008A6D82" w:rsidP="008A6D82">
      <w:pPr>
        <w:rPr>
          <w:rFonts w:ascii="Lucida Console" w:eastAsia="Times New Roman" w:hAnsi="Lucida Console" w:cs="Courier New"/>
          <w:color w:val="000000"/>
          <w:sz w:val="20"/>
          <w:szCs w:val="20"/>
          <w:lang w:eastAsia="en-GB"/>
        </w:rPr>
      </w:pPr>
      <w:r>
        <w:rPr>
          <w:rFonts w:ascii="Lucida Console" w:eastAsia="Times New Roman" w:hAnsi="Lucida Console" w:cs="Courier New"/>
          <w:color w:val="000000"/>
          <w:sz w:val="20"/>
          <w:szCs w:val="20"/>
          <w:lang w:eastAsia="en-GB"/>
        </w:rPr>
        <w:br w:type="page"/>
      </w:r>
    </w:p>
    <w:p w14:paraId="529327AA" w14:textId="77777777" w:rsidR="008A6D82" w:rsidRDefault="008A6D82" w:rsidP="008A6D8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cs="Arial"/>
        </w:rPr>
      </w:pPr>
      <w:r w:rsidRPr="00846BEF">
        <w:rPr>
          <w:rFonts w:ascii="Arial" w:eastAsia="Times New Roman" w:hAnsi="Arial" w:cs="Arial"/>
          <w:color w:val="000000"/>
          <w:sz w:val="20"/>
          <w:szCs w:val="20"/>
          <w:lang w:eastAsia="en-GB"/>
        </w:rPr>
        <w:t>Table</w:t>
      </w:r>
      <w:r>
        <w:rPr>
          <w:rFonts w:ascii="Arial" w:eastAsia="Times New Roman" w:hAnsi="Arial" w:cs="Arial"/>
          <w:color w:val="000000"/>
          <w:sz w:val="20"/>
          <w:szCs w:val="20"/>
          <w:lang w:eastAsia="en-GB"/>
        </w:rPr>
        <w:t xml:space="preserve"> S1.3.</w:t>
      </w:r>
      <w:r>
        <w:rPr>
          <w:rFonts w:ascii="Arial" w:eastAsia="Times New Roman" w:hAnsi="Arial" w:cs="Arial"/>
          <w:color w:val="000000"/>
          <w:sz w:val="20"/>
          <w:szCs w:val="20"/>
          <w:lang w:eastAsia="en-GB"/>
        </w:rPr>
        <w:tab/>
      </w:r>
      <w:r w:rsidRPr="00BD07C6">
        <w:rPr>
          <w:rFonts w:ascii="Arial" w:hAnsi="Arial" w:cs="Arial"/>
          <w:sz w:val="20"/>
        </w:rPr>
        <w:t xml:space="preserve">Relative importance values for explanatory variables contained within </w:t>
      </w:r>
      <w:r>
        <w:rPr>
          <w:rFonts w:ascii="Arial" w:hAnsi="Arial" w:cs="Arial"/>
          <w:sz w:val="20"/>
        </w:rPr>
        <w:t>considerably supported</w:t>
      </w:r>
      <w:r w:rsidRPr="00BD07C6">
        <w:rPr>
          <w:rFonts w:ascii="Arial" w:hAnsi="Arial" w:cs="Arial"/>
          <w:sz w:val="20"/>
        </w:rPr>
        <w:t xml:space="preserve"> models (∆AIC</w:t>
      </w:r>
      <w:r>
        <w:rPr>
          <w:rFonts w:ascii="Arial" w:hAnsi="Arial" w:cs="Arial"/>
          <w:sz w:val="20"/>
        </w:rPr>
        <w:t xml:space="preserve"> ≤10</w:t>
      </w:r>
      <w:r w:rsidRPr="00BD07C6">
        <w:rPr>
          <w:rFonts w:ascii="Arial" w:hAnsi="Arial" w:cs="Arial"/>
          <w:sz w:val="20"/>
        </w:rPr>
        <w:t xml:space="preserve">) explaining </w:t>
      </w:r>
      <w:r>
        <w:rPr>
          <w:rFonts w:ascii="Arial" w:hAnsi="Arial" w:cs="Arial"/>
          <w:sz w:val="20"/>
        </w:rPr>
        <w:t>rhododendron occurrence</w:t>
      </w:r>
      <w:r w:rsidRPr="00BD07C6">
        <w:rPr>
          <w:rFonts w:ascii="Arial" w:hAnsi="Arial" w:cs="Arial"/>
          <w:sz w:val="20"/>
        </w:rPr>
        <w:t xml:space="preserve">. All models compared </w:t>
      </w:r>
      <w:r>
        <w:rPr>
          <w:rFonts w:ascii="Arial" w:hAnsi="Arial" w:cs="Arial"/>
          <w:sz w:val="20"/>
        </w:rPr>
        <w:t>here</w:t>
      </w:r>
      <w:r w:rsidRPr="00BD07C6">
        <w:rPr>
          <w:rFonts w:ascii="Arial" w:hAnsi="Arial" w:cs="Arial"/>
          <w:sz w:val="20"/>
        </w:rPr>
        <w:t xml:space="preserve"> included landscape-level variables calculated at a </w:t>
      </w:r>
      <w:r>
        <w:rPr>
          <w:rFonts w:ascii="Arial" w:hAnsi="Arial" w:cs="Arial"/>
          <w:sz w:val="20"/>
        </w:rPr>
        <w:t>500</w:t>
      </w:r>
      <w:r w:rsidRPr="00BD07C6">
        <w:rPr>
          <w:rFonts w:ascii="Arial" w:hAnsi="Arial" w:cs="Arial"/>
          <w:sz w:val="20"/>
        </w:rPr>
        <w:t>-m-extent</w:t>
      </w:r>
      <w:r>
        <w:rPr>
          <w:rFonts w:cs="Arial"/>
        </w:rPr>
        <w:t>, except road density, which was calculated within a 250-m buffer</w:t>
      </w:r>
      <w:r w:rsidRPr="00BD07C6">
        <w:rPr>
          <w:rFonts w:ascii="Arial" w:hAnsi="Arial" w:cs="Arial"/>
          <w:sz w:val="20"/>
        </w:rPr>
        <w:t>.</w:t>
      </w:r>
      <w:r>
        <w:rPr>
          <w:rFonts w:ascii="Arial" w:hAnsi="Arial" w:cs="Arial"/>
          <w:sz w:val="20"/>
        </w:rPr>
        <w:t xml:space="preserve"> Weights </w:t>
      </w:r>
      <w:r w:rsidRPr="00BD07C6">
        <w:rPr>
          <w:rFonts w:ascii="Arial" w:hAnsi="Arial" w:cs="Arial"/>
          <w:sz w:val="20"/>
        </w:rPr>
        <w:t>calculated by summing up the Akaike</w:t>
      </w:r>
      <w:r>
        <w:rPr>
          <w:rFonts w:ascii="Arial" w:hAnsi="Arial" w:cs="Arial"/>
          <w:sz w:val="20"/>
        </w:rPr>
        <w:t xml:space="preserve"> weights of models</w:t>
      </w:r>
      <w:r w:rsidRPr="00BD07C6">
        <w:rPr>
          <w:rFonts w:ascii="Arial" w:hAnsi="Arial" w:cs="Arial"/>
          <w:sz w:val="20"/>
        </w:rPr>
        <w:t xml:space="preserve"> that included the </w:t>
      </w:r>
      <w:r>
        <w:rPr>
          <w:rFonts w:ascii="Arial" w:hAnsi="Arial" w:cs="Arial"/>
          <w:sz w:val="20"/>
        </w:rPr>
        <w:t>term</w:t>
      </w:r>
      <w:r w:rsidRPr="00BD07C6">
        <w:rPr>
          <w:rFonts w:ascii="Arial" w:hAnsi="Arial" w:cs="Arial"/>
          <w:sz w:val="20"/>
        </w:rPr>
        <w:t xml:space="preserve"> in question (Burnham and Anderson, 2004).</w:t>
      </w:r>
    </w:p>
    <w:tbl>
      <w:tblPr>
        <w:tblStyle w:val="TableGrid"/>
        <w:tblW w:w="0" w:type="auto"/>
        <w:jc w:val="center"/>
        <w:tblLook w:val="04A0" w:firstRow="1" w:lastRow="0" w:firstColumn="1" w:lastColumn="0" w:noHBand="0" w:noVBand="1"/>
      </w:tblPr>
      <w:tblGrid>
        <w:gridCol w:w="4253"/>
        <w:gridCol w:w="1843"/>
      </w:tblGrid>
      <w:tr w:rsidR="008A6D82" w14:paraId="5D7E9B2A" w14:textId="77777777" w:rsidTr="00CB618A">
        <w:trPr>
          <w:jc w:val="center"/>
        </w:trPr>
        <w:tc>
          <w:tcPr>
            <w:tcW w:w="4253" w:type="dxa"/>
            <w:tcBorders>
              <w:left w:val="nil"/>
              <w:bottom w:val="single" w:sz="4" w:space="0" w:color="auto"/>
              <w:right w:val="nil"/>
            </w:tcBorders>
            <w:vAlign w:val="center"/>
          </w:tcPr>
          <w:p w14:paraId="72658A22" w14:textId="77777777" w:rsidR="008A6D82" w:rsidRDefault="008A6D82" w:rsidP="00CB618A">
            <w:pPr>
              <w:rPr>
                <w:rFonts w:cs="Arial"/>
              </w:rPr>
            </w:pPr>
            <w:r w:rsidRPr="00846BEF">
              <w:rPr>
                <w:rFonts w:ascii="Arial" w:eastAsia="Times New Roman" w:hAnsi="Arial" w:cs="Arial"/>
                <w:color w:val="000000"/>
                <w:sz w:val="20"/>
                <w:szCs w:val="20"/>
                <w:lang w:eastAsia="en-GB"/>
              </w:rPr>
              <w:t>Term</w:t>
            </w:r>
          </w:p>
        </w:tc>
        <w:tc>
          <w:tcPr>
            <w:tcW w:w="1843" w:type="dxa"/>
            <w:tcBorders>
              <w:left w:val="nil"/>
              <w:bottom w:val="single" w:sz="4" w:space="0" w:color="auto"/>
              <w:right w:val="nil"/>
            </w:tcBorders>
            <w:vAlign w:val="center"/>
          </w:tcPr>
          <w:p w14:paraId="3C713157" w14:textId="77777777" w:rsidR="008A6D82" w:rsidRDefault="008A6D82" w:rsidP="00CB618A">
            <w:pPr>
              <w:pStyle w:val="Tableheading"/>
              <w:spacing w:before="120" w:after="0"/>
              <w:rPr>
                <w:rFonts w:cs="Arial"/>
              </w:rPr>
            </w:pPr>
            <w:r>
              <w:rPr>
                <w:rFonts w:cs="Arial"/>
              </w:rPr>
              <w:t>Importance value</w:t>
            </w:r>
          </w:p>
        </w:tc>
      </w:tr>
      <w:tr w:rsidR="008A6D82" w14:paraId="40CCC43E" w14:textId="77777777" w:rsidTr="00CB618A">
        <w:trPr>
          <w:jc w:val="center"/>
        </w:trPr>
        <w:tc>
          <w:tcPr>
            <w:tcW w:w="4253" w:type="dxa"/>
            <w:tcBorders>
              <w:left w:val="nil"/>
              <w:bottom w:val="nil"/>
              <w:right w:val="nil"/>
            </w:tcBorders>
            <w:vAlign w:val="center"/>
          </w:tcPr>
          <w:p w14:paraId="5D137BD0" w14:textId="77777777" w:rsidR="008A6D82" w:rsidRDefault="008A6D82" w:rsidP="00CB618A">
            <w:pPr>
              <w:pStyle w:val="Tableheading"/>
              <w:spacing w:before="120" w:after="0"/>
              <w:rPr>
                <w:rFonts w:cs="Arial"/>
              </w:rPr>
            </w:pPr>
            <w:r w:rsidRPr="00210082">
              <w:rPr>
                <w:rFonts w:eastAsia="Times New Roman" w:cs="Arial"/>
                <w:color w:val="000000"/>
                <w:szCs w:val="20"/>
              </w:rPr>
              <w:t>log10(woodland cover):</w:t>
            </w:r>
          </w:p>
        </w:tc>
        <w:tc>
          <w:tcPr>
            <w:tcW w:w="1843" w:type="dxa"/>
            <w:tcBorders>
              <w:left w:val="nil"/>
              <w:bottom w:val="nil"/>
              <w:right w:val="nil"/>
            </w:tcBorders>
            <w:vAlign w:val="center"/>
          </w:tcPr>
          <w:p w14:paraId="4F81C76F" w14:textId="77777777" w:rsidR="008A6D82" w:rsidRDefault="008A6D82" w:rsidP="00CB618A">
            <w:pPr>
              <w:pStyle w:val="Tableheading"/>
              <w:spacing w:before="120" w:after="0"/>
              <w:jc w:val="center"/>
              <w:rPr>
                <w:rFonts w:cs="Arial"/>
              </w:rPr>
            </w:pPr>
            <w:r>
              <w:rPr>
                <w:rFonts w:cs="Arial"/>
              </w:rPr>
              <w:t>1.00</w:t>
            </w:r>
          </w:p>
        </w:tc>
      </w:tr>
      <w:tr w:rsidR="008A6D82" w14:paraId="34C3B783" w14:textId="77777777" w:rsidTr="00CB618A">
        <w:trPr>
          <w:jc w:val="center"/>
        </w:trPr>
        <w:tc>
          <w:tcPr>
            <w:tcW w:w="4253" w:type="dxa"/>
            <w:tcBorders>
              <w:top w:val="nil"/>
              <w:left w:val="nil"/>
              <w:bottom w:val="nil"/>
              <w:right w:val="nil"/>
            </w:tcBorders>
            <w:vAlign w:val="center"/>
          </w:tcPr>
          <w:p w14:paraId="0A914CFA" w14:textId="77777777" w:rsidR="008A6D82" w:rsidRDefault="008A6D82" w:rsidP="00CB618A">
            <w:pPr>
              <w:pStyle w:val="Tableheading"/>
              <w:spacing w:before="120" w:after="0"/>
              <w:rPr>
                <w:rFonts w:cs="Arial"/>
              </w:rPr>
            </w:pPr>
            <w:r>
              <w:rPr>
                <w:rFonts w:cs="Arial"/>
              </w:rPr>
              <w:t>ph</w:t>
            </w:r>
          </w:p>
        </w:tc>
        <w:tc>
          <w:tcPr>
            <w:tcW w:w="1843" w:type="dxa"/>
            <w:tcBorders>
              <w:top w:val="nil"/>
              <w:left w:val="nil"/>
              <w:bottom w:val="nil"/>
              <w:right w:val="nil"/>
            </w:tcBorders>
            <w:vAlign w:val="center"/>
          </w:tcPr>
          <w:p w14:paraId="0342CD1E" w14:textId="77777777" w:rsidR="008A6D82" w:rsidRDefault="008A6D82" w:rsidP="00CB618A">
            <w:pPr>
              <w:pStyle w:val="Tableheading"/>
              <w:spacing w:before="120" w:after="0"/>
              <w:jc w:val="center"/>
              <w:rPr>
                <w:rFonts w:cs="Arial"/>
              </w:rPr>
            </w:pPr>
            <w:r>
              <w:rPr>
                <w:rFonts w:cs="Arial"/>
              </w:rPr>
              <w:t>1.00</w:t>
            </w:r>
          </w:p>
        </w:tc>
      </w:tr>
      <w:tr w:rsidR="008A6D82" w14:paraId="15BFCDA0" w14:textId="77777777" w:rsidTr="00CB618A">
        <w:trPr>
          <w:jc w:val="center"/>
        </w:trPr>
        <w:tc>
          <w:tcPr>
            <w:tcW w:w="4253" w:type="dxa"/>
            <w:tcBorders>
              <w:top w:val="nil"/>
              <w:left w:val="nil"/>
              <w:bottom w:val="nil"/>
              <w:right w:val="nil"/>
            </w:tcBorders>
            <w:vAlign w:val="center"/>
          </w:tcPr>
          <w:p w14:paraId="5363FE99" w14:textId="77777777" w:rsidR="008A6D82" w:rsidRDefault="008A6D82" w:rsidP="00CB618A">
            <w:pPr>
              <w:pStyle w:val="Tableheading"/>
              <w:spacing w:before="120" w:after="0"/>
              <w:rPr>
                <w:rFonts w:cs="Arial"/>
              </w:rPr>
            </w:pPr>
            <w:r>
              <w:rPr>
                <w:rFonts w:cs="Arial"/>
              </w:rPr>
              <w:t>stand age</w:t>
            </w:r>
          </w:p>
        </w:tc>
        <w:tc>
          <w:tcPr>
            <w:tcW w:w="1843" w:type="dxa"/>
            <w:tcBorders>
              <w:top w:val="nil"/>
              <w:left w:val="nil"/>
              <w:bottom w:val="nil"/>
              <w:right w:val="nil"/>
            </w:tcBorders>
            <w:vAlign w:val="center"/>
          </w:tcPr>
          <w:p w14:paraId="3E2B148A" w14:textId="77777777" w:rsidR="008A6D82" w:rsidRDefault="008A6D82" w:rsidP="00CB618A">
            <w:pPr>
              <w:pStyle w:val="Tableheading"/>
              <w:spacing w:before="120" w:after="0"/>
              <w:jc w:val="center"/>
              <w:rPr>
                <w:rFonts w:cs="Arial"/>
              </w:rPr>
            </w:pPr>
            <w:r>
              <w:rPr>
                <w:rFonts w:cs="Arial"/>
              </w:rPr>
              <w:t>1.00</w:t>
            </w:r>
          </w:p>
        </w:tc>
      </w:tr>
      <w:tr w:rsidR="008A6D82" w14:paraId="2D10A400" w14:textId="77777777" w:rsidTr="00CB618A">
        <w:trPr>
          <w:jc w:val="center"/>
        </w:trPr>
        <w:tc>
          <w:tcPr>
            <w:tcW w:w="4253" w:type="dxa"/>
            <w:tcBorders>
              <w:top w:val="nil"/>
              <w:left w:val="nil"/>
              <w:bottom w:val="nil"/>
              <w:right w:val="nil"/>
            </w:tcBorders>
            <w:vAlign w:val="center"/>
          </w:tcPr>
          <w:p w14:paraId="7A401E48" w14:textId="77777777" w:rsidR="008A6D82" w:rsidRDefault="008A6D82" w:rsidP="00CB618A">
            <w:pPr>
              <w:pStyle w:val="Tableheading"/>
              <w:spacing w:before="120" w:after="0"/>
              <w:rPr>
                <w:rFonts w:cs="Arial"/>
              </w:rPr>
            </w:pPr>
            <w:r>
              <w:rPr>
                <w:rFonts w:cs="Arial"/>
              </w:rPr>
              <w:t>vertical structure</w:t>
            </w:r>
          </w:p>
        </w:tc>
        <w:tc>
          <w:tcPr>
            <w:tcW w:w="1843" w:type="dxa"/>
            <w:tcBorders>
              <w:top w:val="nil"/>
              <w:left w:val="nil"/>
              <w:bottom w:val="nil"/>
              <w:right w:val="nil"/>
            </w:tcBorders>
            <w:vAlign w:val="center"/>
          </w:tcPr>
          <w:p w14:paraId="08D6A1FA" w14:textId="77777777" w:rsidR="008A6D82" w:rsidRDefault="008A6D82" w:rsidP="00CB618A">
            <w:pPr>
              <w:pStyle w:val="Tableheading"/>
              <w:spacing w:before="120" w:after="0"/>
              <w:jc w:val="center"/>
              <w:rPr>
                <w:rFonts w:cs="Arial"/>
              </w:rPr>
            </w:pPr>
            <w:r>
              <w:rPr>
                <w:rFonts w:cs="Arial"/>
              </w:rPr>
              <w:t>1.00</w:t>
            </w:r>
          </w:p>
        </w:tc>
      </w:tr>
      <w:tr w:rsidR="008A6D82" w14:paraId="1CBA173D" w14:textId="77777777" w:rsidTr="00CB618A">
        <w:trPr>
          <w:jc w:val="center"/>
        </w:trPr>
        <w:tc>
          <w:tcPr>
            <w:tcW w:w="4253" w:type="dxa"/>
            <w:tcBorders>
              <w:top w:val="nil"/>
              <w:left w:val="nil"/>
              <w:bottom w:val="nil"/>
              <w:right w:val="nil"/>
            </w:tcBorders>
            <w:vAlign w:val="center"/>
          </w:tcPr>
          <w:p w14:paraId="727065F8" w14:textId="77777777" w:rsidR="008A6D82" w:rsidRDefault="008A6D82" w:rsidP="00CB618A">
            <w:pPr>
              <w:pStyle w:val="Tableheading"/>
              <w:spacing w:before="120" w:after="0"/>
              <w:rPr>
                <w:rFonts w:cs="Arial"/>
              </w:rPr>
            </w:pPr>
            <w:r>
              <w:rPr>
                <w:rFonts w:cs="Arial"/>
              </w:rPr>
              <w:t>moisture and elevation gradient</w:t>
            </w:r>
          </w:p>
        </w:tc>
        <w:tc>
          <w:tcPr>
            <w:tcW w:w="1843" w:type="dxa"/>
            <w:tcBorders>
              <w:top w:val="nil"/>
              <w:left w:val="nil"/>
              <w:bottom w:val="nil"/>
              <w:right w:val="nil"/>
            </w:tcBorders>
            <w:vAlign w:val="center"/>
          </w:tcPr>
          <w:p w14:paraId="5D04D05B" w14:textId="77777777" w:rsidR="008A6D82" w:rsidRDefault="008A6D82" w:rsidP="00CB618A">
            <w:pPr>
              <w:pStyle w:val="Tableheading"/>
              <w:spacing w:before="120" w:after="0"/>
              <w:jc w:val="center"/>
              <w:rPr>
                <w:rFonts w:cs="Arial"/>
              </w:rPr>
            </w:pPr>
            <w:r>
              <w:rPr>
                <w:rFonts w:cs="Arial"/>
              </w:rPr>
              <w:t>1.00</w:t>
            </w:r>
          </w:p>
        </w:tc>
      </w:tr>
      <w:tr w:rsidR="008A6D82" w14:paraId="70986812" w14:textId="77777777" w:rsidTr="00CB618A">
        <w:trPr>
          <w:jc w:val="center"/>
        </w:trPr>
        <w:tc>
          <w:tcPr>
            <w:tcW w:w="4253" w:type="dxa"/>
            <w:tcBorders>
              <w:top w:val="nil"/>
              <w:left w:val="nil"/>
              <w:bottom w:val="nil"/>
              <w:right w:val="nil"/>
            </w:tcBorders>
            <w:vAlign w:val="center"/>
          </w:tcPr>
          <w:p w14:paraId="2A1A5362" w14:textId="77777777" w:rsidR="008A6D82" w:rsidRDefault="008A6D82" w:rsidP="00CB618A">
            <w:pPr>
              <w:pStyle w:val="Tableheading"/>
              <w:spacing w:before="120" w:after="0"/>
              <w:rPr>
                <w:rFonts w:cs="Arial"/>
              </w:rPr>
            </w:pPr>
            <w:r>
              <w:rPr>
                <w:rFonts w:cs="Arial"/>
              </w:rPr>
              <w:t>road density</w:t>
            </w:r>
          </w:p>
        </w:tc>
        <w:tc>
          <w:tcPr>
            <w:tcW w:w="1843" w:type="dxa"/>
            <w:tcBorders>
              <w:top w:val="nil"/>
              <w:left w:val="nil"/>
              <w:bottom w:val="nil"/>
              <w:right w:val="nil"/>
            </w:tcBorders>
            <w:vAlign w:val="center"/>
          </w:tcPr>
          <w:p w14:paraId="4EFD905F" w14:textId="77777777" w:rsidR="008A6D82" w:rsidRDefault="008A6D82" w:rsidP="00CB618A">
            <w:pPr>
              <w:pStyle w:val="Tableheading"/>
              <w:spacing w:before="120" w:after="0"/>
              <w:jc w:val="center"/>
              <w:rPr>
                <w:rFonts w:cs="Arial"/>
              </w:rPr>
            </w:pPr>
            <w:r>
              <w:rPr>
                <w:rFonts w:cs="Arial"/>
              </w:rPr>
              <w:t>1.00</w:t>
            </w:r>
          </w:p>
        </w:tc>
      </w:tr>
      <w:tr w:rsidR="008A6D82" w14:paraId="79299FE4" w14:textId="77777777" w:rsidTr="00CB618A">
        <w:trPr>
          <w:jc w:val="center"/>
        </w:trPr>
        <w:tc>
          <w:tcPr>
            <w:tcW w:w="4253" w:type="dxa"/>
            <w:tcBorders>
              <w:top w:val="nil"/>
              <w:left w:val="nil"/>
              <w:bottom w:val="nil"/>
              <w:right w:val="nil"/>
            </w:tcBorders>
            <w:vAlign w:val="center"/>
          </w:tcPr>
          <w:p w14:paraId="21DD7965" w14:textId="77777777" w:rsidR="008A6D82" w:rsidRDefault="008A6D82" w:rsidP="00CB618A">
            <w:pPr>
              <w:pStyle w:val="Tableheading"/>
              <w:spacing w:before="120" w:after="0"/>
              <w:rPr>
                <w:rFonts w:cs="Arial"/>
              </w:rPr>
            </w:pPr>
            <w:r w:rsidRPr="00210082">
              <w:rPr>
                <w:rFonts w:eastAsia="Times New Roman" w:cs="Arial"/>
                <w:color w:val="000000"/>
                <w:szCs w:val="20"/>
              </w:rPr>
              <w:t>distance to historic garden</w:t>
            </w:r>
          </w:p>
        </w:tc>
        <w:tc>
          <w:tcPr>
            <w:tcW w:w="1843" w:type="dxa"/>
            <w:tcBorders>
              <w:top w:val="nil"/>
              <w:left w:val="nil"/>
              <w:bottom w:val="nil"/>
              <w:right w:val="nil"/>
            </w:tcBorders>
            <w:vAlign w:val="center"/>
          </w:tcPr>
          <w:p w14:paraId="4886DF19" w14:textId="77777777" w:rsidR="008A6D82" w:rsidRDefault="008A6D82" w:rsidP="00CB618A">
            <w:pPr>
              <w:pStyle w:val="Tableheading"/>
              <w:spacing w:before="120" w:after="0"/>
              <w:jc w:val="center"/>
              <w:rPr>
                <w:rFonts w:cs="Arial"/>
              </w:rPr>
            </w:pPr>
            <w:r>
              <w:rPr>
                <w:rFonts w:cs="Arial"/>
              </w:rPr>
              <w:t>1.00</w:t>
            </w:r>
          </w:p>
        </w:tc>
      </w:tr>
      <w:tr w:rsidR="008A6D82" w14:paraId="782121D3" w14:textId="77777777" w:rsidTr="00CB618A">
        <w:trPr>
          <w:jc w:val="center"/>
        </w:trPr>
        <w:tc>
          <w:tcPr>
            <w:tcW w:w="4253" w:type="dxa"/>
            <w:tcBorders>
              <w:top w:val="nil"/>
              <w:left w:val="nil"/>
              <w:bottom w:val="nil"/>
              <w:right w:val="nil"/>
            </w:tcBorders>
            <w:vAlign w:val="center"/>
          </w:tcPr>
          <w:p w14:paraId="4CE7D78D" w14:textId="77777777" w:rsidR="008A6D82" w:rsidRDefault="008A6D82" w:rsidP="00CB618A">
            <w:pPr>
              <w:pStyle w:val="Tableheading"/>
              <w:spacing w:before="120" w:after="0"/>
              <w:rPr>
                <w:rFonts w:cs="Arial"/>
              </w:rPr>
            </w:pPr>
            <w:r>
              <w:rPr>
                <w:rFonts w:cs="Arial"/>
              </w:rPr>
              <w:t>IFT</w:t>
            </w:r>
          </w:p>
        </w:tc>
        <w:tc>
          <w:tcPr>
            <w:tcW w:w="1843" w:type="dxa"/>
            <w:tcBorders>
              <w:top w:val="nil"/>
              <w:left w:val="nil"/>
              <w:bottom w:val="nil"/>
              <w:right w:val="nil"/>
            </w:tcBorders>
            <w:vAlign w:val="center"/>
          </w:tcPr>
          <w:p w14:paraId="75452173" w14:textId="77777777" w:rsidR="008A6D82" w:rsidRDefault="008A6D82" w:rsidP="00CB618A">
            <w:pPr>
              <w:pStyle w:val="Tableheading"/>
              <w:spacing w:before="120" w:after="0"/>
              <w:jc w:val="center"/>
              <w:rPr>
                <w:rFonts w:cs="Arial"/>
              </w:rPr>
            </w:pPr>
            <w:r>
              <w:rPr>
                <w:rFonts w:cs="Arial"/>
              </w:rPr>
              <w:t>0.96</w:t>
            </w:r>
          </w:p>
        </w:tc>
      </w:tr>
      <w:tr w:rsidR="008A6D82" w14:paraId="3FAB5580" w14:textId="77777777" w:rsidTr="00CB618A">
        <w:trPr>
          <w:jc w:val="center"/>
        </w:trPr>
        <w:tc>
          <w:tcPr>
            <w:tcW w:w="4253" w:type="dxa"/>
            <w:tcBorders>
              <w:top w:val="nil"/>
              <w:left w:val="nil"/>
              <w:bottom w:val="nil"/>
              <w:right w:val="nil"/>
            </w:tcBorders>
            <w:vAlign w:val="center"/>
          </w:tcPr>
          <w:p w14:paraId="2A1B8EF8" w14:textId="77777777" w:rsidR="008A6D82" w:rsidRDefault="008A6D82" w:rsidP="00CB618A">
            <w:pPr>
              <w:pStyle w:val="Tableheading"/>
              <w:spacing w:before="120" w:after="0"/>
              <w:rPr>
                <w:rFonts w:cs="Arial"/>
              </w:rPr>
            </w:pPr>
            <w:r w:rsidRPr="00210082">
              <w:rPr>
                <w:rFonts w:eastAsia="Times New Roman" w:cs="Arial"/>
                <w:color w:val="000000"/>
                <w:szCs w:val="20"/>
              </w:rPr>
              <w:t>log10(woodland cover): ph</w:t>
            </w:r>
          </w:p>
        </w:tc>
        <w:tc>
          <w:tcPr>
            <w:tcW w:w="1843" w:type="dxa"/>
            <w:tcBorders>
              <w:top w:val="nil"/>
              <w:left w:val="nil"/>
              <w:bottom w:val="nil"/>
              <w:right w:val="nil"/>
            </w:tcBorders>
            <w:vAlign w:val="center"/>
          </w:tcPr>
          <w:p w14:paraId="7E48888C" w14:textId="77777777" w:rsidR="008A6D82" w:rsidRDefault="008A6D82" w:rsidP="00CB618A">
            <w:pPr>
              <w:pStyle w:val="Tableheading"/>
              <w:spacing w:before="120" w:after="0"/>
              <w:jc w:val="center"/>
              <w:rPr>
                <w:rFonts w:cs="Arial"/>
              </w:rPr>
            </w:pPr>
            <w:r>
              <w:rPr>
                <w:rFonts w:cs="Arial"/>
              </w:rPr>
              <w:t>0.96</w:t>
            </w:r>
          </w:p>
        </w:tc>
      </w:tr>
      <w:tr w:rsidR="008A6D82" w14:paraId="67B2C9FE" w14:textId="77777777" w:rsidTr="00CB618A">
        <w:trPr>
          <w:jc w:val="center"/>
        </w:trPr>
        <w:tc>
          <w:tcPr>
            <w:tcW w:w="4253" w:type="dxa"/>
            <w:tcBorders>
              <w:top w:val="nil"/>
              <w:left w:val="nil"/>
              <w:bottom w:val="nil"/>
              <w:right w:val="nil"/>
            </w:tcBorders>
            <w:vAlign w:val="center"/>
          </w:tcPr>
          <w:p w14:paraId="2AFBE60B" w14:textId="77777777" w:rsidR="008A6D82" w:rsidRDefault="008A6D82" w:rsidP="00CB618A">
            <w:pPr>
              <w:pStyle w:val="Tableheading"/>
              <w:spacing w:before="120" w:after="0"/>
              <w:rPr>
                <w:rFonts w:cs="Arial"/>
              </w:rPr>
            </w:pPr>
            <w:r w:rsidRPr="00210082">
              <w:rPr>
                <w:rFonts w:eastAsia="Times New Roman" w:cs="Arial"/>
                <w:color w:val="000000"/>
                <w:szCs w:val="20"/>
              </w:rPr>
              <w:t>favourability gradient</w:t>
            </w:r>
          </w:p>
        </w:tc>
        <w:tc>
          <w:tcPr>
            <w:tcW w:w="1843" w:type="dxa"/>
            <w:tcBorders>
              <w:top w:val="nil"/>
              <w:left w:val="nil"/>
              <w:bottom w:val="nil"/>
              <w:right w:val="nil"/>
            </w:tcBorders>
            <w:vAlign w:val="center"/>
          </w:tcPr>
          <w:p w14:paraId="1CB505F8" w14:textId="77777777" w:rsidR="008A6D82" w:rsidRDefault="008A6D82" w:rsidP="00CB618A">
            <w:pPr>
              <w:pStyle w:val="Tableheading"/>
              <w:spacing w:before="120" w:after="0"/>
              <w:jc w:val="center"/>
              <w:rPr>
                <w:rFonts w:cs="Arial"/>
              </w:rPr>
            </w:pPr>
            <w:r>
              <w:rPr>
                <w:rFonts w:cs="Arial"/>
              </w:rPr>
              <w:t>0.91</w:t>
            </w:r>
          </w:p>
        </w:tc>
      </w:tr>
      <w:tr w:rsidR="008A6D82" w14:paraId="667D5EAA" w14:textId="77777777" w:rsidTr="00CB618A">
        <w:trPr>
          <w:jc w:val="center"/>
        </w:trPr>
        <w:tc>
          <w:tcPr>
            <w:tcW w:w="4253" w:type="dxa"/>
            <w:tcBorders>
              <w:top w:val="nil"/>
              <w:left w:val="nil"/>
              <w:bottom w:val="nil"/>
              <w:right w:val="nil"/>
            </w:tcBorders>
            <w:vAlign w:val="center"/>
          </w:tcPr>
          <w:p w14:paraId="50FBF960" w14:textId="77777777" w:rsidR="008A6D82" w:rsidRDefault="008A6D82" w:rsidP="00CB618A">
            <w:pPr>
              <w:pStyle w:val="Tableheading"/>
              <w:spacing w:before="120" w:after="0"/>
              <w:rPr>
                <w:rFonts w:cs="Arial"/>
              </w:rPr>
            </w:pPr>
            <w:r>
              <w:rPr>
                <w:rFonts w:cs="Arial"/>
              </w:rPr>
              <w:t>distance to woodland edge</w:t>
            </w:r>
          </w:p>
        </w:tc>
        <w:tc>
          <w:tcPr>
            <w:tcW w:w="1843" w:type="dxa"/>
            <w:tcBorders>
              <w:top w:val="nil"/>
              <w:left w:val="nil"/>
              <w:bottom w:val="nil"/>
              <w:right w:val="nil"/>
            </w:tcBorders>
            <w:vAlign w:val="center"/>
          </w:tcPr>
          <w:p w14:paraId="6D9ACB7D" w14:textId="77777777" w:rsidR="008A6D82" w:rsidRDefault="008A6D82" w:rsidP="00CB618A">
            <w:pPr>
              <w:pStyle w:val="Tableheading"/>
              <w:spacing w:before="120" w:after="0"/>
              <w:jc w:val="center"/>
              <w:rPr>
                <w:rFonts w:cs="Arial"/>
              </w:rPr>
            </w:pPr>
            <w:r>
              <w:rPr>
                <w:rFonts w:cs="Arial"/>
              </w:rPr>
              <w:t>0.76</w:t>
            </w:r>
          </w:p>
        </w:tc>
      </w:tr>
      <w:tr w:rsidR="008A6D82" w14:paraId="582E40F7" w14:textId="77777777" w:rsidTr="00CB618A">
        <w:trPr>
          <w:jc w:val="center"/>
        </w:trPr>
        <w:tc>
          <w:tcPr>
            <w:tcW w:w="4253" w:type="dxa"/>
            <w:tcBorders>
              <w:top w:val="nil"/>
              <w:left w:val="nil"/>
              <w:bottom w:val="nil"/>
              <w:right w:val="nil"/>
            </w:tcBorders>
            <w:vAlign w:val="center"/>
          </w:tcPr>
          <w:p w14:paraId="72A57B18" w14:textId="77777777" w:rsidR="008A6D82" w:rsidRDefault="008A6D82" w:rsidP="00CB618A">
            <w:pPr>
              <w:pStyle w:val="Tableheading"/>
              <w:spacing w:before="120" w:after="0"/>
              <w:rPr>
                <w:rFonts w:cs="Arial"/>
              </w:rPr>
            </w:pPr>
            <w:r w:rsidRPr="00210082">
              <w:rPr>
                <w:rFonts w:eastAsia="Times New Roman" w:cs="Arial"/>
                <w:color w:val="000000"/>
                <w:szCs w:val="20"/>
              </w:rPr>
              <w:t>log10(woodland cover):favourability gradient</w:t>
            </w:r>
          </w:p>
        </w:tc>
        <w:tc>
          <w:tcPr>
            <w:tcW w:w="1843" w:type="dxa"/>
            <w:tcBorders>
              <w:top w:val="nil"/>
              <w:left w:val="nil"/>
              <w:bottom w:val="nil"/>
              <w:right w:val="nil"/>
            </w:tcBorders>
            <w:vAlign w:val="center"/>
          </w:tcPr>
          <w:p w14:paraId="517031AB" w14:textId="77777777" w:rsidR="008A6D82" w:rsidRDefault="008A6D82" w:rsidP="00CB618A">
            <w:pPr>
              <w:pStyle w:val="Tableheading"/>
              <w:spacing w:before="120" w:after="0"/>
              <w:jc w:val="center"/>
              <w:rPr>
                <w:rFonts w:cs="Arial"/>
              </w:rPr>
            </w:pPr>
            <w:r>
              <w:rPr>
                <w:rFonts w:cs="Arial"/>
              </w:rPr>
              <w:t>0.74</w:t>
            </w:r>
          </w:p>
        </w:tc>
      </w:tr>
      <w:tr w:rsidR="008A6D82" w14:paraId="336DBE30" w14:textId="77777777" w:rsidTr="00CB618A">
        <w:trPr>
          <w:jc w:val="center"/>
        </w:trPr>
        <w:tc>
          <w:tcPr>
            <w:tcW w:w="4253" w:type="dxa"/>
            <w:tcBorders>
              <w:top w:val="nil"/>
              <w:left w:val="nil"/>
              <w:bottom w:val="nil"/>
              <w:right w:val="nil"/>
            </w:tcBorders>
            <w:vAlign w:val="center"/>
          </w:tcPr>
          <w:p w14:paraId="017F2764" w14:textId="77777777" w:rsidR="008A6D82" w:rsidRDefault="008A6D82" w:rsidP="00CB618A">
            <w:pPr>
              <w:pStyle w:val="Tableheading"/>
              <w:spacing w:before="120" w:after="0"/>
              <w:rPr>
                <w:rFonts w:cs="Arial"/>
              </w:rPr>
            </w:pPr>
            <w:r>
              <w:rPr>
                <w:rFonts w:cs="Arial"/>
              </w:rPr>
              <w:t>log(stocking density)</w:t>
            </w:r>
          </w:p>
        </w:tc>
        <w:tc>
          <w:tcPr>
            <w:tcW w:w="1843" w:type="dxa"/>
            <w:tcBorders>
              <w:top w:val="nil"/>
              <w:left w:val="nil"/>
              <w:bottom w:val="nil"/>
              <w:right w:val="nil"/>
            </w:tcBorders>
            <w:vAlign w:val="center"/>
          </w:tcPr>
          <w:p w14:paraId="0616CAC6" w14:textId="77777777" w:rsidR="008A6D82" w:rsidRDefault="008A6D82" w:rsidP="00CB618A">
            <w:pPr>
              <w:pStyle w:val="Tableheading"/>
              <w:spacing w:before="120" w:after="0"/>
              <w:jc w:val="center"/>
              <w:rPr>
                <w:rFonts w:cs="Arial"/>
              </w:rPr>
            </w:pPr>
            <w:r>
              <w:rPr>
                <w:rFonts w:cs="Arial"/>
              </w:rPr>
              <w:t>0.71</w:t>
            </w:r>
          </w:p>
        </w:tc>
      </w:tr>
      <w:tr w:rsidR="008A6D82" w14:paraId="69A55788" w14:textId="77777777" w:rsidTr="00CB618A">
        <w:trPr>
          <w:jc w:val="center"/>
        </w:trPr>
        <w:tc>
          <w:tcPr>
            <w:tcW w:w="4253" w:type="dxa"/>
            <w:tcBorders>
              <w:top w:val="nil"/>
              <w:left w:val="nil"/>
              <w:bottom w:val="nil"/>
              <w:right w:val="nil"/>
            </w:tcBorders>
          </w:tcPr>
          <w:p w14:paraId="1425F584" w14:textId="77777777" w:rsidR="008A6D82" w:rsidRDefault="008A6D82" w:rsidP="00CB618A">
            <w:pPr>
              <w:pStyle w:val="Tableheading"/>
              <w:spacing w:before="120" w:after="0"/>
              <w:rPr>
                <w:rFonts w:cs="Arial"/>
              </w:rPr>
            </w:pPr>
            <w:r>
              <w:rPr>
                <w:rFonts w:cs="Arial"/>
                <w:szCs w:val="20"/>
              </w:rPr>
              <w:t>signs of h</w:t>
            </w:r>
            <w:r w:rsidRPr="00DD37E9">
              <w:rPr>
                <w:rFonts w:cs="Arial"/>
                <w:szCs w:val="20"/>
              </w:rPr>
              <w:t>erbivor</w:t>
            </w:r>
            <w:r>
              <w:rPr>
                <w:rFonts w:cs="Arial"/>
                <w:szCs w:val="20"/>
              </w:rPr>
              <w:t>y</w:t>
            </w:r>
          </w:p>
        </w:tc>
        <w:tc>
          <w:tcPr>
            <w:tcW w:w="1843" w:type="dxa"/>
            <w:tcBorders>
              <w:top w:val="nil"/>
              <w:left w:val="nil"/>
              <w:bottom w:val="nil"/>
              <w:right w:val="nil"/>
            </w:tcBorders>
            <w:vAlign w:val="center"/>
          </w:tcPr>
          <w:p w14:paraId="0F487461" w14:textId="77777777" w:rsidR="008A6D82" w:rsidRDefault="008A6D82" w:rsidP="00CB618A">
            <w:pPr>
              <w:pStyle w:val="Tableheading"/>
              <w:spacing w:before="120" w:after="0"/>
              <w:jc w:val="center"/>
              <w:rPr>
                <w:rFonts w:cs="Arial"/>
              </w:rPr>
            </w:pPr>
            <w:r>
              <w:rPr>
                <w:rFonts w:cs="Arial"/>
              </w:rPr>
              <w:t>0.27</w:t>
            </w:r>
          </w:p>
        </w:tc>
      </w:tr>
      <w:tr w:rsidR="008A6D82" w14:paraId="10C64667" w14:textId="77777777" w:rsidTr="00CB618A">
        <w:trPr>
          <w:jc w:val="center"/>
        </w:trPr>
        <w:tc>
          <w:tcPr>
            <w:tcW w:w="4253" w:type="dxa"/>
            <w:tcBorders>
              <w:top w:val="nil"/>
              <w:left w:val="nil"/>
              <w:right w:val="nil"/>
            </w:tcBorders>
            <w:vAlign w:val="center"/>
          </w:tcPr>
          <w:p w14:paraId="071BFE00" w14:textId="77777777" w:rsidR="008A6D82" w:rsidRDefault="008A6D82" w:rsidP="00CB618A">
            <w:pPr>
              <w:pStyle w:val="Tableheading"/>
              <w:spacing w:before="120" w:after="0"/>
              <w:rPr>
                <w:rFonts w:cs="Arial"/>
              </w:rPr>
            </w:pPr>
            <w:r>
              <w:rPr>
                <w:rFonts w:cs="Arial"/>
              </w:rPr>
              <w:t>woodland origin</w:t>
            </w:r>
          </w:p>
        </w:tc>
        <w:tc>
          <w:tcPr>
            <w:tcW w:w="1843" w:type="dxa"/>
            <w:tcBorders>
              <w:top w:val="nil"/>
              <w:left w:val="nil"/>
              <w:right w:val="nil"/>
            </w:tcBorders>
            <w:vAlign w:val="center"/>
          </w:tcPr>
          <w:p w14:paraId="57EBEBEA" w14:textId="77777777" w:rsidR="008A6D82" w:rsidRDefault="008A6D82" w:rsidP="00CB618A">
            <w:pPr>
              <w:pStyle w:val="Tableheading"/>
              <w:spacing w:before="120" w:after="0"/>
              <w:jc w:val="center"/>
              <w:rPr>
                <w:rFonts w:cs="Arial"/>
              </w:rPr>
            </w:pPr>
            <w:r>
              <w:rPr>
                <w:rFonts w:cs="Arial"/>
              </w:rPr>
              <w:t>0.14</w:t>
            </w:r>
          </w:p>
        </w:tc>
      </w:tr>
    </w:tbl>
    <w:p w14:paraId="2187A174" w14:textId="77777777" w:rsidR="008A6D82" w:rsidRDefault="008A6D82" w:rsidP="008A6D82">
      <w:pPr>
        <w:pStyle w:val="Tableheading"/>
        <w:rPr>
          <w:rFonts w:cs="Arial"/>
        </w:rPr>
      </w:pPr>
    </w:p>
    <w:p w14:paraId="6B49B648" w14:textId="77777777" w:rsidR="008A6D82" w:rsidRDefault="008A6D82" w:rsidP="008A6D82">
      <w:pPr>
        <w:pStyle w:val="Tableheading"/>
        <w:rPr>
          <w:rFonts w:cs="Arial"/>
        </w:rPr>
      </w:pPr>
      <w:r>
        <w:rPr>
          <w:rFonts w:cs="Arial"/>
        </w:rPr>
        <w:t xml:space="preserve">Table S1.4. </w:t>
      </w:r>
      <w:r>
        <w:rPr>
          <w:rFonts w:cs="Arial"/>
        </w:rPr>
        <w:tab/>
        <w:t>Generalised variance inflation factors (GVIF) for variables contained within the minimum adequate model, calculated following Fox &amp; Monette (1992). All GVIF values are below 2, suggesting collinearity is not an issue.</w:t>
      </w:r>
    </w:p>
    <w:tbl>
      <w:tblPr>
        <w:tblStyle w:val="TableGrid"/>
        <w:tblW w:w="3544" w:type="dxa"/>
        <w:jc w:val="center"/>
        <w:tblLook w:val="04A0" w:firstRow="1" w:lastRow="0" w:firstColumn="1" w:lastColumn="0" w:noHBand="0" w:noVBand="1"/>
      </w:tblPr>
      <w:tblGrid>
        <w:gridCol w:w="2172"/>
        <w:gridCol w:w="655"/>
        <w:gridCol w:w="717"/>
      </w:tblGrid>
      <w:tr w:rsidR="008A6D82" w14:paraId="73BFDB1C" w14:textId="77777777" w:rsidTr="00CB618A">
        <w:trPr>
          <w:jc w:val="center"/>
        </w:trPr>
        <w:tc>
          <w:tcPr>
            <w:tcW w:w="2176" w:type="dxa"/>
            <w:tcBorders>
              <w:top w:val="single" w:sz="4" w:space="0" w:color="000000" w:themeColor="text1"/>
              <w:left w:val="nil"/>
              <w:bottom w:val="single" w:sz="4" w:space="0" w:color="000000" w:themeColor="text1"/>
              <w:right w:val="nil"/>
            </w:tcBorders>
            <w:vAlign w:val="center"/>
          </w:tcPr>
          <w:p w14:paraId="05E2CB84" w14:textId="77777777" w:rsidR="008A6D82" w:rsidRDefault="008A6D82" w:rsidP="00CB618A">
            <w:pPr>
              <w:pStyle w:val="Tableheading"/>
              <w:spacing w:before="0" w:after="0"/>
              <w:rPr>
                <w:rFonts w:cs="Arial"/>
              </w:rPr>
            </w:pPr>
            <w:r w:rsidRPr="00DE1F41">
              <w:rPr>
                <w:rFonts w:eastAsia="Times New Roman" w:cs="Arial"/>
                <w:color w:val="000000"/>
                <w:szCs w:val="20"/>
              </w:rPr>
              <w:t>Variable</w:t>
            </w:r>
          </w:p>
        </w:tc>
        <w:tc>
          <w:tcPr>
            <w:tcW w:w="659" w:type="dxa"/>
            <w:tcBorders>
              <w:top w:val="single" w:sz="4" w:space="0" w:color="000000" w:themeColor="text1"/>
              <w:left w:val="nil"/>
              <w:bottom w:val="single" w:sz="4" w:space="0" w:color="000000" w:themeColor="text1"/>
              <w:right w:val="nil"/>
            </w:tcBorders>
            <w:vAlign w:val="center"/>
          </w:tcPr>
          <w:p w14:paraId="68A63508" w14:textId="77777777" w:rsidR="008A6D82" w:rsidRDefault="008A6D82" w:rsidP="00CB618A">
            <w:pPr>
              <w:pStyle w:val="Tableheading"/>
              <w:spacing w:before="0" w:after="0"/>
              <w:rPr>
                <w:rFonts w:cs="Arial"/>
              </w:rPr>
            </w:pPr>
            <w:r w:rsidRPr="00DE1F41">
              <w:rPr>
                <w:rFonts w:eastAsia="Times New Roman" w:cs="Arial"/>
                <w:color w:val="000000"/>
                <w:szCs w:val="20"/>
              </w:rPr>
              <w:t>Df</w:t>
            </w:r>
          </w:p>
        </w:tc>
        <w:tc>
          <w:tcPr>
            <w:tcW w:w="709" w:type="dxa"/>
            <w:tcBorders>
              <w:top w:val="single" w:sz="4" w:space="0" w:color="000000" w:themeColor="text1"/>
              <w:left w:val="nil"/>
              <w:bottom w:val="single" w:sz="4" w:space="0" w:color="000000" w:themeColor="text1"/>
              <w:right w:val="nil"/>
            </w:tcBorders>
            <w:vAlign w:val="center"/>
          </w:tcPr>
          <w:p w14:paraId="4B4D68F2" w14:textId="77777777" w:rsidR="008A6D82" w:rsidRDefault="008A6D82" w:rsidP="00CB618A">
            <w:pPr>
              <w:pStyle w:val="Tableheading"/>
              <w:spacing w:before="0" w:after="0"/>
              <w:rPr>
                <w:rFonts w:cs="Arial"/>
              </w:rPr>
            </w:pPr>
            <w:r>
              <w:rPr>
                <w:rFonts w:eastAsia="Times New Roman" w:cs="Arial"/>
                <w:color w:val="000000"/>
                <w:szCs w:val="20"/>
              </w:rPr>
              <w:t>GVIF</w:t>
            </w:r>
          </w:p>
        </w:tc>
      </w:tr>
      <w:tr w:rsidR="008A6D82" w14:paraId="58D811DE" w14:textId="77777777" w:rsidTr="00CB618A">
        <w:trPr>
          <w:jc w:val="center"/>
        </w:trPr>
        <w:tc>
          <w:tcPr>
            <w:tcW w:w="2176" w:type="dxa"/>
            <w:tcBorders>
              <w:top w:val="single" w:sz="4" w:space="0" w:color="000000" w:themeColor="text1"/>
              <w:left w:val="nil"/>
              <w:bottom w:val="nil"/>
              <w:right w:val="nil"/>
            </w:tcBorders>
            <w:vAlign w:val="center"/>
          </w:tcPr>
          <w:p w14:paraId="2245C127" w14:textId="77777777" w:rsidR="008A6D82" w:rsidRDefault="008A6D82" w:rsidP="00CB618A">
            <w:pPr>
              <w:pStyle w:val="Tableheading"/>
              <w:spacing w:before="0" w:after="0"/>
              <w:rPr>
                <w:rFonts w:cs="Arial"/>
              </w:rPr>
            </w:pPr>
            <w:r w:rsidRPr="00DE1F41">
              <w:rPr>
                <w:rFonts w:eastAsia="Times New Roman" w:cs="Arial"/>
                <w:color w:val="000000"/>
                <w:szCs w:val="20"/>
              </w:rPr>
              <w:t>Stand age</w:t>
            </w:r>
          </w:p>
        </w:tc>
        <w:tc>
          <w:tcPr>
            <w:tcW w:w="659" w:type="dxa"/>
            <w:tcBorders>
              <w:top w:val="single" w:sz="4" w:space="0" w:color="000000" w:themeColor="text1"/>
              <w:left w:val="nil"/>
              <w:bottom w:val="nil"/>
              <w:right w:val="nil"/>
            </w:tcBorders>
            <w:vAlign w:val="center"/>
          </w:tcPr>
          <w:p w14:paraId="690FB1EF" w14:textId="77777777" w:rsidR="008A6D82" w:rsidRDefault="008A6D82" w:rsidP="00CB618A">
            <w:pPr>
              <w:pStyle w:val="Tableheading"/>
              <w:spacing w:before="0" w:after="0"/>
              <w:rPr>
                <w:rFonts w:cs="Arial"/>
              </w:rPr>
            </w:pPr>
            <w:r w:rsidRPr="00DE1F41">
              <w:rPr>
                <w:rFonts w:eastAsia="Times New Roman" w:cs="Arial"/>
                <w:color w:val="000000"/>
                <w:szCs w:val="20"/>
              </w:rPr>
              <w:t>1</w:t>
            </w:r>
          </w:p>
        </w:tc>
        <w:tc>
          <w:tcPr>
            <w:tcW w:w="709" w:type="dxa"/>
            <w:tcBorders>
              <w:top w:val="single" w:sz="4" w:space="0" w:color="000000" w:themeColor="text1"/>
              <w:left w:val="nil"/>
              <w:bottom w:val="nil"/>
              <w:right w:val="nil"/>
            </w:tcBorders>
            <w:vAlign w:val="center"/>
          </w:tcPr>
          <w:p w14:paraId="1A2A0394" w14:textId="77777777" w:rsidR="008A6D82" w:rsidRDefault="008A6D82" w:rsidP="00CB618A">
            <w:pPr>
              <w:pStyle w:val="Tableheading"/>
              <w:spacing w:before="0" w:after="0"/>
              <w:rPr>
                <w:rFonts w:cs="Arial"/>
              </w:rPr>
            </w:pPr>
            <w:r w:rsidRPr="00DE1F41">
              <w:rPr>
                <w:rFonts w:eastAsia="Times New Roman" w:cs="Arial"/>
                <w:color w:val="000000"/>
                <w:szCs w:val="20"/>
              </w:rPr>
              <w:t>1.166</w:t>
            </w:r>
          </w:p>
        </w:tc>
      </w:tr>
      <w:tr w:rsidR="008A6D82" w14:paraId="5F298361" w14:textId="77777777" w:rsidTr="00CB618A">
        <w:trPr>
          <w:jc w:val="center"/>
        </w:trPr>
        <w:tc>
          <w:tcPr>
            <w:tcW w:w="2176" w:type="dxa"/>
            <w:tcBorders>
              <w:top w:val="nil"/>
              <w:left w:val="nil"/>
              <w:bottom w:val="nil"/>
              <w:right w:val="nil"/>
            </w:tcBorders>
            <w:vAlign w:val="center"/>
          </w:tcPr>
          <w:p w14:paraId="743247F7" w14:textId="77777777" w:rsidR="008A6D82" w:rsidRDefault="008A6D82" w:rsidP="00CB618A">
            <w:pPr>
              <w:pStyle w:val="Tableheading"/>
              <w:spacing w:before="0" w:after="0"/>
              <w:rPr>
                <w:rFonts w:cs="Arial"/>
              </w:rPr>
            </w:pPr>
            <w:r w:rsidRPr="00DE1F41">
              <w:rPr>
                <w:rFonts w:eastAsia="Times New Roman" w:cs="Arial"/>
                <w:color w:val="000000"/>
                <w:szCs w:val="20"/>
              </w:rPr>
              <w:t>IFT</w:t>
            </w:r>
          </w:p>
        </w:tc>
        <w:tc>
          <w:tcPr>
            <w:tcW w:w="659" w:type="dxa"/>
            <w:tcBorders>
              <w:top w:val="nil"/>
              <w:left w:val="nil"/>
              <w:bottom w:val="nil"/>
              <w:right w:val="nil"/>
            </w:tcBorders>
            <w:vAlign w:val="center"/>
          </w:tcPr>
          <w:p w14:paraId="47FFB229" w14:textId="77777777" w:rsidR="008A6D82" w:rsidRDefault="008A6D82" w:rsidP="00CB618A">
            <w:pPr>
              <w:pStyle w:val="Tableheading"/>
              <w:spacing w:before="0" w:after="0"/>
              <w:rPr>
                <w:rFonts w:cs="Arial"/>
              </w:rPr>
            </w:pPr>
            <w:r w:rsidRPr="00DE1F41">
              <w:rPr>
                <w:rFonts w:eastAsia="Times New Roman" w:cs="Arial"/>
                <w:color w:val="000000"/>
                <w:szCs w:val="20"/>
              </w:rPr>
              <w:t>3</w:t>
            </w:r>
          </w:p>
        </w:tc>
        <w:tc>
          <w:tcPr>
            <w:tcW w:w="709" w:type="dxa"/>
            <w:tcBorders>
              <w:top w:val="nil"/>
              <w:left w:val="nil"/>
              <w:bottom w:val="nil"/>
              <w:right w:val="nil"/>
            </w:tcBorders>
            <w:vAlign w:val="center"/>
          </w:tcPr>
          <w:p w14:paraId="3762AA3C" w14:textId="77777777" w:rsidR="008A6D82" w:rsidRPr="00DE1F41" w:rsidRDefault="008A6D82" w:rsidP="00CB618A">
            <w:pPr>
              <w:pStyle w:val="Tableheading"/>
              <w:spacing w:before="0" w:after="0"/>
              <w:rPr>
                <w:rFonts w:eastAsia="Times New Roman" w:cs="Arial"/>
                <w:color w:val="000000"/>
                <w:szCs w:val="20"/>
              </w:rPr>
            </w:pPr>
            <w:r w:rsidRPr="00DE1F41">
              <w:rPr>
                <w:rFonts w:eastAsia="Times New Roman" w:cs="Arial"/>
                <w:color w:val="000000"/>
                <w:szCs w:val="20"/>
              </w:rPr>
              <w:t>1.083</w:t>
            </w:r>
          </w:p>
        </w:tc>
      </w:tr>
      <w:tr w:rsidR="008A6D82" w14:paraId="2B61752F" w14:textId="77777777" w:rsidTr="00CB618A">
        <w:trPr>
          <w:jc w:val="center"/>
        </w:trPr>
        <w:tc>
          <w:tcPr>
            <w:tcW w:w="2176" w:type="dxa"/>
            <w:tcBorders>
              <w:top w:val="nil"/>
              <w:left w:val="nil"/>
              <w:bottom w:val="nil"/>
              <w:right w:val="nil"/>
            </w:tcBorders>
            <w:vAlign w:val="center"/>
          </w:tcPr>
          <w:p w14:paraId="56A21A4C" w14:textId="77777777" w:rsidR="008A6D82" w:rsidRDefault="008A6D82" w:rsidP="00CB618A">
            <w:pPr>
              <w:pStyle w:val="Tableheading"/>
              <w:spacing w:before="0" w:after="0"/>
              <w:rPr>
                <w:rFonts w:cs="Arial"/>
              </w:rPr>
            </w:pPr>
            <w:r w:rsidRPr="00DE1F41">
              <w:rPr>
                <w:rFonts w:eastAsia="Times New Roman" w:cs="Arial"/>
                <w:color w:val="000000"/>
                <w:szCs w:val="20"/>
              </w:rPr>
              <w:t>Vertical structure</w:t>
            </w:r>
          </w:p>
        </w:tc>
        <w:tc>
          <w:tcPr>
            <w:tcW w:w="659" w:type="dxa"/>
            <w:tcBorders>
              <w:top w:val="nil"/>
              <w:left w:val="nil"/>
              <w:bottom w:val="nil"/>
              <w:right w:val="nil"/>
            </w:tcBorders>
            <w:vAlign w:val="center"/>
          </w:tcPr>
          <w:p w14:paraId="23D7AB54" w14:textId="77777777" w:rsidR="008A6D82" w:rsidRDefault="008A6D82" w:rsidP="00CB618A">
            <w:pPr>
              <w:pStyle w:val="Tableheading"/>
              <w:spacing w:before="0" w:after="0"/>
              <w:rPr>
                <w:rFonts w:cs="Arial"/>
              </w:rPr>
            </w:pPr>
            <w:r w:rsidRPr="00DE1F41">
              <w:rPr>
                <w:rFonts w:eastAsia="Times New Roman" w:cs="Arial"/>
                <w:color w:val="000000"/>
                <w:szCs w:val="20"/>
              </w:rPr>
              <w:t>4</w:t>
            </w:r>
          </w:p>
        </w:tc>
        <w:tc>
          <w:tcPr>
            <w:tcW w:w="709" w:type="dxa"/>
            <w:tcBorders>
              <w:top w:val="nil"/>
              <w:left w:val="nil"/>
              <w:bottom w:val="nil"/>
              <w:right w:val="nil"/>
            </w:tcBorders>
            <w:vAlign w:val="center"/>
          </w:tcPr>
          <w:p w14:paraId="23D48790" w14:textId="77777777" w:rsidR="008A6D82" w:rsidRPr="00DE1F41" w:rsidRDefault="008A6D82" w:rsidP="00CB618A">
            <w:pPr>
              <w:pStyle w:val="Tableheading"/>
              <w:spacing w:before="0" w:after="0"/>
              <w:rPr>
                <w:rFonts w:eastAsia="Times New Roman" w:cs="Arial"/>
                <w:color w:val="000000"/>
                <w:szCs w:val="20"/>
              </w:rPr>
            </w:pPr>
            <w:r w:rsidRPr="00DE1F41">
              <w:rPr>
                <w:rFonts w:eastAsia="Times New Roman" w:cs="Arial"/>
                <w:color w:val="000000"/>
                <w:szCs w:val="20"/>
              </w:rPr>
              <w:t>1.032</w:t>
            </w:r>
          </w:p>
        </w:tc>
      </w:tr>
      <w:tr w:rsidR="008A6D82" w14:paraId="43BA51FB" w14:textId="77777777" w:rsidTr="00CB618A">
        <w:trPr>
          <w:jc w:val="center"/>
        </w:trPr>
        <w:tc>
          <w:tcPr>
            <w:tcW w:w="2176" w:type="dxa"/>
            <w:tcBorders>
              <w:top w:val="nil"/>
              <w:left w:val="nil"/>
              <w:bottom w:val="nil"/>
              <w:right w:val="nil"/>
            </w:tcBorders>
            <w:vAlign w:val="center"/>
          </w:tcPr>
          <w:p w14:paraId="54D945B1" w14:textId="77777777" w:rsidR="008A6D82" w:rsidRDefault="008A6D82" w:rsidP="00CB618A">
            <w:pPr>
              <w:pStyle w:val="Tableheading"/>
              <w:spacing w:before="0" w:after="0"/>
              <w:rPr>
                <w:rFonts w:cs="Arial"/>
              </w:rPr>
            </w:pPr>
            <w:r w:rsidRPr="00DE1F41">
              <w:rPr>
                <w:rFonts w:eastAsia="Times New Roman" w:cs="Arial"/>
                <w:color w:val="000000"/>
                <w:szCs w:val="20"/>
              </w:rPr>
              <w:t>Road density</w:t>
            </w:r>
          </w:p>
        </w:tc>
        <w:tc>
          <w:tcPr>
            <w:tcW w:w="659" w:type="dxa"/>
            <w:tcBorders>
              <w:top w:val="nil"/>
              <w:left w:val="nil"/>
              <w:bottom w:val="nil"/>
              <w:right w:val="nil"/>
            </w:tcBorders>
            <w:vAlign w:val="center"/>
          </w:tcPr>
          <w:p w14:paraId="2E538B4B" w14:textId="77777777" w:rsidR="008A6D82" w:rsidRDefault="008A6D82" w:rsidP="00CB618A">
            <w:pPr>
              <w:pStyle w:val="Tableheading"/>
              <w:spacing w:before="0" w:after="0"/>
              <w:rPr>
                <w:rFonts w:cs="Arial"/>
              </w:rPr>
            </w:pPr>
            <w:r w:rsidRPr="00DE1F41">
              <w:rPr>
                <w:rFonts w:eastAsia="Times New Roman" w:cs="Arial"/>
                <w:color w:val="000000"/>
                <w:szCs w:val="20"/>
              </w:rPr>
              <w:t>1</w:t>
            </w:r>
          </w:p>
        </w:tc>
        <w:tc>
          <w:tcPr>
            <w:tcW w:w="709" w:type="dxa"/>
            <w:tcBorders>
              <w:top w:val="nil"/>
              <w:left w:val="nil"/>
              <w:bottom w:val="nil"/>
              <w:right w:val="nil"/>
            </w:tcBorders>
            <w:vAlign w:val="center"/>
          </w:tcPr>
          <w:p w14:paraId="5613769D" w14:textId="77777777" w:rsidR="008A6D82" w:rsidRPr="00DE1F41" w:rsidRDefault="008A6D82" w:rsidP="00CB618A">
            <w:pPr>
              <w:pStyle w:val="Tableheading"/>
              <w:spacing w:before="0" w:after="0"/>
              <w:rPr>
                <w:rFonts w:eastAsia="Times New Roman" w:cs="Arial"/>
                <w:color w:val="000000"/>
                <w:szCs w:val="20"/>
              </w:rPr>
            </w:pPr>
            <w:r w:rsidRPr="00DE1F41">
              <w:rPr>
                <w:rFonts w:eastAsia="Times New Roman" w:cs="Arial"/>
                <w:color w:val="000000"/>
                <w:szCs w:val="20"/>
              </w:rPr>
              <w:t>1.018</w:t>
            </w:r>
          </w:p>
        </w:tc>
      </w:tr>
      <w:tr w:rsidR="008A6D82" w14:paraId="40E44AAB" w14:textId="77777777" w:rsidTr="00CB618A">
        <w:trPr>
          <w:jc w:val="center"/>
        </w:trPr>
        <w:tc>
          <w:tcPr>
            <w:tcW w:w="2176" w:type="dxa"/>
            <w:tcBorders>
              <w:top w:val="nil"/>
              <w:left w:val="nil"/>
              <w:bottom w:val="nil"/>
              <w:right w:val="nil"/>
            </w:tcBorders>
            <w:vAlign w:val="center"/>
          </w:tcPr>
          <w:p w14:paraId="5DE7E811" w14:textId="77777777" w:rsidR="008A6D82" w:rsidRDefault="008A6D82" w:rsidP="00CB618A">
            <w:pPr>
              <w:pStyle w:val="Tableheading"/>
              <w:spacing w:before="0" w:after="0"/>
              <w:rPr>
                <w:rFonts w:cs="Arial"/>
              </w:rPr>
            </w:pPr>
            <w:r w:rsidRPr="00DE1F41">
              <w:rPr>
                <w:rFonts w:eastAsia="Times New Roman" w:cs="Arial"/>
                <w:color w:val="000000"/>
                <w:szCs w:val="20"/>
              </w:rPr>
              <w:t>distance to historic garden</w:t>
            </w:r>
          </w:p>
        </w:tc>
        <w:tc>
          <w:tcPr>
            <w:tcW w:w="659" w:type="dxa"/>
            <w:tcBorders>
              <w:top w:val="nil"/>
              <w:left w:val="nil"/>
              <w:bottom w:val="nil"/>
              <w:right w:val="nil"/>
            </w:tcBorders>
            <w:vAlign w:val="center"/>
          </w:tcPr>
          <w:p w14:paraId="24BEC4DF" w14:textId="77777777" w:rsidR="008A6D82" w:rsidRDefault="008A6D82" w:rsidP="00CB618A">
            <w:pPr>
              <w:pStyle w:val="Tableheading"/>
              <w:spacing w:before="0" w:after="0"/>
              <w:rPr>
                <w:rFonts w:cs="Arial"/>
              </w:rPr>
            </w:pPr>
            <w:r w:rsidRPr="00DE1F41">
              <w:rPr>
                <w:rFonts w:eastAsia="Times New Roman" w:cs="Arial"/>
                <w:color w:val="000000"/>
                <w:szCs w:val="20"/>
              </w:rPr>
              <w:t>1</w:t>
            </w:r>
          </w:p>
        </w:tc>
        <w:tc>
          <w:tcPr>
            <w:tcW w:w="709" w:type="dxa"/>
            <w:tcBorders>
              <w:top w:val="nil"/>
              <w:left w:val="nil"/>
              <w:bottom w:val="nil"/>
              <w:right w:val="nil"/>
            </w:tcBorders>
            <w:vAlign w:val="center"/>
          </w:tcPr>
          <w:p w14:paraId="459359AE" w14:textId="77777777" w:rsidR="008A6D82" w:rsidRPr="00DE1F41" w:rsidRDefault="008A6D82" w:rsidP="00CB618A">
            <w:pPr>
              <w:pStyle w:val="Tableheading"/>
              <w:spacing w:before="0" w:after="0"/>
              <w:rPr>
                <w:rFonts w:eastAsia="Times New Roman" w:cs="Arial"/>
                <w:color w:val="000000"/>
                <w:szCs w:val="20"/>
              </w:rPr>
            </w:pPr>
            <w:r w:rsidRPr="00DE1F41">
              <w:rPr>
                <w:rFonts w:eastAsia="Times New Roman" w:cs="Arial"/>
                <w:color w:val="000000"/>
                <w:szCs w:val="20"/>
              </w:rPr>
              <w:t>1.110</w:t>
            </w:r>
          </w:p>
        </w:tc>
      </w:tr>
      <w:tr w:rsidR="008A6D82" w14:paraId="6BA235BE" w14:textId="77777777" w:rsidTr="00CB618A">
        <w:trPr>
          <w:jc w:val="center"/>
        </w:trPr>
        <w:tc>
          <w:tcPr>
            <w:tcW w:w="2176" w:type="dxa"/>
            <w:tcBorders>
              <w:top w:val="nil"/>
              <w:left w:val="nil"/>
              <w:bottom w:val="nil"/>
              <w:right w:val="nil"/>
            </w:tcBorders>
            <w:vAlign w:val="center"/>
          </w:tcPr>
          <w:p w14:paraId="11114F86" w14:textId="77777777" w:rsidR="008A6D82" w:rsidRDefault="008A6D82" w:rsidP="00CB618A">
            <w:pPr>
              <w:pStyle w:val="Tableheading"/>
              <w:spacing w:before="0" w:after="0"/>
              <w:rPr>
                <w:rFonts w:cs="Arial"/>
              </w:rPr>
            </w:pPr>
            <w:r w:rsidRPr="00DE1F41">
              <w:rPr>
                <w:rFonts w:eastAsia="Times New Roman" w:cs="Arial"/>
                <w:color w:val="000000"/>
                <w:szCs w:val="20"/>
              </w:rPr>
              <w:t xml:space="preserve">Favourability </w:t>
            </w:r>
            <w:r>
              <w:rPr>
                <w:rFonts w:eastAsia="Times New Roman" w:cs="Arial"/>
                <w:color w:val="000000"/>
                <w:szCs w:val="20"/>
              </w:rPr>
              <w:t>g</w:t>
            </w:r>
            <w:r w:rsidRPr="00DE1F41">
              <w:rPr>
                <w:rFonts w:eastAsia="Times New Roman" w:cs="Arial"/>
                <w:color w:val="000000"/>
                <w:szCs w:val="20"/>
              </w:rPr>
              <w:t>radient</w:t>
            </w:r>
          </w:p>
        </w:tc>
        <w:tc>
          <w:tcPr>
            <w:tcW w:w="659" w:type="dxa"/>
            <w:tcBorders>
              <w:top w:val="nil"/>
              <w:left w:val="nil"/>
              <w:bottom w:val="nil"/>
              <w:right w:val="nil"/>
            </w:tcBorders>
            <w:vAlign w:val="center"/>
          </w:tcPr>
          <w:p w14:paraId="60249381" w14:textId="77777777" w:rsidR="008A6D82" w:rsidRDefault="008A6D82" w:rsidP="00CB618A">
            <w:pPr>
              <w:pStyle w:val="Tableheading"/>
              <w:spacing w:before="0" w:after="0"/>
              <w:rPr>
                <w:rFonts w:cs="Arial"/>
              </w:rPr>
            </w:pPr>
            <w:r w:rsidRPr="00DE1F41">
              <w:rPr>
                <w:rFonts w:eastAsia="Times New Roman" w:cs="Arial"/>
                <w:color w:val="000000"/>
                <w:szCs w:val="20"/>
              </w:rPr>
              <w:t>2</w:t>
            </w:r>
          </w:p>
        </w:tc>
        <w:tc>
          <w:tcPr>
            <w:tcW w:w="709" w:type="dxa"/>
            <w:tcBorders>
              <w:top w:val="nil"/>
              <w:left w:val="nil"/>
              <w:bottom w:val="nil"/>
              <w:right w:val="nil"/>
            </w:tcBorders>
            <w:vAlign w:val="center"/>
          </w:tcPr>
          <w:p w14:paraId="763BB52B" w14:textId="77777777" w:rsidR="008A6D82" w:rsidRPr="00DE1F41" w:rsidRDefault="008A6D82" w:rsidP="00CB618A">
            <w:pPr>
              <w:pStyle w:val="Tableheading"/>
              <w:spacing w:before="0" w:after="0"/>
              <w:rPr>
                <w:rFonts w:eastAsia="Times New Roman" w:cs="Arial"/>
                <w:color w:val="000000"/>
                <w:szCs w:val="20"/>
              </w:rPr>
            </w:pPr>
            <w:r w:rsidRPr="00DE1F41">
              <w:rPr>
                <w:rFonts w:eastAsia="Times New Roman" w:cs="Arial"/>
                <w:color w:val="000000"/>
                <w:szCs w:val="20"/>
              </w:rPr>
              <w:t>1.659</w:t>
            </w:r>
          </w:p>
        </w:tc>
      </w:tr>
      <w:tr w:rsidR="008A6D82" w14:paraId="45728BCC" w14:textId="77777777" w:rsidTr="00CB618A">
        <w:trPr>
          <w:jc w:val="center"/>
        </w:trPr>
        <w:tc>
          <w:tcPr>
            <w:tcW w:w="2176" w:type="dxa"/>
            <w:tcBorders>
              <w:top w:val="nil"/>
              <w:left w:val="nil"/>
              <w:bottom w:val="nil"/>
              <w:right w:val="nil"/>
            </w:tcBorders>
            <w:vAlign w:val="center"/>
          </w:tcPr>
          <w:p w14:paraId="48F4B56E" w14:textId="77777777" w:rsidR="008A6D82" w:rsidRDefault="008A6D82" w:rsidP="00CB618A">
            <w:pPr>
              <w:pStyle w:val="Tableheading"/>
              <w:spacing w:before="0" w:after="0"/>
              <w:rPr>
                <w:rFonts w:cs="Arial"/>
              </w:rPr>
            </w:pPr>
            <w:r w:rsidRPr="00DE1F41">
              <w:rPr>
                <w:rFonts w:eastAsia="Times New Roman" w:cs="Arial"/>
                <w:color w:val="000000"/>
                <w:szCs w:val="20"/>
              </w:rPr>
              <w:t>log10(woodland cover)</w:t>
            </w:r>
            <w:r w:rsidRPr="00DE1F41">
              <w:rPr>
                <w:rFonts w:cs="Arial"/>
                <w:color w:val="000000"/>
              </w:rPr>
              <w:t xml:space="preserve">                  </w:t>
            </w:r>
          </w:p>
        </w:tc>
        <w:tc>
          <w:tcPr>
            <w:tcW w:w="659" w:type="dxa"/>
            <w:tcBorders>
              <w:top w:val="nil"/>
              <w:left w:val="nil"/>
              <w:bottom w:val="nil"/>
              <w:right w:val="nil"/>
            </w:tcBorders>
            <w:vAlign w:val="center"/>
          </w:tcPr>
          <w:p w14:paraId="6EE11D17" w14:textId="77777777" w:rsidR="008A6D82" w:rsidRDefault="008A6D82" w:rsidP="00CB618A">
            <w:pPr>
              <w:pStyle w:val="Tableheading"/>
              <w:spacing w:before="0" w:after="0"/>
              <w:rPr>
                <w:rFonts w:cs="Arial"/>
              </w:rPr>
            </w:pPr>
            <w:r w:rsidRPr="00DE1F41">
              <w:rPr>
                <w:rFonts w:eastAsia="Times New Roman" w:cs="Arial"/>
                <w:color w:val="000000"/>
                <w:szCs w:val="20"/>
              </w:rPr>
              <w:t>1</w:t>
            </w:r>
          </w:p>
        </w:tc>
        <w:tc>
          <w:tcPr>
            <w:tcW w:w="709" w:type="dxa"/>
            <w:tcBorders>
              <w:top w:val="nil"/>
              <w:left w:val="nil"/>
              <w:bottom w:val="nil"/>
              <w:right w:val="nil"/>
            </w:tcBorders>
            <w:vAlign w:val="center"/>
          </w:tcPr>
          <w:p w14:paraId="4D25FD48" w14:textId="77777777" w:rsidR="008A6D82" w:rsidRPr="00DE1F41" w:rsidRDefault="008A6D82" w:rsidP="00CB618A">
            <w:pPr>
              <w:pStyle w:val="Tableheading"/>
              <w:spacing w:before="0" w:after="0"/>
              <w:rPr>
                <w:rFonts w:eastAsia="Times New Roman" w:cs="Arial"/>
                <w:color w:val="000000"/>
                <w:szCs w:val="20"/>
              </w:rPr>
            </w:pPr>
            <w:r w:rsidRPr="00DE1F41">
              <w:rPr>
                <w:rFonts w:eastAsia="Times New Roman" w:cs="Arial"/>
                <w:color w:val="000000"/>
                <w:szCs w:val="20"/>
              </w:rPr>
              <w:t>1.374</w:t>
            </w:r>
          </w:p>
        </w:tc>
      </w:tr>
      <w:tr w:rsidR="008A6D82" w14:paraId="06E68DFB" w14:textId="77777777" w:rsidTr="00CB618A">
        <w:trPr>
          <w:jc w:val="center"/>
        </w:trPr>
        <w:tc>
          <w:tcPr>
            <w:tcW w:w="2176" w:type="dxa"/>
            <w:tcBorders>
              <w:top w:val="nil"/>
              <w:left w:val="nil"/>
              <w:bottom w:val="nil"/>
              <w:right w:val="nil"/>
            </w:tcBorders>
            <w:vAlign w:val="center"/>
          </w:tcPr>
          <w:p w14:paraId="5669E660" w14:textId="77777777" w:rsidR="008A6D82" w:rsidRDefault="008A6D82" w:rsidP="00CB618A">
            <w:pPr>
              <w:pStyle w:val="Tableheading"/>
              <w:spacing w:before="0" w:after="0"/>
              <w:rPr>
                <w:rFonts w:cs="Arial"/>
              </w:rPr>
            </w:pPr>
            <w:r w:rsidRPr="00DE1F41">
              <w:rPr>
                <w:rFonts w:eastAsia="Times New Roman" w:cs="Arial"/>
                <w:color w:val="000000"/>
                <w:szCs w:val="20"/>
              </w:rPr>
              <w:t>Moisture and elevation gradient</w:t>
            </w:r>
          </w:p>
        </w:tc>
        <w:tc>
          <w:tcPr>
            <w:tcW w:w="659" w:type="dxa"/>
            <w:tcBorders>
              <w:top w:val="nil"/>
              <w:left w:val="nil"/>
              <w:bottom w:val="nil"/>
              <w:right w:val="nil"/>
            </w:tcBorders>
            <w:vAlign w:val="center"/>
          </w:tcPr>
          <w:p w14:paraId="37B7E5D7" w14:textId="77777777" w:rsidR="008A6D82" w:rsidRDefault="008A6D82" w:rsidP="00CB618A">
            <w:pPr>
              <w:pStyle w:val="Tableheading"/>
              <w:spacing w:before="0" w:after="0"/>
              <w:rPr>
                <w:rFonts w:cs="Arial"/>
              </w:rPr>
            </w:pPr>
            <w:r w:rsidRPr="00DE1F41">
              <w:rPr>
                <w:rFonts w:eastAsia="Times New Roman" w:cs="Arial"/>
                <w:color w:val="000000"/>
                <w:szCs w:val="20"/>
              </w:rPr>
              <w:t>2</w:t>
            </w:r>
          </w:p>
        </w:tc>
        <w:tc>
          <w:tcPr>
            <w:tcW w:w="709" w:type="dxa"/>
            <w:tcBorders>
              <w:top w:val="nil"/>
              <w:left w:val="nil"/>
              <w:bottom w:val="nil"/>
              <w:right w:val="nil"/>
            </w:tcBorders>
            <w:vAlign w:val="center"/>
          </w:tcPr>
          <w:p w14:paraId="24F93157" w14:textId="77777777" w:rsidR="008A6D82" w:rsidRPr="00DE1F41" w:rsidRDefault="008A6D82" w:rsidP="00CB618A">
            <w:pPr>
              <w:pStyle w:val="Tableheading"/>
              <w:spacing w:before="0" w:after="0"/>
              <w:rPr>
                <w:rFonts w:eastAsia="Times New Roman" w:cs="Arial"/>
                <w:color w:val="000000"/>
                <w:szCs w:val="20"/>
              </w:rPr>
            </w:pPr>
            <w:r w:rsidRPr="00DE1F41">
              <w:rPr>
                <w:rFonts w:eastAsia="Times New Roman" w:cs="Arial"/>
                <w:color w:val="000000"/>
                <w:szCs w:val="20"/>
              </w:rPr>
              <w:t>1.158</w:t>
            </w:r>
          </w:p>
        </w:tc>
      </w:tr>
      <w:tr w:rsidR="008A6D82" w14:paraId="21E53C08" w14:textId="77777777" w:rsidTr="00CB618A">
        <w:trPr>
          <w:jc w:val="center"/>
        </w:trPr>
        <w:tc>
          <w:tcPr>
            <w:tcW w:w="2176" w:type="dxa"/>
            <w:tcBorders>
              <w:top w:val="nil"/>
              <w:left w:val="nil"/>
              <w:bottom w:val="nil"/>
              <w:right w:val="nil"/>
            </w:tcBorders>
            <w:vAlign w:val="center"/>
          </w:tcPr>
          <w:p w14:paraId="55E19293" w14:textId="77777777" w:rsidR="008A6D82" w:rsidRDefault="008A6D82" w:rsidP="00CB618A">
            <w:pPr>
              <w:pStyle w:val="Tableheading"/>
              <w:spacing w:before="0" w:after="0"/>
              <w:rPr>
                <w:rFonts w:cs="Arial"/>
              </w:rPr>
            </w:pPr>
            <w:r w:rsidRPr="00DE1F41">
              <w:rPr>
                <w:rFonts w:eastAsia="Times New Roman" w:cs="Arial"/>
                <w:color w:val="000000"/>
                <w:szCs w:val="20"/>
              </w:rPr>
              <w:t>PH98</w:t>
            </w:r>
          </w:p>
        </w:tc>
        <w:tc>
          <w:tcPr>
            <w:tcW w:w="659" w:type="dxa"/>
            <w:tcBorders>
              <w:top w:val="nil"/>
              <w:left w:val="nil"/>
              <w:bottom w:val="nil"/>
              <w:right w:val="nil"/>
            </w:tcBorders>
            <w:vAlign w:val="center"/>
          </w:tcPr>
          <w:p w14:paraId="49C0FAAD" w14:textId="77777777" w:rsidR="008A6D82" w:rsidRDefault="008A6D82" w:rsidP="00CB618A">
            <w:pPr>
              <w:pStyle w:val="Tableheading"/>
              <w:spacing w:before="0" w:after="0"/>
              <w:rPr>
                <w:rFonts w:cs="Arial"/>
              </w:rPr>
            </w:pPr>
            <w:r w:rsidRPr="00DE1F41">
              <w:rPr>
                <w:rFonts w:eastAsia="Times New Roman" w:cs="Arial"/>
                <w:color w:val="000000"/>
                <w:szCs w:val="20"/>
              </w:rPr>
              <w:t>1</w:t>
            </w:r>
          </w:p>
        </w:tc>
        <w:tc>
          <w:tcPr>
            <w:tcW w:w="709" w:type="dxa"/>
            <w:tcBorders>
              <w:top w:val="nil"/>
              <w:left w:val="nil"/>
              <w:bottom w:val="nil"/>
              <w:right w:val="nil"/>
            </w:tcBorders>
            <w:vAlign w:val="center"/>
          </w:tcPr>
          <w:p w14:paraId="0B5DA08F" w14:textId="77777777" w:rsidR="008A6D82" w:rsidRPr="00DE1F41" w:rsidRDefault="008A6D82" w:rsidP="00CB618A">
            <w:pPr>
              <w:pStyle w:val="Tableheading"/>
              <w:spacing w:before="0" w:after="0"/>
              <w:rPr>
                <w:rFonts w:eastAsia="Times New Roman" w:cs="Arial"/>
                <w:color w:val="000000"/>
                <w:szCs w:val="20"/>
              </w:rPr>
            </w:pPr>
            <w:r w:rsidRPr="00DE1F41">
              <w:rPr>
                <w:rFonts w:eastAsia="Times New Roman" w:cs="Arial"/>
                <w:color w:val="000000"/>
                <w:szCs w:val="20"/>
              </w:rPr>
              <w:t>1.910</w:t>
            </w:r>
          </w:p>
        </w:tc>
      </w:tr>
      <w:tr w:rsidR="008A6D82" w14:paraId="48B7E0FD" w14:textId="77777777" w:rsidTr="00CB618A">
        <w:trPr>
          <w:jc w:val="center"/>
        </w:trPr>
        <w:tc>
          <w:tcPr>
            <w:tcW w:w="2176" w:type="dxa"/>
            <w:tcBorders>
              <w:top w:val="nil"/>
              <w:left w:val="nil"/>
              <w:bottom w:val="single" w:sz="4" w:space="0" w:color="000000" w:themeColor="text1"/>
              <w:right w:val="nil"/>
            </w:tcBorders>
            <w:vAlign w:val="center"/>
          </w:tcPr>
          <w:p w14:paraId="723CCD94" w14:textId="77777777" w:rsidR="008A6D82" w:rsidRDefault="008A6D82" w:rsidP="00CB618A">
            <w:pPr>
              <w:pStyle w:val="Tableheading"/>
              <w:spacing w:before="0" w:after="0"/>
              <w:rPr>
                <w:rFonts w:cs="Arial"/>
              </w:rPr>
            </w:pPr>
            <w:r w:rsidRPr="00DE1F41">
              <w:rPr>
                <w:rFonts w:eastAsia="Times New Roman" w:cs="Arial"/>
                <w:color w:val="000000"/>
                <w:szCs w:val="20"/>
              </w:rPr>
              <w:t>log10(woodland cover):favourability gradient</w:t>
            </w:r>
          </w:p>
        </w:tc>
        <w:tc>
          <w:tcPr>
            <w:tcW w:w="659" w:type="dxa"/>
            <w:tcBorders>
              <w:top w:val="nil"/>
              <w:left w:val="nil"/>
              <w:bottom w:val="single" w:sz="4" w:space="0" w:color="000000" w:themeColor="text1"/>
              <w:right w:val="nil"/>
            </w:tcBorders>
            <w:vAlign w:val="center"/>
          </w:tcPr>
          <w:p w14:paraId="21A79C55" w14:textId="77777777" w:rsidR="008A6D82" w:rsidRDefault="008A6D82" w:rsidP="00CB618A">
            <w:pPr>
              <w:pStyle w:val="Tableheading"/>
              <w:spacing w:before="0" w:after="0"/>
              <w:rPr>
                <w:rFonts w:cs="Arial"/>
              </w:rPr>
            </w:pPr>
            <w:r w:rsidRPr="00DE1F41">
              <w:rPr>
                <w:rFonts w:eastAsia="Times New Roman" w:cs="Arial"/>
                <w:color w:val="000000"/>
                <w:szCs w:val="20"/>
              </w:rPr>
              <w:t>2</w:t>
            </w:r>
          </w:p>
        </w:tc>
        <w:tc>
          <w:tcPr>
            <w:tcW w:w="709" w:type="dxa"/>
            <w:tcBorders>
              <w:top w:val="nil"/>
              <w:left w:val="nil"/>
              <w:bottom w:val="single" w:sz="4" w:space="0" w:color="000000" w:themeColor="text1"/>
              <w:right w:val="nil"/>
            </w:tcBorders>
            <w:vAlign w:val="center"/>
          </w:tcPr>
          <w:p w14:paraId="36251C35" w14:textId="77777777" w:rsidR="008A6D82" w:rsidRPr="00DE1F41" w:rsidRDefault="008A6D82" w:rsidP="00CB618A">
            <w:pPr>
              <w:pStyle w:val="Tableheading"/>
              <w:spacing w:before="0" w:after="0"/>
              <w:rPr>
                <w:rFonts w:eastAsia="Times New Roman" w:cs="Arial"/>
                <w:color w:val="000000"/>
                <w:szCs w:val="20"/>
              </w:rPr>
            </w:pPr>
            <w:r w:rsidRPr="00DE1F41">
              <w:rPr>
                <w:rFonts w:eastAsia="Times New Roman" w:cs="Arial"/>
                <w:color w:val="000000"/>
                <w:szCs w:val="20"/>
              </w:rPr>
              <w:t>1.712</w:t>
            </w:r>
          </w:p>
        </w:tc>
      </w:tr>
    </w:tbl>
    <w:p w14:paraId="513F2B8A" w14:textId="77777777" w:rsidR="008A6D82" w:rsidRDefault="008A6D82" w:rsidP="008A6D82">
      <w:pPr>
        <w:pStyle w:val="Tableheading"/>
        <w:rPr>
          <w:rFonts w:cs="Arial"/>
        </w:rPr>
      </w:pPr>
    </w:p>
    <w:p w14:paraId="7F7640F8" w14:textId="77777777" w:rsidR="008A6D82" w:rsidRDefault="008A6D82" w:rsidP="008A6D82">
      <w:pPr>
        <w:jc w:val="center"/>
        <w:rPr>
          <w:lang w:eastAsia="zh-CN"/>
        </w:rPr>
      </w:pPr>
      <w:r>
        <w:rPr>
          <w:noProof/>
          <w:lang w:eastAsia="en-GB"/>
        </w:rPr>
        <w:drawing>
          <wp:inline distT="0" distB="0" distL="0" distR="0" wp14:anchorId="50802DD8" wp14:editId="606B8684">
            <wp:extent cx="5715000" cy="3657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15000" cy="3657600"/>
                    </a:xfrm>
                    <a:prstGeom prst="rect">
                      <a:avLst/>
                    </a:prstGeom>
                    <a:noFill/>
                    <a:ln>
                      <a:noFill/>
                    </a:ln>
                  </pic:spPr>
                </pic:pic>
              </a:graphicData>
            </a:graphic>
          </wp:inline>
        </w:drawing>
      </w:r>
    </w:p>
    <w:p w14:paraId="76A76340" w14:textId="77777777" w:rsidR="008A6D82" w:rsidRDefault="008A6D82" w:rsidP="008A6D82">
      <w:pPr>
        <w:rPr>
          <w:rFonts w:ascii="Arial" w:hAnsi="Arial" w:cs="Arial"/>
          <w:sz w:val="20"/>
        </w:rPr>
      </w:pPr>
      <w:r w:rsidRPr="00E64879">
        <w:rPr>
          <w:rFonts w:ascii="Arial" w:hAnsi="Arial" w:cs="Arial"/>
          <w:sz w:val="20"/>
        </w:rPr>
        <w:t xml:space="preserve">Figure </w:t>
      </w:r>
      <w:r>
        <w:rPr>
          <w:rFonts w:ascii="Arial" w:hAnsi="Arial" w:cs="Arial"/>
          <w:sz w:val="20"/>
        </w:rPr>
        <w:t>S1.3</w:t>
      </w:r>
      <w:r w:rsidRPr="00E64879">
        <w:rPr>
          <w:rFonts w:ascii="Arial" w:hAnsi="Arial" w:cs="Arial"/>
          <w:sz w:val="20"/>
        </w:rPr>
        <w:t>.</w:t>
      </w:r>
      <w:r>
        <w:rPr>
          <w:rFonts w:ascii="Arial" w:hAnsi="Arial" w:cs="Arial"/>
          <w:sz w:val="20"/>
        </w:rPr>
        <w:tab/>
      </w:r>
      <w:r w:rsidRPr="00E64879">
        <w:rPr>
          <w:rFonts w:ascii="Arial" w:hAnsi="Arial" w:cs="Arial"/>
          <w:sz w:val="20"/>
        </w:rPr>
        <w:t xml:space="preserve">Conditional plots of variation in the probability of rhododendron </w:t>
      </w:r>
      <w:r>
        <w:rPr>
          <w:rFonts w:ascii="Arial" w:hAnsi="Arial" w:cs="Arial"/>
          <w:sz w:val="20"/>
        </w:rPr>
        <w:t xml:space="preserve">occurrence </w:t>
      </w:r>
      <w:r w:rsidRPr="00E64879">
        <w:rPr>
          <w:rFonts w:ascii="Arial" w:hAnsi="Arial" w:cs="Arial"/>
          <w:sz w:val="20"/>
        </w:rPr>
        <w:t>in woodland sites in relation to local and landscape-level drivers. Results were graphed using coefficients from the minimum adequate model. Error bars represent 95% confidence intervals.</w:t>
      </w:r>
    </w:p>
    <w:p w14:paraId="0E978384" w14:textId="77777777" w:rsidR="008A6D82" w:rsidRPr="00E64BFD" w:rsidRDefault="008A6D82" w:rsidP="008A6D82">
      <w:pPr>
        <w:rPr>
          <w:lang w:eastAsia="en-GB"/>
        </w:rPr>
      </w:pPr>
    </w:p>
    <w:p w14:paraId="659D1CC4" w14:textId="77777777" w:rsidR="008A6D82" w:rsidRDefault="008A6D82" w:rsidP="008A6D82">
      <w:pPr>
        <w:pStyle w:val="Heading2"/>
        <w:jc w:val="center"/>
      </w:pPr>
      <w:bookmarkStart w:id="54" w:name="_Toc517431848"/>
      <w:r w:rsidRPr="0028488D">
        <w:rPr>
          <w:noProof/>
          <w:lang w:eastAsia="en-GB"/>
        </w:rPr>
        <w:drawing>
          <wp:inline distT="0" distB="0" distL="0" distR="0" wp14:anchorId="181467FF" wp14:editId="61E666A5">
            <wp:extent cx="2506980" cy="2506980"/>
            <wp:effectExtent l="0" t="0" r="7620" b="7620"/>
            <wp:docPr id="13" name="Picture 13" descr="C:\Users\rs15g08\Desktop\rhody_analysis\Rhody_Analysis\visreg_effplotfav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s15g08\Desktop\rhody_analysis\Rhody_Analysis\visreg_effplotfavor.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06980" cy="2506980"/>
                    </a:xfrm>
                    <a:prstGeom prst="rect">
                      <a:avLst/>
                    </a:prstGeom>
                    <a:noFill/>
                    <a:ln>
                      <a:noFill/>
                    </a:ln>
                  </pic:spPr>
                </pic:pic>
              </a:graphicData>
            </a:graphic>
          </wp:inline>
        </w:drawing>
      </w:r>
      <w:bookmarkEnd w:id="54"/>
    </w:p>
    <w:p w14:paraId="576585C9" w14:textId="77777777" w:rsidR="008A6D82" w:rsidRDefault="008A6D82" w:rsidP="008A6D82">
      <w:pPr>
        <w:jc w:val="both"/>
      </w:pPr>
      <w:r>
        <w:rPr>
          <w:rFonts w:ascii="Arial" w:hAnsi="Arial" w:cs="Arial"/>
          <w:sz w:val="20"/>
          <w:lang w:eastAsia="en-GB"/>
        </w:rPr>
        <w:t>Figure S1.4.</w:t>
      </w:r>
      <w:r>
        <w:rPr>
          <w:rFonts w:ascii="Arial" w:hAnsi="Arial" w:cs="Arial"/>
          <w:sz w:val="20"/>
          <w:lang w:eastAsia="en-GB"/>
        </w:rPr>
        <w:tab/>
      </w:r>
      <w:r w:rsidRPr="00901137">
        <w:rPr>
          <w:rFonts w:ascii="Arial" w:hAnsi="Arial" w:cs="Arial"/>
          <w:sz w:val="20"/>
          <w:lang w:eastAsia="en-GB"/>
        </w:rPr>
        <w:t>Cross-scale interaction</w:t>
      </w:r>
      <w:r>
        <w:rPr>
          <w:rFonts w:ascii="Arial" w:hAnsi="Arial" w:cs="Arial"/>
          <w:sz w:val="20"/>
          <w:lang w:eastAsia="en-GB"/>
        </w:rPr>
        <w:t>s</w:t>
      </w:r>
      <w:r w:rsidRPr="00901137">
        <w:rPr>
          <w:rFonts w:ascii="Arial" w:hAnsi="Arial" w:cs="Arial"/>
          <w:sz w:val="20"/>
          <w:lang w:eastAsia="en-GB"/>
        </w:rPr>
        <w:t xml:space="preserve"> </w:t>
      </w:r>
      <w:r>
        <w:rPr>
          <w:rFonts w:ascii="Arial" w:hAnsi="Arial" w:cs="Arial"/>
          <w:sz w:val="20"/>
          <w:lang w:eastAsia="en-GB"/>
        </w:rPr>
        <w:t>of</w:t>
      </w:r>
      <w:r w:rsidRPr="00901137">
        <w:rPr>
          <w:rFonts w:ascii="Arial" w:hAnsi="Arial" w:cs="Arial"/>
          <w:sz w:val="20"/>
          <w:lang w:eastAsia="en-GB"/>
        </w:rPr>
        <w:t xml:space="preserve"> the effect</w:t>
      </w:r>
      <w:r>
        <w:rPr>
          <w:rFonts w:ascii="Arial" w:hAnsi="Arial" w:cs="Arial"/>
          <w:sz w:val="20"/>
          <w:lang w:eastAsia="en-GB"/>
        </w:rPr>
        <w:t>s</w:t>
      </w:r>
      <w:r w:rsidRPr="00901137">
        <w:rPr>
          <w:rFonts w:ascii="Arial" w:hAnsi="Arial" w:cs="Arial"/>
          <w:sz w:val="20"/>
          <w:lang w:eastAsia="en-GB"/>
        </w:rPr>
        <w:t xml:space="preserve"> of landscape-level </w:t>
      </w:r>
      <w:r>
        <w:rPr>
          <w:rFonts w:ascii="Arial" w:hAnsi="Arial" w:cs="Arial"/>
          <w:sz w:val="20"/>
          <w:lang w:eastAsia="en-GB"/>
        </w:rPr>
        <w:t>woodland cover</w:t>
      </w:r>
      <w:r w:rsidRPr="00901137">
        <w:rPr>
          <w:rFonts w:ascii="Arial" w:hAnsi="Arial" w:cs="Arial"/>
          <w:sz w:val="20"/>
          <w:lang w:eastAsia="en-GB"/>
        </w:rPr>
        <w:t xml:space="preserve"> (within 500-m of a woodland site) </w:t>
      </w:r>
      <w:r>
        <w:rPr>
          <w:rFonts w:ascii="Arial" w:hAnsi="Arial" w:cs="Arial"/>
          <w:sz w:val="20"/>
          <w:lang w:eastAsia="en-GB"/>
        </w:rPr>
        <w:t xml:space="preserve">on woodland susceptibility to invasion depends on the favurability gradient. </w:t>
      </w:r>
      <w:r w:rsidRPr="00901137">
        <w:rPr>
          <w:rFonts w:ascii="Arial" w:hAnsi="Arial" w:cs="Arial"/>
          <w:sz w:val="20"/>
          <w:lang w:eastAsia="en-GB"/>
        </w:rPr>
        <w:t>Relationship graphed using coefficients from the minimum adequate model with condition</w:t>
      </w:r>
      <w:r>
        <w:rPr>
          <w:rFonts w:ascii="Arial" w:hAnsi="Arial" w:cs="Arial"/>
          <w:sz w:val="20"/>
          <w:lang w:eastAsia="en-GB"/>
        </w:rPr>
        <w:t>al variables held at their mean.</w:t>
      </w:r>
    </w:p>
    <w:p w14:paraId="6CCA5026" w14:textId="77777777" w:rsidR="008A6D82" w:rsidRDefault="008A6D82" w:rsidP="008A6D82">
      <w:pPr>
        <w:rPr>
          <w:rFonts w:ascii="Arial" w:eastAsiaTheme="majorEastAsia" w:hAnsi="Arial" w:cs="Arial"/>
          <w:b/>
          <w:sz w:val="20"/>
          <w:szCs w:val="26"/>
          <w:lang w:eastAsia="zh-CN"/>
        </w:rPr>
      </w:pPr>
      <w:r>
        <w:br w:type="page"/>
      </w:r>
    </w:p>
    <w:p w14:paraId="2871C3BB" w14:textId="77777777" w:rsidR="008A6D82" w:rsidRDefault="008A6D82" w:rsidP="008A6D82">
      <w:pPr>
        <w:pStyle w:val="Heading1"/>
      </w:pPr>
      <w:bookmarkStart w:id="55" w:name="_Toc517431849"/>
      <w:r>
        <w:t>Appendix S2. Further methodological details for modelling pond water quality</w:t>
      </w:r>
      <w:bookmarkEnd w:id="55"/>
    </w:p>
    <w:p w14:paraId="2F6EB593" w14:textId="77777777" w:rsidR="008A6D82" w:rsidRDefault="008A6D82" w:rsidP="008A6D82">
      <w:pPr>
        <w:pStyle w:val="Heading2"/>
      </w:pPr>
      <w:bookmarkStart w:id="56" w:name="_Toc517431850"/>
      <w:r>
        <w:t>Appendix S2.1 Details of the drivers selected for the analysis of soluble reactive phosphorus concentrations (SRP) in ponds</w:t>
      </w:r>
      <w:bookmarkEnd w:id="56"/>
    </w:p>
    <w:p w14:paraId="45389DAC" w14:textId="77777777" w:rsidR="008A6D82" w:rsidRPr="002F5089" w:rsidRDefault="008A6D82" w:rsidP="008A6D82">
      <w:pPr>
        <w:rPr>
          <w:rFonts w:ascii="Arial" w:hAnsi="Arial" w:cs="Arial"/>
          <w:sz w:val="20"/>
        </w:rPr>
      </w:pPr>
      <w:r w:rsidRPr="002F5089">
        <w:rPr>
          <w:rFonts w:ascii="Arial" w:hAnsi="Arial" w:cs="Arial"/>
          <w:sz w:val="20"/>
        </w:rPr>
        <w:t>Table S</w:t>
      </w:r>
      <w:r>
        <w:rPr>
          <w:rFonts w:ascii="Arial" w:hAnsi="Arial" w:cs="Arial"/>
          <w:sz w:val="20"/>
        </w:rPr>
        <w:t>2.1</w:t>
      </w:r>
      <w:r w:rsidRPr="002F5089">
        <w:rPr>
          <w:rFonts w:ascii="Arial" w:hAnsi="Arial" w:cs="Arial"/>
          <w:sz w:val="20"/>
        </w:rPr>
        <w:t>.</w:t>
      </w:r>
      <w:r w:rsidRPr="002F5089">
        <w:rPr>
          <w:rFonts w:ascii="Arial" w:hAnsi="Arial" w:cs="Arial"/>
          <w:sz w:val="20"/>
        </w:rPr>
        <w:tab/>
      </w:r>
      <w:r>
        <w:rPr>
          <w:rFonts w:ascii="Arial" w:hAnsi="Arial" w:cs="Arial"/>
          <w:sz w:val="20"/>
        </w:rPr>
        <w:t>Drivers</w:t>
      </w:r>
      <w:r w:rsidRPr="002F5089">
        <w:rPr>
          <w:rFonts w:ascii="Arial" w:hAnsi="Arial" w:cs="Arial"/>
          <w:sz w:val="20"/>
        </w:rPr>
        <w:t xml:space="preserve"> selected for the analysis of pond water quality </w:t>
      </w:r>
    </w:p>
    <w:tbl>
      <w:tblPr>
        <w:tblStyle w:val="TableGrid"/>
        <w:tblW w:w="5739" w:type="pct"/>
        <w:tblInd w:w="-572" w:type="dxa"/>
        <w:tblLayout w:type="fixed"/>
        <w:tblLook w:val="04A0" w:firstRow="1" w:lastRow="0" w:firstColumn="1" w:lastColumn="0" w:noHBand="0" w:noVBand="1"/>
      </w:tblPr>
      <w:tblGrid>
        <w:gridCol w:w="1845"/>
        <w:gridCol w:w="3688"/>
        <w:gridCol w:w="1132"/>
        <w:gridCol w:w="3684"/>
      </w:tblGrid>
      <w:tr w:rsidR="008A6D82" w:rsidRPr="00DC482C" w14:paraId="4DB89EFB" w14:textId="77777777" w:rsidTr="00CB618A">
        <w:tc>
          <w:tcPr>
            <w:tcW w:w="891" w:type="pct"/>
          </w:tcPr>
          <w:p w14:paraId="28059E16" w14:textId="77777777" w:rsidR="008A6D82" w:rsidRPr="00DC482C" w:rsidRDefault="008A6D82" w:rsidP="00CB618A">
            <w:pPr>
              <w:rPr>
                <w:rFonts w:ascii="Arial" w:hAnsi="Arial" w:cs="Arial"/>
                <w:b/>
                <w:sz w:val="18"/>
                <w:szCs w:val="20"/>
              </w:rPr>
            </w:pPr>
            <w:r w:rsidRPr="00DC482C">
              <w:rPr>
                <w:rFonts w:ascii="Arial" w:hAnsi="Arial" w:cs="Arial"/>
                <w:b/>
                <w:sz w:val="18"/>
                <w:szCs w:val="20"/>
              </w:rPr>
              <w:t>Driver</w:t>
            </w:r>
          </w:p>
        </w:tc>
        <w:tc>
          <w:tcPr>
            <w:tcW w:w="1782" w:type="pct"/>
            <w:tcBorders>
              <w:bottom w:val="single" w:sz="4" w:space="0" w:color="auto"/>
            </w:tcBorders>
          </w:tcPr>
          <w:p w14:paraId="7A8E7A38" w14:textId="77777777" w:rsidR="008A6D82" w:rsidRPr="00DC482C" w:rsidRDefault="008A6D82" w:rsidP="00CB618A">
            <w:pPr>
              <w:rPr>
                <w:rFonts w:ascii="Arial" w:hAnsi="Arial" w:cs="Arial"/>
                <w:b/>
                <w:sz w:val="18"/>
                <w:szCs w:val="20"/>
              </w:rPr>
            </w:pPr>
            <w:r w:rsidRPr="00DC482C">
              <w:rPr>
                <w:rFonts w:ascii="Arial" w:hAnsi="Arial" w:cs="Arial"/>
                <w:b/>
                <w:sz w:val="18"/>
                <w:szCs w:val="20"/>
              </w:rPr>
              <w:t xml:space="preserve">Relationships with SRP </w:t>
            </w:r>
          </w:p>
        </w:tc>
        <w:tc>
          <w:tcPr>
            <w:tcW w:w="547" w:type="pct"/>
            <w:tcBorders>
              <w:bottom w:val="single" w:sz="4" w:space="0" w:color="auto"/>
            </w:tcBorders>
          </w:tcPr>
          <w:p w14:paraId="46F3BA71" w14:textId="77777777" w:rsidR="008A6D82" w:rsidRPr="00DC482C" w:rsidRDefault="008A6D82" w:rsidP="00CB618A">
            <w:pPr>
              <w:rPr>
                <w:rFonts w:ascii="Arial" w:hAnsi="Arial" w:cs="Arial"/>
                <w:b/>
                <w:sz w:val="18"/>
                <w:szCs w:val="20"/>
              </w:rPr>
            </w:pPr>
            <w:r w:rsidRPr="00DC482C">
              <w:rPr>
                <w:rFonts w:ascii="Arial" w:hAnsi="Arial" w:cs="Arial"/>
                <w:b/>
                <w:sz w:val="18"/>
                <w:szCs w:val="20"/>
              </w:rPr>
              <w:t>Variable type</w:t>
            </w:r>
          </w:p>
        </w:tc>
        <w:tc>
          <w:tcPr>
            <w:tcW w:w="1780" w:type="pct"/>
            <w:tcBorders>
              <w:bottom w:val="single" w:sz="4" w:space="0" w:color="auto"/>
            </w:tcBorders>
          </w:tcPr>
          <w:p w14:paraId="0F4463E2" w14:textId="77777777" w:rsidR="008A6D82" w:rsidRPr="00DC482C" w:rsidRDefault="008A6D82" w:rsidP="00CB618A">
            <w:pPr>
              <w:rPr>
                <w:rFonts w:ascii="Arial" w:hAnsi="Arial" w:cs="Arial"/>
                <w:sz w:val="18"/>
                <w:szCs w:val="20"/>
              </w:rPr>
            </w:pPr>
            <w:r w:rsidRPr="00DC482C">
              <w:rPr>
                <w:rFonts w:ascii="Arial" w:hAnsi="Arial" w:cs="Arial"/>
                <w:b/>
                <w:sz w:val="18"/>
                <w:szCs w:val="20"/>
              </w:rPr>
              <w:t>Source, original resolution and processing details</w:t>
            </w:r>
          </w:p>
        </w:tc>
      </w:tr>
      <w:tr w:rsidR="008A6D82" w:rsidRPr="00DC482C" w14:paraId="4D873B0C" w14:textId="77777777" w:rsidTr="00CB618A">
        <w:tc>
          <w:tcPr>
            <w:tcW w:w="891" w:type="pct"/>
            <w:tcBorders>
              <w:right w:val="nil"/>
            </w:tcBorders>
          </w:tcPr>
          <w:p w14:paraId="3EB7E0C5" w14:textId="77777777" w:rsidR="008A6D82" w:rsidRPr="00DC482C" w:rsidRDefault="008A6D82" w:rsidP="00CB618A">
            <w:pPr>
              <w:rPr>
                <w:rFonts w:ascii="Arial" w:hAnsi="Arial" w:cs="Arial"/>
                <w:i/>
                <w:sz w:val="18"/>
                <w:szCs w:val="20"/>
              </w:rPr>
            </w:pPr>
            <w:r w:rsidRPr="00DC482C">
              <w:rPr>
                <w:rFonts w:ascii="Arial" w:hAnsi="Arial" w:cs="Arial"/>
                <w:i/>
                <w:sz w:val="18"/>
                <w:szCs w:val="20"/>
              </w:rPr>
              <w:t>Region-level</w:t>
            </w:r>
          </w:p>
        </w:tc>
        <w:tc>
          <w:tcPr>
            <w:tcW w:w="1782" w:type="pct"/>
            <w:tcBorders>
              <w:left w:val="nil"/>
              <w:right w:val="nil"/>
            </w:tcBorders>
          </w:tcPr>
          <w:p w14:paraId="2F36BA63" w14:textId="77777777" w:rsidR="008A6D82" w:rsidRPr="00DC482C" w:rsidRDefault="008A6D82" w:rsidP="00CB618A">
            <w:pPr>
              <w:rPr>
                <w:rFonts w:ascii="Arial" w:hAnsi="Arial" w:cs="Arial"/>
                <w:sz w:val="18"/>
                <w:szCs w:val="20"/>
              </w:rPr>
            </w:pPr>
          </w:p>
        </w:tc>
        <w:tc>
          <w:tcPr>
            <w:tcW w:w="547" w:type="pct"/>
            <w:tcBorders>
              <w:left w:val="nil"/>
              <w:right w:val="nil"/>
            </w:tcBorders>
          </w:tcPr>
          <w:p w14:paraId="6199331E" w14:textId="77777777" w:rsidR="008A6D82" w:rsidRPr="00DC482C" w:rsidRDefault="008A6D82" w:rsidP="00CB618A">
            <w:pPr>
              <w:rPr>
                <w:rFonts w:ascii="Arial" w:hAnsi="Arial" w:cs="Arial"/>
                <w:sz w:val="18"/>
                <w:szCs w:val="20"/>
              </w:rPr>
            </w:pPr>
          </w:p>
        </w:tc>
        <w:tc>
          <w:tcPr>
            <w:tcW w:w="1780" w:type="pct"/>
            <w:tcBorders>
              <w:left w:val="nil"/>
            </w:tcBorders>
          </w:tcPr>
          <w:p w14:paraId="4D4AE6DB" w14:textId="77777777" w:rsidR="008A6D82" w:rsidRPr="00DC482C" w:rsidRDefault="008A6D82" w:rsidP="00CB618A">
            <w:pPr>
              <w:rPr>
                <w:rFonts w:ascii="Arial" w:hAnsi="Arial" w:cs="Arial"/>
                <w:sz w:val="18"/>
                <w:szCs w:val="20"/>
              </w:rPr>
            </w:pPr>
          </w:p>
        </w:tc>
      </w:tr>
      <w:tr w:rsidR="008A6D82" w:rsidRPr="00DC482C" w14:paraId="4A71069B" w14:textId="77777777" w:rsidTr="00CB618A">
        <w:tc>
          <w:tcPr>
            <w:tcW w:w="891" w:type="pct"/>
          </w:tcPr>
          <w:p w14:paraId="57F10CE1" w14:textId="77777777" w:rsidR="008A6D82" w:rsidRPr="00DC482C" w:rsidRDefault="008A6D82" w:rsidP="00CB618A">
            <w:pPr>
              <w:rPr>
                <w:rFonts w:ascii="Arial" w:hAnsi="Arial" w:cs="Arial"/>
                <w:sz w:val="18"/>
                <w:szCs w:val="20"/>
              </w:rPr>
            </w:pPr>
            <w:r w:rsidRPr="00DC482C">
              <w:rPr>
                <w:rFonts w:ascii="Arial" w:hAnsi="Arial" w:cs="Arial"/>
                <w:sz w:val="18"/>
                <w:szCs w:val="20"/>
              </w:rPr>
              <w:t>Precipitation</w:t>
            </w:r>
          </w:p>
        </w:tc>
        <w:tc>
          <w:tcPr>
            <w:tcW w:w="1782" w:type="pct"/>
          </w:tcPr>
          <w:p w14:paraId="5588058E" w14:textId="77777777" w:rsidR="008A6D82" w:rsidRPr="00DC482C" w:rsidRDefault="008A6D82" w:rsidP="00CB618A">
            <w:pPr>
              <w:rPr>
                <w:rFonts w:ascii="Arial" w:hAnsi="Arial" w:cs="Arial"/>
                <w:sz w:val="18"/>
                <w:szCs w:val="20"/>
              </w:rPr>
            </w:pPr>
            <w:r w:rsidRPr="00DC482C">
              <w:rPr>
                <w:rFonts w:ascii="Arial" w:hAnsi="Arial" w:cs="Arial"/>
                <w:sz w:val="18"/>
                <w:szCs w:val="20"/>
              </w:rPr>
              <w:t>Can increase runoff and carry agricultural runoff to ponds in agricultural areas. Could also serve to ‘flush out’ ponds, which are generally shallow in the UK.</w:t>
            </w:r>
          </w:p>
        </w:tc>
        <w:tc>
          <w:tcPr>
            <w:tcW w:w="547" w:type="pct"/>
          </w:tcPr>
          <w:p w14:paraId="5E49EF0D" w14:textId="77777777" w:rsidR="008A6D82" w:rsidRPr="00DC482C" w:rsidRDefault="008A6D82" w:rsidP="00CB618A">
            <w:pPr>
              <w:rPr>
                <w:rFonts w:ascii="Arial" w:hAnsi="Arial" w:cs="Arial"/>
                <w:sz w:val="18"/>
                <w:szCs w:val="20"/>
              </w:rPr>
            </w:pPr>
            <w:r w:rsidRPr="00DC482C">
              <w:rPr>
                <w:rFonts w:ascii="Arial" w:hAnsi="Arial" w:cs="Arial"/>
                <w:sz w:val="18"/>
                <w:szCs w:val="20"/>
              </w:rPr>
              <w:t>Continuous</w:t>
            </w:r>
          </w:p>
        </w:tc>
        <w:tc>
          <w:tcPr>
            <w:tcW w:w="1780" w:type="pct"/>
          </w:tcPr>
          <w:p w14:paraId="5564B717" w14:textId="77777777" w:rsidR="008A6D82" w:rsidRPr="00DC482C" w:rsidRDefault="008A6D82" w:rsidP="00CB618A">
            <w:pPr>
              <w:rPr>
                <w:rFonts w:ascii="Arial" w:hAnsi="Arial" w:cs="Arial"/>
                <w:sz w:val="18"/>
                <w:szCs w:val="20"/>
              </w:rPr>
            </w:pPr>
            <w:r w:rsidRPr="00DC482C">
              <w:rPr>
                <w:rFonts w:ascii="Arial" w:hAnsi="Arial" w:cs="Arial"/>
                <w:sz w:val="18"/>
                <w:szCs w:val="20"/>
              </w:rPr>
              <w:t xml:space="preserve">UK Met office </w:t>
            </w:r>
          </w:p>
          <w:p w14:paraId="13D0C061" w14:textId="77777777" w:rsidR="008A6D82" w:rsidRPr="00DC482C" w:rsidRDefault="008A6D82" w:rsidP="00CB618A">
            <w:pPr>
              <w:rPr>
                <w:rFonts w:ascii="Arial" w:hAnsi="Arial" w:cs="Arial"/>
                <w:sz w:val="18"/>
                <w:szCs w:val="20"/>
              </w:rPr>
            </w:pPr>
            <w:r w:rsidRPr="00DC482C">
              <w:rPr>
                <w:rFonts w:ascii="Arial" w:hAnsi="Arial" w:cs="Arial"/>
                <w:sz w:val="18"/>
                <w:szCs w:val="20"/>
              </w:rPr>
              <w:t>Average of monthly values across 2006-2007 / mm</w:t>
            </w:r>
            <w:r>
              <w:rPr>
                <w:rFonts w:ascii="Arial" w:hAnsi="Arial" w:cs="Arial"/>
                <w:sz w:val="18"/>
                <w:szCs w:val="20"/>
              </w:rPr>
              <w:t xml:space="preserve"> </w:t>
            </w:r>
            <w:hyperlink r:id="rId27" w:history="1">
              <w:r w:rsidRPr="001734F9">
                <w:rPr>
                  <w:rStyle w:val="Hyperlink"/>
                  <w:rFonts w:ascii="Arial" w:hAnsi="Arial" w:cs="Arial"/>
                  <w:sz w:val="18"/>
                  <w:szCs w:val="20"/>
                </w:rPr>
                <w:t>https://www.metoffice.gov.uk/climate/uk/data/ukcp09/datasets</w:t>
              </w:r>
            </w:hyperlink>
            <w:r>
              <w:rPr>
                <w:rFonts w:ascii="Arial" w:hAnsi="Arial" w:cs="Arial"/>
                <w:sz w:val="18"/>
                <w:szCs w:val="20"/>
              </w:rPr>
              <w:t xml:space="preserve"> </w:t>
            </w:r>
          </w:p>
        </w:tc>
      </w:tr>
      <w:tr w:rsidR="008A6D82" w:rsidRPr="00DC482C" w14:paraId="386762A3" w14:textId="77777777" w:rsidTr="00CB618A">
        <w:tc>
          <w:tcPr>
            <w:tcW w:w="891" w:type="pct"/>
          </w:tcPr>
          <w:p w14:paraId="6D173914" w14:textId="77777777" w:rsidR="008A6D82" w:rsidRPr="00DC482C" w:rsidRDefault="008A6D82" w:rsidP="00CB618A">
            <w:pPr>
              <w:rPr>
                <w:rFonts w:ascii="Arial" w:hAnsi="Arial" w:cs="Arial"/>
                <w:sz w:val="18"/>
                <w:szCs w:val="20"/>
              </w:rPr>
            </w:pPr>
            <w:r w:rsidRPr="00DC482C">
              <w:rPr>
                <w:rFonts w:ascii="Arial" w:hAnsi="Arial" w:cs="Arial"/>
                <w:sz w:val="18"/>
                <w:szCs w:val="20"/>
              </w:rPr>
              <w:t>Temperature</w:t>
            </w:r>
          </w:p>
        </w:tc>
        <w:tc>
          <w:tcPr>
            <w:tcW w:w="1782" w:type="pct"/>
          </w:tcPr>
          <w:p w14:paraId="2EF5AD20" w14:textId="77777777" w:rsidR="008A6D82" w:rsidRPr="00DC482C" w:rsidRDefault="008A6D82" w:rsidP="00CB618A">
            <w:pPr>
              <w:rPr>
                <w:rFonts w:ascii="Arial" w:hAnsi="Arial" w:cs="Arial"/>
                <w:sz w:val="18"/>
                <w:szCs w:val="20"/>
              </w:rPr>
            </w:pPr>
            <w:r w:rsidRPr="00DC482C">
              <w:rPr>
                <w:rFonts w:ascii="Arial" w:hAnsi="Arial" w:cs="Arial"/>
                <w:sz w:val="18"/>
                <w:szCs w:val="20"/>
              </w:rPr>
              <w:t>Many nutrient cycling processes, such as microbially mediated reactions, are affected by temperature.</w:t>
            </w:r>
          </w:p>
        </w:tc>
        <w:tc>
          <w:tcPr>
            <w:tcW w:w="547" w:type="pct"/>
          </w:tcPr>
          <w:p w14:paraId="21FF7E04" w14:textId="77777777" w:rsidR="008A6D82" w:rsidRPr="00DC482C" w:rsidRDefault="008A6D82" w:rsidP="00CB618A">
            <w:pPr>
              <w:rPr>
                <w:rFonts w:ascii="Arial" w:hAnsi="Arial" w:cs="Arial"/>
                <w:sz w:val="18"/>
                <w:szCs w:val="20"/>
              </w:rPr>
            </w:pPr>
            <w:r w:rsidRPr="00DC482C">
              <w:rPr>
                <w:rFonts w:ascii="Arial" w:hAnsi="Arial" w:cs="Arial"/>
                <w:sz w:val="18"/>
                <w:szCs w:val="20"/>
              </w:rPr>
              <w:t>Continuous</w:t>
            </w:r>
          </w:p>
        </w:tc>
        <w:tc>
          <w:tcPr>
            <w:tcW w:w="1780" w:type="pct"/>
          </w:tcPr>
          <w:p w14:paraId="61922DAD" w14:textId="77777777" w:rsidR="008A6D82" w:rsidRPr="00DC482C" w:rsidRDefault="008A6D82" w:rsidP="00CB618A">
            <w:pPr>
              <w:rPr>
                <w:rFonts w:ascii="Arial" w:hAnsi="Arial" w:cs="Arial"/>
                <w:sz w:val="18"/>
                <w:szCs w:val="20"/>
              </w:rPr>
            </w:pPr>
            <w:r w:rsidRPr="00DC482C">
              <w:rPr>
                <w:rFonts w:ascii="Arial" w:hAnsi="Arial" w:cs="Arial"/>
                <w:sz w:val="18"/>
                <w:szCs w:val="20"/>
              </w:rPr>
              <w:t>UK Met office</w:t>
            </w:r>
          </w:p>
          <w:p w14:paraId="3FEF37F7" w14:textId="77777777" w:rsidR="008A6D82" w:rsidRPr="00DC482C" w:rsidRDefault="008A6D82" w:rsidP="00CB618A">
            <w:pPr>
              <w:rPr>
                <w:rFonts w:ascii="Arial" w:hAnsi="Arial" w:cs="Arial"/>
                <w:sz w:val="18"/>
                <w:szCs w:val="20"/>
              </w:rPr>
            </w:pPr>
          </w:p>
          <w:p w14:paraId="5742CAB5" w14:textId="77777777" w:rsidR="008A6D82" w:rsidRPr="00DC482C" w:rsidRDefault="008A6D82" w:rsidP="00CB618A">
            <w:pPr>
              <w:rPr>
                <w:rFonts w:ascii="Arial" w:hAnsi="Arial" w:cs="Arial"/>
                <w:sz w:val="18"/>
                <w:szCs w:val="20"/>
              </w:rPr>
            </w:pPr>
            <w:r w:rsidRPr="00DC482C">
              <w:rPr>
                <w:rFonts w:ascii="Arial" w:hAnsi="Arial" w:cs="Arial"/>
                <w:sz w:val="18"/>
                <w:szCs w:val="20"/>
              </w:rPr>
              <w:t>Average of mon</w:t>
            </w:r>
            <w:r>
              <w:rPr>
                <w:rFonts w:ascii="Arial" w:hAnsi="Arial" w:cs="Arial"/>
                <w:sz w:val="18"/>
                <w:szCs w:val="20"/>
              </w:rPr>
              <w:t xml:space="preserve">thly values across 2006-2007 / °C </w:t>
            </w:r>
            <w:hyperlink r:id="rId28" w:history="1">
              <w:r w:rsidRPr="001734F9">
                <w:rPr>
                  <w:rStyle w:val="Hyperlink"/>
                  <w:rFonts w:ascii="Arial" w:hAnsi="Arial" w:cs="Arial"/>
                  <w:sz w:val="18"/>
                  <w:szCs w:val="20"/>
                </w:rPr>
                <w:t>https://www.metoffice.gov.uk/climate/uk/data/ukcp09/datasets</w:t>
              </w:r>
            </w:hyperlink>
            <w:r>
              <w:rPr>
                <w:rFonts w:ascii="Arial" w:hAnsi="Arial" w:cs="Arial"/>
                <w:sz w:val="18"/>
                <w:szCs w:val="20"/>
              </w:rPr>
              <w:t xml:space="preserve"> </w:t>
            </w:r>
          </w:p>
        </w:tc>
      </w:tr>
      <w:tr w:rsidR="008A6D82" w:rsidRPr="00DC482C" w14:paraId="59725BD1" w14:textId="77777777" w:rsidTr="00CB618A">
        <w:tc>
          <w:tcPr>
            <w:tcW w:w="891" w:type="pct"/>
          </w:tcPr>
          <w:p w14:paraId="713FDBBB" w14:textId="77777777" w:rsidR="008A6D82" w:rsidRPr="00DC482C" w:rsidRDefault="008A6D82" w:rsidP="00CB618A">
            <w:pPr>
              <w:rPr>
                <w:rFonts w:ascii="Arial" w:hAnsi="Arial" w:cs="Arial"/>
                <w:sz w:val="18"/>
                <w:szCs w:val="20"/>
              </w:rPr>
            </w:pPr>
            <w:r w:rsidRPr="00DC482C">
              <w:rPr>
                <w:rFonts w:ascii="Arial" w:hAnsi="Arial" w:cs="Arial"/>
                <w:sz w:val="18"/>
                <w:szCs w:val="20"/>
              </w:rPr>
              <w:t>Slope</w:t>
            </w:r>
          </w:p>
        </w:tc>
        <w:tc>
          <w:tcPr>
            <w:tcW w:w="1782" w:type="pct"/>
          </w:tcPr>
          <w:p w14:paraId="39DD90F1" w14:textId="77777777" w:rsidR="008A6D82" w:rsidRPr="00DC482C" w:rsidRDefault="008A6D82" w:rsidP="00CB618A">
            <w:pPr>
              <w:rPr>
                <w:rFonts w:ascii="Arial" w:hAnsi="Arial" w:cs="Arial"/>
                <w:sz w:val="18"/>
                <w:szCs w:val="20"/>
              </w:rPr>
            </w:pPr>
            <w:r w:rsidRPr="00DC482C">
              <w:rPr>
                <w:rFonts w:ascii="Arial" w:hAnsi="Arial" w:cs="Arial"/>
                <w:sz w:val="18"/>
                <w:szCs w:val="20"/>
              </w:rPr>
              <w:t>High slopes can exacerbate agricultural runoff.</w:t>
            </w:r>
          </w:p>
        </w:tc>
        <w:tc>
          <w:tcPr>
            <w:tcW w:w="547" w:type="pct"/>
          </w:tcPr>
          <w:p w14:paraId="040E38B5" w14:textId="77777777" w:rsidR="008A6D82" w:rsidRPr="00DC482C" w:rsidRDefault="008A6D82" w:rsidP="00CB618A">
            <w:pPr>
              <w:rPr>
                <w:rFonts w:ascii="Arial" w:hAnsi="Arial" w:cs="Arial"/>
                <w:sz w:val="18"/>
                <w:szCs w:val="20"/>
              </w:rPr>
            </w:pPr>
            <w:r w:rsidRPr="00DC482C">
              <w:rPr>
                <w:rFonts w:ascii="Arial" w:hAnsi="Arial" w:cs="Arial"/>
                <w:sz w:val="18"/>
                <w:szCs w:val="20"/>
              </w:rPr>
              <w:t>Continuous</w:t>
            </w:r>
          </w:p>
        </w:tc>
        <w:tc>
          <w:tcPr>
            <w:tcW w:w="1780" w:type="pct"/>
          </w:tcPr>
          <w:p w14:paraId="30A23259" w14:textId="77777777" w:rsidR="008A6D82" w:rsidRPr="00DC482C" w:rsidRDefault="008A6D82" w:rsidP="00CB618A">
            <w:pPr>
              <w:rPr>
                <w:rFonts w:ascii="Arial" w:hAnsi="Arial" w:cs="Arial"/>
                <w:sz w:val="18"/>
                <w:szCs w:val="20"/>
              </w:rPr>
            </w:pPr>
            <w:r w:rsidRPr="00DC482C">
              <w:rPr>
                <w:rFonts w:ascii="Arial" w:hAnsi="Arial" w:cs="Arial"/>
                <w:sz w:val="18"/>
                <w:szCs w:val="20"/>
              </w:rPr>
              <w:t xml:space="preserve">OS Terrain 50, available at 50-m resolution </w:t>
            </w:r>
            <w:hyperlink r:id="rId29" w:history="1">
              <w:r w:rsidRPr="00DC482C">
                <w:rPr>
                  <w:rStyle w:val="Hyperlink"/>
                  <w:rFonts w:ascii="Arial" w:hAnsi="Arial" w:cs="Arial"/>
                  <w:sz w:val="18"/>
                  <w:szCs w:val="20"/>
                </w:rPr>
                <w:t>https://www.ordnancesurvey.co.uk/xml/products/OSTerrain50Grid.xml</w:t>
              </w:r>
            </w:hyperlink>
            <w:r w:rsidRPr="00DC482C">
              <w:rPr>
                <w:rFonts w:ascii="Arial" w:hAnsi="Arial" w:cs="Arial"/>
                <w:sz w:val="18"/>
                <w:szCs w:val="20"/>
              </w:rPr>
              <w:t xml:space="preserve">   </w:t>
            </w:r>
          </w:p>
        </w:tc>
      </w:tr>
      <w:tr w:rsidR="008A6D82" w:rsidRPr="00DC482C" w14:paraId="4DE619F1" w14:textId="77777777" w:rsidTr="00CB618A">
        <w:tc>
          <w:tcPr>
            <w:tcW w:w="891" w:type="pct"/>
          </w:tcPr>
          <w:p w14:paraId="133958D0" w14:textId="77777777" w:rsidR="008A6D82" w:rsidRPr="00DC482C" w:rsidRDefault="008A6D82" w:rsidP="00CB618A">
            <w:pPr>
              <w:rPr>
                <w:rFonts w:ascii="Arial" w:hAnsi="Arial" w:cs="Arial"/>
                <w:sz w:val="18"/>
                <w:szCs w:val="20"/>
              </w:rPr>
            </w:pPr>
            <w:r w:rsidRPr="00DC482C">
              <w:rPr>
                <w:rFonts w:ascii="Arial" w:hAnsi="Arial" w:cs="Arial"/>
                <w:sz w:val="18"/>
                <w:szCs w:val="20"/>
              </w:rPr>
              <w:t>Soil</w:t>
            </w:r>
          </w:p>
        </w:tc>
        <w:tc>
          <w:tcPr>
            <w:tcW w:w="1782" w:type="pct"/>
          </w:tcPr>
          <w:p w14:paraId="1A10EF05" w14:textId="77777777" w:rsidR="008A6D82" w:rsidRPr="00DC482C" w:rsidRDefault="008A6D82" w:rsidP="00CB618A">
            <w:pPr>
              <w:rPr>
                <w:rFonts w:ascii="Arial" w:hAnsi="Arial" w:cs="Arial"/>
                <w:sz w:val="18"/>
                <w:szCs w:val="20"/>
              </w:rPr>
            </w:pPr>
            <w:r w:rsidRPr="00DC482C">
              <w:rPr>
                <w:rFonts w:ascii="Arial" w:hAnsi="Arial" w:cs="Arial"/>
                <w:sz w:val="18"/>
                <w:szCs w:val="20"/>
              </w:rPr>
              <w:t>SRP is more susceptible to leaching in light sandy soils, and so is more likely to flow into ponds that are surrounded by intensive agriculture.</w:t>
            </w:r>
          </w:p>
        </w:tc>
        <w:tc>
          <w:tcPr>
            <w:tcW w:w="547" w:type="pct"/>
          </w:tcPr>
          <w:p w14:paraId="16AE42EC" w14:textId="77777777" w:rsidR="008A6D82" w:rsidRPr="00DC482C" w:rsidRDefault="008A6D82" w:rsidP="00CB618A">
            <w:pPr>
              <w:rPr>
                <w:rFonts w:ascii="Arial" w:hAnsi="Arial" w:cs="Arial"/>
                <w:sz w:val="18"/>
                <w:szCs w:val="20"/>
              </w:rPr>
            </w:pPr>
            <w:r w:rsidRPr="00DC482C">
              <w:rPr>
                <w:rFonts w:ascii="Arial" w:hAnsi="Arial" w:cs="Arial"/>
                <w:sz w:val="18"/>
                <w:szCs w:val="20"/>
              </w:rPr>
              <w:t>Continuous</w:t>
            </w:r>
          </w:p>
        </w:tc>
        <w:tc>
          <w:tcPr>
            <w:tcW w:w="1780" w:type="pct"/>
          </w:tcPr>
          <w:p w14:paraId="364A22BD" w14:textId="77777777" w:rsidR="008A6D82" w:rsidRPr="00DC482C" w:rsidRDefault="008A6D82" w:rsidP="00CB618A">
            <w:pPr>
              <w:rPr>
                <w:rFonts w:ascii="Arial" w:hAnsi="Arial" w:cs="Arial"/>
                <w:sz w:val="18"/>
                <w:szCs w:val="20"/>
              </w:rPr>
            </w:pPr>
            <w:r w:rsidRPr="00DC482C">
              <w:rPr>
                <w:rFonts w:ascii="Arial" w:hAnsi="Arial" w:cs="Arial"/>
                <w:sz w:val="18"/>
                <w:szCs w:val="20"/>
              </w:rPr>
              <w:t>Soil Parent Material Model (PMM) gives a soil classification at a resolution at 1-km. Proportion of 10-km square covered by soils classified as ‘light’ by the Soil Parent Material Model (PMM)</w:t>
            </w:r>
            <w:r>
              <w:rPr>
                <w:rFonts w:ascii="Arial" w:hAnsi="Arial" w:cs="Arial"/>
                <w:sz w:val="18"/>
                <w:szCs w:val="20"/>
              </w:rPr>
              <w:t xml:space="preserve"> </w:t>
            </w:r>
            <w:hyperlink r:id="rId30" w:history="1">
              <w:r w:rsidRPr="001734F9">
                <w:rPr>
                  <w:rStyle w:val="Hyperlink"/>
                  <w:rFonts w:ascii="Arial" w:hAnsi="Arial" w:cs="Arial"/>
                  <w:sz w:val="18"/>
                  <w:szCs w:val="20"/>
                </w:rPr>
                <w:t>https://www.bgs.ac.uk/products/onshore/soilPMM.html</w:t>
              </w:r>
            </w:hyperlink>
            <w:r>
              <w:rPr>
                <w:rFonts w:ascii="Arial" w:hAnsi="Arial" w:cs="Arial"/>
                <w:sz w:val="18"/>
                <w:szCs w:val="20"/>
              </w:rPr>
              <w:t xml:space="preserve"> </w:t>
            </w:r>
          </w:p>
          <w:p w14:paraId="55237FAE" w14:textId="77777777" w:rsidR="008A6D82" w:rsidRPr="00DC482C" w:rsidRDefault="008A6D82" w:rsidP="00CB618A">
            <w:pPr>
              <w:rPr>
                <w:rFonts w:ascii="Arial" w:hAnsi="Arial" w:cs="Arial"/>
                <w:sz w:val="18"/>
                <w:szCs w:val="20"/>
              </w:rPr>
            </w:pPr>
          </w:p>
        </w:tc>
      </w:tr>
      <w:tr w:rsidR="008A6D82" w:rsidRPr="00DC482C" w14:paraId="79B2DCB0" w14:textId="77777777" w:rsidTr="00CB618A">
        <w:tc>
          <w:tcPr>
            <w:tcW w:w="891" w:type="pct"/>
          </w:tcPr>
          <w:p w14:paraId="0F7E0354" w14:textId="77777777" w:rsidR="008A6D82" w:rsidRPr="00DC482C" w:rsidRDefault="008A6D82" w:rsidP="00CB618A">
            <w:pPr>
              <w:rPr>
                <w:rFonts w:ascii="Arial" w:hAnsi="Arial" w:cs="Arial"/>
                <w:sz w:val="18"/>
                <w:szCs w:val="20"/>
              </w:rPr>
            </w:pPr>
            <w:r w:rsidRPr="00DC482C">
              <w:rPr>
                <w:rFonts w:ascii="Arial" w:hAnsi="Arial" w:cs="Arial"/>
                <w:sz w:val="18"/>
                <w:szCs w:val="20"/>
              </w:rPr>
              <w:t>Atmospheric nitrate deposition</w:t>
            </w:r>
          </w:p>
        </w:tc>
        <w:tc>
          <w:tcPr>
            <w:tcW w:w="1782" w:type="pct"/>
            <w:tcBorders>
              <w:bottom w:val="single" w:sz="4" w:space="0" w:color="auto"/>
            </w:tcBorders>
          </w:tcPr>
          <w:p w14:paraId="705259A5" w14:textId="77777777" w:rsidR="008A6D82" w:rsidRPr="00DC482C" w:rsidRDefault="008A6D82" w:rsidP="00CB618A">
            <w:pPr>
              <w:rPr>
                <w:rFonts w:ascii="Arial" w:hAnsi="Arial" w:cs="Arial"/>
                <w:sz w:val="18"/>
                <w:szCs w:val="20"/>
              </w:rPr>
            </w:pPr>
            <w:r w:rsidRPr="00DC482C">
              <w:rPr>
                <w:rFonts w:ascii="Arial" w:hAnsi="Arial" w:cs="Arial"/>
                <w:sz w:val="18"/>
                <w:szCs w:val="20"/>
              </w:rPr>
              <w:t>Atmospheric deposition can be a significant source of nitrogen, which can affect N:P, ratios and so the concentration of SRP.</w:t>
            </w:r>
          </w:p>
        </w:tc>
        <w:tc>
          <w:tcPr>
            <w:tcW w:w="547" w:type="pct"/>
            <w:tcBorders>
              <w:bottom w:val="single" w:sz="4" w:space="0" w:color="auto"/>
            </w:tcBorders>
          </w:tcPr>
          <w:p w14:paraId="22460E9F" w14:textId="77777777" w:rsidR="008A6D82" w:rsidRPr="00DC482C" w:rsidRDefault="008A6D82" w:rsidP="00CB618A">
            <w:pPr>
              <w:rPr>
                <w:rFonts w:ascii="Arial" w:hAnsi="Arial" w:cs="Arial"/>
                <w:sz w:val="18"/>
                <w:szCs w:val="20"/>
              </w:rPr>
            </w:pPr>
            <w:r w:rsidRPr="00DC482C">
              <w:rPr>
                <w:rFonts w:ascii="Arial" w:hAnsi="Arial" w:cs="Arial"/>
                <w:sz w:val="18"/>
                <w:szCs w:val="20"/>
              </w:rPr>
              <w:t>Continuous</w:t>
            </w:r>
          </w:p>
        </w:tc>
        <w:tc>
          <w:tcPr>
            <w:tcW w:w="1780" w:type="pct"/>
            <w:tcBorders>
              <w:bottom w:val="single" w:sz="4" w:space="0" w:color="auto"/>
            </w:tcBorders>
          </w:tcPr>
          <w:p w14:paraId="74ABB104" w14:textId="77777777" w:rsidR="008A6D82" w:rsidRPr="00DC482C" w:rsidRDefault="008A6D82" w:rsidP="00CB618A">
            <w:pPr>
              <w:rPr>
                <w:rFonts w:ascii="Arial" w:hAnsi="Arial" w:cs="Arial"/>
                <w:sz w:val="18"/>
                <w:szCs w:val="20"/>
              </w:rPr>
            </w:pPr>
            <w:r w:rsidRPr="00DC482C">
              <w:rPr>
                <w:rFonts w:ascii="Arial" w:hAnsi="Arial" w:cs="Arial"/>
                <w:sz w:val="18"/>
                <w:szCs w:val="20"/>
              </w:rPr>
              <w:t xml:space="preserve">Deposition maps for the UK are available at a resolution of 5km from UK Pollution Deposition. 2006-2007 average values were used for wet nitrates. Available online </w:t>
            </w:r>
            <w:hyperlink r:id="rId31" w:history="1">
              <w:r w:rsidRPr="00DC482C">
                <w:rPr>
                  <w:rStyle w:val="Hyperlink"/>
                  <w:rFonts w:ascii="Arial" w:hAnsi="Arial" w:cs="Arial"/>
                  <w:sz w:val="18"/>
                  <w:szCs w:val="20"/>
                </w:rPr>
                <w:t>http://www.pollutantdeposition.ceh.ac.uk/</w:t>
              </w:r>
            </w:hyperlink>
            <w:r w:rsidRPr="00DC482C">
              <w:rPr>
                <w:rFonts w:ascii="Arial" w:hAnsi="Arial" w:cs="Arial"/>
                <w:sz w:val="18"/>
                <w:szCs w:val="20"/>
              </w:rPr>
              <w:t xml:space="preserve"> </w:t>
            </w:r>
          </w:p>
        </w:tc>
      </w:tr>
      <w:tr w:rsidR="008A6D82" w:rsidRPr="00DC482C" w14:paraId="4AFC1AEB" w14:textId="77777777" w:rsidTr="00CB618A">
        <w:tc>
          <w:tcPr>
            <w:tcW w:w="891" w:type="pct"/>
            <w:tcBorders>
              <w:right w:val="nil"/>
            </w:tcBorders>
          </w:tcPr>
          <w:p w14:paraId="5DC93E0D" w14:textId="77777777" w:rsidR="008A6D82" w:rsidRPr="00DC482C" w:rsidRDefault="008A6D82" w:rsidP="00CB618A">
            <w:pPr>
              <w:rPr>
                <w:rFonts w:ascii="Arial" w:hAnsi="Arial" w:cs="Arial"/>
                <w:i/>
                <w:sz w:val="18"/>
                <w:szCs w:val="20"/>
              </w:rPr>
            </w:pPr>
            <w:r w:rsidRPr="00DC482C">
              <w:rPr>
                <w:rFonts w:ascii="Arial" w:hAnsi="Arial" w:cs="Arial"/>
                <w:i/>
                <w:sz w:val="18"/>
                <w:szCs w:val="20"/>
              </w:rPr>
              <w:t>Landscape-level</w:t>
            </w:r>
          </w:p>
        </w:tc>
        <w:tc>
          <w:tcPr>
            <w:tcW w:w="1782" w:type="pct"/>
            <w:tcBorders>
              <w:left w:val="nil"/>
              <w:right w:val="nil"/>
            </w:tcBorders>
          </w:tcPr>
          <w:p w14:paraId="0C5E6B24" w14:textId="77777777" w:rsidR="008A6D82" w:rsidRPr="00DC482C" w:rsidRDefault="008A6D82" w:rsidP="00CB618A">
            <w:pPr>
              <w:rPr>
                <w:rFonts w:ascii="Arial" w:hAnsi="Arial" w:cs="Arial"/>
                <w:sz w:val="18"/>
                <w:szCs w:val="20"/>
              </w:rPr>
            </w:pPr>
          </w:p>
        </w:tc>
        <w:tc>
          <w:tcPr>
            <w:tcW w:w="547" w:type="pct"/>
            <w:tcBorders>
              <w:left w:val="nil"/>
              <w:right w:val="nil"/>
            </w:tcBorders>
          </w:tcPr>
          <w:p w14:paraId="1D410591" w14:textId="77777777" w:rsidR="008A6D82" w:rsidRPr="00DC482C" w:rsidRDefault="008A6D82" w:rsidP="00CB618A">
            <w:pPr>
              <w:rPr>
                <w:rFonts w:ascii="Arial" w:hAnsi="Arial" w:cs="Arial"/>
                <w:sz w:val="18"/>
                <w:szCs w:val="20"/>
              </w:rPr>
            </w:pPr>
          </w:p>
        </w:tc>
        <w:tc>
          <w:tcPr>
            <w:tcW w:w="1780" w:type="pct"/>
            <w:tcBorders>
              <w:left w:val="nil"/>
            </w:tcBorders>
          </w:tcPr>
          <w:p w14:paraId="627F5C12" w14:textId="77777777" w:rsidR="008A6D82" w:rsidRPr="00DC482C" w:rsidRDefault="008A6D82" w:rsidP="00CB618A">
            <w:pPr>
              <w:rPr>
                <w:rFonts w:ascii="Arial" w:hAnsi="Arial" w:cs="Arial"/>
                <w:sz w:val="18"/>
                <w:szCs w:val="20"/>
              </w:rPr>
            </w:pPr>
          </w:p>
        </w:tc>
      </w:tr>
      <w:tr w:rsidR="008A6D82" w:rsidRPr="00DC482C" w14:paraId="261C9EAD" w14:textId="77777777" w:rsidTr="00CB618A">
        <w:tc>
          <w:tcPr>
            <w:tcW w:w="891" w:type="pct"/>
          </w:tcPr>
          <w:p w14:paraId="44A1974A" w14:textId="77777777" w:rsidR="008A6D82" w:rsidRPr="00DC482C" w:rsidRDefault="008A6D82" w:rsidP="00CB618A">
            <w:pPr>
              <w:rPr>
                <w:rFonts w:ascii="Arial" w:hAnsi="Arial" w:cs="Arial"/>
                <w:sz w:val="18"/>
                <w:szCs w:val="20"/>
              </w:rPr>
            </w:pPr>
            <w:r w:rsidRPr="00DC482C">
              <w:rPr>
                <w:rFonts w:ascii="Arial" w:hAnsi="Arial" w:cs="Arial"/>
                <w:sz w:val="18"/>
                <w:szCs w:val="20"/>
              </w:rPr>
              <w:t>Source cover landscape metrics</w:t>
            </w:r>
          </w:p>
        </w:tc>
        <w:tc>
          <w:tcPr>
            <w:tcW w:w="1782" w:type="pct"/>
          </w:tcPr>
          <w:p w14:paraId="0635DDA2" w14:textId="77777777" w:rsidR="008A6D82" w:rsidRPr="00DC482C" w:rsidRDefault="008A6D82" w:rsidP="00CB618A">
            <w:pPr>
              <w:rPr>
                <w:rFonts w:ascii="Arial" w:hAnsi="Arial" w:cs="Arial"/>
                <w:sz w:val="18"/>
                <w:szCs w:val="20"/>
              </w:rPr>
            </w:pPr>
            <w:r w:rsidRPr="00DC482C">
              <w:rPr>
                <w:rFonts w:ascii="Arial" w:hAnsi="Arial" w:cs="Arial"/>
                <w:sz w:val="18"/>
                <w:szCs w:val="20"/>
              </w:rPr>
              <w:t>Intensive land covers including arable and improved grasslands are sources of P.</w:t>
            </w:r>
          </w:p>
        </w:tc>
        <w:tc>
          <w:tcPr>
            <w:tcW w:w="547" w:type="pct"/>
          </w:tcPr>
          <w:p w14:paraId="5B844AF8" w14:textId="77777777" w:rsidR="008A6D82" w:rsidRPr="00DC482C" w:rsidRDefault="008A6D82" w:rsidP="00CB618A">
            <w:pPr>
              <w:rPr>
                <w:rFonts w:ascii="Arial" w:hAnsi="Arial" w:cs="Arial"/>
                <w:sz w:val="18"/>
                <w:szCs w:val="20"/>
              </w:rPr>
            </w:pPr>
            <w:r w:rsidRPr="00DC482C">
              <w:rPr>
                <w:rFonts w:ascii="Arial" w:hAnsi="Arial" w:cs="Arial"/>
                <w:sz w:val="18"/>
                <w:szCs w:val="20"/>
              </w:rPr>
              <w:t>Continuous</w:t>
            </w:r>
          </w:p>
        </w:tc>
        <w:tc>
          <w:tcPr>
            <w:tcW w:w="1780" w:type="pct"/>
          </w:tcPr>
          <w:p w14:paraId="7D3CF1FE" w14:textId="77777777" w:rsidR="008A6D82" w:rsidRPr="00DC482C" w:rsidRDefault="008A6D82" w:rsidP="00CB618A">
            <w:pPr>
              <w:rPr>
                <w:rFonts w:ascii="Arial" w:hAnsi="Arial" w:cs="Arial"/>
                <w:sz w:val="18"/>
                <w:szCs w:val="20"/>
              </w:rPr>
            </w:pPr>
            <w:r w:rsidRPr="00DC482C">
              <w:rPr>
                <w:rFonts w:ascii="Arial" w:hAnsi="Arial" w:cs="Arial"/>
                <w:sz w:val="18"/>
                <w:szCs w:val="20"/>
              </w:rPr>
              <w:t>LCM2007. Calculated in buffers of varying extents surrounding ponds.</w:t>
            </w:r>
            <w:r>
              <w:rPr>
                <w:rFonts w:ascii="Arial" w:hAnsi="Arial" w:cs="Arial"/>
                <w:sz w:val="18"/>
                <w:szCs w:val="20"/>
              </w:rPr>
              <w:t xml:space="preserve"> </w:t>
            </w:r>
            <w:hyperlink r:id="rId32" w:history="1">
              <w:r w:rsidRPr="001734F9">
                <w:rPr>
                  <w:rStyle w:val="Hyperlink"/>
                  <w:rFonts w:ascii="Arial" w:hAnsi="Arial" w:cs="Arial"/>
                  <w:sz w:val="18"/>
                  <w:szCs w:val="20"/>
                </w:rPr>
                <w:t>https://digimap.edina.ac.uk/webhelp/environment/data_information/lcm2007.htm</w:t>
              </w:r>
            </w:hyperlink>
            <w:r>
              <w:rPr>
                <w:rFonts w:ascii="Arial" w:hAnsi="Arial" w:cs="Arial"/>
                <w:sz w:val="18"/>
                <w:szCs w:val="20"/>
              </w:rPr>
              <w:t xml:space="preserve"> </w:t>
            </w:r>
          </w:p>
        </w:tc>
      </w:tr>
      <w:tr w:rsidR="008A6D82" w:rsidRPr="00DC482C" w14:paraId="39705CD3" w14:textId="77777777" w:rsidTr="00CB618A">
        <w:tc>
          <w:tcPr>
            <w:tcW w:w="891" w:type="pct"/>
          </w:tcPr>
          <w:p w14:paraId="33002100" w14:textId="77777777" w:rsidR="008A6D82" w:rsidRPr="00DC482C" w:rsidRDefault="008A6D82" w:rsidP="00CB618A">
            <w:pPr>
              <w:rPr>
                <w:rFonts w:ascii="Arial" w:hAnsi="Arial" w:cs="Arial"/>
                <w:sz w:val="18"/>
                <w:szCs w:val="20"/>
              </w:rPr>
            </w:pPr>
            <w:r w:rsidRPr="00DC482C">
              <w:rPr>
                <w:rFonts w:ascii="Arial" w:hAnsi="Arial" w:cs="Arial"/>
                <w:sz w:val="18"/>
                <w:szCs w:val="20"/>
              </w:rPr>
              <w:t>Sink cover landscape metrics</w:t>
            </w:r>
          </w:p>
        </w:tc>
        <w:tc>
          <w:tcPr>
            <w:tcW w:w="1782" w:type="pct"/>
          </w:tcPr>
          <w:p w14:paraId="26FEC1C9" w14:textId="77777777" w:rsidR="008A6D82" w:rsidRPr="00DC482C" w:rsidRDefault="008A6D82" w:rsidP="00CB618A">
            <w:pPr>
              <w:rPr>
                <w:rFonts w:ascii="Arial" w:hAnsi="Arial" w:cs="Arial"/>
                <w:sz w:val="18"/>
                <w:szCs w:val="20"/>
              </w:rPr>
            </w:pPr>
            <w:r w:rsidRPr="00DC482C">
              <w:rPr>
                <w:rFonts w:ascii="Arial" w:hAnsi="Arial" w:cs="Arial"/>
                <w:sz w:val="18"/>
                <w:szCs w:val="20"/>
              </w:rPr>
              <w:t>Can reduce agricultural runoff by interception.</w:t>
            </w:r>
          </w:p>
        </w:tc>
        <w:tc>
          <w:tcPr>
            <w:tcW w:w="547" w:type="pct"/>
          </w:tcPr>
          <w:p w14:paraId="165D0C1F" w14:textId="77777777" w:rsidR="008A6D82" w:rsidRPr="00DC482C" w:rsidRDefault="008A6D82" w:rsidP="00CB618A">
            <w:pPr>
              <w:rPr>
                <w:rFonts w:ascii="Arial" w:hAnsi="Arial" w:cs="Arial"/>
                <w:sz w:val="18"/>
                <w:szCs w:val="20"/>
              </w:rPr>
            </w:pPr>
            <w:r w:rsidRPr="00DC482C">
              <w:rPr>
                <w:rFonts w:ascii="Arial" w:hAnsi="Arial" w:cs="Arial"/>
                <w:sz w:val="18"/>
                <w:szCs w:val="20"/>
              </w:rPr>
              <w:t xml:space="preserve">Continuous </w:t>
            </w:r>
          </w:p>
        </w:tc>
        <w:tc>
          <w:tcPr>
            <w:tcW w:w="1780" w:type="pct"/>
          </w:tcPr>
          <w:p w14:paraId="0AA6BB69" w14:textId="77777777" w:rsidR="008A6D82" w:rsidRPr="00DC482C" w:rsidRDefault="008A6D82" w:rsidP="00CB618A">
            <w:pPr>
              <w:rPr>
                <w:rFonts w:ascii="Arial" w:hAnsi="Arial" w:cs="Arial"/>
                <w:sz w:val="18"/>
                <w:szCs w:val="20"/>
              </w:rPr>
            </w:pPr>
            <w:r w:rsidRPr="00DC482C">
              <w:rPr>
                <w:rFonts w:ascii="Arial" w:hAnsi="Arial" w:cs="Arial"/>
                <w:sz w:val="18"/>
                <w:szCs w:val="20"/>
              </w:rPr>
              <w:t>LCM2007</w:t>
            </w:r>
            <w:r>
              <w:rPr>
                <w:rFonts w:ascii="Arial" w:hAnsi="Arial" w:cs="Arial"/>
                <w:sz w:val="18"/>
                <w:szCs w:val="20"/>
              </w:rPr>
              <w:t xml:space="preserve"> </w:t>
            </w:r>
            <w:hyperlink r:id="rId33" w:history="1">
              <w:r w:rsidRPr="001734F9">
                <w:rPr>
                  <w:rStyle w:val="Hyperlink"/>
                  <w:rFonts w:ascii="Arial" w:hAnsi="Arial" w:cs="Arial"/>
                  <w:sz w:val="18"/>
                  <w:szCs w:val="20"/>
                </w:rPr>
                <w:t>https://digimap.edina.ac.uk/webhelp/environment/data_information/lcm2007.htm</w:t>
              </w:r>
            </w:hyperlink>
            <w:r>
              <w:rPr>
                <w:rFonts w:ascii="Arial" w:hAnsi="Arial" w:cs="Arial"/>
                <w:sz w:val="18"/>
                <w:szCs w:val="20"/>
              </w:rPr>
              <w:t xml:space="preserve"> </w:t>
            </w:r>
          </w:p>
        </w:tc>
      </w:tr>
      <w:tr w:rsidR="008A6D82" w:rsidRPr="00DC482C" w14:paraId="7A62CB5E" w14:textId="77777777" w:rsidTr="00CB618A">
        <w:tc>
          <w:tcPr>
            <w:tcW w:w="891" w:type="pct"/>
          </w:tcPr>
          <w:p w14:paraId="26A5CE8A" w14:textId="77777777" w:rsidR="008A6D82" w:rsidRPr="00DC482C" w:rsidRDefault="008A6D82" w:rsidP="00CB618A">
            <w:pPr>
              <w:rPr>
                <w:rFonts w:ascii="Arial" w:hAnsi="Arial" w:cs="Arial"/>
                <w:sz w:val="18"/>
                <w:szCs w:val="20"/>
              </w:rPr>
            </w:pPr>
            <w:r w:rsidRPr="00DC482C">
              <w:rPr>
                <w:rFonts w:ascii="Arial" w:hAnsi="Arial" w:cs="Arial"/>
                <w:sz w:val="18"/>
                <w:szCs w:val="20"/>
              </w:rPr>
              <w:t>Slope (topographic position index)</w:t>
            </w:r>
          </w:p>
        </w:tc>
        <w:tc>
          <w:tcPr>
            <w:tcW w:w="1782" w:type="pct"/>
            <w:tcBorders>
              <w:bottom w:val="single" w:sz="4" w:space="0" w:color="auto"/>
            </w:tcBorders>
          </w:tcPr>
          <w:p w14:paraId="41F14D57" w14:textId="77777777" w:rsidR="008A6D82" w:rsidRPr="00DC482C" w:rsidRDefault="008A6D82" w:rsidP="00CB618A">
            <w:pPr>
              <w:rPr>
                <w:rFonts w:ascii="Arial" w:hAnsi="Arial" w:cs="Arial"/>
                <w:sz w:val="18"/>
                <w:szCs w:val="20"/>
              </w:rPr>
            </w:pPr>
            <w:r w:rsidRPr="00DC482C">
              <w:rPr>
                <w:rFonts w:ascii="Arial" w:hAnsi="Arial" w:cs="Arial"/>
                <w:sz w:val="18"/>
                <w:szCs w:val="20"/>
              </w:rPr>
              <w:t>Ponds with low (negative) TPI values were predicted to be more susceptible to agricultural runoff, if surrounded by intensive land uses.</w:t>
            </w:r>
          </w:p>
        </w:tc>
        <w:tc>
          <w:tcPr>
            <w:tcW w:w="547" w:type="pct"/>
          </w:tcPr>
          <w:p w14:paraId="6130C7D6" w14:textId="77777777" w:rsidR="008A6D82" w:rsidRPr="00DC482C" w:rsidRDefault="008A6D82" w:rsidP="00CB618A">
            <w:pPr>
              <w:rPr>
                <w:rFonts w:ascii="Arial" w:hAnsi="Arial" w:cs="Arial"/>
                <w:sz w:val="18"/>
                <w:szCs w:val="20"/>
              </w:rPr>
            </w:pPr>
            <w:r w:rsidRPr="00DC482C">
              <w:rPr>
                <w:rFonts w:ascii="Arial" w:hAnsi="Arial" w:cs="Arial"/>
                <w:sz w:val="18"/>
                <w:szCs w:val="20"/>
              </w:rPr>
              <w:t>Continuous</w:t>
            </w:r>
          </w:p>
        </w:tc>
        <w:tc>
          <w:tcPr>
            <w:tcW w:w="1780" w:type="pct"/>
          </w:tcPr>
          <w:p w14:paraId="276F56A7" w14:textId="77777777" w:rsidR="008A6D82" w:rsidRPr="00DC482C" w:rsidRDefault="008A6D82" w:rsidP="00CB618A">
            <w:pPr>
              <w:rPr>
                <w:rFonts w:ascii="Arial" w:hAnsi="Arial" w:cs="Arial"/>
                <w:sz w:val="18"/>
                <w:szCs w:val="20"/>
              </w:rPr>
            </w:pPr>
            <w:r w:rsidRPr="00DC482C">
              <w:rPr>
                <w:rFonts w:ascii="Arial" w:hAnsi="Arial" w:cs="Arial"/>
                <w:sz w:val="18"/>
                <w:szCs w:val="20"/>
              </w:rPr>
              <w:t xml:space="preserve">OS Terrain 50, available at 50-m resolution </w:t>
            </w:r>
            <w:hyperlink r:id="rId34" w:history="1">
              <w:r w:rsidRPr="00DC482C">
                <w:rPr>
                  <w:rStyle w:val="Hyperlink"/>
                  <w:rFonts w:ascii="Arial" w:hAnsi="Arial" w:cs="Arial"/>
                  <w:sz w:val="18"/>
                  <w:szCs w:val="20"/>
                </w:rPr>
                <w:t>https://www.ordnancesurvey.co.uk/xml/products/OSTerrain50Grid.xml</w:t>
              </w:r>
            </w:hyperlink>
            <w:r w:rsidRPr="00DC482C">
              <w:rPr>
                <w:rFonts w:ascii="Arial" w:hAnsi="Arial" w:cs="Arial"/>
                <w:sz w:val="18"/>
                <w:szCs w:val="20"/>
              </w:rPr>
              <w:t xml:space="preserve">  </w:t>
            </w:r>
          </w:p>
          <w:p w14:paraId="755C0C72" w14:textId="77777777" w:rsidR="008A6D82" w:rsidRPr="00DC482C" w:rsidRDefault="008A6D82" w:rsidP="00CB618A">
            <w:pPr>
              <w:rPr>
                <w:rFonts w:ascii="Arial" w:hAnsi="Arial" w:cs="Arial"/>
                <w:sz w:val="18"/>
                <w:szCs w:val="20"/>
              </w:rPr>
            </w:pPr>
            <w:r w:rsidRPr="00DC482C">
              <w:rPr>
                <w:rFonts w:ascii="Arial" w:hAnsi="Arial" w:cs="Arial"/>
                <w:sz w:val="18"/>
                <w:szCs w:val="20"/>
              </w:rPr>
              <w:t>A pond’s TPI equals the elevation of the pond minus the mean elevation of the surrounding area - this value can be calculated at multiple extents of the surrounding area.</w:t>
            </w:r>
          </w:p>
          <w:p w14:paraId="67567210" w14:textId="77777777" w:rsidR="008A6D82" w:rsidRPr="00DC482C" w:rsidRDefault="008A6D82" w:rsidP="00CB618A">
            <w:pPr>
              <w:rPr>
                <w:rFonts w:ascii="Arial" w:hAnsi="Arial" w:cs="Arial"/>
                <w:sz w:val="18"/>
                <w:szCs w:val="20"/>
              </w:rPr>
            </w:pPr>
            <w:r w:rsidRPr="00DC482C">
              <w:rPr>
                <w:rFonts w:ascii="Arial" w:hAnsi="Arial" w:cs="Arial"/>
                <w:sz w:val="18"/>
                <w:szCs w:val="20"/>
              </w:rPr>
              <w:t>SRP exhibited a Laplace distribution in relation to TPI, peaking at 0 TPI, so values were converted to absolute values for modelling, and the variable was referred to as ‘slope’.</w:t>
            </w:r>
          </w:p>
        </w:tc>
      </w:tr>
      <w:tr w:rsidR="008A6D82" w:rsidRPr="00DC482C" w14:paraId="19930441" w14:textId="77777777" w:rsidTr="00CB618A">
        <w:tc>
          <w:tcPr>
            <w:tcW w:w="891" w:type="pct"/>
            <w:tcBorders>
              <w:right w:val="nil"/>
            </w:tcBorders>
          </w:tcPr>
          <w:p w14:paraId="3B20C325" w14:textId="77777777" w:rsidR="008A6D82" w:rsidRPr="00DC482C" w:rsidRDefault="008A6D82" w:rsidP="00CB618A">
            <w:pPr>
              <w:rPr>
                <w:rFonts w:ascii="Arial" w:hAnsi="Arial" w:cs="Arial"/>
                <w:i/>
                <w:sz w:val="18"/>
                <w:szCs w:val="20"/>
              </w:rPr>
            </w:pPr>
            <w:r w:rsidRPr="00DC482C">
              <w:rPr>
                <w:rFonts w:ascii="Arial" w:hAnsi="Arial" w:cs="Arial"/>
                <w:i/>
                <w:sz w:val="18"/>
                <w:szCs w:val="20"/>
              </w:rPr>
              <w:t>Local-level</w:t>
            </w:r>
          </w:p>
        </w:tc>
        <w:tc>
          <w:tcPr>
            <w:tcW w:w="1782" w:type="pct"/>
            <w:tcBorders>
              <w:left w:val="nil"/>
              <w:right w:val="nil"/>
            </w:tcBorders>
          </w:tcPr>
          <w:p w14:paraId="72EB2ECA" w14:textId="77777777" w:rsidR="008A6D82" w:rsidRPr="00DC482C" w:rsidRDefault="008A6D82" w:rsidP="00CB618A">
            <w:pPr>
              <w:rPr>
                <w:rFonts w:ascii="Arial" w:hAnsi="Arial" w:cs="Arial"/>
                <w:sz w:val="18"/>
                <w:szCs w:val="20"/>
              </w:rPr>
            </w:pPr>
          </w:p>
        </w:tc>
        <w:tc>
          <w:tcPr>
            <w:tcW w:w="547" w:type="pct"/>
            <w:tcBorders>
              <w:left w:val="nil"/>
              <w:right w:val="nil"/>
            </w:tcBorders>
          </w:tcPr>
          <w:p w14:paraId="436EFF1B" w14:textId="77777777" w:rsidR="008A6D82" w:rsidRPr="00DC482C" w:rsidRDefault="008A6D82" w:rsidP="00CB618A">
            <w:pPr>
              <w:rPr>
                <w:rFonts w:ascii="Arial" w:hAnsi="Arial" w:cs="Arial"/>
                <w:sz w:val="18"/>
                <w:szCs w:val="20"/>
              </w:rPr>
            </w:pPr>
          </w:p>
        </w:tc>
        <w:tc>
          <w:tcPr>
            <w:tcW w:w="1780" w:type="pct"/>
            <w:tcBorders>
              <w:left w:val="nil"/>
            </w:tcBorders>
          </w:tcPr>
          <w:p w14:paraId="143D953D" w14:textId="77777777" w:rsidR="008A6D82" w:rsidRPr="00DC482C" w:rsidRDefault="008A6D82" w:rsidP="00CB618A">
            <w:pPr>
              <w:rPr>
                <w:rFonts w:ascii="Arial" w:hAnsi="Arial" w:cs="Arial"/>
                <w:sz w:val="18"/>
                <w:szCs w:val="20"/>
              </w:rPr>
            </w:pPr>
          </w:p>
        </w:tc>
      </w:tr>
      <w:tr w:rsidR="008A6D82" w:rsidRPr="00DC482C" w14:paraId="30B85A68" w14:textId="77777777" w:rsidTr="00CB618A">
        <w:tc>
          <w:tcPr>
            <w:tcW w:w="891" w:type="pct"/>
          </w:tcPr>
          <w:p w14:paraId="3816E2D8" w14:textId="77777777" w:rsidR="008A6D82" w:rsidRPr="00DC482C" w:rsidRDefault="008A6D82" w:rsidP="00CB618A">
            <w:pPr>
              <w:rPr>
                <w:rFonts w:ascii="Arial" w:hAnsi="Arial" w:cs="Arial"/>
                <w:sz w:val="18"/>
                <w:szCs w:val="20"/>
              </w:rPr>
            </w:pPr>
            <w:r w:rsidRPr="00DC482C">
              <w:rPr>
                <w:rFonts w:ascii="Arial" w:hAnsi="Arial" w:cs="Arial"/>
                <w:sz w:val="18"/>
                <w:szCs w:val="20"/>
              </w:rPr>
              <w:t>Inflow</w:t>
            </w:r>
          </w:p>
        </w:tc>
        <w:tc>
          <w:tcPr>
            <w:tcW w:w="1782" w:type="pct"/>
          </w:tcPr>
          <w:p w14:paraId="610938E8" w14:textId="77777777" w:rsidR="008A6D82" w:rsidRPr="00DC482C" w:rsidRDefault="008A6D82" w:rsidP="00CB618A">
            <w:pPr>
              <w:rPr>
                <w:rFonts w:ascii="Arial" w:hAnsi="Arial" w:cs="Arial"/>
                <w:sz w:val="18"/>
                <w:szCs w:val="20"/>
              </w:rPr>
            </w:pPr>
            <w:r w:rsidRPr="00DC482C">
              <w:rPr>
                <w:rFonts w:ascii="Arial" w:hAnsi="Arial" w:cs="Arial"/>
                <w:sz w:val="18"/>
                <w:szCs w:val="20"/>
              </w:rPr>
              <w:t>Inflows directly link ponds to stream drainage systems and so are inlets of stream-borne pollutants.</w:t>
            </w:r>
          </w:p>
        </w:tc>
        <w:tc>
          <w:tcPr>
            <w:tcW w:w="547" w:type="pct"/>
          </w:tcPr>
          <w:p w14:paraId="39D8FE37" w14:textId="77777777" w:rsidR="008A6D82" w:rsidRPr="00DC482C" w:rsidRDefault="008A6D82" w:rsidP="00CB618A">
            <w:pPr>
              <w:rPr>
                <w:rFonts w:ascii="Arial" w:hAnsi="Arial" w:cs="Arial"/>
                <w:sz w:val="18"/>
                <w:szCs w:val="20"/>
              </w:rPr>
            </w:pPr>
            <w:r w:rsidRPr="00DC482C">
              <w:rPr>
                <w:rFonts w:ascii="Arial" w:hAnsi="Arial" w:cs="Arial"/>
                <w:sz w:val="18"/>
                <w:szCs w:val="20"/>
              </w:rPr>
              <w:t>Binary</w:t>
            </w:r>
          </w:p>
        </w:tc>
        <w:tc>
          <w:tcPr>
            <w:tcW w:w="1780" w:type="pct"/>
          </w:tcPr>
          <w:p w14:paraId="549D46F7" w14:textId="77777777" w:rsidR="008A6D82" w:rsidRPr="00DC482C" w:rsidRDefault="008A6D82" w:rsidP="00CB618A">
            <w:pPr>
              <w:rPr>
                <w:rFonts w:ascii="Arial" w:hAnsi="Arial" w:cs="Arial"/>
                <w:sz w:val="18"/>
                <w:szCs w:val="20"/>
              </w:rPr>
            </w:pPr>
            <w:r w:rsidRPr="00DC482C">
              <w:rPr>
                <w:rFonts w:ascii="Arial" w:hAnsi="Arial" w:cs="Arial"/>
                <w:sz w:val="18"/>
                <w:szCs w:val="20"/>
              </w:rPr>
              <w:t>CS; Presence/absence of wet or dry inflow into pond</w:t>
            </w:r>
          </w:p>
        </w:tc>
      </w:tr>
      <w:tr w:rsidR="008A6D82" w:rsidRPr="00DC482C" w14:paraId="3DCCE2B8" w14:textId="77777777" w:rsidTr="00CB618A">
        <w:tc>
          <w:tcPr>
            <w:tcW w:w="891" w:type="pct"/>
          </w:tcPr>
          <w:p w14:paraId="2B71181B" w14:textId="77777777" w:rsidR="008A6D82" w:rsidRPr="00DC482C" w:rsidRDefault="008A6D82" w:rsidP="00CB618A">
            <w:pPr>
              <w:rPr>
                <w:rFonts w:ascii="Arial" w:hAnsi="Arial" w:cs="Arial"/>
                <w:sz w:val="18"/>
                <w:szCs w:val="20"/>
              </w:rPr>
            </w:pPr>
            <w:r w:rsidRPr="00DC482C">
              <w:rPr>
                <w:rFonts w:ascii="Arial" w:hAnsi="Arial" w:cs="Arial"/>
                <w:sz w:val="18"/>
                <w:szCs w:val="20"/>
              </w:rPr>
              <w:t>Area</w:t>
            </w:r>
          </w:p>
        </w:tc>
        <w:tc>
          <w:tcPr>
            <w:tcW w:w="1782" w:type="pct"/>
          </w:tcPr>
          <w:p w14:paraId="2CB692DC" w14:textId="77777777" w:rsidR="008A6D82" w:rsidRPr="00DC482C" w:rsidRDefault="008A6D82" w:rsidP="00CB618A">
            <w:pPr>
              <w:rPr>
                <w:rFonts w:ascii="Arial" w:hAnsi="Arial" w:cs="Arial"/>
                <w:sz w:val="18"/>
                <w:szCs w:val="20"/>
              </w:rPr>
            </w:pPr>
            <w:r w:rsidRPr="00DC482C">
              <w:rPr>
                <w:rFonts w:ascii="Arial" w:hAnsi="Arial" w:cs="Arial"/>
                <w:sz w:val="18"/>
                <w:szCs w:val="20"/>
              </w:rPr>
              <w:t>Larger area corresponds to larger perimeter for intercepting pollutants in ground water or surface runoff</w:t>
            </w:r>
          </w:p>
        </w:tc>
        <w:tc>
          <w:tcPr>
            <w:tcW w:w="547" w:type="pct"/>
          </w:tcPr>
          <w:p w14:paraId="732CCD99" w14:textId="77777777" w:rsidR="008A6D82" w:rsidRPr="00DC482C" w:rsidRDefault="008A6D82" w:rsidP="00CB618A">
            <w:pPr>
              <w:rPr>
                <w:rFonts w:ascii="Arial" w:hAnsi="Arial" w:cs="Arial"/>
                <w:sz w:val="18"/>
                <w:szCs w:val="20"/>
              </w:rPr>
            </w:pPr>
            <w:r w:rsidRPr="00DC482C">
              <w:rPr>
                <w:rFonts w:ascii="Arial" w:hAnsi="Arial" w:cs="Arial"/>
                <w:sz w:val="18"/>
                <w:szCs w:val="20"/>
              </w:rPr>
              <w:t>Continuous</w:t>
            </w:r>
          </w:p>
        </w:tc>
        <w:tc>
          <w:tcPr>
            <w:tcW w:w="1780" w:type="pct"/>
          </w:tcPr>
          <w:p w14:paraId="18D851F5" w14:textId="77777777" w:rsidR="008A6D82" w:rsidRPr="00DC482C" w:rsidRDefault="008A6D82" w:rsidP="00CB618A">
            <w:pPr>
              <w:rPr>
                <w:rFonts w:ascii="Arial" w:hAnsi="Arial" w:cs="Arial"/>
                <w:sz w:val="18"/>
                <w:szCs w:val="20"/>
              </w:rPr>
            </w:pPr>
            <w:r w:rsidRPr="00DC482C">
              <w:rPr>
                <w:rFonts w:ascii="Arial" w:hAnsi="Arial" w:cs="Arial"/>
                <w:sz w:val="18"/>
                <w:szCs w:val="20"/>
              </w:rPr>
              <w:t>CS measured in m</w:t>
            </w:r>
            <w:r w:rsidRPr="00DC482C">
              <w:rPr>
                <w:rFonts w:ascii="Arial" w:hAnsi="Arial" w:cs="Arial"/>
                <w:sz w:val="18"/>
                <w:szCs w:val="20"/>
                <w:vertAlign w:val="superscript"/>
              </w:rPr>
              <w:t>2</w:t>
            </w:r>
          </w:p>
        </w:tc>
      </w:tr>
      <w:tr w:rsidR="008A6D82" w:rsidRPr="00DC482C" w14:paraId="0D0963BC" w14:textId="77777777" w:rsidTr="00CB618A">
        <w:tc>
          <w:tcPr>
            <w:tcW w:w="891" w:type="pct"/>
          </w:tcPr>
          <w:p w14:paraId="782287F4" w14:textId="77777777" w:rsidR="008A6D82" w:rsidRPr="00DC482C" w:rsidRDefault="008A6D82" w:rsidP="00CB618A">
            <w:pPr>
              <w:rPr>
                <w:rFonts w:ascii="Arial" w:hAnsi="Arial" w:cs="Arial"/>
                <w:sz w:val="18"/>
                <w:szCs w:val="20"/>
              </w:rPr>
            </w:pPr>
            <w:r w:rsidRPr="00DC482C">
              <w:rPr>
                <w:rFonts w:ascii="Arial" w:hAnsi="Arial" w:cs="Arial"/>
                <w:sz w:val="18"/>
                <w:szCs w:val="20"/>
              </w:rPr>
              <w:t>Buffer</w:t>
            </w:r>
          </w:p>
        </w:tc>
        <w:tc>
          <w:tcPr>
            <w:tcW w:w="1782" w:type="pct"/>
          </w:tcPr>
          <w:p w14:paraId="5FC6970C" w14:textId="77777777" w:rsidR="008A6D82" w:rsidRPr="00DC482C" w:rsidRDefault="008A6D82" w:rsidP="00CB618A">
            <w:pPr>
              <w:rPr>
                <w:rFonts w:ascii="Arial" w:hAnsi="Arial" w:cs="Arial"/>
                <w:sz w:val="18"/>
                <w:szCs w:val="20"/>
              </w:rPr>
            </w:pPr>
            <w:r w:rsidRPr="00DC482C">
              <w:rPr>
                <w:rFonts w:ascii="Arial" w:hAnsi="Arial" w:cs="Arial"/>
                <w:sz w:val="18"/>
                <w:szCs w:val="20"/>
              </w:rPr>
              <w:t>Will intercept runoff and therefore reduce SRP concentrations</w:t>
            </w:r>
          </w:p>
        </w:tc>
        <w:tc>
          <w:tcPr>
            <w:tcW w:w="547" w:type="pct"/>
          </w:tcPr>
          <w:p w14:paraId="609D877E" w14:textId="77777777" w:rsidR="008A6D82" w:rsidRPr="00DC482C" w:rsidRDefault="008A6D82" w:rsidP="00CB618A">
            <w:pPr>
              <w:rPr>
                <w:rFonts w:ascii="Arial" w:hAnsi="Arial" w:cs="Arial"/>
                <w:sz w:val="18"/>
                <w:szCs w:val="20"/>
              </w:rPr>
            </w:pPr>
            <w:r w:rsidRPr="00DC482C">
              <w:rPr>
                <w:rFonts w:ascii="Arial" w:hAnsi="Arial" w:cs="Arial"/>
                <w:sz w:val="18"/>
                <w:szCs w:val="20"/>
              </w:rPr>
              <w:t>Continuous</w:t>
            </w:r>
          </w:p>
        </w:tc>
        <w:tc>
          <w:tcPr>
            <w:tcW w:w="1780" w:type="pct"/>
          </w:tcPr>
          <w:p w14:paraId="1663C857" w14:textId="77777777" w:rsidR="008A6D82" w:rsidRPr="00DC482C" w:rsidRDefault="008A6D82" w:rsidP="00CB618A">
            <w:pPr>
              <w:rPr>
                <w:rFonts w:ascii="Arial" w:hAnsi="Arial" w:cs="Arial"/>
                <w:sz w:val="18"/>
                <w:szCs w:val="20"/>
              </w:rPr>
            </w:pPr>
            <w:r w:rsidRPr="00DC482C">
              <w:rPr>
                <w:rFonts w:ascii="Arial" w:hAnsi="Arial" w:cs="Arial"/>
                <w:sz w:val="18"/>
                <w:szCs w:val="20"/>
              </w:rPr>
              <w:t>CS; % land within 100-m zone occupied by sink land covers (woodland or scrubby vegetation).</w:t>
            </w:r>
          </w:p>
        </w:tc>
      </w:tr>
    </w:tbl>
    <w:p w14:paraId="3C43EAA1" w14:textId="77777777" w:rsidR="008A6D82" w:rsidRDefault="008A6D82" w:rsidP="008A6D82"/>
    <w:p w14:paraId="148CF955" w14:textId="77777777" w:rsidR="008A6D82" w:rsidRDefault="008A6D82" w:rsidP="008A6D82">
      <w:pPr>
        <w:pStyle w:val="Heading2"/>
      </w:pPr>
      <w:bookmarkStart w:id="57" w:name="_Toc517431851"/>
      <w:r>
        <w:t>Appendix S2.2 Defining regional contexts</w:t>
      </w:r>
      <w:bookmarkEnd w:id="57"/>
    </w:p>
    <w:p w14:paraId="7F45F95B" w14:textId="77777777" w:rsidR="008A6D82" w:rsidRPr="00EC02E9" w:rsidRDefault="008A6D82" w:rsidP="008A6D82">
      <w:pPr>
        <w:rPr>
          <w:lang w:eastAsia="zh-CN"/>
        </w:rPr>
      </w:pPr>
      <w:r>
        <w:t xml:space="preserve">Regional drivers of pond water quality (identified in Step 2) were harmonised to a common resolution of 10-km and subjected to PCA following standardisation to </w:t>
      </w:r>
      <w:r w:rsidRPr="00FB5DBE">
        <w:rPr>
          <w:i/>
        </w:rPr>
        <w:t>z</w:t>
      </w:r>
      <w:r>
        <w:t xml:space="preserve">-scores. </w:t>
      </w:r>
    </w:p>
    <w:p w14:paraId="3A7C2333" w14:textId="77777777" w:rsidR="008A6D82" w:rsidRDefault="008A6D82" w:rsidP="008A6D82">
      <w:pPr>
        <w:rPr>
          <w:lang w:eastAsia="zh-CN"/>
        </w:rPr>
      </w:pPr>
    </w:p>
    <w:p w14:paraId="475F4134" w14:textId="77777777" w:rsidR="008A6D82" w:rsidRDefault="008A6D82" w:rsidP="008A6D82">
      <w:pPr>
        <w:rPr>
          <w:noProof/>
          <w:lang w:eastAsia="en-GB"/>
        </w:rPr>
      </w:pPr>
    </w:p>
    <w:p w14:paraId="2C555463" w14:textId="77777777" w:rsidR="008A6D82" w:rsidRDefault="008A6D82" w:rsidP="008A6D82">
      <w:pPr>
        <w:jc w:val="center"/>
        <w:rPr>
          <w:noProof/>
          <w:lang w:eastAsia="en-GB"/>
        </w:rPr>
      </w:pPr>
      <w:r>
        <w:rPr>
          <w:noProof/>
          <w:lang w:eastAsia="en-GB"/>
        </w:rPr>
        <w:drawing>
          <wp:inline distT="0" distB="0" distL="0" distR="0" wp14:anchorId="5EFCACF1" wp14:editId="1E839410">
            <wp:extent cx="3026034" cy="2499360"/>
            <wp:effectExtent l="0" t="0" r="317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t="10471"/>
                    <a:stretch/>
                  </pic:blipFill>
                  <pic:spPr bwMode="auto">
                    <a:xfrm>
                      <a:off x="0" y="0"/>
                      <a:ext cx="3027935" cy="2500930"/>
                    </a:xfrm>
                    <a:prstGeom prst="rect">
                      <a:avLst/>
                    </a:prstGeom>
                    <a:ln>
                      <a:noFill/>
                    </a:ln>
                    <a:extLst>
                      <a:ext uri="{53640926-AAD7-44D8-BBD7-CCE9431645EC}">
                        <a14:shadowObscured xmlns:a14="http://schemas.microsoft.com/office/drawing/2010/main"/>
                      </a:ext>
                    </a:extLst>
                  </pic:spPr>
                </pic:pic>
              </a:graphicData>
            </a:graphic>
          </wp:inline>
        </w:drawing>
      </w:r>
    </w:p>
    <w:p w14:paraId="60933467" w14:textId="77777777" w:rsidR="008A6D82" w:rsidRPr="005F069C" w:rsidRDefault="008A6D82" w:rsidP="008A6D82">
      <w:pPr>
        <w:rPr>
          <w:rFonts w:ascii="Arial" w:hAnsi="Arial" w:cs="Arial"/>
          <w:sz w:val="20"/>
          <w:szCs w:val="20"/>
        </w:rPr>
      </w:pPr>
      <w:r w:rsidRPr="005F069C">
        <w:rPr>
          <w:rFonts w:ascii="Arial" w:hAnsi="Arial" w:cs="Arial"/>
          <w:sz w:val="20"/>
          <w:szCs w:val="20"/>
        </w:rPr>
        <w:t>Figure S</w:t>
      </w:r>
      <w:r>
        <w:rPr>
          <w:rFonts w:ascii="Arial" w:hAnsi="Arial" w:cs="Arial"/>
          <w:sz w:val="20"/>
          <w:szCs w:val="20"/>
        </w:rPr>
        <w:t>2</w:t>
      </w:r>
      <w:r w:rsidRPr="005F069C">
        <w:rPr>
          <w:rFonts w:ascii="Arial" w:hAnsi="Arial" w:cs="Arial"/>
          <w:sz w:val="20"/>
          <w:szCs w:val="20"/>
        </w:rPr>
        <w:t>.1.</w:t>
      </w:r>
      <w:r w:rsidRPr="005F069C">
        <w:rPr>
          <w:rFonts w:ascii="Arial" w:hAnsi="Arial" w:cs="Arial"/>
          <w:sz w:val="20"/>
          <w:szCs w:val="20"/>
        </w:rPr>
        <w:tab/>
        <w:t xml:space="preserve">Percentage of variance explained by each axis obtained by the </w:t>
      </w:r>
      <w:r>
        <w:rPr>
          <w:rFonts w:ascii="Arial" w:hAnsi="Arial" w:cs="Arial"/>
          <w:sz w:val="20"/>
          <w:szCs w:val="20"/>
        </w:rPr>
        <w:t xml:space="preserve">PCA </w:t>
      </w:r>
      <w:r w:rsidRPr="005F069C">
        <w:rPr>
          <w:rFonts w:ascii="Arial" w:hAnsi="Arial" w:cs="Arial"/>
          <w:sz w:val="20"/>
          <w:szCs w:val="20"/>
        </w:rPr>
        <w:t>of regional variables across the UK.</w:t>
      </w:r>
    </w:p>
    <w:p w14:paraId="0A4E367A" w14:textId="77777777" w:rsidR="008A6D82" w:rsidRDefault="008A6D82" w:rsidP="008A6D82">
      <w:pPr>
        <w:rPr>
          <w:noProof/>
          <w:lang w:eastAsia="en-GB"/>
        </w:rPr>
      </w:pPr>
    </w:p>
    <w:p w14:paraId="758C9EBD" w14:textId="77777777" w:rsidR="008A6D82" w:rsidRDefault="008A6D82" w:rsidP="008A6D82">
      <w:r>
        <w:rPr>
          <w:noProof/>
          <w:lang w:eastAsia="en-GB"/>
        </w:rPr>
        <w:drawing>
          <wp:inline distT="0" distB="0" distL="0" distR="0" wp14:anchorId="38D3DC9D" wp14:editId="32C352B8">
            <wp:extent cx="1824990" cy="1500657"/>
            <wp:effectExtent l="0" t="0" r="381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t="11264"/>
                    <a:stretch/>
                  </pic:blipFill>
                  <pic:spPr bwMode="auto">
                    <a:xfrm>
                      <a:off x="0" y="0"/>
                      <a:ext cx="1836338" cy="1509988"/>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0A4934F7" wp14:editId="35818C39">
            <wp:extent cx="1927653" cy="1419860"/>
            <wp:effectExtent l="0" t="0" r="0" b="889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t="8356"/>
                    <a:stretch/>
                  </pic:blipFill>
                  <pic:spPr bwMode="auto">
                    <a:xfrm>
                      <a:off x="0" y="0"/>
                      <a:ext cx="1966985" cy="1448831"/>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45ED2BCA" wp14:editId="36B5D05B">
            <wp:extent cx="1825212" cy="1417320"/>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t="11854"/>
                    <a:stretch/>
                  </pic:blipFill>
                  <pic:spPr bwMode="auto">
                    <a:xfrm>
                      <a:off x="0" y="0"/>
                      <a:ext cx="1839892" cy="1428719"/>
                    </a:xfrm>
                    <a:prstGeom prst="rect">
                      <a:avLst/>
                    </a:prstGeom>
                    <a:ln>
                      <a:noFill/>
                    </a:ln>
                    <a:extLst>
                      <a:ext uri="{53640926-AAD7-44D8-BBD7-CCE9431645EC}">
                        <a14:shadowObscured xmlns:a14="http://schemas.microsoft.com/office/drawing/2010/main"/>
                      </a:ext>
                    </a:extLst>
                  </pic:spPr>
                </pic:pic>
              </a:graphicData>
            </a:graphic>
          </wp:inline>
        </w:drawing>
      </w:r>
    </w:p>
    <w:p w14:paraId="2EB2B03F" w14:textId="77777777" w:rsidR="008A6D82" w:rsidRPr="00273AF1" w:rsidRDefault="008A6D82" w:rsidP="008A6D82">
      <w:pPr>
        <w:rPr>
          <w:rFonts w:ascii="Arial" w:hAnsi="Arial" w:cs="Arial"/>
          <w:sz w:val="20"/>
        </w:rPr>
      </w:pPr>
      <w:r w:rsidRPr="00273AF1">
        <w:rPr>
          <w:rFonts w:ascii="Arial" w:hAnsi="Arial" w:cs="Arial"/>
          <w:sz w:val="20"/>
        </w:rPr>
        <w:t xml:space="preserve">Figure </w:t>
      </w:r>
      <w:r>
        <w:rPr>
          <w:rFonts w:ascii="Arial" w:hAnsi="Arial" w:cs="Arial"/>
          <w:sz w:val="20"/>
        </w:rPr>
        <w:t>S2.2</w:t>
      </w:r>
      <w:r w:rsidRPr="00273AF1">
        <w:rPr>
          <w:rFonts w:ascii="Arial" w:hAnsi="Arial" w:cs="Arial"/>
          <w:sz w:val="20"/>
        </w:rPr>
        <w:t>.</w:t>
      </w:r>
      <w:r w:rsidRPr="00273AF1">
        <w:rPr>
          <w:rFonts w:ascii="Arial" w:hAnsi="Arial" w:cs="Arial"/>
          <w:sz w:val="20"/>
        </w:rPr>
        <w:tab/>
        <w:t xml:space="preserve">Variable contributions to three regional gradients identified by </w:t>
      </w:r>
      <w:r>
        <w:rPr>
          <w:rFonts w:ascii="Arial" w:hAnsi="Arial" w:cs="Arial"/>
          <w:sz w:val="20"/>
        </w:rPr>
        <w:t>PCA</w:t>
      </w:r>
      <w:r w:rsidRPr="00273AF1">
        <w:rPr>
          <w:rFonts w:ascii="Arial" w:hAnsi="Arial" w:cs="Arial"/>
          <w:sz w:val="20"/>
        </w:rPr>
        <w:t xml:space="preserve">. The red dashed indicates the expected average contribution if the contributions of the variables were uniform; variables with a contribution larger than this value are considered </w:t>
      </w:r>
      <w:r>
        <w:rPr>
          <w:rFonts w:ascii="Arial" w:hAnsi="Arial" w:cs="Arial"/>
          <w:sz w:val="20"/>
        </w:rPr>
        <w:t xml:space="preserve">the most </w:t>
      </w:r>
      <w:r w:rsidRPr="00273AF1">
        <w:rPr>
          <w:rFonts w:ascii="Arial" w:hAnsi="Arial" w:cs="Arial"/>
          <w:sz w:val="20"/>
        </w:rPr>
        <w:t>important.</w:t>
      </w:r>
    </w:p>
    <w:p w14:paraId="182036D5" w14:textId="77777777" w:rsidR="008A6D82" w:rsidRDefault="008A6D82" w:rsidP="008A6D82"/>
    <w:p w14:paraId="26E449F8" w14:textId="77777777" w:rsidR="008A6D82" w:rsidRDefault="008A6D82" w:rsidP="008A6D82">
      <w:pPr>
        <w:rPr>
          <w:rFonts w:ascii="Arial" w:hAnsi="Arial" w:cs="Arial"/>
          <w:sz w:val="20"/>
        </w:rPr>
      </w:pPr>
      <w:r>
        <w:rPr>
          <w:rFonts w:ascii="Arial" w:hAnsi="Arial" w:cs="Arial"/>
          <w:sz w:val="20"/>
        </w:rPr>
        <w:br w:type="page"/>
      </w:r>
    </w:p>
    <w:p w14:paraId="1EF6789A" w14:textId="77777777" w:rsidR="008A6D82" w:rsidRPr="00273AF1" w:rsidRDefault="008A6D82" w:rsidP="008A6D82">
      <w:pPr>
        <w:rPr>
          <w:rFonts w:ascii="Arial" w:hAnsi="Arial" w:cs="Arial"/>
          <w:sz w:val="20"/>
        </w:rPr>
      </w:pPr>
      <w:r>
        <w:rPr>
          <w:rFonts w:ascii="Arial" w:hAnsi="Arial" w:cs="Arial"/>
          <w:sz w:val="20"/>
        </w:rPr>
        <w:t>Table S2.2</w:t>
      </w:r>
      <w:r w:rsidRPr="00273AF1">
        <w:rPr>
          <w:rFonts w:ascii="Arial" w:hAnsi="Arial" w:cs="Arial"/>
          <w:sz w:val="20"/>
        </w:rPr>
        <w:t>.</w:t>
      </w:r>
      <w:r w:rsidRPr="00273AF1">
        <w:rPr>
          <w:rFonts w:ascii="Arial" w:hAnsi="Arial" w:cs="Arial"/>
          <w:sz w:val="20"/>
        </w:rPr>
        <w:tab/>
        <w:t xml:space="preserve">Variable </w:t>
      </w:r>
      <w:r>
        <w:rPr>
          <w:rFonts w:ascii="Arial" w:hAnsi="Arial" w:cs="Arial"/>
          <w:sz w:val="20"/>
        </w:rPr>
        <w:t>correlation coefficients with</w:t>
      </w:r>
      <w:r w:rsidRPr="00273AF1">
        <w:rPr>
          <w:rFonts w:ascii="Arial" w:hAnsi="Arial" w:cs="Arial"/>
          <w:sz w:val="20"/>
        </w:rPr>
        <w:t xml:space="preserve"> the three principle components representing regional gradients across the UK. Variance values indicate the percentage of the total variance in regional heterogeneity accounted for by each principle component. </w:t>
      </w:r>
    </w:p>
    <w:tbl>
      <w:tblPr>
        <w:tblW w:w="2142" w:type="pct"/>
        <w:jc w:val="center"/>
        <w:tblCellSpacing w:w="0" w:type="dxa"/>
        <w:tblCellMar>
          <w:top w:w="15" w:type="dxa"/>
          <w:left w:w="15" w:type="dxa"/>
          <w:bottom w:w="15" w:type="dxa"/>
          <w:right w:w="15" w:type="dxa"/>
        </w:tblCellMar>
        <w:tblLook w:val="04A0" w:firstRow="1" w:lastRow="0" w:firstColumn="1" w:lastColumn="0" w:noHBand="0" w:noVBand="1"/>
      </w:tblPr>
      <w:tblGrid>
        <w:gridCol w:w="1844"/>
        <w:gridCol w:w="756"/>
        <w:gridCol w:w="801"/>
        <w:gridCol w:w="466"/>
      </w:tblGrid>
      <w:tr w:rsidR="008A6D82" w:rsidRPr="00FA766C" w14:paraId="4CF44631" w14:textId="77777777" w:rsidTr="00CB618A">
        <w:trPr>
          <w:tblHeader/>
          <w:tblCellSpacing w:w="0" w:type="dxa"/>
          <w:jc w:val="center"/>
        </w:trPr>
        <w:tc>
          <w:tcPr>
            <w:tcW w:w="2384" w:type="pct"/>
            <w:tcBorders>
              <w:top w:val="single" w:sz="4" w:space="0" w:color="auto"/>
              <w:left w:val="nil"/>
              <w:bottom w:val="single" w:sz="6" w:space="0" w:color="auto"/>
              <w:right w:val="nil"/>
            </w:tcBorders>
            <w:noWrap/>
            <w:tcMar>
              <w:top w:w="0" w:type="dxa"/>
              <w:left w:w="90" w:type="dxa"/>
              <w:bottom w:w="45" w:type="dxa"/>
              <w:right w:w="90" w:type="dxa"/>
            </w:tcMar>
            <w:vAlign w:val="center"/>
            <w:hideMark/>
          </w:tcPr>
          <w:p w14:paraId="707D66B0" w14:textId="77777777" w:rsidR="008A6D82" w:rsidRPr="00FA766C" w:rsidRDefault="008A6D82" w:rsidP="00CB618A">
            <w:pPr>
              <w:spacing w:after="0" w:line="240" w:lineRule="auto"/>
              <w:rPr>
                <w:rFonts w:ascii="Arial" w:eastAsia="Times New Roman" w:hAnsi="Arial" w:cs="Arial"/>
                <w:b/>
                <w:bCs/>
                <w:sz w:val="20"/>
                <w:szCs w:val="20"/>
                <w:lang w:eastAsia="en-GB"/>
              </w:rPr>
            </w:pPr>
            <w:r w:rsidRPr="00FA766C">
              <w:rPr>
                <w:rFonts w:ascii="Arial" w:eastAsia="Times New Roman" w:hAnsi="Arial" w:cs="Arial"/>
                <w:b/>
                <w:bCs/>
                <w:sz w:val="20"/>
                <w:szCs w:val="20"/>
                <w:lang w:eastAsia="en-GB"/>
              </w:rPr>
              <w:t> </w:t>
            </w:r>
          </w:p>
          <w:p w14:paraId="15D9575D" w14:textId="77777777" w:rsidR="008A6D82" w:rsidRPr="00FA766C" w:rsidRDefault="008A6D82" w:rsidP="00CB618A">
            <w:pPr>
              <w:spacing w:after="0" w:line="240" w:lineRule="auto"/>
              <w:rPr>
                <w:rFonts w:ascii="Arial" w:eastAsia="Times New Roman" w:hAnsi="Arial" w:cs="Arial"/>
                <w:sz w:val="20"/>
                <w:szCs w:val="20"/>
                <w:lang w:eastAsia="en-GB"/>
              </w:rPr>
            </w:pPr>
            <w:r w:rsidRPr="00FA766C">
              <w:rPr>
                <w:rFonts w:ascii="Arial" w:eastAsia="Times New Roman" w:hAnsi="Arial" w:cs="Arial"/>
                <w:sz w:val="20"/>
                <w:szCs w:val="20"/>
                <w:lang w:eastAsia="en-GB"/>
              </w:rPr>
              <w:t> </w:t>
            </w:r>
          </w:p>
        </w:tc>
        <w:tc>
          <w:tcPr>
            <w:tcW w:w="978" w:type="pct"/>
            <w:tcBorders>
              <w:top w:val="single" w:sz="4" w:space="0" w:color="auto"/>
              <w:left w:val="nil"/>
              <w:bottom w:val="single" w:sz="6" w:space="0" w:color="auto"/>
              <w:right w:val="nil"/>
            </w:tcBorders>
            <w:noWrap/>
            <w:tcMar>
              <w:top w:w="0" w:type="dxa"/>
              <w:left w:w="90" w:type="dxa"/>
              <w:bottom w:w="45" w:type="dxa"/>
              <w:right w:w="90" w:type="dxa"/>
            </w:tcMar>
            <w:vAlign w:val="center"/>
            <w:hideMark/>
          </w:tcPr>
          <w:p w14:paraId="4DF95424" w14:textId="77777777" w:rsidR="008A6D82" w:rsidRPr="003A3D30" w:rsidRDefault="008A6D82" w:rsidP="00CB618A">
            <w:pPr>
              <w:spacing w:after="0" w:line="225" w:lineRule="atLeast"/>
              <w:jc w:val="right"/>
              <w:rPr>
                <w:rFonts w:ascii="Lucida Sans" w:eastAsia="Times New Roman" w:hAnsi="Lucida Sans" w:cs="Times New Roman"/>
                <w:b/>
                <w:bCs/>
                <w:color w:val="000000"/>
                <w:sz w:val="20"/>
                <w:szCs w:val="20"/>
                <w:lang w:eastAsia="en-GB"/>
              </w:rPr>
            </w:pPr>
            <w:r>
              <w:rPr>
                <w:rFonts w:ascii="Lucida Sans" w:eastAsia="Times New Roman" w:hAnsi="Lucida Sans" w:cs="Times New Roman"/>
                <w:b/>
                <w:bCs/>
                <w:color w:val="000000"/>
                <w:sz w:val="20"/>
                <w:szCs w:val="20"/>
                <w:lang w:eastAsia="en-GB"/>
              </w:rPr>
              <w:t>Axis1</w:t>
            </w:r>
          </w:p>
        </w:tc>
        <w:tc>
          <w:tcPr>
            <w:tcW w:w="1036" w:type="pct"/>
            <w:tcBorders>
              <w:top w:val="single" w:sz="4" w:space="0" w:color="auto"/>
              <w:left w:val="nil"/>
              <w:bottom w:val="single" w:sz="6" w:space="0" w:color="auto"/>
              <w:right w:val="nil"/>
            </w:tcBorders>
            <w:noWrap/>
            <w:tcMar>
              <w:top w:w="0" w:type="dxa"/>
              <w:left w:w="90" w:type="dxa"/>
              <w:bottom w:w="45" w:type="dxa"/>
              <w:right w:w="90" w:type="dxa"/>
            </w:tcMar>
            <w:vAlign w:val="center"/>
            <w:hideMark/>
          </w:tcPr>
          <w:p w14:paraId="711DBC3F" w14:textId="77777777" w:rsidR="008A6D82" w:rsidRPr="003A3D30" w:rsidRDefault="008A6D82" w:rsidP="00CB618A">
            <w:pPr>
              <w:spacing w:after="0" w:line="225" w:lineRule="atLeast"/>
              <w:jc w:val="right"/>
              <w:rPr>
                <w:rFonts w:ascii="Lucida Sans" w:eastAsia="Times New Roman" w:hAnsi="Lucida Sans" w:cs="Times New Roman"/>
                <w:b/>
                <w:bCs/>
                <w:color w:val="000000"/>
                <w:sz w:val="20"/>
                <w:szCs w:val="20"/>
                <w:lang w:eastAsia="en-GB"/>
              </w:rPr>
            </w:pPr>
            <w:r>
              <w:rPr>
                <w:rFonts w:ascii="Lucida Sans" w:eastAsia="Times New Roman" w:hAnsi="Lucida Sans" w:cs="Times New Roman"/>
                <w:b/>
                <w:bCs/>
                <w:color w:val="000000"/>
                <w:sz w:val="20"/>
                <w:szCs w:val="20"/>
                <w:lang w:eastAsia="en-GB"/>
              </w:rPr>
              <w:t>Axis2</w:t>
            </w:r>
          </w:p>
        </w:tc>
        <w:tc>
          <w:tcPr>
            <w:tcW w:w="603" w:type="pct"/>
            <w:tcBorders>
              <w:top w:val="single" w:sz="4" w:space="0" w:color="auto"/>
              <w:left w:val="nil"/>
              <w:bottom w:val="single" w:sz="6" w:space="0" w:color="auto"/>
              <w:right w:val="nil"/>
            </w:tcBorders>
            <w:noWrap/>
            <w:tcMar>
              <w:top w:w="0" w:type="dxa"/>
              <w:left w:w="90" w:type="dxa"/>
              <w:bottom w:w="45" w:type="dxa"/>
              <w:right w:w="90" w:type="dxa"/>
            </w:tcMar>
            <w:vAlign w:val="center"/>
            <w:hideMark/>
          </w:tcPr>
          <w:p w14:paraId="1CCBAE8E" w14:textId="77777777" w:rsidR="008A6D82" w:rsidRPr="00934700" w:rsidRDefault="008A6D82" w:rsidP="00CB618A">
            <w:pPr>
              <w:spacing w:after="0" w:line="225" w:lineRule="atLeast"/>
              <w:jc w:val="right"/>
              <w:rPr>
                <w:rFonts w:ascii="Lucida Sans" w:eastAsia="Times New Roman" w:hAnsi="Lucida Sans" w:cs="Times New Roman"/>
                <w:b/>
                <w:bCs/>
                <w:color w:val="FFFFFF" w:themeColor="background1"/>
                <w:sz w:val="10"/>
                <w:szCs w:val="20"/>
                <w:lang w:eastAsia="en-GB"/>
              </w:rPr>
            </w:pPr>
            <w:r w:rsidRPr="00934700">
              <w:rPr>
                <w:rFonts w:ascii="Lucida Sans" w:eastAsia="Times New Roman" w:hAnsi="Lucida Sans" w:cs="Times New Roman"/>
                <w:b/>
                <w:bCs/>
                <w:color w:val="FFFFFF" w:themeColor="background1"/>
                <w:sz w:val="10"/>
                <w:szCs w:val="20"/>
                <w:lang w:eastAsia="en-GB"/>
              </w:rPr>
              <w:t>Axis3</w:t>
            </w:r>
          </w:p>
        </w:tc>
      </w:tr>
      <w:tr w:rsidR="008A6D82" w:rsidRPr="00FA766C" w14:paraId="19009441" w14:textId="77777777" w:rsidTr="00CB618A">
        <w:trPr>
          <w:tblCellSpacing w:w="0" w:type="dxa"/>
          <w:jc w:val="center"/>
        </w:trPr>
        <w:tc>
          <w:tcPr>
            <w:tcW w:w="2384" w:type="pct"/>
            <w:noWrap/>
            <w:tcMar>
              <w:top w:w="30" w:type="dxa"/>
              <w:left w:w="90" w:type="dxa"/>
              <w:bottom w:w="30" w:type="dxa"/>
              <w:right w:w="90" w:type="dxa"/>
            </w:tcMar>
            <w:vAlign w:val="center"/>
            <w:hideMark/>
          </w:tcPr>
          <w:p w14:paraId="5235A003" w14:textId="77777777" w:rsidR="008A6D82" w:rsidRPr="00FA766C" w:rsidRDefault="008A6D82" w:rsidP="00CB618A">
            <w:pPr>
              <w:spacing w:after="0" w:line="240" w:lineRule="auto"/>
              <w:rPr>
                <w:rFonts w:ascii="Arial" w:eastAsia="Times New Roman" w:hAnsi="Arial" w:cs="Arial"/>
                <w:sz w:val="20"/>
                <w:szCs w:val="20"/>
                <w:lang w:eastAsia="en-GB"/>
              </w:rPr>
            </w:pPr>
            <w:r w:rsidRPr="00FA766C">
              <w:rPr>
                <w:rFonts w:ascii="Arial" w:eastAsia="Times New Roman" w:hAnsi="Arial" w:cs="Arial"/>
                <w:sz w:val="20"/>
                <w:szCs w:val="20"/>
                <w:lang w:eastAsia="en-GB"/>
              </w:rPr>
              <w:t>prec</w:t>
            </w:r>
          </w:p>
        </w:tc>
        <w:tc>
          <w:tcPr>
            <w:tcW w:w="978" w:type="pct"/>
            <w:noWrap/>
            <w:tcMar>
              <w:top w:w="30" w:type="dxa"/>
              <w:left w:w="90" w:type="dxa"/>
              <w:bottom w:w="30" w:type="dxa"/>
              <w:right w:w="90" w:type="dxa"/>
            </w:tcMar>
            <w:vAlign w:val="center"/>
            <w:hideMark/>
          </w:tcPr>
          <w:p w14:paraId="6E48879A" w14:textId="77777777" w:rsidR="008A6D82" w:rsidRPr="00FA766C" w:rsidRDefault="008A6D82" w:rsidP="00CB618A">
            <w:pPr>
              <w:spacing w:after="0" w:line="240" w:lineRule="auto"/>
              <w:jc w:val="right"/>
              <w:rPr>
                <w:rFonts w:ascii="Arial" w:eastAsia="Times New Roman" w:hAnsi="Arial" w:cs="Arial"/>
                <w:sz w:val="20"/>
                <w:szCs w:val="20"/>
                <w:lang w:eastAsia="en-GB"/>
              </w:rPr>
            </w:pPr>
            <w:r w:rsidRPr="00FA766C">
              <w:rPr>
                <w:rFonts w:ascii="Arial" w:eastAsia="Times New Roman" w:hAnsi="Arial" w:cs="Arial"/>
                <w:sz w:val="20"/>
                <w:szCs w:val="20"/>
                <w:lang w:eastAsia="en-GB"/>
              </w:rPr>
              <w:t>0.84</w:t>
            </w:r>
          </w:p>
        </w:tc>
        <w:tc>
          <w:tcPr>
            <w:tcW w:w="1036" w:type="pct"/>
            <w:noWrap/>
            <w:tcMar>
              <w:top w:w="30" w:type="dxa"/>
              <w:left w:w="90" w:type="dxa"/>
              <w:bottom w:w="30" w:type="dxa"/>
              <w:right w:w="90" w:type="dxa"/>
            </w:tcMar>
            <w:vAlign w:val="center"/>
            <w:hideMark/>
          </w:tcPr>
          <w:p w14:paraId="6F870A17" w14:textId="77777777" w:rsidR="008A6D82" w:rsidRPr="00FA766C" w:rsidRDefault="008A6D82" w:rsidP="00CB618A">
            <w:pPr>
              <w:spacing w:after="0" w:line="240" w:lineRule="auto"/>
              <w:jc w:val="right"/>
              <w:rPr>
                <w:rFonts w:ascii="Arial" w:eastAsia="Times New Roman" w:hAnsi="Arial" w:cs="Arial"/>
                <w:sz w:val="20"/>
                <w:szCs w:val="20"/>
                <w:lang w:eastAsia="en-GB"/>
              </w:rPr>
            </w:pPr>
            <w:r w:rsidRPr="00FA766C">
              <w:rPr>
                <w:rFonts w:ascii="Arial" w:eastAsia="Times New Roman" w:hAnsi="Arial" w:cs="Arial"/>
                <w:sz w:val="20"/>
                <w:szCs w:val="20"/>
                <w:lang w:eastAsia="en-GB"/>
              </w:rPr>
              <w:t>0.02</w:t>
            </w:r>
          </w:p>
        </w:tc>
        <w:tc>
          <w:tcPr>
            <w:tcW w:w="603" w:type="pct"/>
            <w:noWrap/>
            <w:tcMar>
              <w:top w:w="30" w:type="dxa"/>
              <w:left w:w="90" w:type="dxa"/>
              <w:bottom w:w="30" w:type="dxa"/>
              <w:right w:w="90" w:type="dxa"/>
            </w:tcMar>
            <w:vAlign w:val="center"/>
            <w:hideMark/>
          </w:tcPr>
          <w:p w14:paraId="2A9B0AF8" w14:textId="77777777" w:rsidR="008A6D82" w:rsidRPr="00934700" w:rsidRDefault="008A6D82" w:rsidP="00CB618A">
            <w:pPr>
              <w:spacing w:after="0" w:line="240" w:lineRule="auto"/>
              <w:jc w:val="right"/>
              <w:rPr>
                <w:rFonts w:ascii="Arial" w:eastAsia="Times New Roman" w:hAnsi="Arial" w:cs="Arial"/>
                <w:color w:val="FFFFFF" w:themeColor="background1"/>
                <w:sz w:val="10"/>
                <w:szCs w:val="20"/>
                <w:lang w:eastAsia="en-GB"/>
              </w:rPr>
            </w:pPr>
            <w:r w:rsidRPr="00934700">
              <w:rPr>
                <w:rFonts w:ascii="Arial" w:eastAsia="Times New Roman" w:hAnsi="Arial" w:cs="Arial"/>
                <w:color w:val="FFFFFF" w:themeColor="background1"/>
                <w:sz w:val="10"/>
                <w:szCs w:val="20"/>
                <w:lang w:eastAsia="en-GB"/>
              </w:rPr>
              <w:t>0.44</w:t>
            </w:r>
          </w:p>
        </w:tc>
      </w:tr>
      <w:tr w:rsidR="008A6D82" w:rsidRPr="00FA766C" w14:paraId="35FD6959" w14:textId="77777777" w:rsidTr="00CB618A">
        <w:trPr>
          <w:tblCellSpacing w:w="0" w:type="dxa"/>
          <w:jc w:val="center"/>
        </w:trPr>
        <w:tc>
          <w:tcPr>
            <w:tcW w:w="2384" w:type="pct"/>
            <w:noWrap/>
            <w:tcMar>
              <w:top w:w="30" w:type="dxa"/>
              <w:left w:w="90" w:type="dxa"/>
              <w:bottom w:w="30" w:type="dxa"/>
              <w:right w:w="90" w:type="dxa"/>
            </w:tcMar>
            <w:vAlign w:val="center"/>
            <w:hideMark/>
          </w:tcPr>
          <w:p w14:paraId="46443204" w14:textId="77777777" w:rsidR="008A6D82" w:rsidRPr="00FA766C" w:rsidRDefault="008A6D82" w:rsidP="00CB618A">
            <w:pPr>
              <w:spacing w:after="0" w:line="240" w:lineRule="auto"/>
              <w:rPr>
                <w:rFonts w:ascii="Arial" w:eastAsia="Times New Roman" w:hAnsi="Arial" w:cs="Arial"/>
                <w:sz w:val="20"/>
                <w:szCs w:val="20"/>
                <w:lang w:eastAsia="en-GB"/>
              </w:rPr>
            </w:pPr>
            <w:r w:rsidRPr="00FA766C">
              <w:rPr>
                <w:rFonts w:ascii="Arial" w:eastAsia="Times New Roman" w:hAnsi="Arial" w:cs="Arial"/>
                <w:sz w:val="20"/>
                <w:szCs w:val="20"/>
                <w:lang w:eastAsia="en-GB"/>
              </w:rPr>
              <w:t>temp</w:t>
            </w:r>
          </w:p>
        </w:tc>
        <w:tc>
          <w:tcPr>
            <w:tcW w:w="978" w:type="pct"/>
            <w:noWrap/>
            <w:tcMar>
              <w:top w:w="30" w:type="dxa"/>
              <w:left w:w="90" w:type="dxa"/>
              <w:bottom w:w="30" w:type="dxa"/>
              <w:right w:w="90" w:type="dxa"/>
            </w:tcMar>
            <w:vAlign w:val="center"/>
            <w:hideMark/>
          </w:tcPr>
          <w:p w14:paraId="413FAA54" w14:textId="77777777" w:rsidR="008A6D82" w:rsidRPr="00FA766C" w:rsidRDefault="008A6D82" w:rsidP="00CB618A">
            <w:pPr>
              <w:spacing w:after="0" w:line="240" w:lineRule="auto"/>
              <w:jc w:val="right"/>
              <w:rPr>
                <w:rFonts w:ascii="Arial" w:eastAsia="Times New Roman" w:hAnsi="Arial" w:cs="Arial"/>
                <w:sz w:val="20"/>
                <w:szCs w:val="20"/>
                <w:lang w:eastAsia="en-GB"/>
              </w:rPr>
            </w:pPr>
            <w:r w:rsidRPr="00FA766C">
              <w:rPr>
                <w:rFonts w:ascii="Arial" w:eastAsia="Times New Roman" w:hAnsi="Arial" w:cs="Arial"/>
                <w:sz w:val="20"/>
                <w:szCs w:val="20"/>
                <w:lang w:eastAsia="en-GB"/>
              </w:rPr>
              <w:t>-0.86</w:t>
            </w:r>
          </w:p>
        </w:tc>
        <w:tc>
          <w:tcPr>
            <w:tcW w:w="1036" w:type="pct"/>
            <w:noWrap/>
            <w:tcMar>
              <w:top w:w="30" w:type="dxa"/>
              <w:left w:w="90" w:type="dxa"/>
              <w:bottom w:w="30" w:type="dxa"/>
              <w:right w:w="90" w:type="dxa"/>
            </w:tcMar>
            <w:vAlign w:val="center"/>
            <w:hideMark/>
          </w:tcPr>
          <w:p w14:paraId="4276416A" w14:textId="77777777" w:rsidR="008A6D82" w:rsidRPr="00FA766C" w:rsidRDefault="008A6D82" w:rsidP="00CB618A">
            <w:pPr>
              <w:spacing w:after="0" w:line="240" w:lineRule="auto"/>
              <w:jc w:val="right"/>
              <w:rPr>
                <w:rFonts w:ascii="Arial" w:eastAsia="Times New Roman" w:hAnsi="Arial" w:cs="Arial"/>
                <w:sz w:val="20"/>
                <w:szCs w:val="20"/>
                <w:lang w:eastAsia="en-GB"/>
              </w:rPr>
            </w:pPr>
            <w:r w:rsidRPr="00FA766C">
              <w:rPr>
                <w:rFonts w:ascii="Arial" w:eastAsia="Times New Roman" w:hAnsi="Arial" w:cs="Arial"/>
                <w:sz w:val="20"/>
                <w:szCs w:val="20"/>
                <w:lang w:eastAsia="en-GB"/>
              </w:rPr>
              <w:t>-0.14</w:t>
            </w:r>
          </w:p>
        </w:tc>
        <w:tc>
          <w:tcPr>
            <w:tcW w:w="603" w:type="pct"/>
            <w:noWrap/>
            <w:tcMar>
              <w:top w:w="30" w:type="dxa"/>
              <w:left w:w="90" w:type="dxa"/>
              <w:bottom w:w="30" w:type="dxa"/>
              <w:right w:w="90" w:type="dxa"/>
            </w:tcMar>
            <w:vAlign w:val="center"/>
            <w:hideMark/>
          </w:tcPr>
          <w:p w14:paraId="4DB864BC" w14:textId="77777777" w:rsidR="008A6D82" w:rsidRPr="00934700" w:rsidRDefault="008A6D82" w:rsidP="00CB618A">
            <w:pPr>
              <w:spacing w:after="0" w:line="240" w:lineRule="auto"/>
              <w:jc w:val="right"/>
              <w:rPr>
                <w:rFonts w:ascii="Arial" w:eastAsia="Times New Roman" w:hAnsi="Arial" w:cs="Arial"/>
                <w:color w:val="FFFFFF" w:themeColor="background1"/>
                <w:sz w:val="10"/>
                <w:szCs w:val="20"/>
                <w:lang w:eastAsia="en-GB"/>
              </w:rPr>
            </w:pPr>
            <w:r w:rsidRPr="00934700">
              <w:rPr>
                <w:rFonts w:ascii="Arial" w:eastAsia="Times New Roman" w:hAnsi="Arial" w:cs="Arial"/>
                <w:color w:val="FFFFFF" w:themeColor="background1"/>
                <w:sz w:val="10"/>
                <w:szCs w:val="20"/>
                <w:lang w:eastAsia="en-GB"/>
              </w:rPr>
              <w:t>-0.10</w:t>
            </w:r>
          </w:p>
        </w:tc>
      </w:tr>
      <w:tr w:rsidR="008A6D82" w:rsidRPr="00FA766C" w14:paraId="76FB2969" w14:textId="77777777" w:rsidTr="00CB618A">
        <w:trPr>
          <w:tblCellSpacing w:w="0" w:type="dxa"/>
          <w:jc w:val="center"/>
        </w:trPr>
        <w:tc>
          <w:tcPr>
            <w:tcW w:w="2384" w:type="pct"/>
            <w:noWrap/>
            <w:tcMar>
              <w:top w:w="30" w:type="dxa"/>
              <w:left w:w="90" w:type="dxa"/>
              <w:bottom w:w="30" w:type="dxa"/>
              <w:right w:w="90" w:type="dxa"/>
            </w:tcMar>
            <w:vAlign w:val="center"/>
            <w:hideMark/>
          </w:tcPr>
          <w:p w14:paraId="55BF4822" w14:textId="77777777" w:rsidR="008A6D82" w:rsidRPr="00FA766C" w:rsidRDefault="008A6D82" w:rsidP="00CB618A">
            <w:pPr>
              <w:spacing w:after="0" w:line="240" w:lineRule="auto"/>
              <w:rPr>
                <w:rFonts w:ascii="Arial" w:eastAsia="Times New Roman" w:hAnsi="Arial" w:cs="Arial"/>
                <w:sz w:val="20"/>
                <w:szCs w:val="20"/>
                <w:lang w:eastAsia="en-GB"/>
              </w:rPr>
            </w:pPr>
            <w:r w:rsidRPr="00FA766C">
              <w:rPr>
                <w:rFonts w:ascii="Arial" w:eastAsia="Times New Roman" w:hAnsi="Arial" w:cs="Arial"/>
                <w:sz w:val="20"/>
                <w:szCs w:val="20"/>
                <w:lang w:eastAsia="en-GB"/>
              </w:rPr>
              <w:t>soil</w:t>
            </w:r>
          </w:p>
        </w:tc>
        <w:tc>
          <w:tcPr>
            <w:tcW w:w="978" w:type="pct"/>
            <w:noWrap/>
            <w:tcMar>
              <w:top w:w="30" w:type="dxa"/>
              <w:left w:w="90" w:type="dxa"/>
              <w:bottom w:w="30" w:type="dxa"/>
              <w:right w:w="90" w:type="dxa"/>
            </w:tcMar>
            <w:vAlign w:val="center"/>
            <w:hideMark/>
          </w:tcPr>
          <w:p w14:paraId="263F2129" w14:textId="77777777" w:rsidR="008A6D82" w:rsidRPr="00FA766C" w:rsidRDefault="008A6D82" w:rsidP="00CB618A">
            <w:pPr>
              <w:spacing w:after="0" w:line="240" w:lineRule="auto"/>
              <w:jc w:val="right"/>
              <w:rPr>
                <w:rFonts w:ascii="Arial" w:eastAsia="Times New Roman" w:hAnsi="Arial" w:cs="Arial"/>
                <w:sz w:val="20"/>
                <w:szCs w:val="20"/>
                <w:lang w:eastAsia="en-GB"/>
              </w:rPr>
            </w:pPr>
            <w:r w:rsidRPr="00FA766C">
              <w:rPr>
                <w:rFonts w:ascii="Arial" w:eastAsia="Times New Roman" w:hAnsi="Arial" w:cs="Arial"/>
                <w:sz w:val="20"/>
                <w:szCs w:val="20"/>
                <w:lang w:eastAsia="en-GB"/>
              </w:rPr>
              <w:t>0.56</w:t>
            </w:r>
          </w:p>
        </w:tc>
        <w:tc>
          <w:tcPr>
            <w:tcW w:w="1036" w:type="pct"/>
            <w:noWrap/>
            <w:tcMar>
              <w:top w:w="30" w:type="dxa"/>
              <w:left w:w="90" w:type="dxa"/>
              <w:bottom w:w="30" w:type="dxa"/>
              <w:right w:w="90" w:type="dxa"/>
            </w:tcMar>
            <w:vAlign w:val="center"/>
            <w:hideMark/>
          </w:tcPr>
          <w:p w14:paraId="5EE7EF72" w14:textId="77777777" w:rsidR="008A6D82" w:rsidRPr="00FA766C" w:rsidRDefault="008A6D82" w:rsidP="00CB618A">
            <w:pPr>
              <w:spacing w:after="0" w:line="240" w:lineRule="auto"/>
              <w:jc w:val="right"/>
              <w:rPr>
                <w:rFonts w:ascii="Arial" w:eastAsia="Times New Roman" w:hAnsi="Arial" w:cs="Arial"/>
                <w:sz w:val="20"/>
                <w:szCs w:val="20"/>
                <w:lang w:eastAsia="en-GB"/>
              </w:rPr>
            </w:pPr>
            <w:r w:rsidRPr="00FA766C">
              <w:rPr>
                <w:rFonts w:ascii="Arial" w:eastAsia="Times New Roman" w:hAnsi="Arial" w:cs="Arial"/>
                <w:sz w:val="20"/>
                <w:szCs w:val="20"/>
                <w:lang w:eastAsia="en-GB"/>
              </w:rPr>
              <w:t>0.63</w:t>
            </w:r>
          </w:p>
        </w:tc>
        <w:tc>
          <w:tcPr>
            <w:tcW w:w="603" w:type="pct"/>
            <w:noWrap/>
            <w:tcMar>
              <w:top w:w="30" w:type="dxa"/>
              <w:left w:w="90" w:type="dxa"/>
              <w:bottom w:w="30" w:type="dxa"/>
              <w:right w:w="90" w:type="dxa"/>
            </w:tcMar>
            <w:vAlign w:val="center"/>
            <w:hideMark/>
          </w:tcPr>
          <w:p w14:paraId="02D9C22F" w14:textId="77777777" w:rsidR="008A6D82" w:rsidRPr="00934700" w:rsidRDefault="008A6D82" w:rsidP="00CB618A">
            <w:pPr>
              <w:spacing w:after="0" w:line="240" w:lineRule="auto"/>
              <w:jc w:val="right"/>
              <w:rPr>
                <w:rFonts w:ascii="Arial" w:eastAsia="Times New Roman" w:hAnsi="Arial" w:cs="Arial"/>
                <w:color w:val="FFFFFF" w:themeColor="background1"/>
                <w:sz w:val="10"/>
                <w:szCs w:val="20"/>
                <w:lang w:eastAsia="en-GB"/>
              </w:rPr>
            </w:pPr>
            <w:r w:rsidRPr="00934700">
              <w:rPr>
                <w:rFonts w:ascii="Arial" w:eastAsia="Times New Roman" w:hAnsi="Arial" w:cs="Arial"/>
                <w:color w:val="FFFFFF" w:themeColor="background1"/>
                <w:sz w:val="10"/>
                <w:szCs w:val="20"/>
                <w:lang w:eastAsia="en-GB"/>
              </w:rPr>
              <w:t>-0.38</w:t>
            </w:r>
          </w:p>
        </w:tc>
      </w:tr>
      <w:tr w:rsidR="008A6D82" w:rsidRPr="00FA766C" w14:paraId="156C8EE5" w14:textId="77777777" w:rsidTr="00CB618A">
        <w:trPr>
          <w:tblCellSpacing w:w="0" w:type="dxa"/>
          <w:jc w:val="center"/>
        </w:trPr>
        <w:tc>
          <w:tcPr>
            <w:tcW w:w="2384" w:type="pct"/>
            <w:noWrap/>
            <w:tcMar>
              <w:top w:w="30" w:type="dxa"/>
              <w:left w:w="90" w:type="dxa"/>
              <w:bottom w:w="30" w:type="dxa"/>
              <w:right w:w="90" w:type="dxa"/>
            </w:tcMar>
            <w:vAlign w:val="center"/>
            <w:hideMark/>
          </w:tcPr>
          <w:p w14:paraId="1C70A506" w14:textId="77777777" w:rsidR="008A6D82" w:rsidRPr="00FA766C" w:rsidRDefault="008A6D82" w:rsidP="00CB618A">
            <w:pPr>
              <w:spacing w:after="0" w:line="240" w:lineRule="auto"/>
              <w:rPr>
                <w:rFonts w:ascii="Arial" w:eastAsia="Times New Roman" w:hAnsi="Arial" w:cs="Arial"/>
                <w:sz w:val="20"/>
                <w:szCs w:val="20"/>
                <w:lang w:eastAsia="en-GB"/>
              </w:rPr>
            </w:pPr>
            <w:r w:rsidRPr="00FA766C">
              <w:rPr>
                <w:rFonts w:ascii="Arial" w:eastAsia="Times New Roman" w:hAnsi="Arial" w:cs="Arial"/>
                <w:sz w:val="20"/>
                <w:szCs w:val="20"/>
                <w:lang w:eastAsia="en-GB"/>
              </w:rPr>
              <w:t>slope</w:t>
            </w:r>
          </w:p>
        </w:tc>
        <w:tc>
          <w:tcPr>
            <w:tcW w:w="978" w:type="pct"/>
            <w:noWrap/>
            <w:tcMar>
              <w:top w:w="30" w:type="dxa"/>
              <w:left w:w="90" w:type="dxa"/>
              <w:bottom w:w="30" w:type="dxa"/>
              <w:right w:w="90" w:type="dxa"/>
            </w:tcMar>
            <w:vAlign w:val="center"/>
            <w:hideMark/>
          </w:tcPr>
          <w:p w14:paraId="287795BF" w14:textId="77777777" w:rsidR="008A6D82" w:rsidRPr="00FA766C" w:rsidRDefault="008A6D82" w:rsidP="00CB618A">
            <w:pPr>
              <w:spacing w:after="0" w:line="240" w:lineRule="auto"/>
              <w:jc w:val="right"/>
              <w:rPr>
                <w:rFonts w:ascii="Arial" w:eastAsia="Times New Roman" w:hAnsi="Arial" w:cs="Arial"/>
                <w:sz w:val="20"/>
                <w:szCs w:val="20"/>
                <w:lang w:eastAsia="en-GB"/>
              </w:rPr>
            </w:pPr>
            <w:r w:rsidRPr="00FA766C">
              <w:rPr>
                <w:rFonts w:ascii="Arial" w:eastAsia="Times New Roman" w:hAnsi="Arial" w:cs="Arial"/>
                <w:sz w:val="20"/>
                <w:szCs w:val="20"/>
                <w:lang w:eastAsia="en-GB"/>
              </w:rPr>
              <w:t>0.89</w:t>
            </w:r>
          </w:p>
        </w:tc>
        <w:tc>
          <w:tcPr>
            <w:tcW w:w="1036" w:type="pct"/>
            <w:noWrap/>
            <w:tcMar>
              <w:top w:w="30" w:type="dxa"/>
              <w:left w:w="90" w:type="dxa"/>
              <w:bottom w:w="30" w:type="dxa"/>
              <w:right w:w="90" w:type="dxa"/>
            </w:tcMar>
            <w:vAlign w:val="center"/>
            <w:hideMark/>
          </w:tcPr>
          <w:p w14:paraId="0EB88D91" w14:textId="77777777" w:rsidR="008A6D82" w:rsidRPr="00FA766C" w:rsidRDefault="008A6D82" w:rsidP="00CB618A">
            <w:pPr>
              <w:spacing w:after="0" w:line="240" w:lineRule="auto"/>
              <w:jc w:val="right"/>
              <w:rPr>
                <w:rFonts w:ascii="Arial" w:eastAsia="Times New Roman" w:hAnsi="Arial" w:cs="Arial"/>
                <w:sz w:val="20"/>
                <w:szCs w:val="20"/>
                <w:lang w:eastAsia="en-GB"/>
              </w:rPr>
            </w:pPr>
            <w:r w:rsidRPr="00FA766C">
              <w:rPr>
                <w:rFonts w:ascii="Arial" w:eastAsia="Times New Roman" w:hAnsi="Arial" w:cs="Arial"/>
                <w:sz w:val="20"/>
                <w:szCs w:val="20"/>
                <w:lang w:eastAsia="en-GB"/>
              </w:rPr>
              <w:t>-0.16</w:t>
            </w:r>
          </w:p>
        </w:tc>
        <w:tc>
          <w:tcPr>
            <w:tcW w:w="603" w:type="pct"/>
            <w:noWrap/>
            <w:tcMar>
              <w:top w:w="30" w:type="dxa"/>
              <w:left w:w="90" w:type="dxa"/>
              <w:bottom w:w="30" w:type="dxa"/>
              <w:right w:w="90" w:type="dxa"/>
            </w:tcMar>
            <w:vAlign w:val="center"/>
            <w:hideMark/>
          </w:tcPr>
          <w:p w14:paraId="591BAA99" w14:textId="77777777" w:rsidR="008A6D82" w:rsidRPr="00934700" w:rsidRDefault="008A6D82" w:rsidP="00CB618A">
            <w:pPr>
              <w:spacing w:after="0" w:line="240" w:lineRule="auto"/>
              <w:jc w:val="right"/>
              <w:rPr>
                <w:rFonts w:ascii="Arial" w:eastAsia="Times New Roman" w:hAnsi="Arial" w:cs="Arial"/>
                <w:color w:val="FFFFFF" w:themeColor="background1"/>
                <w:sz w:val="10"/>
                <w:szCs w:val="20"/>
                <w:lang w:eastAsia="en-GB"/>
              </w:rPr>
            </w:pPr>
            <w:r w:rsidRPr="00934700">
              <w:rPr>
                <w:rFonts w:ascii="Arial" w:eastAsia="Times New Roman" w:hAnsi="Arial" w:cs="Arial"/>
                <w:color w:val="FFFFFF" w:themeColor="background1"/>
                <w:sz w:val="10"/>
                <w:szCs w:val="20"/>
                <w:lang w:eastAsia="en-GB"/>
              </w:rPr>
              <w:t>0.07</w:t>
            </w:r>
          </w:p>
        </w:tc>
      </w:tr>
      <w:tr w:rsidR="008A6D82" w:rsidRPr="00FA766C" w14:paraId="620B5E5F" w14:textId="77777777" w:rsidTr="00CB618A">
        <w:trPr>
          <w:tblCellSpacing w:w="0" w:type="dxa"/>
          <w:jc w:val="center"/>
        </w:trPr>
        <w:tc>
          <w:tcPr>
            <w:tcW w:w="2384" w:type="pct"/>
            <w:shd w:val="clear" w:color="auto" w:fill="FFFFFF"/>
            <w:noWrap/>
            <w:tcMar>
              <w:top w:w="30" w:type="dxa"/>
              <w:left w:w="90" w:type="dxa"/>
              <w:bottom w:w="30" w:type="dxa"/>
              <w:right w:w="90" w:type="dxa"/>
            </w:tcMar>
            <w:vAlign w:val="center"/>
            <w:hideMark/>
          </w:tcPr>
          <w:p w14:paraId="00B29C78" w14:textId="77777777" w:rsidR="008A6D82" w:rsidRPr="00FA766C" w:rsidRDefault="008A6D82" w:rsidP="00CB618A">
            <w:pPr>
              <w:spacing w:after="0" w:line="225" w:lineRule="atLeast"/>
              <w:rPr>
                <w:rFonts w:ascii="Arial" w:eastAsia="Times New Roman" w:hAnsi="Arial" w:cs="Arial"/>
                <w:color w:val="000000"/>
                <w:sz w:val="20"/>
                <w:szCs w:val="20"/>
                <w:lang w:eastAsia="en-GB"/>
              </w:rPr>
            </w:pPr>
            <w:r w:rsidRPr="00FA766C">
              <w:rPr>
                <w:rFonts w:ascii="Arial" w:eastAsia="Times New Roman" w:hAnsi="Arial" w:cs="Arial"/>
                <w:color w:val="000000"/>
                <w:sz w:val="20"/>
                <w:szCs w:val="20"/>
                <w:lang w:eastAsia="en-GB"/>
              </w:rPr>
              <w:t>ndep</w:t>
            </w:r>
          </w:p>
        </w:tc>
        <w:tc>
          <w:tcPr>
            <w:tcW w:w="978" w:type="pct"/>
            <w:shd w:val="clear" w:color="auto" w:fill="FFFFFF"/>
            <w:noWrap/>
            <w:tcMar>
              <w:top w:w="30" w:type="dxa"/>
              <w:left w:w="90" w:type="dxa"/>
              <w:bottom w:w="30" w:type="dxa"/>
              <w:right w:w="90" w:type="dxa"/>
            </w:tcMar>
            <w:vAlign w:val="center"/>
            <w:hideMark/>
          </w:tcPr>
          <w:p w14:paraId="5F2960B0" w14:textId="77777777" w:rsidR="008A6D82" w:rsidRPr="00FA766C" w:rsidRDefault="008A6D82" w:rsidP="00CB618A">
            <w:pPr>
              <w:spacing w:after="0" w:line="225" w:lineRule="atLeast"/>
              <w:jc w:val="right"/>
              <w:rPr>
                <w:rFonts w:ascii="Arial" w:eastAsia="Times New Roman" w:hAnsi="Arial" w:cs="Arial"/>
                <w:color w:val="000000"/>
                <w:sz w:val="20"/>
                <w:szCs w:val="20"/>
                <w:lang w:eastAsia="en-GB"/>
              </w:rPr>
            </w:pPr>
            <w:r w:rsidRPr="00FA766C">
              <w:rPr>
                <w:rFonts w:ascii="Arial" w:eastAsia="Times New Roman" w:hAnsi="Arial" w:cs="Arial"/>
                <w:color w:val="000000"/>
                <w:sz w:val="20"/>
                <w:szCs w:val="20"/>
                <w:lang w:eastAsia="en-GB"/>
              </w:rPr>
              <w:t>0.68</w:t>
            </w:r>
          </w:p>
        </w:tc>
        <w:tc>
          <w:tcPr>
            <w:tcW w:w="1036" w:type="pct"/>
            <w:shd w:val="clear" w:color="auto" w:fill="FFFFFF"/>
            <w:noWrap/>
            <w:tcMar>
              <w:top w:w="30" w:type="dxa"/>
              <w:left w:w="90" w:type="dxa"/>
              <w:bottom w:w="30" w:type="dxa"/>
              <w:right w:w="90" w:type="dxa"/>
            </w:tcMar>
            <w:vAlign w:val="center"/>
            <w:hideMark/>
          </w:tcPr>
          <w:p w14:paraId="516F2983" w14:textId="77777777" w:rsidR="008A6D82" w:rsidRPr="00FA766C" w:rsidRDefault="008A6D82" w:rsidP="00CB618A">
            <w:pPr>
              <w:spacing w:after="0" w:line="225" w:lineRule="atLeast"/>
              <w:jc w:val="right"/>
              <w:rPr>
                <w:rFonts w:ascii="Arial" w:eastAsia="Times New Roman" w:hAnsi="Arial" w:cs="Arial"/>
                <w:color w:val="000000"/>
                <w:sz w:val="20"/>
                <w:szCs w:val="20"/>
                <w:lang w:eastAsia="en-GB"/>
              </w:rPr>
            </w:pPr>
            <w:r w:rsidRPr="00FA766C">
              <w:rPr>
                <w:rFonts w:ascii="Arial" w:eastAsia="Times New Roman" w:hAnsi="Arial" w:cs="Arial"/>
                <w:color w:val="000000"/>
                <w:sz w:val="20"/>
                <w:szCs w:val="20"/>
                <w:lang w:eastAsia="en-GB"/>
              </w:rPr>
              <w:t>-0.60</w:t>
            </w:r>
          </w:p>
        </w:tc>
        <w:tc>
          <w:tcPr>
            <w:tcW w:w="603" w:type="pct"/>
            <w:shd w:val="clear" w:color="auto" w:fill="FFFFFF"/>
            <w:noWrap/>
            <w:tcMar>
              <w:top w:w="30" w:type="dxa"/>
              <w:left w:w="90" w:type="dxa"/>
              <w:bottom w:w="30" w:type="dxa"/>
              <w:right w:w="90" w:type="dxa"/>
            </w:tcMar>
            <w:vAlign w:val="center"/>
            <w:hideMark/>
          </w:tcPr>
          <w:p w14:paraId="30986946" w14:textId="77777777" w:rsidR="008A6D82" w:rsidRPr="00934700" w:rsidRDefault="008A6D82" w:rsidP="00CB618A">
            <w:pPr>
              <w:spacing w:after="0" w:line="225" w:lineRule="atLeast"/>
              <w:jc w:val="right"/>
              <w:rPr>
                <w:rFonts w:ascii="Arial" w:eastAsia="Times New Roman" w:hAnsi="Arial" w:cs="Arial"/>
                <w:color w:val="FFFFFF" w:themeColor="background1"/>
                <w:sz w:val="10"/>
                <w:szCs w:val="20"/>
                <w:lang w:eastAsia="en-GB"/>
              </w:rPr>
            </w:pPr>
            <w:r w:rsidRPr="00934700">
              <w:rPr>
                <w:rFonts w:ascii="Arial" w:eastAsia="Times New Roman" w:hAnsi="Arial" w:cs="Arial"/>
                <w:color w:val="FFFFFF" w:themeColor="background1"/>
                <w:sz w:val="10"/>
                <w:szCs w:val="20"/>
                <w:lang w:eastAsia="en-GB"/>
              </w:rPr>
              <w:t>-0.39</w:t>
            </w:r>
          </w:p>
        </w:tc>
      </w:tr>
      <w:tr w:rsidR="008A6D82" w:rsidRPr="00FA766C" w14:paraId="35C74516" w14:textId="77777777" w:rsidTr="00CB618A">
        <w:trPr>
          <w:tblCellSpacing w:w="0" w:type="dxa"/>
          <w:jc w:val="center"/>
        </w:trPr>
        <w:tc>
          <w:tcPr>
            <w:tcW w:w="2384" w:type="pct"/>
            <w:tcBorders>
              <w:bottom w:val="single" w:sz="4" w:space="0" w:color="auto"/>
            </w:tcBorders>
            <w:shd w:val="clear" w:color="auto" w:fill="FFFFFF"/>
            <w:noWrap/>
            <w:tcMar>
              <w:top w:w="30" w:type="dxa"/>
              <w:left w:w="90" w:type="dxa"/>
              <w:bottom w:w="30" w:type="dxa"/>
              <w:right w:w="90" w:type="dxa"/>
            </w:tcMar>
            <w:vAlign w:val="center"/>
          </w:tcPr>
          <w:p w14:paraId="69304856" w14:textId="77777777" w:rsidR="008A6D82" w:rsidRPr="00FA766C" w:rsidRDefault="008A6D82" w:rsidP="00CB618A">
            <w:pPr>
              <w:spacing w:after="0" w:line="240" w:lineRule="auto"/>
              <w:rPr>
                <w:rFonts w:ascii="Arial" w:eastAsia="Times New Roman" w:hAnsi="Arial" w:cs="Arial"/>
                <w:color w:val="000000"/>
                <w:sz w:val="20"/>
                <w:szCs w:val="20"/>
                <w:lang w:eastAsia="en-GB"/>
              </w:rPr>
            </w:pPr>
            <w:r w:rsidRPr="00FA766C">
              <w:rPr>
                <w:rFonts w:ascii="Arial" w:eastAsia="Times New Roman" w:hAnsi="Arial" w:cs="Arial"/>
                <w:color w:val="000000"/>
                <w:sz w:val="20"/>
                <w:szCs w:val="20"/>
                <w:lang w:eastAsia="en-GB"/>
              </w:rPr>
              <w:t>Variance / %</w:t>
            </w:r>
          </w:p>
        </w:tc>
        <w:tc>
          <w:tcPr>
            <w:tcW w:w="978" w:type="pct"/>
            <w:tcBorders>
              <w:bottom w:val="single" w:sz="4" w:space="0" w:color="auto"/>
            </w:tcBorders>
            <w:shd w:val="clear" w:color="auto" w:fill="FFFFFF"/>
            <w:noWrap/>
            <w:tcMar>
              <w:top w:w="30" w:type="dxa"/>
              <w:left w:w="90" w:type="dxa"/>
              <w:bottom w:w="30" w:type="dxa"/>
              <w:right w:w="90" w:type="dxa"/>
            </w:tcMar>
            <w:vAlign w:val="center"/>
          </w:tcPr>
          <w:p w14:paraId="7C5405AC" w14:textId="77777777" w:rsidR="008A6D82" w:rsidRPr="00FA766C" w:rsidRDefault="008A6D82" w:rsidP="00CB618A">
            <w:pPr>
              <w:spacing w:after="0" w:line="225" w:lineRule="atLeast"/>
              <w:jc w:val="right"/>
              <w:rPr>
                <w:rFonts w:ascii="Arial" w:eastAsia="Times New Roman" w:hAnsi="Arial" w:cs="Arial"/>
                <w:color w:val="000000"/>
                <w:sz w:val="20"/>
                <w:szCs w:val="20"/>
                <w:lang w:eastAsia="en-GB"/>
              </w:rPr>
            </w:pPr>
            <w:r w:rsidRPr="00FA766C">
              <w:rPr>
                <w:rFonts w:ascii="Arial" w:eastAsia="Times New Roman" w:hAnsi="Arial" w:cs="Arial"/>
                <w:color w:val="000000"/>
                <w:sz w:val="20"/>
                <w:szCs w:val="20"/>
                <w:lang w:eastAsia="en-GB"/>
              </w:rPr>
              <w:t>62.74</w:t>
            </w:r>
          </w:p>
        </w:tc>
        <w:tc>
          <w:tcPr>
            <w:tcW w:w="1036" w:type="pct"/>
            <w:tcBorders>
              <w:bottom w:val="single" w:sz="4" w:space="0" w:color="auto"/>
            </w:tcBorders>
            <w:shd w:val="clear" w:color="auto" w:fill="FFFFFF"/>
            <w:noWrap/>
            <w:tcMar>
              <w:top w:w="30" w:type="dxa"/>
              <w:left w:w="90" w:type="dxa"/>
              <w:bottom w:w="30" w:type="dxa"/>
              <w:right w:w="90" w:type="dxa"/>
            </w:tcMar>
            <w:vAlign w:val="center"/>
          </w:tcPr>
          <w:p w14:paraId="3E6A900B" w14:textId="77777777" w:rsidR="008A6D82" w:rsidRPr="00FA766C" w:rsidRDefault="008A6D82" w:rsidP="00CB618A">
            <w:pPr>
              <w:spacing w:after="0" w:line="225" w:lineRule="atLeast"/>
              <w:jc w:val="right"/>
              <w:rPr>
                <w:rFonts w:ascii="Arial" w:eastAsia="Times New Roman" w:hAnsi="Arial" w:cs="Arial"/>
                <w:color w:val="000000"/>
                <w:sz w:val="20"/>
                <w:szCs w:val="20"/>
                <w:lang w:eastAsia="en-GB"/>
              </w:rPr>
            </w:pPr>
            <w:r w:rsidRPr="00FA766C">
              <w:rPr>
                <w:rFonts w:ascii="Arial" w:eastAsia="Times New Roman" w:hAnsi="Arial" w:cs="Arial"/>
                <w:color w:val="000000"/>
                <w:sz w:val="20"/>
                <w:szCs w:val="20"/>
                <w:lang w:eastAsia="en-GB"/>
              </w:rPr>
              <w:t>16.13</w:t>
            </w:r>
          </w:p>
        </w:tc>
        <w:tc>
          <w:tcPr>
            <w:tcW w:w="603" w:type="pct"/>
            <w:tcBorders>
              <w:bottom w:val="single" w:sz="4" w:space="0" w:color="auto"/>
            </w:tcBorders>
            <w:shd w:val="clear" w:color="auto" w:fill="FFFFFF"/>
            <w:noWrap/>
            <w:tcMar>
              <w:top w:w="30" w:type="dxa"/>
              <w:left w:w="90" w:type="dxa"/>
              <w:bottom w:w="30" w:type="dxa"/>
              <w:right w:w="90" w:type="dxa"/>
            </w:tcMar>
            <w:vAlign w:val="center"/>
          </w:tcPr>
          <w:p w14:paraId="1924D9E1" w14:textId="77777777" w:rsidR="008A6D82" w:rsidRPr="00934700" w:rsidRDefault="008A6D82" w:rsidP="00CB618A">
            <w:pPr>
              <w:spacing w:after="0" w:line="225" w:lineRule="atLeast"/>
              <w:jc w:val="right"/>
              <w:rPr>
                <w:rFonts w:ascii="Arial" w:eastAsia="Times New Roman" w:hAnsi="Arial" w:cs="Arial"/>
                <w:color w:val="FFFFFF" w:themeColor="background1"/>
                <w:sz w:val="10"/>
                <w:szCs w:val="20"/>
                <w:lang w:eastAsia="en-GB"/>
              </w:rPr>
            </w:pPr>
            <w:r w:rsidRPr="00934700">
              <w:rPr>
                <w:rFonts w:ascii="Arial" w:eastAsia="Times New Roman" w:hAnsi="Arial" w:cs="Arial"/>
                <w:color w:val="FFFFFF" w:themeColor="background1"/>
                <w:sz w:val="10"/>
                <w:szCs w:val="20"/>
                <w:lang w:eastAsia="en-GB"/>
              </w:rPr>
              <w:t>10.01</w:t>
            </w:r>
          </w:p>
        </w:tc>
      </w:tr>
    </w:tbl>
    <w:p w14:paraId="38B2273F" w14:textId="77777777" w:rsidR="008A6D82" w:rsidRDefault="008A6D82" w:rsidP="008A6D82">
      <w:pPr>
        <w:pStyle w:val="Heading2"/>
      </w:pPr>
      <w:bookmarkStart w:id="58" w:name="_Toc517431852"/>
      <w:r>
        <w:t>Appendix S2.3 Details of model</w:t>
      </w:r>
      <w:r w:rsidRPr="00126332">
        <w:t xml:space="preserve"> selection to identify important drivers and scales</w:t>
      </w:r>
      <w:bookmarkEnd w:id="58"/>
    </w:p>
    <w:p w14:paraId="259875F4" w14:textId="77777777" w:rsidR="008A6D82" w:rsidRDefault="008A6D82" w:rsidP="008A6D82">
      <w:r w:rsidRPr="00C1699F">
        <w:t>To investigate drivers of pond water quality, we fitted generalised linear models against a negative binomial distribution with a log link function to soluble reactive phosphorous concentrations after conversion to integer values (multiplication by 1000). The model section procedure followed that for rhododendron establishment (see main text).</w:t>
      </w:r>
    </w:p>
    <w:p w14:paraId="64F1D1DA" w14:textId="77777777" w:rsidR="008A6D82" w:rsidRPr="00126332" w:rsidRDefault="008A6D82" w:rsidP="008A6D82">
      <w:r w:rsidRPr="00126332">
        <w:t xml:space="preserve">The minimum adequate model explaining variation in pond water quality contained </w:t>
      </w:r>
      <w:r>
        <w:t xml:space="preserve">intensive land cover within 250-m of the ponds and its </w:t>
      </w:r>
      <w:r w:rsidRPr="00126332">
        <w:t xml:space="preserve">interaction </w:t>
      </w:r>
      <w:r>
        <w:t xml:space="preserve">with the soil gradient (Axis 2), a main effect of the precipitation gradient (Axis 1) and the presence of inflows (Tables S2.4-S2.7). </w:t>
      </w:r>
    </w:p>
    <w:p w14:paraId="2C0C8B96" w14:textId="77777777" w:rsidR="008A6D82" w:rsidRPr="00BD07C6" w:rsidRDefault="008A6D82" w:rsidP="008A6D82">
      <w:pPr>
        <w:rPr>
          <w:rFonts w:ascii="Arial" w:hAnsi="Arial" w:cs="Arial"/>
          <w:sz w:val="20"/>
        </w:rPr>
      </w:pPr>
      <w:r>
        <w:rPr>
          <w:rFonts w:ascii="Arial" w:hAnsi="Arial" w:cs="Arial"/>
          <w:sz w:val="20"/>
        </w:rPr>
        <w:t>Table S2.3</w:t>
      </w:r>
      <w:r w:rsidRPr="00BD07C6">
        <w:rPr>
          <w:rFonts w:ascii="Arial" w:hAnsi="Arial" w:cs="Arial"/>
          <w:sz w:val="20"/>
        </w:rPr>
        <w:t>.</w:t>
      </w:r>
      <w:r w:rsidRPr="00BD07C6">
        <w:rPr>
          <w:rFonts w:ascii="Arial" w:hAnsi="Arial" w:cs="Arial"/>
          <w:sz w:val="20"/>
        </w:rPr>
        <w:tab/>
        <w:t xml:space="preserve">Parameter estimates of the minimum adequate model that explained pond soluble reactive phosphorous concentration. </w:t>
      </w:r>
      <w:r>
        <w:rPr>
          <w:rFonts w:ascii="Arial" w:hAnsi="Arial" w:cs="Arial"/>
          <w:sz w:val="20"/>
          <w:szCs w:val="20"/>
        </w:rPr>
        <w:t>Explanatory variables were cent</w:t>
      </w:r>
      <w:r w:rsidRPr="00C60DE2">
        <w:rPr>
          <w:rFonts w:ascii="Arial" w:hAnsi="Arial" w:cs="Arial"/>
          <w:sz w:val="20"/>
          <w:szCs w:val="20"/>
        </w:rPr>
        <w:t>red and scaled prior to analysis to improve interpretability of regression coefficients (Schielzeth, 2010).</w:t>
      </w:r>
    </w:p>
    <w:tbl>
      <w:tblPr>
        <w:tblStyle w:val="TableGrid"/>
        <w:tblW w:w="9026"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8"/>
        <w:gridCol w:w="1501"/>
        <w:gridCol w:w="1860"/>
        <w:gridCol w:w="1601"/>
        <w:gridCol w:w="849"/>
        <w:gridCol w:w="1217"/>
      </w:tblGrid>
      <w:tr w:rsidR="008A6D82" w:rsidRPr="00BD07C6" w14:paraId="4CC954A9" w14:textId="77777777" w:rsidTr="00CB618A">
        <w:trPr>
          <w:jc w:val="center"/>
        </w:trPr>
        <w:tc>
          <w:tcPr>
            <w:tcW w:w="2115" w:type="dxa"/>
            <w:tcBorders>
              <w:top w:val="single" w:sz="4" w:space="0" w:color="auto"/>
              <w:bottom w:val="single" w:sz="4" w:space="0" w:color="auto"/>
            </w:tcBorders>
          </w:tcPr>
          <w:p w14:paraId="7853C8D7" w14:textId="77777777" w:rsidR="008A6D82" w:rsidRPr="00BD07C6" w:rsidRDefault="008A6D82" w:rsidP="00CB618A">
            <w:pPr>
              <w:spacing w:line="360" w:lineRule="auto"/>
              <w:rPr>
                <w:rFonts w:ascii="Arial" w:hAnsi="Arial" w:cs="Arial"/>
                <w:sz w:val="20"/>
                <w:szCs w:val="20"/>
              </w:rPr>
            </w:pPr>
            <w:r>
              <w:rPr>
                <w:rFonts w:ascii="Arial" w:hAnsi="Arial" w:cs="Arial"/>
                <w:sz w:val="20"/>
                <w:szCs w:val="20"/>
              </w:rPr>
              <w:t>Explanatory variable</w:t>
            </w:r>
          </w:p>
        </w:tc>
        <w:tc>
          <w:tcPr>
            <w:tcW w:w="1550" w:type="dxa"/>
            <w:tcBorders>
              <w:top w:val="single" w:sz="4" w:space="0" w:color="auto"/>
              <w:bottom w:val="single" w:sz="4" w:space="0" w:color="auto"/>
            </w:tcBorders>
          </w:tcPr>
          <w:p w14:paraId="414CC7A8" w14:textId="77777777" w:rsidR="008A6D82" w:rsidRPr="00BD07C6" w:rsidRDefault="008A6D82" w:rsidP="00CB618A">
            <w:pPr>
              <w:spacing w:line="360" w:lineRule="auto"/>
              <w:rPr>
                <w:rFonts w:ascii="Arial" w:hAnsi="Arial" w:cs="Arial"/>
                <w:sz w:val="20"/>
                <w:szCs w:val="20"/>
              </w:rPr>
            </w:pPr>
            <w:r w:rsidRPr="00BD07C6">
              <w:rPr>
                <w:rFonts w:ascii="Arial" w:hAnsi="Arial" w:cs="Arial"/>
                <w:sz w:val="20"/>
                <w:szCs w:val="20"/>
              </w:rPr>
              <w:t>Hierarchy level</w:t>
            </w:r>
          </w:p>
        </w:tc>
        <w:tc>
          <w:tcPr>
            <w:tcW w:w="1974" w:type="dxa"/>
            <w:tcBorders>
              <w:top w:val="single" w:sz="4" w:space="0" w:color="auto"/>
              <w:bottom w:val="single" w:sz="4" w:space="0" w:color="auto"/>
            </w:tcBorders>
          </w:tcPr>
          <w:p w14:paraId="39945312" w14:textId="77777777" w:rsidR="008A6D82" w:rsidRPr="00BD07C6" w:rsidRDefault="008A6D82" w:rsidP="00CB618A">
            <w:pPr>
              <w:spacing w:line="360" w:lineRule="auto"/>
              <w:rPr>
                <w:rFonts w:ascii="Arial" w:hAnsi="Arial" w:cs="Arial"/>
                <w:sz w:val="20"/>
                <w:szCs w:val="20"/>
              </w:rPr>
            </w:pPr>
            <w:r w:rsidRPr="00BD07C6">
              <w:rPr>
                <w:rFonts w:ascii="Arial" w:hAnsi="Arial" w:cs="Arial"/>
                <w:sz w:val="20"/>
                <w:szCs w:val="20"/>
              </w:rPr>
              <w:t>Parameter estimate</w:t>
            </w:r>
          </w:p>
        </w:tc>
        <w:tc>
          <w:tcPr>
            <w:tcW w:w="1693" w:type="dxa"/>
            <w:tcBorders>
              <w:top w:val="single" w:sz="4" w:space="0" w:color="auto"/>
              <w:bottom w:val="single" w:sz="4" w:space="0" w:color="auto"/>
            </w:tcBorders>
          </w:tcPr>
          <w:p w14:paraId="0A43A79E" w14:textId="77777777" w:rsidR="008A6D82" w:rsidRPr="00BD07C6" w:rsidRDefault="008A6D82" w:rsidP="00CB618A">
            <w:pPr>
              <w:spacing w:line="360" w:lineRule="auto"/>
              <w:rPr>
                <w:rFonts w:ascii="Arial" w:hAnsi="Arial" w:cs="Arial"/>
                <w:sz w:val="20"/>
                <w:szCs w:val="20"/>
              </w:rPr>
            </w:pPr>
            <w:r w:rsidRPr="00BD07C6">
              <w:rPr>
                <w:rFonts w:ascii="Arial" w:hAnsi="Arial" w:cs="Arial"/>
                <w:sz w:val="20"/>
                <w:szCs w:val="20"/>
              </w:rPr>
              <w:t>Standard error</w:t>
            </w:r>
          </w:p>
        </w:tc>
        <w:tc>
          <w:tcPr>
            <w:tcW w:w="851" w:type="dxa"/>
            <w:tcBorders>
              <w:top w:val="single" w:sz="4" w:space="0" w:color="auto"/>
              <w:bottom w:val="single" w:sz="4" w:space="0" w:color="auto"/>
            </w:tcBorders>
          </w:tcPr>
          <w:p w14:paraId="60821636" w14:textId="77777777" w:rsidR="008A6D82" w:rsidRPr="00BD07C6" w:rsidRDefault="008A6D82" w:rsidP="00CB618A">
            <w:pPr>
              <w:spacing w:line="360" w:lineRule="auto"/>
              <w:rPr>
                <w:rFonts w:ascii="Arial" w:hAnsi="Arial" w:cs="Arial"/>
                <w:i/>
                <w:sz w:val="20"/>
                <w:szCs w:val="20"/>
              </w:rPr>
            </w:pPr>
            <w:r w:rsidRPr="00BD07C6">
              <w:rPr>
                <w:rFonts w:ascii="Arial" w:hAnsi="Arial" w:cs="Arial"/>
                <w:i/>
                <w:sz w:val="20"/>
                <w:szCs w:val="20"/>
              </w:rPr>
              <w:t>P</w:t>
            </w:r>
          </w:p>
        </w:tc>
        <w:tc>
          <w:tcPr>
            <w:tcW w:w="843" w:type="dxa"/>
            <w:tcBorders>
              <w:top w:val="single" w:sz="4" w:space="0" w:color="auto"/>
              <w:bottom w:val="single" w:sz="4" w:space="0" w:color="auto"/>
            </w:tcBorders>
          </w:tcPr>
          <w:p w14:paraId="799B1032" w14:textId="77777777" w:rsidR="008A6D82" w:rsidRPr="002F5495" w:rsidRDefault="008A6D82" w:rsidP="00CB618A">
            <w:pPr>
              <w:spacing w:line="360" w:lineRule="auto"/>
              <w:rPr>
                <w:rFonts w:ascii="Arial" w:hAnsi="Arial" w:cs="Arial"/>
                <w:sz w:val="20"/>
                <w:szCs w:val="20"/>
              </w:rPr>
            </w:pPr>
            <w:r w:rsidRPr="002F5495">
              <w:rPr>
                <w:rFonts w:ascii="Arial" w:hAnsi="Arial" w:cs="Arial"/>
                <w:sz w:val="20"/>
                <w:szCs w:val="20"/>
              </w:rPr>
              <w:t>Importance value</w:t>
            </w:r>
            <w:r>
              <w:rPr>
                <w:rFonts w:ascii="Arial" w:hAnsi="Arial" w:cs="Arial"/>
                <w:sz w:val="20"/>
                <w:szCs w:val="20"/>
              </w:rPr>
              <w:t>*</w:t>
            </w:r>
          </w:p>
        </w:tc>
      </w:tr>
      <w:tr w:rsidR="008A6D82" w:rsidRPr="00BD07C6" w14:paraId="1EDC1AD0" w14:textId="77777777" w:rsidTr="00CB618A">
        <w:trPr>
          <w:jc w:val="center"/>
        </w:trPr>
        <w:tc>
          <w:tcPr>
            <w:tcW w:w="2115" w:type="dxa"/>
            <w:tcBorders>
              <w:top w:val="single" w:sz="4" w:space="0" w:color="auto"/>
            </w:tcBorders>
          </w:tcPr>
          <w:p w14:paraId="62C1B308" w14:textId="77777777" w:rsidR="008A6D82" w:rsidRPr="00BD07C6" w:rsidRDefault="008A6D82" w:rsidP="00CB618A">
            <w:pPr>
              <w:spacing w:line="360" w:lineRule="auto"/>
              <w:rPr>
                <w:rFonts w:ascii="Arial" w:hAnsi="Arial" w:cs="Arial"/>
                <w:sz w:val="20"/>
                <w:szCs w:val="20"/>
              </w:rPr>
            </w:pPr>
            <w:r w:rsidRPr="00BD07C6">
              <w:rPr>
                <w:rFonts w:ascii="Arial" w:hAnsi="Arial" w:cs="Arial"/>
                <w:sz w:val="20"/>
                <w:szCs w:val="20"/>
              </w:rPr>
              <w:t>Intercept</w:t>
            </w:r>
          </w:p>
        </w:tc>
        <w:tc>
          <w:tcPr>
            <w:tcW w:w="1550" w:type="dxa"/>
            <w:tcBorders>
              <w:top w:val="single" w:sz="4" w:space="0" w:color="auto"/>
            </w:tcBorders>
          </w:tcPr>
          <w:p w14:paraId="3BFE195E" w14:textId="77777777" w:rsidR="008A6D82" w:rsidRPr="00BD07C6" w:rsidRDefault="008A6D82" w:rsidP="00CB618A">
            <w:pPr>
              <w:spacing w:line="360" w:lineRule="auto"/>
              <w:rPr>
                <w:rFonts w:ascii="Arial" w:hAnsi="Arial" w:cs="Arial"/>
                <w:sz w:val="20"/>
                <w:szCs w:val="20"/>
              </w:rPr>
            </w:pPr>
            <w:r w:rsidRPr="00BD07C6">
              <w:rPr>
                <w:rFonts w:ascii="Arial" w:hAnsi="Arial" w:cs="Arial"/>
                <w:sz w:val="20"/>
                <w:szCs w:val="20"/>
              </w:rPr>
              <w:t>NA</w:t>
            </w:r>
          </w:p>
        </w:tc>
        <w:tc>
          <w:tcPr>
            <w:tcW w:w="1974" w:type="dxa"/>
            <w:tcBorders>
              <w:top w:val="single" w:sz="4" w:space="0" w:color="auto"/>
            </w:tcBorders>
          </w:tcPr>
          <w:p w14:paraId="1E1FEE5D" w14:textId="77777777" w:rsidR="008A6D82" w:rsidRPr="00BD07C6" w:rsidRDefault="008A6D82" w:rsidP="00CB618A">
            <w:pPr>
              <w:spacing w:line="360" w:lineRule="auto"/>
              <w:rPr>
                <w:rFonts w:ascii="Arial" w:hAnsi="Arial" w:cs="Arial"/>
                <w:sz w:val="20"/>
                <w:szCs w:val="20"/>
              </w:rPr>
            </w:pPr>
            <w:r>
              <w:rPr>
                <w:rFonts w:ascii="Arial" w:hAnsi="Arial" w:cs="Arial"/>
                <w:sz w:val="20"/>
                <w:szCs w:val="20"/>
              </w:rPr>
              <w:t>5.10</w:t>
            </w:r>
          </w:p>
        </w:tc>
        <w:tc>
          <w:tcPr>
            <w:tcW w:w="1693" w:type="dxa"/>
            <w:tcBorders>
              <w:top w:val="single" w:sz="4" w:space="0" w:color="auto"/>
            </w:tcBorders>
          </w:tcPr>
          <w:p w14:paraId="4A0816A3" w14:textId="77777777" w:rsidR="008A6D82" w:rsidRPr="00BD07C6" w:rsidRDefault="008A6D82" w:rsidP="00CB618A">
            <w:pPr>
              <w:spacing w:line="360" w:lineRule="auto"/>
              <w:rPr>
                <w:rFonts w:ascii="Arial" w:hAnsi="Arial" w:cs="Arial"/>
                <w:sz w:val="20"/>
                <w:szCs w:val="20"/>
              </w:rPr>
            </w:pPr>
            <w:r>
              <w:rPr>
                <w:rFonts w:ascii="Arial" w:hAnsi="Arial" w:cs="Arial"/>
                <w:sz w:val="20"/>
                <w:szCs w:val="20"/>
              </w:rPr>
              <w:t>0.23</w:t>
            </w:r>
          </w:p>
        </w:tc>
        <w:tc>
          <w:tcPr>
            <w:tcW w:w="851" w:type="dxa"/>
            <w:tcBorders>
              <w:top w:val="single" w:sz="4" w:space="0" w:color="auto"/>
            </w:tcBorders>
          </w:tcPr>
          <w:p w14:paraId="3359558A" w14:textId="77777777" w:rsidR="008A6D82" w:rsidRPr="00BD07C6" w:rsidRDefault="008A6D82" w:rsidP="00CB618A">
            <w:pPr>
              <w:spacing w:line="360" w:lineRule="auto"/>
              <w:rPr>
                <w:rFonts w:ascii="Arial" w:hAnsi="Arial" w:cs="Arial"/>
                <w:sz w:val="20"/>
                <w:szCs w:val="20"/>
              </w:rPr>
            </w:pPr>
            <w:r w:rsidRPr="00BD07C6">
              <w:rPr>
                <w:rFonts w:ascii="Arial" w:hAnsi="Arial" w:cs="Arial"/>
                <w:sz w:val="20"/>
                <w:szCs w:val="20"/>
              </w:rPr>
              <w:t>&lt;0.001</w:t>
            </w:r>
          </w:p>
        </w:tc>
        <w:tc>
          <w:tcPr>
            <w:tcW w:w="843" w:type="dxa"/>
            <w:tcBorders>
              <w:top w:val="single" w:sz="4" w:space="0" w:color="auto"/>
            </w:tcBorders>
          </w:tcPr>
          <w:p w14:paraId="05335F4F" w14:textId="77777777" w:rsidR="008A6D82" w:rsidRPr="00BD07C6" w:rsidRDefault="008A6D82" w:rsidP="00CB618A">
            <w:pPr>
              <w:spacing w:line="360" w:lineRule="auto"/>
              <w:rPr>
                <w:rFonts w:ascii="Arial" w:hAnsi="Arial" w:cs="Arial"/>
                <w:sz w:val="20"/>
                <w:szCs w:val="20"/>
              </w:rPr>
            </w:pPr>
            <w:r>
              <w:rPr>
                <w:rFonts w:ascii="Arial" w:hAnsi="Arial" w:cs="Arial"/>
                <w:sz w:val="20"/>
                <w:szCs w:val="20"/>
              </w:rPr>
              <w:t>NA</w:t>
            </w:r>
          </w:p>
        </w:tc>
      </w:tr>
      <w:tr w:rsidR="008A6D82" w:rsidRPr="00BD07C6" w14:paraId="7953EC78" w14:textId="77777777" w:rsidTr="00CB618A">
        <w:trPr>
          <w:jc w:val="center"/>
        </w:trPr>
        <w:tc>
          <w:tcPr>
            <w:tcW w:w="2115" w:type="dxa"/>
          </w:tcPr>
          <w:p w14:paraId="7CFD717B" w14:textId="77777777" w:rsidR="008A6D82" w:rsidRPr="00BD07C6" w:rsidRDefault="008A6D82" w:rsidP="00CB618A">
            <w:pPr>
              <w:spacing w:line="360" w:lineRule="auto"/>
              <w:rPr>
                <w:rFonts w:ascii="Arial" w:hAnsi="Arial" w:cs="Arial"/>
                <w:sz w:val="20"/>
                <w:szCs w:val="20"/>
              </w:rPr>
            </w:pPr>
            <w:r w:rsidRPr="00BD07C6">
              <w:rPr>
                <w:rFonts w:ascii="Arial" w:hAnsi="Arial" w:cs="Arial"/>
                <w:sz w:val="20"/>
                <w:szCs w:val="20"/>
              </w:rPr>
              <w:t>Intensive cover</w:t>
            </w:r>
          </w:p>
        </w:tc>
        <w:tc>
          <w:tcPr>
            <w:tcW w:w="1550" w:type="dxa"/>
          </w:tcPr>
          <w:p w14:paraId="21F7664F" w14:textId="77777777" w:rsidR="008A6D82" w:rsidRPr="00BD07C6" w:rsidRDefault="008A6D82" w:rsidP="00CB618A">
            <w:pPr>
              <w:spacing w:line="360" w:lineRule="auto"/>
              <w:rPr>
                <w:rFonts w:ascii="Arial" w:hAnsi="Arial" w:cs="Arial"/>
                <w:sz w:val="20"/>
                <w:szCs w:val="20"/>
              </w:rPr>
            </w:pPr>
            <w:r w:rsidRPr="00BD07C6">
              <w:rPr>
                <w:rFonts w:ascii="Arial" w:hAnsi="Arial" w:cs="Arial"/>
                <w:sz w:val="20"/>
                <w:szCs w:val="20"/>
              </w:rPr>
              <w:t>Landscape</w:t>
            </w:r>
          </w:p>
        </w:tc>
        <w:tc>
          <w:tcPr>
            <w:tcW w:w="1974" w:type="dxa"/>
          </w:tcPr>
          <w:p w14:paraId="2B1CAA76" w14:textId="77777777" w:rsidR="008A6D82" w:rsidRPr="00BD07C6" w:rsidRDefault="008A6D82" w:rsidP="00CB618A">
            <w:pPr>
              <w:spacing w:line="360" w:lineRule="auto"/>
              <w:rPr>
                <w:rFonts w:ascii="Arial" w:hAnsi="Arial" w:cs="Arial"/>
                <w:sz w:val="20"/>
                <w:szCs w:val="20"/>
              </w:rPr>
            </w:pPr>
            <w:r>
              <w:rPr>
                <w:rFonts w:ascii="Arial" w:hAnsi="Arial" w:cs="Arial"/>
                <w:sz w:val="20"/>
                <w:szCs w:val="20"/>
              </w:rPr>
              <w:t>1.35</w:t>
            </w:r>
          </w:p>
        </w:tc>
        <w:tc>
          <w:tcPr>
            <w:tcW w:w="1693" w:type="dxa"/>
          </w:tcPr>
          <w:p w14:paraId="05C42878" w14:textId="77777777" w:rsidR="008A6D82" w:rsidRPr="00BD07C6" w:rsidRDefault="008A6D82" w:rsidP="00CB618A">
            <w:pPr>
              <w:spacing w:line="360" w:lineRule="auto"/>
              <w:rPr>
                <w:rFonts w:ascii="Arial" w:hAnsi="Arial" w:cs="Arial"/>
                <w:sz w:val="20"/>
                <w:szCs w:val="20"/>
              </w:rPr>
            </w:pPr>
            <w:r w:rsidRPr="00BD07C6">
              <w:rPr>
                <w:rFonts w:ascii="Arial" w:hAnsi="Arial" w:cs="Arial"/>
                <w:sz w:val="20"/>
                <w:szCs w:val="20"/>
              </w:rPr>
              <w:t>0.</w:t>
            </w:r>
            <w:r>
              <w:rPr>
                <w:rFonts w:ascii="Arial" w:hAnsi="Arial" w:cs="Arial"/>
                <w:sz w:val="20"/>
                <w:szCs w:val="20"/>
              </w:rPr>
              <w:t>187</w:t>
            </w:r>
          </w:p>
        </w:tc>
        <w:tc>
          <w:tcPr>
            <w:tcW w:w="851" w:type="dxa"/>
          </w:tcPr>
          <w:p w14:paraId="51512E87" w14:textId="77777777" w:rsidR="008A6D82" w:rsidRPr="00BD07C6" w:rsidRDefault="008A6D82" w:rsidP="00CB618A">
            <w:pPr>
              <w:spacing w:line="360" w:lineRule="auto"/>
              <w:rPr>
                <w:rFonts w:ascii="Arial" w:hAnsi="Arial" w:cs="Arial"/>
                <w:sz w:val="20"/>
                <w:szCs w:val="20"/>
              </w:rPr>
            </w:pPr>
            <w:r w:rsidRPr="00BD07C6">
              <w:rPr>
                <w:rFonts w:ascii="Arial" w:hAnsi="Arial" w:cs="Arial"/>
                <w:sz w:val="20"/>
                <w:szCs w:val="20"/>
              </w:rPr>
              <w:t>&lt;0.001</w:t>
            </w:r>
          </w:p>
        </w:tc>
        <w:tc>
          <w:tcPr>
            <w:tcW w:w="843" w:type="dxa"/>
          </w:tcPr>
          <w:p w14:paraId="3272CDF5" w14:textId="77777777" w:rsidR="008A6D82" w:rsidRPr="00BD07C6" w:rsidRDefault="008A6D82" w:rsidP="00CB618A">
            <w:pPr>
              <w:spacing w:line="360" w:lineRule="auto"/>
              <w:rPr>
                <w:rFonts w:ascii="Arial" w:hAnsi="Arial" w:cs="Arial"/>
                <w:sz w:val="20"/>
                <w:szCs w:val="20"/>
              </w:rPr>
            </w:pPr>
            <w:r>
              <w:rPr>
                <w:rFonts w:ascii="Arial" w:hAnsi="Arial" w:cs="Arial"/>
                <w:sz w:val="20"/>
                <w:szCs w:val="20"/>
              </w:rPr>
              <w:t>1.00</w:t>
            </w:r>
          </w:p>
        </w:tc>
      </w:tr>
      <w:tr w:rsidR="008A6D82" w:rsidRPr="00BD07C6" w14:paraId="61AA6014" w14:textId="77777777" w:rsidTr="00CB618A">
        <w:trPr>
          <w:jc w:val="center"/>
        </w:trPr>
        <w:tc>
          <w:tcPr>
            <w:tcW w:w="2115" w:type="dxa"/>
          </w:tcPr>
          <w:p w14:paraId="23A3A7D7" w14:textId="77777777" w:rsidR="008A6D82" w:rsidRPr="00BD07C6" w:rsidRDefault="008A6D82" w:rsidP="00CB618A">
            <w:pPr>
              <w:spacing w:line="360" w:lineRule="auto"/>
              <w:rPr>
                <w:rFonts w:ascii="Arial" w:hAnsi="Arial" w:cs="Arial"/>
                <w:sz w:val="20"/>
                <w:szCs w:val="20"/>
              </w:rPr>
            </w:pPr>
            <w:r w:rsidRPr="00BD07C6">
              <w:rPr>
                <w:rFonts w:ascii="Arial" w:hAnsi="Arial" w:cs="Arial"/>
                <w:sz w:val="20"/>
                <w:szCs w:val="20"/>
              </w:rPr>
              <w:t>Soil gradient (Axis 2)</w:t>
            </w:r>
          </w:p>
        </w:tc>
        <w:tc>
          <w:tcPr>
            <w:tcW w:w="1550" w:type="dxa"/>
          </w:tcPr>
          <w:p w14:paraId="586A9A7A" w14:textId="77777777" w:rsidR="008A6D82" w:rsidRPr="00BD07C6" w:rsidRDefault="008A6D82" w:rsidP="00CB618A">
            <w:pPr>
              <w:spacing w:line="360" w:lineRule="auto"/>
              <w:rPr>
                <w:rFonts w:ascii="Arial" w:hAnsi="Arial" w:cs="Arial"/>
                <w:sz w:val="20"/>
                <w:szCs w:val="20"/>
              </w:rPr>
            </w:pPr>
            <w:r w:rsidRPr="00BD07C6">
              <w:rPr>
                <w:rFonts w:ascii="Arial" w:hAnsi="Arial" w:cs="Arial"/>
                <w:sz w:val="20"/>
                <w:szCs w:val="20"/>
              </w:rPr>
              <w:t>Regional</w:t>
            </w:r>
          </w:p>
        </w:tc>
        <w:tc>
          <w:tcPr>
            <w:tcW w:w="1974" w:type="dxa"/>
          </w:tcPr>
          <w:p w14:paraId="0CB51D14" w14:textId="77777777" w:rsidR="008A6D82" w:rsidRPr="00BD07C6" w:rsidRDefault="008A6D82" w:rsidP="00CB618A">
            <w:pPr>
              <w:spacing w:line="360" w:lineRule="auto"/>
              <w:rPr>
                <w:rFonts w:ascii="Arial" w:hAnsi="Arial" w:cs="Arial"/>
                <w:sz w:val="20"/>
                <w:szCs w:val="20"/>
              </w:rPr>
            </w:pPr>
            <w:r w:rsidRPr="00BD07C6">
              <w:rPr>
                <w:rFonts w:ascii="Arial" w:hAnsi="Arial" w:cs="Arial"/>
                <w:sz w:val="20"/>
                <w:szCs w:val="20"/>
              </w:rPr>
              <w:t>-0.1</w:t>
            </w:r>
            <w:r>
              <w:rPr>
                <w:rFonts w:ascii="Arial" w:hAnsi="Arial" w:cs="Arial"/>
                <w:sz w:val="20"/>
                <w:szCs w:val="20"/>
              </w:rPr>
              <w:t>4</w:t>
            </w:r>
          </w:p>
        </w:tc>
        <w:tc>
          <w:tcPr>
            <w:tcW w:w="1693" w:type="dxa"/>
          </w:tcPr>
          <w:p w14:paraId="1B294B2E" w14:textId="77777777" w:rsidR="008A6D82" w:rsidRPr="00BD07C6" w:rsidRDefault="008A6D82" w:rsidP="00CB618A">
            <w:pPr>
              <w:spacing w:line="360" w:lineRule="auto"/>
              <w:rPr>
                <w:rFonts w:ascii="Arial" w:hAnsi="Arial" w:cs="Arial"/>
                <w:sz w:val="20"/>
                <w:szCs w:val="20"/>
              </w:rPr>
            </w:pPr>
            <w:r>
              <w:rPr>
                <w:rFonts w:ascii="Arial" w:hAnsi="Arial" w:cs="Arial"/>
                <w:sz w:val="20"/>
                <w:szCs w:val="20"/>
              </w:rPr>
              <w:t>0.17</w:t>
            </w:r>
          </w:p>
        </w:tc>
        <w:tc>
          <w:tcPr>
            <w:tcW w:w="851" w:type="dxa"/>
          </w:tcPr>
          <w:p w14:paraId="1A35DF0F" w14:textId="77777777" w:rsidR="008A6D82" w:rsidRPr="00BD07C6" w:rsidRDefault="008A6D82" w:rsidP="00CB618A">
            <w:pPr>
              <w:spacing w:line="360" w:lineRule="auto"/>
              <w:rPr>
                <w:rFonts w:ascii="Arial" w:hAnsi="Arial" w:cs="Arial"/>
                <w:sz w:val="20"/>
                <w:szCs w:val="20"/>
              </w:rPr>
            </w:pPr>
            <w:r w:rsidRPr="00BD07C6">
              <w:rPr>
                <w:rFonts w:ascii="Arial" w:hAnsi="Arial" w:cs="Arial"/>
                <w:sz w:val="20"/>
                <w:szCs w:val="20"/>
              </w:rPr>
              <w:t>0.</w:t>
            </w:r>
            <w:r>
              <w:rPr>
                <w:rFonts w:ascii="Arial" w:hAnsi="Arial" w:cs="Arial"/>
                <w:sz w:val="20"/>
                <w:szCs w:val="20"/>
              </w:rPr>
              <w:t>488</w:t>
            </w:r>
          </w:p>
        </w:tc>
        <w:tc>
          <w:tcPr>
            <w:tcW w:w="843" w:type="dxa"/>
          </w:tcPr>
          <w:p w14:paraId="1FBAF088" w14:textId="77777777" w:rsidR="008A6D82" w:rsidRPr="00BD07C6" w:rsidRDefault="008A6D82" w:rsidP="00CB618A">
            <w:pPr>
              <w:spacing w:line="360" w:lineRule="auto"/>
              <w:rPr>
                <w:rFonts w:ascii="Arial" w:hAnsi="Arial" w:cs="Arial"/>
                <w:sz w:val="20"/>
                <w:szCs w:val="20"/>
              </w:rPr>
            </w:pPr>
            <w:r>
              <w:rPr>
                <w:rFonts w:ascii="Arial" w:hAnsi="Arial" w:cs="Arial"/>
                <w:sz w:val="20"/>
                <w:szCs w:val="20"/>
              </w:rPr>
              <w:t>1.00</w:t>
            </w:r>
          </w:p>
        </w:tc>
      </w:tr>
      <w:tr w:rsidR="008A6D82" w:rsidRPr="00BD07C6" w14:paraId="7A63D088" w14:textId="77777777" w:rsidTr="00CB618A">
        <w:trPr>
          <w:jc w:val="center"/>
        </w:trPr>
        <w:tc>
          <w:tcPr>
            <w:tcW w:w="2115" w:type="dxa"/>
          </w:tcPr>
          <w:p w14:paraId="6034D4D4" w14:textId="77777777" w:rsidR="008A6D82" w:rsidRPr="00BD07C6" w:rsidRDefault="008A6D82" w:rsidP="00CB618A">
            <w:pPr>
              <w:spacing w:line="360" w:lineRule="auto"/>
              <w:rPr>
                <w:rFonts w:ascii="Arial" w:hAnsi="Arial" w:cs="Arial"/>
                <w:sz w:val="20"/>
                <w:szCs w:val="20"/>
              </w:rPr>
            </w:pPr>
            <w:r w:rsidRPr="00BD07C6">
              <w:rPr>
                <w:rFonts w:ascii="Arial" w:hAnsi="Arial" w:cs="Arial"/>
                <w:sz w:val="20"/>
                <w:szCs w:val="20"/>
              </w:rPr>
              <w:t>Inflow</w:t>
            </w:r>
          </w:p>
        </w:tc>
        <w:tc>
          <w:tcPr>
            <w:tcW w:w="1550" w:type="dxa"/>
          </w:tcPr>
          <w:p w14:paraId="65D5A2A1" w14:textId="77777777" w:rsidR="008A6D82" w:rsidRPr="00BD07C6" w:rsidRDefault="008A6D82" w:rsidP="00CB618A">
            <w:pPr>
              <w:spacing w:line="360" w:lineRule="auto"/>
              <w:rPr>
                <w:rFonts w:ascii="Arial" w:hAnsi="Arial" w:cs="Arial"/>
                <w:sz w:val="20"/>
                <w:szCs w:val="20"/>
              </w:rPr>
            </w:pPr>
            <w:r w:rsidRPr="00BD07C6">
              <w:rPr>
                <w:rFonts w:ascii="Arial" w:hAnsi="Arial" w:cs="Arial"/>
                <w:sz w:val="20"/>
                <w:szCs w:val="20"/>
              </w:rPr>
              <w:t>Local</w:t>
            </w:r>
          </w:p>
        </w:tc>
        <w:tc>
          <w:tcPr>
            <w:tcW w:w="1974" w:type="dxa"/>
          </w:tcPr>
          <w:p w14:paraId="4FCCDD9E" w14:textId="77777777" w:rsidR="008A6D82" w:rsidRPr="00BD07C6" w:rsidRDefault="008A6D82" w:rsidP="00CB618A">
            <w:pPr>
              <w:spacing w:line="360" w:lineRule="auto"/>
              <w:rPr>
                <w:rFonts w:ascii="Arial" w:hAnsi="Arial" w:cs="Arial"/>
                <w:sz w:val="20"/>
                <w:szCs w:val="20"/>
              </w:rPr>
            </w:pPr>
            <w:r w:rsidRPr="00BD07C6">
              <w:rPr>
                <w:rFonts w:ascii="Arial" w:hAnsi="Arial" w:cs="Arial"/>
                <w:sz w:val="20"/>
                <w:szCs w:val="20"/>
              </w:rPr>
              <w:t>-0.</w:t>
            </w:r>
            <w:r>
              <w:rPr>
                <w:rFonts w:ascii="Arial" w:hAnsi="Arial" w:cs="Arial"/>
                <w:sz w:val="20"/>
                <w:szCs w:val="20"/>
              </w:rPr>
              <w:t>67</w:t>
            </w:r>
          </w:p>
        </w:tc>
        <w:tc>
          <w:tcPr>
            <w:tcW w:w="1693" w:type="dxa"/>
          </w:tcPr>
          <w:p w14:paraId="015EDC28" w14:textId="77777777" w:rsidR="008A6D82" w:rsidRPr="00BD07C6" w:rsidRDefault="008A6D82" w:rsidP="00CB618A">
            <w:pPr>
              <w:spacing w:line="360" w:lineRule="auto"/>
              <w:rPr>
                <w:rFonts w:ascii="Arial" w:hAnsi="Arial" w:cs="Arial"/>
                <w:sz w:val="20"/>
                <w:szCs w:val="20"/>
              </w:rPr>
            </w:pPr>
            <w:r w:rsidRPr="00BD07C6">
              <w:rPr>
                <w:rFonts w:ascii="Arial" w:hAnsi="Arial" w:cs="Arial"/>
                <w:sz w:val="20"/>
                <w:szCs w:val="20"/>
              </w:rPr>
              <w:t>0.33</w:t>
            </w:r>
          </w:p>
        </w:tc>
        <w:tc>
          <w:tcPr>
            <w:tcW w:w="851" w:type="dxa"/>
          </w:tcPr>
          <w:p w14:paraId="2F309145" w14:textId="77777777" w:rsidR="008A6D82" w:rsidRPr="00BD07C6" w:rsidRDefault="008A6D82" w:rsidP="00CB618A">
            <w:pPr>
              <w:spacing w:line="360" w:lineRule="auto"/>
              <w:rPr>
                <w:rFonts w:ascii="Arial" w:hAnsi="Arial" w:cs="Arial"/>
                <w:sz w:val="20"/>
                <w:szCs w:val="20"/>
              </w:rPr>
            </w:pPr>
            <w:r w:rsidRPr="00BD07C6">
              <w:rPr>
                <w:rFonts w:ascii="Arial" w:hAnsi="Arial" w:cs="Arial"/>
                <w:sz w:val="20"/>
                <w:szCs w:val="20"/>
              </w:rPr>
              <w:t>0.0</w:t>
            </w:r>
            <w:r>
              <w:rPr>
                <w:rFonts w:ascii="Arial" w:hAnsi="Arial" w:cs="Arial"/>
                <w:sz w:val="20"/>
                <w:szCs w:val="20"/>
              </w:rPr>
              <w:t>40</w:t>
            </w:r>
          </w:p>
        </w:tc>
        <w:tc>
          <w:tcPr>
            <w:tcW w:w="843" w:type="dxa"/>
          </w:tcPr>
          <w:p w14:paraId="7541DA62" w14:textId="77777777" w:rsidR="008A6D82" w:rsidRPr="00BD07C6" w:rsidRDefault="008A6D82" w:rsidP="00CB618A">
            <w:pPr>
              <w:spacing w:line="360" w:lineRule="auto"/>
              <w:rPr>
                <w:rFonts w:ascii="Arial" w:hAnsi="Arial" w:cs="Arial"/>
                <w:sz w:val="20"/>
                <w:szCs w:val="20"/>
              </w:rPr>
            </w:pPr>
            <w:r>
              <w:rPr>
                <w:rFonts w:ascii="Arial" w:hAnsi="Arial" w:cs="Arial"/>
                <w:sz w:val="20"/>
                <w:szCs w:val="20"/>
              </w:rPr>
              <w:t>0.70</w:t>
            </w:r>
          </w:p>
        </w:tc>
      </w:tr>
      <w:tr w:rsidR="008A6D82" w:rsidRPr="00BD07C6" w14:paraId="357EDF8F" w14:textId="77777777" w:rsidTr="00CB618A">
        <w:trPr>
          <w:jc w:val="center"/>
        </w:trPr>
        <w:tc>
          <w:tcPr>
            <w:tcW w:w="2115" w:type="dxa"/>
          </w:tcPr>
          <w:p w14:paraId="6243DB6E" w14:textId="77777777" w:rsidR="008A6D82" w:rsidRPr="00BD07C6" w:rsidRDefault="008A6D82" w:rsidP="00CB618A">
            <w:pPr>
              <w:spacing w:line="360" w:lineRule="auto"/>
              <w:rPr>
                <w:rFonts w:ascii="Arial" w:hAnsi="Arial" w:cs="Arial"/>
                <w:sz w:val="20"/>
                <w:szCs w:val="20"/>
              </w:rPr>
            </w:pPr>
            <w:r w:rsidRPr="00BD07C6">
              <w:rPr>
                <w:rFonts w:ascii="Arial" w:hAnsi="Arial" w:cs="Arial"/>
                <w:sz w:val="20"/>
                <w:szCs w:val="20"/>
              </w:rPr>
              <w:t xml:space="preserve">Soil gradient: Intensive cover </w:t>
            </w:r>
          </w:p>
        </w:tc>
        <w:tc>
          <w:tcPr>
            <w:tcW w:w="1550" w:type="dxa"/>
          </w:tcPr>
          <w:p w14:paraId="6045E5B3" w14:textId="77777777" w:rsidR="008A6D82" w:rsidRPr="00BD07C6" w:rsidRDefault="008A6D82" w:rsidP="00CB618A">
            <w:pPr>
              <w:spacing w:line="360" w:lineRule="auto"/>
              <w:rPr>
                <w:rFonts w:ascii="Arial" w:hAnsi="Arial" w:cs="Arial"/>
                <w:sz w:val="20"/>
                <w:szCs w:val="20"/>
              </w:rPr>
            </w:pPr>
            <w:r w:rsidRPr="00BD07C6">
              <w:rPr>
                <w:rFonts w:ascii="Arial" w:hAnsi="Arial" w:cs="Arial"/>
                <w:sz w:val="20"/>
                <w:szCs w:val="20"/>
              </w:rPr>
              <w:t>Regional: landscape</w:t>
            </w:r>
          </w:p>
        </w:tc>
        <w:tc>
          <w:tcPr>
            <w:tcW w:w="1974" w:type="dxa"/>
          </w:tcPr>
          <w:p w14:paraId="7489DC97" w14:textId="77777777" w:rsidR="008A6D82" w:rsidRPr="00BD07C6" w:rsidRDefault="008A6D82" w:rsidP="00CB618A">
            <w:pPr>
              <w:spacing w:line="360" w:lineRule="auto"/>
              <w:rPr>
                <w:rFonts w:ascii="Arial" w:hAnsi="Arial" w:cs="Arial"/>
                <w:sz w:val="20"/>
                <w:szCs w:val="20"/>
              </w:rPr>
            </w:pPr>
            <w:r w:rsidRPr="00BD07C6">
              <w:rPr>
                <w:rFonts w:ascii="Arial" w:hAnsi="Arial" w:cs="Arial"/>
                <w:sz w:val="20"/>
                <w:szCs w:val="20"/>
              </w:rPr>
              <w:t>0.</w:t>
            </w:r>
            <w:r>
              <w:rPr>
                <w:rFonts w:ascii="Arial" w:hAnsi="Arial" w:cs="Arial"/>
                <w:sz w:val="20"/>
                <w:szCs w:val="20"/>
              </w:rPr>
              <w:t>54</w:t>
            </w:r>
          </w:p>
        </w:tc>
        <w:tc>
          <w:tcPr>
            <w:tcW w:w="1693" w:type="dxa"/>
          </w:tcPr>
          <w:p w14:paraId="67E08184" w14:textId="77777777" w:rsidR="008A6D82" w:rsidRPr="00BD07C6" w:rsidRDefault="008A6D82" w:rsidP="00CB618A">
            <w:pPr>
              <w:spacing w:line="360" w:lineRule="auto"/>
              <w:rPr>
                <w:rFonts w:ascii="Arial" w:hAnsi="Arial" w:cs="Arial"/>
                <w:sz w:val="20"/>
                <w:szCs w:val="20"/>
              </w:rPr>
            </w:pPr>
            <w:r w:rsidRPr="00BD07C6">
              <w:rPr>
                <w:rFonts w:ascii="Arial" w:hAnsi="Arial" w:cs="Arial"/>
                <w:sz w:val="20"/>
                <w:szCs w:val="20"/>
              </w:rPr>
              <w:t>0.1</w:t>
            </w:r>
            <w:r>
              <w:rPr>
                <w:rFonts w:ascii="Arial" w:hAnsi="Arial" w:cs="Arial"/>
                <w:sz w:val="20"/>
                <w:szCs w:val="20"/>
              </w:rPr>
              <w:t>9</w:t>
            </w:r>
          </w:p>
        </w:tc>
        <w:tc>
          <w:tcPr>
            <w:tcW w:w="851" w:type="dxa"/>
          </w:tcPr>
          <w:p w14:paraId="2AD59E1D" w14:textId="77777777" w:rsidR="008A6D82" w:rsidRPr="00BD07C6" w:rsidRDefault="008A6D82" w:rsidP="00CB618A">
            <w:pPr>
              <w:spacing w:line="360" w:lineRule="auto"/>
              <w:rPr>
                <w:rFonts w:ascii="Arial" w:hAnsi="Arial" w:cs="Arial"/>
                <w:sz w:val="20"/>
                <w:szCs w:val="20"/>
              </w:rPr>
            </w:pPr>
            <w:r w:rsidRPr="00BD07C6">
              <w:rPr>
                <w:rFonts w:ascii="Arial" w:hAnsi="Arial" w:cs="Arial"/>
                <w:sz w:val="20"/>
                <w:szCs w:val="20"/>
              </w:rPr>
              <w:t>0.003</w:t>
            </w:r>
          </w:p>
        </w:tc>
        <w:tc>
          <w:tcPr>
            <w:tcW w:w="843" w:type="dxa"/>
          </w:tcPr>
          <w:p w14:paraId="601F8D5C" w14:textId="77777777" w:rsidR="008A6D82" w:rsidRPr="00BD07C6" w:rsidRDefault="008A6D82" w:rsidP="00CB618A">
            <w:pPr>
              <w:spacing w:line="360" w:lineRule="auto"/>
              <w:rPr>
                <w:rFonts w:ascii="Arial" w:hAnsi="Arial" w:cs="Arial"/>
                <w:sz w:val="20"/>
                <w:szCs w:val="20"/>
              </w:rPr>
            </w:pPr>
            <w:r>
              <w:rPr>
                <w:rFonts w:ascii="Arial" w:hAnsi="Arial" w:cs="Arial"/>
                <w:sz w:val="20"/>
                <w:szCs w:val="20"/>
              </w:rPr>
              <w:t>1.00</w:t>
            </w:r>
          </w:p>
        </w:tc>
      </w:tr>
    </w:tbl>
    <w:p w14:paraId="5F534252" w14:textId="77777777" w:rsidR="008A6D82" w:rsidRDefault="008A6D82" w:rsidP="008A6D82">
      <w:pPr>
        <w:pStyle w:val="Heading2"/>
      </w:pPr>
    </w:p>
    <w:p w14:paraId="182427AC" w14:textId="77777777" w:rsidR="008A6D82" w:rsidRDefault="008A6D82" w:rsidP="008A6D82">
      <w:pPr>
        <w:rPr>
          <w:rFonts w:ascii="Arial" w:hAnsi="Arial" w:cs="Arial"/>
          <w:sz w:val="20"/>
        </w:rPr>
      </w:pPr>
      <w:bookmarkStart w:id="59" w:name="_Toc517431853"/>
      <w:r>
        <w:rPr>
          <w:rFonts w:ascii="Arial" w:hAnsi="Arial" w:cs="Arial"/>
          <w:sz w:val="20"/>
        </w:rPr>
        <w:br w:type="page"/>
      </w:r>
    </w:p>
    <w:p w14:paraId="3E12A9D5" w14:textId="77777777" w:rsidR="008A6D82" w:rsidRPr="002853BE" w:rsidRDefault="008A6D82" w:rsidP="008A6D82">
      <w:pPr>
        <w:rPr>
          <w:rFonts w:ascii="Arial" w:hAnsi="Arial" w:cs="Arial"/>
          <w:sz w:val="20"/>
        </w:rPr>
      </w:pPr>
      <w:r w:rsidRPr="002853BE">
        <w:rPr>
          <w:rFonts w:ascii="Arial" w:hAnsi="Arial" w:cs="Arial"/>
          <w:sz w:val="20"/>
        </w:rPr>
        <w:t>Table 2.4.</w:t>
      </w:r>
      <w:r w:rsidRPr="002853BE">
        <w:rPr>
          <w:rFonts w:ascii="Arial" w:hAnsi="Arial" w:cs="Arial"/>
          <w:sz w:val="20"/>
        </w:rPr>
        <w:tab/>
        <w:t>Relative importance values for explanatory variables contained within considerably supported models (∆AIC ≤10) explaining pond soluble reactive phosphorous concentrations. All models compared here included landscape-level variables calculated at a 250-m-extent. Weights calculated by summing up the Akaike weights of models that included the term in question (Burnham and Anderson, 2004).</w:t>
      </w:r>
      <w:bookmarkEnd w:id="59"/>
    </w:p>
    <w:tbl>
      <w:tblPr>
        <w:tblStyle w:val="TableGrid"/>
        <w:tblW w:w="0" w:type="auto"/>
        <w:jc w:val="center"/>
        <w:tblLook w:val="04A0" w:firstRow="1" w:lastRow="0" w:firstColumn="1" w:lastColumn="0" w:noHBand="0" w:noVBand="1"/>
      </w:tblPr>
      <w:tblGrid>
        <w:gridCol w:w="4508"/>
        <w:gridCol w:w="2150"/>
      </w:tblGrid>
      <w:tr w:rsidR="008A6D82" w:rsidRPr="00CF624A" w14:paraId="728D01BB" w14:textId="77777777" w:rsidTr="00CB618A">
        <w:trPr>
          <w:jc w:val="center"/>
        </w:trPr>
        <w:tc>
          <w:tcPr>
            <w:tcW w:w="4508" w:type="dxa"/>
            <w:tcBorders>
              <w:left w:val="nil"/>
              <w:bottom w:val="single" w:sz="4" w:space="0" w:color="auto"/>
              <w:right w:val="nil"/>
            </w:tcBorders>
          </w:tcPr>
          <w:p w14:paraId="6D0A1AA1" w14:textId="77777777" w:rsidR="008A6D82" w:rsidRPr="00CF624A" w:rsidRDefault="008A6D82" w:rsidP="00CB618A">
            <w:pPr>
              <w:rPr>
                <w:rFonts w:ascii="Arial" w:hAnsi="Arial" w:cs="Arial"/>
                <w:sz w:val="20"/>
                <w:lang w:eastAsia="zh-CN"/>
              </w:rPr>
            </w:pPr>
            <w:r w:rsidRPr="00CF624A">
              <w:rPr>
                <w:rFonts w:ascii="Arial" w:hAnsi="Arial" w:cs="Arial"/>
                <w:sz w:val="20"/>
                <w:lang w:eastAsia="zh-CN"/>
              </w:rPr>
              <w:t>Term</w:t>
            </w:r>
          </w:p>
        </w:tc>
        <w:tc>
          <w:tcPr>
            <w:tcW w:w="2150" w:type="dxa"/>
            <w:tcBorders>
              <w:left w:val="nil"/>
              <w:bottom w:val="single" w:sz="4" w:space="0" w:color="auto"/>
              <w:right w:val="nil"/>
            </w:tcBorders>
          </w:tcPr>
          <w:p w14:paraId="37AC92EB" w14:textId="77777777" w:rsidR="008A6D82" w:rsidRPr="00CF624A" w:rsidRDefault="008A6D82" w:rsidP="00CB618A">
            <w:pPr>
              <w:rPr>
                <w:rFonts w:ascii="Arial" w:hAnsi="Arial" w:cs="Arial"/>
                <w:sz w:val="20"/>
                <w:lang w:eastAsia="zh-CN"/>
              </w:rPr>
            </w:pPr>
            <w:r w:rsidRPr="00CF624A">
              <w:rPr>
                <w:rFonts w:ascii="Arial" w:hAnsi="Arial" w:cs="Arial"/>
                <w:sz w:val="20"/>
                <w:lang w:eastAsia="zh-CN"/>
              </w:rPr>
              <w:t>Importance value</w:t>
            </w:r>
          </w:p>
        </w:tc>
      </w:tr>
      <w:tr w:rsidR="008A6D82" w:rsidRPr="00CF624A" w14:paraId="645E2E74" w14:textId="77777777" w:rsidTr="00CB618A">
        <w:trPr>
          <w:jc w:val="center"/>
        </w:trPr>
        <w:tc>
          <w:tcPr>
            <w:tcW w:w="4508" w:type="dxa"/>
            <w:tcBorders>
              <w:left w:val="nil"/>
              <w:bottom w:val="nil"/>
              <w:right w:val="nil"/>
            </w:tcBorders>
          </w:tcPr>
          <w:p w14:paraId="26886443" w14:textId="77777777" w:rsidR="008A6D82" w:rsidRPr="00CF624A" w:rsidRDefault="008A6D82" w:rsidP="00CB618A">
            <w:pPr>
              <w:rPr>
                <w:rFonts w:ascii="Arial" w:hAnsi="Arial" w:cs="Arial"/>
                <w:sz w:val="20"/>
                <w:lang w:eastAsia="zh-CN"/>
              </w:rPr>
            </w:pPr>
            <w:r w:rsidRPr="00CF624A">
              <w:rPr>
                <w:rFonts w:ascii="Arial" w:hAnsi="Arial" w:cs="Arial"/>
                <w:sz w:val="20"/>
                <w:lang w:eastAsia="zh-CN"/>
              </w:rPr>
              <w:t>intensive cover</w:t>
            </w:r>
          </w:p>
        </w:tc>
        <w:tc>
          <w:tcPr>
            <w:tcW w:w="2150" w:type="dxa"/>
            <w:tcBorders>
              <w:left w:val="nil"/>
              <w:bottom w:val="nil"/>
              <w:right w:val="nil"/>
            </w:tcBorders>
          </w:tcPr>
          <w:p w14:paraId="597B2598" w14:textId="77777777" w:rsidR="008A6D82" w:rsidRPr="00CF624A" w:rsidRDefault="008A6D82" w:rsidP="00CB618A">
            <w:pPr>
              <w:jc w:val="center"/>
              <w:rPr>
                <w:rFonts w:ascii="Arial" w:hAnsi="Arial" w:cs="Arial"/>
                <w:sz w:val="20"/>
                <w:lang w:eastAsia="zh-CN"/>
              </w:rPr>
            </w:pPr>
            <w:r w:rsidRPr="00CF624A">
              <w:rPr>
                <w:rFonts w:ascii="Arial" w:hAnsi="Arial" w:cs="Arial"/>
                <w:sz w:val="20"/>
                <w:lang w:eastAsia="zh-CN"/>
              </w:rPr>
              <w:t>1.00</w:t>
            </w:r>
          </w:p>
        </w:tc>
      </w:tr>
      <w:tr w:rsidR="008A6D82" w:rsidRPr="00CF624A" w14:paraId="42770ABE" w14:textId="77777777" w:rsidTr="00CB618A">
        <w:trPr>
          <w:jc w:val="center"/>
        </w:trPr>
        <w:tc>
          <w:tcPr>
            <w:tcW w:w="4508" w:type="dxa"/>
            <w:tcBorders>
              <w:top w:val="nil"/>
              <w:left w:val="nil"/>
              <w:bottom w:val="nil"/>
              <w:right w:val="nil"/>
            </w:tcBorders>
          </w:tcPr>
          <w:p w14:paraId="0C290A1C" w14:textId="77777777" w:rsidR="008A6D82" w:rsidRPr="00CF624A" w:rsidRDefault="008A6D82" w:rsidP="00CB618A">
            <w:pPr>
              <w:rPr>
                <w:rFonts w:ascii="Arial" w:hAnsi="Arial" w:cs="Arial"/>
                <w:sz w:val="20"/>
                <w:lang w:eastAsia="zh-CN"/>
              </w:rPr>
            </w:pPr>
            <w:r w:rsidRPr="00CF624A">
              <w:rPr>
                <w:rFonts w:ascii="Arial" w:hAnsi="Arial" w:cs="Arial"/>
                <w:sz w:val="20"/>
                <w:lang w:eastAsia="zh-CN"/>
              </w:rPr>
              <w:t>soil gradient</w:t>
            </w:r>
          </w:p>
        </w:tc>
        <w:tc>
          <w:tcPr>
            <w:tcW w:w="2150" w:type="dxa"/>
            <w:tcBorders>
              <w:top w:val="nil"/>
              <w:left w:val="nil"/>
              <w:bottom w:val="nil"/>
              <w:right w:val="nil"/>
            </w:tcBorders>
          </w:tcPr>
          <w:p w14:paraId="1D759237" w14:textId="77777777" w:rsidR="008A6D82" w:rsidRPr="00CF624A" w:rsidRDefault="008A6D82" w:rsidP="00CB618A">
            <w:pPr>
              <w:jc w:val="center"/>
              <w:rPr>
                <w:rFonts w:ascii="Arial" w:hAnsi="Arial" w:cs="Arial"/>
                <w:sz w:val="20"/>
                <w:lang w:eastAsia="zh-CN"/>
              </w:rPr>
            </w:pPr>
            <w:r w:rsidRPr="00CF624A">
              <w:rPr>
                <w:rFonts w:ascii="Arial" w:hAnsi="Arial" w:cs="Arial"/>
                <w:sz w:val="20"/>
                <w:lang w:eastAsia="zh-CN"/>
              </w:rPr>
              <w:t>0.95</w:t>
            </w:r>
          </w:p>
        </w:tc>
      </w:tr>
      <w:tr w:rsidR="008A6D82" w:rsidRPr="00CF624A" w14:paraId="75327652" w14:textId="77777777" w:rsidTr="00CB618A">
        <w:trPr>
          <w:jc w:val="center"/>
        </w:trPr>
        <w:tc>
          <w:tcPr>
            <w:tcW w:w="4508" w:type="dxa"/>
            <w:tcBorders>
              <w:top w:val="nil"/>
              <w:left w:val="nil"/>
              <w:bottom w:val="nil"/>
              <w:right w:val="nil"/>
            </w:tcBorders>
          </w:tcPr>
          <w:p w14:paraId="6BE3EECA" w14:textId="77777777" w:rsidR="008A6D82" w:rsidRPr="00CF624A" w:rsidRDefault="008A6D82" w:rsidP="00CB618A">
            <w:pPr>
              <w:rPr>
                <w:rFonts w:ascii="Arial" w:hAnsi="Arial" w:cs="Arial"/>
                <w:sz w:val="20"/>
                <w:lang w:eastAsia="zh-CN"/>
              </w:rPr>
            </w:pPr>
            <w:r w:rsidRPr="00CF624A">
              <w:rPr>
                <w:rFonts w:ascii="Arial" w:hAnsi="Arial" w:cs="Arial"/>
                <w:sz w:val="20"/>
              </w:rPr>
              <w:t>soil gradient: intensive cover</w:t>
            </w:r>
          </w:p>
        </w:tc>
        <w:tc>
          <w:tcPr>
            <w:tcW w:w="2150" w:type="dxa"/>
            <w:tcBorders>
              <w:top w:val="nil"/>
              <w:left w:val="nil"/>
              <w:bottom w:val="nil"/>
              <w:right w:val="nil"/>
            </w:tcBorders>
          </w:tcPr>
          <w:p w14:paraId="224CBE6F" w14:textId="77777777" w:rsidR="008A6D82" w:rsidRPr="00CF624A" w:rsidRDefault="008A6D82" w:rsidP="00CB618A">
            <w:pPr>
              <w:jc w:val="center"/>
              <w:rPr>
                <w:rFonts w:ascii="Arial" w:hAnsi="Arial" w:cs="Arial"/>
                <w:sz w:val="20"/>
                <w:lang w:eastAsia="zh-CN"/>
              </w:rPr>
            </w:pPr>
            <w:r w:rsidRPr="00CF624A">
              <w:rPr>
                <w:rFonts w:ascii="Arial" w:hAnsi="Arial" w:cs="Arial"/>
                <w:sz w:val="20"/>
                <w:lang w:eastAsia="zh-CN"/>
              </w:rPr>
              <w:t>0.84</w:t>
            </w:r>
          </w:p>
        </w:tc>
      </w:tr>
      <w:tr w:rsidR="008A6D82" w:rsidRPr="00CF624A" w14:paraId="4D5F1662" w14:textId="77777777" w:rsidTr="00CB618A">
        <w:trPr>
          <w:jc w:val="center"/>
        </w:trPr>
        <w:tc>
          <w:tcPr>
            <w:tcW w:w="4508" w:type="dxa"/>
            <w:tcBorders>
              <w:top w:val="nil"/>
              <w:left w:val="nil"/>
              <w:bottom w:val="nil"/>
              <w:right w:val="nil"/>
            </w:tcBorders>
          </w:tcPr>
          <w:p w14:paraId="2BF22B5D" w14:textId="77777777" w:rsidR="008A6D82" w:rsidRPr="00CF624A" w:rsidRDefault="008A6D82" w:rsidP="00CB618A">
            <w:pPr>
              <w:rPr>
                <w:rFonts w:ascii="Arial" w:hAnsi="Arial" w:cs="Arial"/>
                <w:sz w:val="20"/>
                <w:lang w:eastAsia="zh-CN"/>
              </w:rPr>
            </w:pPr>
            <w:r w:rsidRPr="00CF624A">
              <w:rPr>
                <w:rFonts w:ascii="Arial" w:hAnsi="Arial" w:cs="Arial"/>
                <w:sz w:val="20"/>
              </w:rPr>
              <w:t>inflow</w:t>
            </w:r>
          </w:p>
        </w:tc>
        <w:tc>
          <w:tcPr>
            <w:tcW w:w="2150" w:type="dxa"/>
            <w:tcBorders>
              <w:top w:val="nil"/>
              <w:left w:val="nil"/>
              <w:bottom w:val="nil"/>
              <w:right w:val="nil"/>
            </w:tcBorders>
          </w:tcPr>
          <w:p w14:paraId="04766721" w14:textId="77777777" w:rsidR="008A6D82" w:rsidRPr="00CF624A" w:rsidRDefault="008A6D82" w:rsidP="00CB618A">
            <w:pPr>
              <w:jc w:val="center"/>
              <w:rPr>
                <w:rFonts w:ascii="Arial" w:hAnsi="Arial" w:cs="Arial"/>
                <w:sz w:val="20"/>
                <w:lang w:eastAsia="zh-CN"/>
              </w:rPr>
            </w:pPr>
            <w:r w:rsidRPr="00CF624A">
              <w:rPr>
                <w:rFonts w:ascii="Arial" w:hAnsi="Arial" w:cs="Arial"/>
                <w:sz w:val="20"/>
                <w:lang w:eastAsia="zh-CN"/>
              </w:rPr>
              <w:t>0.70</w:t>
            </w:r>
          </w:p>
        </w:tc>
      </w:tr>
      <w:tr w:rsidR="008A6D82" w:rsidRPr="00CF624A" w14:paraId="488745F1" w14:textId="77777777" w:rsidTr="00CB618A">
        <w:trPr>
          <w:jc w:val="center"/>
        </w:trPr>
        <w:tc>
          <w:tcPr>
            <w:tcW w:w="4508" w:type="dxa"/>
            <w:tcBorders>
              <w:top w:val="nil"/>
              <w:left w:val="nil"/>
              <w:bottom w:val="nil"/>
              <w:right w:val="nil"/>
            </w:tcBorders>
          </w:tcPr>
          <w:p w14:paraId="53EA8CAF" w14:textId="77777777" w:rsidR="008A6D82" w:rsidRPr="00CF624A" w:rsidRDefault="008A6D82" w:rsidP="00CB618A">
            <w:pPr>
              <w:rPr>
                <w:rFonts w:ascii="Arial" w:hAnsi="Arial" w:cs="Arial"/>
                <w:sz w:val="20"/>
                <w:lang w:eastAsia="zh-CN"/>
              </w:rPr>
            </w:pPr>
            <w:r w:rsidRPr="00CF624A">
              <w:rPr>
                <w:rFonts w:ascii="Arial" w:hAnsi="Arial" w:cs="Arial"/>
                <w:sz w:val="20"/>
                <w:lang w:eastAsia="zh-CN"/>
              </w:rPr>
              <w:t>slope</w:t>
            </w:r>
          </w:p>
        </w:tc>
        <w:tc>
          <w:tcPr>
            <w:tcW w:w="2150" w:type="dxa"/>
            <w:tcBorders>
              <w:top w:val="nil"/>
              <w:left w:val="nil"/>
              <w:bottom w:val="nil"/>
              <w:right w:val="nil"/>
            </w:tcBorders>
          </w:tcPr>
          <w:p w14:paraId="682402AB" w14:textId="77777777" w:rsidR="008A6D82" w:rsidRPr="00CF624A" w:rsidRDefault="008A6D82" w:rsidP="00CB618A">
            <w:pPr>
              <w:jc w:val="center"/>
              <w:rPr>
                <w:rFonts w:ascii="Arial" w:hAnsi="Arial" w:cs="Arial"/>
                <w:sz w:val="20"/>
                <w:lang w:eastAsia="zh-CN"/>
              </w:rPr>
            </w:pPr>
            <w:r w:rsidRPr="00CF624A">
              <w:rPr>
                <w:rFonts w:ascii="Arial" w:hAnsi="Arial" w:cs="Arial"/>
                <w:sz w:val="20"/>
                <w:lang w:eastAsia="zh-CN"/>
              </w:rPr>
              <w:t>0.50</w:t>
            </w:r>
          </w:p>
        </w:tc>
      </w:tr>
      <w:tr w:rsidR="008A6D82" w:rsidRPr="00CF624A" w14:paraId="54B6A011" w14:textId="77777777" w:rsidTr="00CB618A">
        <w:trPr>
          <w:jc w:val="center"/>
        </w:trPr>
        <w:tc>
          <w:tcPr>
            <w:tcW w:w="4508" w:type="dxa"/>
            <w:tcBorders>
              <w:top w:val="nil"/>
              <w:left w:val="nil"/>
              <w:bottom w:val="nil"/>
              <w:right w:val="nil"/>
            </w:tcBorders>
          </w:tcPr>
          <w:p w14:paraId="08931701" w14:textId="77777777" w:rsidR="008A6D82" w:rsidRPr="00CF624A" w:rsidRDefault="008A6D82" w:rsidP="00CB618A">
            <w:pPr>
              <w:rPr>
                <w:rFonts w:ascii="Arial" w:hAnsi="Arial" w:cs="Arial"/>
                <w:sz w:val="20"/>
                <w:lang w:eastAsia="zh-CN"/>
              </w:rPr>
            </w:pPr>
            <w:r w:rsidRPr="00CF624A">
              <w:rPr>
                <w:rFonts w:ascii="Arial" w:hAnsi="Arial" w:cs="Arial"/>
                <w:sz w:val="20"/>
                <w:lang w:eastAsia="zh-CN"/>
              </w:rPr>
              <w:t>precipitation gradient</w:t>
            </w:r>
          </w:p>
        </w:tc>
        <w:tc>
          <w:tcPr>
            <w:tcW w:w="2150" w:type="dxa"/>
            <w:tcBorders>
              <w:top w:val="nil"/>
              <w:left w:val="nil"/>
              <w:bottom w:val="nil"/>
              <w:right w:val="nil"/>
            </w:tcBorders>
          </w:tcPr>
          <w:p w14:paraId="0DE63CC9" w14:textId="77777777" w:rsidR="008A6D82" w:rsidRPr="00CF624A" w:rsidRDefault="008A6D82" w:rsidP="00CB618A">
            <w:pPr>
              <w:jc w:val="center"/>
              <w:rPr>
                <w:rFonts w:ascii="Arial" w:hAnsi="Arial" w:cs="Arial"/>
                <w:sz w:val="20"/>
                <w:lang w:eastAsia="zh-CN"/>
              </w:rPr>
            </w:pPr>
            <w:r w:rsidRPr="00CF624A">
              <w:rPr>
                <w:rFonts w:ascii="Arial" w:hAnsi="Arial" w:cs="Arial"/>
                <w:sz w:val="20"/>
                <w:lang w:eastAsia="zh-CN"/>
              </w:rPr>
              <w:t>0.47</w:t>
            </w:r>
          </w:p>
        </w:tc>
      </w:tr>
      <w:tr w:rsidR="008A6D82" w:rsidRPr="00CF624A" w14:paraId="0581207E" w14:textId="77777777" w:rsidTr="00CB618A">
        <w:trPr>
          <w:jc w:val="center"/>
        </w:trPr>
        <w:tc>
          <w:tcPr>
            <w:tcW w:w="4508" w:type="dxa"/>
            <w:tcBorders>
              <w:top w:val="nil"/>
              <w:left w:val="nil"/>
              <w:bottom w:val="nil"/>
              <w:right w:val="nil"/>
            </w:tcBorders>
          </w:tcPr>
          <w:p w14:paraId="7D279D17" w14:textId="77777777" w:rsidR="008A6D82" w:rsidRPr="00CF624A" w:rsidRDefault="008A6D82" w:rsidP="00CB618A">
            <w:pPr>
              <w:rPr>
                <w:rFonts w:ascii="Arial" w:hAnsi="Arial" w:cs="Arial"/>
                <w:sz w:val="20"/>
                <w:lang w:eastAsia="zh-CN"/>
              </w:rPr>
            </w:pPr>
            <w:r w:rsidRPr="00CF624A">
              <w:rPr>
                <w:rFonts w:ascii="Arial" w:hAnsi="Arial" w:cs="Arial"/>
                <w:sz w:val="20"/>
                <w:lang w:eastAsia="zh-CN"/>
              </w:rPr>
              <w:t>buffer</w:t>
            </w:r>
          </w:p>
        </w:tc>
        <w:tc>
          <w:tcPr>
            <w:tcW w:w="2150" w:type="dxa"/>
            <w:tcBorders>
              <w:top w:val="nil"/>
              <w:left w:val="nil"/>
              <w:bottom w:val="nil"/>
              <w:right w:val="nil"/>
            </w:tcBorders>
          </w:tcPr>
          <w:p w14:paraId="73C2714A" w14:textId="77777777" w:rsidR="008A6D82" w:rsidRPr="00CF624A" w:rsidRDefault="008A6D82" w:rsidP="00CB618A">
            <w:pPr>
              <w:jc w:val="center"/>
              <w:rPr>
                <w:rFonts w:ascii="Arial" w:hAnsi="Arial" w:cs="Arial"/>
                <w:sz w:val="20"/>
                <w:lang w:eastAsia="zh-CN"/>
              </w:rPr>
            </w:pPr>
            <w:r w:rsidRPr="00CF624A">
              <w:rPr>
                <w:rFonts w:ascii="Arial" w:hAnsi="Arial" w:cs="Arial"/>
                <w:sz w:val="20"/>
                <w:lang w:eastAsia="zh-CN"/>
              </w:rPr>
              <w:t>0.34</w:t>
            </w:r>
          </w:p>
        </w:tc>
      </w:tr>
      <w:tr w:rsidR="008A6D82" w:rsidRPr="00CF624A" w14:paraId="6BFD802F" w14:textId="77777777" w:rsidTr="00CB618A">
        <w:trPr>
          <w:jc w:val="center"/>
        </w:trPr>
        <w:tc>
          <w:tcPr>
            <w:tcW w:w="4508" w:type="dxa"/>
            <w:tcBorders>
              <w:top w:val="nil"/>
              <w:left w:val="nil"/>
              <w:bottom w:val="nil"/>
              <w:right w:val="nil"/>
            </w:tcBorders>
          </w:tcPr>
          <w:p w14:paraId="45C837F2" w14:textId="77777777" w:rsidR="008A6D82" w:rsidRPr="00CF624A" w:rsidRDefault="008A6D82" w:rsidP="00CB618A">
            <w:pPr>
              <w:rPr>
                <w:rFonts w:ascii="Arial" w:hAnsi="Arial" w:cs="Arial"/>
                <w:sz w:val="20"/>
                <w:lang w:eastAsia="zh-CN"/>
              </w:rPr>
            </w:pPr>
            <w:r w:rsidRPr="00CF624A">
              <w:rPr>
                <w:rFonts w:ascii="Arial" w:hAnsi="Arial" w:cs="Arial"/>
                <w:sz w:val="20"/>
                <w:lang w:eastAsia="zh-CN"/>
              </w:rPr>
              <w:t xml:space="preserve">inflow: </w:t>
            </w:r>
            <w:r w:rsidRPr="00CF624A">
              <w:rPr>
                <w:rFonts w:ascii="Arial" w:hAnsi="Arial" w:cs="Arial"/>
                <w:sz w:val="20"/>
              </w:rPr>
              <w:t>intensive cover</w:t>
            </w:r>
          </w:p>
        </w:tc>
        <w:tc>
          <w:tcPr>
            <w:tcW w:w="2150" w:type="dxa"/>
            <w:tcBorders>
              <w:top w:val="nil"/>
              <w:left w:val="nil"/>
              <w:bottom w:val="nil"/>
              <w:right w:val="nil"/>
            </w:tcBorders>
          </w:tcPr>
          <w:p w14:paraId="2D172545" w14:textId="77777777" w:rsidR="008A6D82" w:rsidRPr="00CF624A" w:rsidRDefault="008A6D82" w:rsidP="00CB618A">
            <w:pPr>
              <w:jc w:val="center"/>
              <w:rPr>
                <w:rFonts w:ascii="Arial" w:hAnsi="Arial" w:cs="Arial"/>
                <w:sz w:val="20"/>
                <w:lang w:eastAsia="zh-CN"/>
              </w:rPr>
            </w:pPr>
            <w:r w:rsidRPr="00CF624A">
              <w:rPr>
                <w:rFonts w:ascii="Arial" w:hAnsi="Arial" w:cs="Arial"/>
                <w:sz w:val="20"/>
                <w:lang w:eastAsia="zh-CN"/>
              </w:rPr>
              <w:t>0.19</w:t>
            </w:r>
          </w:p>
        </w:tc>
      </w:tr>
      <w:tr w:rsidR="008A6D82" w:rsidRPr="00CF624A" w14:paraId="1EB1A9F7" w14:textId="77777777" w:rsidTr="00CB618A">
        <w:trPr>
          <w:jc w:val="center"/>
        </w:trPr>
        <w:tc>
          <w:tcPr>
            <w:tcW w:w="4508" w:type="dxa"/>
            <w:tcBorders>
              <w:top w:val="nil"/>
              <w:left w:val="nil"/>
              <w:bottom w:val="nil"/>
              <w:right w:val="nil"/>
            </w:tcBorders>
          </w:tcPr>
          <w:p w14:paraId="772B8D26" w14:textId="77777777" w:rsidR="008A6D82" w:rsidRPr="00CF624A" w:rsidRDefault="008A6D82" w:rsidP="00CB618A">
            <w:pPr>
              <w:rPr>
                <w:rFonts w:ascii="Arial" w:hAnsi="Arial" w:cs="Arial"/>
                <w:sz w:val="20"/>
                <w:lang w:eastAsia="zh-CN"/>
              </w:rPr>
            </w:pPr>
            <w:r w:rsidRPr="00CF624A">
              <w:rPr>
                <w:rFonts w:ascii="Arial" w:hAnsi="Arial" w:cs="Arial"/>
                <w:sz w:val="20"/>
                <w:lang w:eastAsia="zh-CN"/>
              </w:rPr>
              <w:t xml:space="preserve">precipitation gradient: </w:t>
            </w:r>
            <w:r w:rsidRPr="00CF624A">
              <w:rPr>
                <w:rFonts w:ascii="Arial" w:hAnsi="Arial" w:cs="Arial"/>
                <w:sz w:val="20"/>
              </w:rPr>
              <w:t>intensive cover</w:t>
            </w:r>
          </w:p>
        </w:tc>
        <w:tc>
          <w:tcPr>
            <w:tcW w:w="2150" w:type="dxa"/>
            <w:tcBorders>
              <w:top w:val="nil"/>
              <w:left w:val="nil"/>
              <w:bottom w:val="nil"/>
              <w:right w:val="nil"/>
            </w:tcBorders>
          </w:tcPr>
          <w:p w14:paraId="5CD2D13B" w14:textId="77777777" w:rsidR="008A6D82" w:rsidRPr="00CF624A" w:rsidRDefault="008A6D82" w:rsidP="00CB618A">
            <w:pPr>
              <w:jc w:val="center"/>
              <w:rPr>
                <w:rFonts w:ascii="Arial" w:hAnsi="Arial" w:cs="Arial"/>
                <w:sz w:val="20"/>
                <w:lang w:eastAsia="zh-CN"/>
              </w:rPr>
            </w:pPr>
            <w:r w:rsidRPr="00CF624A">
              <w:rPr>
                <w:rFonts w:ascii="Arial" w:hAnsi="Arial" w:cs="Arial"/>
                <w:sz w:val="20"/>
                <w:lang w:eastAsia="zh-CN"/>
              </w:rPr>
              <w:t>0.13</w:t>
            </w:r>
          </w:p>
        </w:tc>
      </w:tr>
      <w:tr w:rsidR="008A6D82" w:rsidRPr="00CF624A" w14:paraId="717EE299" w14:textId="77777777" w:rsidTr="00CB618A">
        <w:trPr>
          <w:jc w:val="center"/>
        </w:trPr>
        <w:tc>
          <w:tcPr>
            <w:tcW w:w="4508" w:type="dxa"/>
            <w:tcBorders>
              <w:top w:val="nil"/>
              <w:left w:val="nil"/>
              <w:bottom w:val="single" w:sz="4" w:space="0" w:color="000000" w:themeColor="text1"/>
              <w:right w:val="nil"/>
            </w:tcBorders>
          </w:tcPr>
          <w:p w14:paraId="20D220EE" w14:textId="77777777" w:rsidR="008A6D82" w:rsidRPr="00CF624A" w:rsidRDefault="008A6D82" w:rsidP="00CB618A">
            <w:pPr>
              <w:rPr>
                <w:rFonts w:ascii="Arial" w:hAnsi="Arial" w:cs="Arial"/>
                <w:sz w:val="20"/>
                <w:lang w:eastAsia="zh-CN"/>
              </w:rPr>
            </w:pPr>
            <w:r w:rsidRPr="00CF624A">
              <w:rPr>
                <w:rFonts w:ascii="Arial" w:hAnsi="Arial" w:cs="Arial"/>
                <w:sz w:val="20"/>
                <w:lang w:eastAsia="zh-CN"/>
              </w:rPr>
              <w:t xml:space="preserve">buffer: </w:t>
            </w:r>
            <w:r w:rsidRPr="00CF624A">
              <w:rPr>
                <w:rFonts w:ascii="Arial" w:hAnsi="Arial" w:cs="Arial"/>
                <w:sz w:val="20"/>
              </w:rPr>
              <w:t>intensive cover</w:t>
            </w:r>
          </w:p>
        </w:tc>
        <w:tc>
          <w:tcPr>
            <w:tcW w:w="2150" w:type="dxa"/>
            <w:tcBorders>
              <w:top w:val="nil"/>
              <w:left w:val="nil"/>
              <w:bottom w:val="single" w:sz="4" w:space="0" w:color="000000" w:themeColor="text1"/>
              <w:right w:val="nil"/>
            </w:tcBorders>
          </w:tcPr>
          <w:p w14:paraId="384606C7" w14:textId="77777777" w:rsidR="008A6D82" w:rsidRPr="00CF624A" w:rsidRDefault="008A6D82" w:rsidP="00CB618A">
            <w:pPr>
              <w:jc w:val="center"/>
              <w:rPr>
                <w:rFonts w:ascii="Arial" w:hAnsi="Arial" w:cs="Arial"/>
                <w:sz w:val="20"/>
                <w:lang w:eastAsia="zh-CN"/>
              </w:rPr>
            </w:pPr>
            <w:r w:rsidRPr="00CF624A">
              <w:rPr>
                <w:rFonts w:ascii="Arial" w:hAnsi="Arial" w:cs="Arial"/>
                <w:sz w:val="20"/>
                <w:lang w:eastAsia="zh-CN"/>
              </w:rPr>
              <w:t>0.09</w:t>
            </w:r>
          </w:p>
        </w:tc>
      </w:tr>
    </w:tbl>
    <w:p w14:paraId="2BC7ED69" w14:textId="77777777" w:rsidR="008A6D82" w:rsidRDefault="008A6D82" w:rsidP="008A6D82">
      <w:pPr>
        <w:rPr>
          <w:lang w:eastAsia="zh-CN"/>
        </w:rPr>
      </w:pPr>
    </w:p>
    <w:p w14:paraId="2FEBA94A" w14:textId="77777777" w:rsidR="008A6D82" w:rsidRDefault="008A6D82" w:rsidP="008A6D82">
      <w:pPr>
        <w:rPr>
          <w:lang w:eastAsia="zh-CN"/>
        </w:rPr>
      </w:pPr>
      <w:r>
        <w:rPr>
          <w:noProof/>
          <w:lang w:eastAsia="en-GB"/>
        </w:rPr>
        <w:drawing>
          <wp:inline distT="0" distB="0" distL="0" distR="0" wp14:anchorId="78070314" wp14:editId="400E162B">
            <wp:extent cx="5265420" cy="3139440"/>
            <wp:effectExtent l="0" t="0" r="0" b="381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4254" t="5600" r="3878" b="5655"/>
                    <a:stretch/>
                  </pic:blipFill>
                  <pic:spPr bwMode="auto">
                    <a:xfrm>
                      <a:off x="0" y="0"/>
                      <a:ext cx="5265420" cy="3139440"/>
                    </a:xfrm>
                    <a:prstGeom prst="rect">
                      <a:avLst/>
                    </a:prstGeom>
                    <a:ln>
                      <a:noFill/>
                    </a:ln>
                    <a:extLst>
                      <a:ext uri="{53640926-AAD7-44D8-BBD7-CCE9431645EC}">
                        <a14:shadowObscured xmlns:a14="http://schemas.microsoft.com/office/drawing/2010/main"/>
                      </a:ext>
                    </a:extLst>
                  </pic:spPr>
                </pic:pic>
              </a:graphicData>
            </a:graphic>
          </wp:inline>
        </w:drawing>
      </w:r>
    </w:p>
    <w:p w14:paraId="7ECA550B" w14:textId="77777777" w:rsidR="008A6D82" w:rsidRPr="00CF624A" w:rsidRDefault="008A6D82" w:rsidP="008A6D82">
      <w:pPr>
        <w:rPr>
          <w:rFonts w:ascii="Arial" w:hAnsi="Arial" w:cs="Arial"/>
          <w:sz w:val="20"/>
        </w:rPr>
      </w:pPr>
      <w:r w:rsidRPr="00CF624A">
        <w:rPr>
          <w:rFonts w:ascii="Arial" w:hAnsi="Arial" w:cs="Arial"/>
          <w:sz w:val="20"/>
        </w:rPr>
        <w:t>Fig. S2.3.</w:t>
      </w:r>
      <w:r w:rsidRPr="00CF624A">
        <w:rPr>
          <w:rFonts w:ascii="Arial" w:hAnsi="Arial" w:cs="Arial"/>
          <w:sz w:val="20"/>
        </w:rPr>
        <w:tab/>
        <w:t>Spearman’s rank correlation coefficients of variables considered in the analysis of pond water quality.</w:t>
      </w:r>
      <w:r w:rsidRPr="00CF624A">
        <w:rPr>
          <w:rFonts w:ascii="Arial" w:hAnsi="Arial" w:cs="Arial"/>
          <w:sz w:val="20"/>
        </w:rPr>
        <w:tab/>
      </w:r>
    </w:p>
    <w:p w14:paraId="332D8D0B" w14:textId="77777777" w:rsidR="008A6D82" w:rsidRDefault="008A6D82" w:rsidP="008A6D82">
      <w:pPr>
        <w:rPr>
          <w:lang w:eastAsia="zh-CN"/>
        </w:rPr>
      </w:pPr>
    </w:p>
    <w:p w14:paraId="7588B72F" w14:textId="77777777" w:rsidR="008A6D82" w:rsidRDefault="008A6D82" w:rsidP="008A6D82">
      <w:pPr>
        <w:rPr>
          <w:lang w:eastAsia="zh-CN"/>
        </w:rPr>
      </w:pPr>
    </w:p>
    <w:p w14:paraId="18E87E43" w14:textId="77777777" w:rsidR="008A6D82" w:rsidRDefault="008A6D82" w:rsidP="008A6D82">
      <w:pPr>
        <w:rPr>
          <w:rFonts w:ascii="Arial" w:eastAsiaTheme="minorEastAsia" w:hAnsi="Arial" w:cs="Arial"/>
          <w:bCs/>
          <w:sz w:val="20"/>
          <w:lang w:eastAsia="en-GB"/>
        </w:rPr>
      </w:pPr>
      <w:r>
        <w:rPr>
          <w:rFonts w:cs="Arial"/>
        </w:rPr>
        <w:br w:type="page"/>
      </w:r>
    </w:p>
    <w:p w14:paraId="2A40914E" w14:textId="77777777" w:rsidR="008A6D82" w:rsidRDefault="008A6D82" w:rsidP="008A6D82">
      <w:pPr>
        <w:pStyle w:val="Tableheading"/>
        <w:rPr>
          <w:rFonts w:cs="Arial"/>
        </w:rPr>
      </w:pPr>
      <w:r>
        <w:rPr>
          <w:rFonts w:cs="Arial"/>
        </w:rPr>
        <w:t xml:space="preserve">Table S2.4. </w:t>
      </w:r>
      <w:r>
        <w:rPr>
          <w:rFonts w:cs="Arial"/>
        </w:rPr>
        <w:tab/>
        <w:t>Generalised variance inflation factors (GVIF) for variables contained within the minimum adequate model, calculated following Fox &amp; Monette (1992). All GVIF values are below 2, suggesting collinearity is not an issue.</w:t>
      </w:r>
    </w:p>
    <w:tbl>
      <w:tblPr>
        <w:tblStyle w:val="TableGrid"/>
        <w:tblW w:w="3828" w:type="dxa"/>
        <w:jc w:val="center"/>
        <w:tblLook w:val="04A0" w:firstRow="1" w:lastRow="0" w:firstColumn="1" w:lastColumn="0" w:noHBand="0" w:noVBand="1"/>
      </w:tblPr>
      <w:tblGrid>
        <w:gridCol w:w="2254"/>
        <w:gridCol w:w="865"/>
        <w:gridCol w:w="709"/>
      </w:tblGrid>
      <w:tr w:rsidR="008A6D82" w14:paraId="37C071BF" w14:textId="77777777" w:rsidTr="00CB618A">
        <w:trPr>
          <w:jc w:val="center"/>
        </w:trPr>
        <w:tc>
          <w:tcPr>
            <w:tcW w:w="2254" w:type="dxa"/>
            <w:tcBorders>
              <w:top w:val="single" w:sz="4" w:space="0" w:color="000000" w:themeColor="text1"/>
              <w:left w:val="nil"/>
              <w:bottom w:val="single" w:sz="4" w:space="0" w:color="000000" w:themeColor="text1"/>
              <w:right w:val="nil"/>
            </w:tcBorders>
            <w:vAlign w:val="center"/>
          </w:tcPr>
          <w:p w14:paraId="0A132353" w14:textId="77777777" w:rsidR="008A6D82" w:rsidRDefault="008A6D82" w:rsidP="00CB618A">
            <w:pPr>
              <w:pStyle w:val="Tableheading"/>
              <w:spacing w:before="0" w:after="0"/>
              <w:rPr>
                <w:rFonts w:cs="Arial"/>
              </w:rPr>
            </w:pPr>
            <w:r w:rsidRPr="00DE1F41">
              <w:rPr>
                <w:rFonts w:eastAsia="Times New Roman" w:cs="Arial"/>
                <w:color w:val="000000"/>
                <w:szCs w:val="20"/>
              </w:rPr>
              <w:t>Variable</w:t>
            </w:r>
          </w:p>
        </w:tc>
        <w:tc>
          <w:tcPr>
            <w:tcW w:w="865" w:type="dxa"/>
            <w:tcBorders>
              <w:top w:val="single" w:sz="4" w:space="0" w:color="000000" w:themeColor="text1"/>
              <w:left w:val="nil"/>
              <w:bottom w:val="single" w:sz="4" w:space="0" w:color="000000" w:themeColor="text1"/>
              <w:right w:val="nil"/>
            </w:tcBorders>
            <w:vAlign w:val="center"/>
          </w:tcPr>
          <w:p w14:paraId="1B3ECD4B" w14:textId="77777777" w:rsidR="008A6D82" w:rsidRDefault="008A6D82" w:rsidP="00CB618A">
            <w:pPr>
              <w:pStyle w:val="Tableheading"/>
              <w:spacing w:before="0" w:after="0"/>
              <w:rPr>
                <w:rFonts w:cs="Arial"/>
              </w:rPr>
            </w:pPr>
            <w:r w:rsidRPr="00DE1F41">
              <w:rPr>
                <w:rFonts w:eastAsia="Times New Roman" w:cs="Arial"/>
                <w:color w:val="000000"/>
                <w:szCs w:val="20"/>
              </w:rPr>
              <w:t>Df</w:t>
            </w:r>
          </w:p>
        </w:tc>
        <w:tc>
          <w:tcPr>
            <w:tcW w:w="709" w:type="dxa"/>
            <w:tcBorders>
              <w:top w:val="single" w:sz="4" w:space="0" w:color="000000" w:themeColor="text1"/>
              <w:left w:val="nil"/>
              <w:bottom w:val="single" w:sz="4" w:space="0" w:color="000000" w:themeColor="text1"/>
              <w:right w:val="nil"/>
            </w:tcBorders>
            <w:vAlign w:val="center"/>
          </w:tcPr>
          <w:p w14:paraId="53567B2E" w14:textId="77777777" w:rsidR="008A6D82" w:rsidRDefault="008A6D82" w:rsidP="00CB618A">
            <w:pPr>
              <w:pStyle w:val="Tableheading"/>
              <w:spacing w:before="0" w:after="0"/>
              <w:rPr>
                <w:rFonts w:cs="Arial"/>
              </w:rPr>
            </w:pPr>
            <w:r>
              <w:rPr>
                <w:rFonts w:eastAsia="Times New Roman" w:cs="Arial"/>
                <w:color w:val="000000"/>
                <w:szCs w:val="20"/>
              </w:rPr>
              <w:t>GVIF</w:t>
            </w:r>
          </w:p>
        </w:tc>
      </w:tr>
      <w:tr w:rsidR="008A6D82" w14:paraId="33D37659" w14:textId="77777777" w:rsidTr="00CB618A">
        <w:trPr>
          <w:jc w:val="center"/>
        </w:trPr>
        <w:tc>
          <w:tcPr>
            <w:tcW w:w="2254" w:type="dxa"/>
            <w:tcBorders>
              <w:top w:val="single" w:sz="4" w:space="0" w:color="000000" w:themeColor="text1"/>
              <w:left w:val="nil"/>
              <w:bottom w:val="nil"/>
              <w:right w:val="nil"/>
            </w:tcBorders>
            <w:vAlign w:val="center"/>
          </w:tcPr>
          <w:p w14:paraId="6CD884A6" w14:textId="77777777" w:rsidR="008A6D82" w:rsidRDefault="008A6D82" w:rsidP="00CB618A">
            <w:pPr>
              <w:pStyle w:val="Tableheading"/>
              <w:spacing w:before="0" w:after="0"/>
              <w:rPr>
                <w:rFonts w:cs="Arial"/>
              </w:rPr>
            </w:pPr>
            <w:r>
              <w:rPr>
                <w:rFonts w:cs="Arial"/>
              </w:rPr>
              <w:t>Soil gradient</w:t>
            </w:r>
          </w:p>
        </w:tc>
        <w:tc>
          <w:tcPr>
            <w:tcW w:w="865" w:type="dxa"/>
            <w:tcBorders>
              <w:top w:val="single" w:sz="4" w:space="0" w:color="000000" w:themeColor="text1"/>
              <w:left w:val="nil"/>
              <w:bottom w:val="nil"/>
              <w:right w:val="nil"/>
            </w:tcBorders>
            <w:vAlign w:val="center"/>
          </w:tcPr>
          <w:p w14:paraId="4965D375" w14:textId="77777777" w:rsidR="008A6D82" w:rsidRDefault="008A6D82" w:rsidP="00CB618A">
            <w:pPr>
              <w:pStyle w:val="Tableheading"/>
              <w:spacing w:before="0" w:after="0"/>
              <w:rPr>
                <w:rFonts w:cs="Arial"/>
              </w:rPr>
            </w:pPr>
            <w:r>
              <w:rPr>
                <w:rFonts w:cs="Arial"/>
              </w:rPr>
              <w:t>1</w:t>
            </w:r>
          </w:p>
        </w:tc>
        <w:tc>
          <w:tcPr>
            <w:tcW w:w="709" w:type="dxa"/>
            <w:tcBorders>
              <w:top w:val="single" w:sz="4" w:space="0" w:color="000000" w:themeColor="text1"/>
              <w:left w:val="nil"/>
              <w:bottom w:val="nil"/>
              <w:right w:val="nil"/>
            </w:tcBorders>
            <w:vAlign w:val="center"/>
          </w:tcPr>
          <w:p w14:paraId="626E12C8" w14:textId="77777777" w:rsidR="008A6D82" w:rsidRDefault="008A6D82" w:rsidP="00CB618A">
            <w:pPr>
              <w:pStyle w:val="Tableheading"/>
              <w:spacing w:before="0" w:after="0"/>
              <w:rPr>
                <w:rFonts w:cs="Arial"/>
              </w:rPr>
            </w:pPr>
            <w:r>
              <w:rPr>
                <w:rFonts w:cs="Arial"/>
              </w:rPr>
              <w:t>1.18</w:t>
            </w:r>
          </w:p>
        </w:tc>
      </w:tr>
      <w:tr w:rsidR="008A6D82" w14:paraId="203C29B0" w14:textId="77777777" w:rsidTr="00CB618A">
        <w:trPr>
          <w:jc w:val="center"/>
        </w:trPr>
        <w:tc>
          <w:tcPr>
            <w:tcW w:w="2254" w:type="dxa"/>
            <w:tcBorders>
              <w:top w:val="nil"/>
              <w:left w:val="nil"/>
              <w:bottom w:val="nil"/>
              <w:right w:val="nil"/>
            </w:tcBorders>
            <w:vAlign w:val="center"/>
          </w:tcPr>
          <w:p w14:paraId="526FF931" w14:textId="77777777" w:rsidR="008A6D82" w:rsidRDefault="008A6D82" w:rsidP="00CB618A">
            <w:pPr>
              <w:pStyle w:val="Tableheading"/>
              <w:spacing w:before="0" w:after="0"/>
              <w:rPr>
                <w:rFonts w:cs="Arial"/>
              </w:rPr>
            </w:pPr>
            <w:r>
              <w:rPr>
                <w:rFonts w:cs="Arial"/>
              </w:rPr>
              <w:t>Intensive cover</w:t>
            </w:r>
          </w:p>
        </w:tc>
        <w:tc>
          <w:tcPr>
            <w:tcW w:w="865" w:type="dxa"/>
            <w:tcBorders>
              <w:top w:val="nil"/>
              <w:left w:val="nil"/>
              <w:bottom w:val="nil"/>
              <w:right w:val="nil"/>
            </w:tcBorders>
            <w:vAlign w:val="center"/>
          </w:tcPr>
          <w:p w14:paraId="2CB7A3DE" w14:textId="77777777" w:rsidR="008A6D82" w:rsidRDefault="008A6D82" w:rsidP="00CB618A">
            <w:pPr>
              <w:pStyle w:val="Tableheading"/>
              <w:spacing w:before="0" w:after="0"/>
              <w:rPr>
                <w:rFonts w:cs="Arial"/>
              </w:rPr>
            </w:pPr>
            <w:r>
              <w:rPr>
                <w:rFonts w:cs="Arial"/>
              </w:rPr>
              <w:t>1</w:t>
            </w:r>
          </w:p>
        </w:tc>
        <w:tc>
          <w:tcPr>
            <w:tcW w:w="709" w:type="dxa"/>
            <w:tcBorders>
              <w:top w:val="nil"/>
              <w:left w:val="nil"/>
              <w:bottom w:val="nil"/>
              <w:right w:val="nil"/>
            </w:tcBorders>
            <w:vAlign w:val="center"/>
          </w:tcPr>
          <w:p w14:paraId="1C16580A" w14:textId="77777777" w:rsidR="008A6D82" w:rsidRPr="00DE1F41" w:rsidRDefault="008A6D82" w:rsidP="00CB618A">
            <w:pPr>
              <w:pStyle w:val="Tableheading"/>
              <w:spacing w:before="0" w:after="0"/>
              <w:rPr>
                <w:rFonts w:eastAsia="Times New Roman" w:cs="Arial"/>
                <w:color w:val="000000"/>
                <w:szCs w:val="20"/>
              </w:rPr>
            </w:pPr>
            <w:r>
              <w:rPr>
                <w:rFonts w:eastAsia="Times New Roman" w:cs="Arial"/>
                <w:color w:val="000000"/>
                <w:szCs w:val="20"/>
              </w:rPr>
              <w:t>1.17</w:t>
            </w:r>
          </w:p>
        </w:tc>
      </w:tr>
      <w:tr w:rsidR="008A6D82" w14:paraId="3A5BC88C" w14:textId="77777777" w:rsidTr="00CB618A">
        <w:trPr>
          <w:jc w:val="center"/>
        </w:trPr>
        <w:tc>
          <w:tcPr>
            <w:tcW w:w="2254" w:type="dxa"/>
            <w:tcBorders>
              <w:top w:val="nil"/>
              <w:left w:val="nil"/>
              <w:bottom w:val="nil"/>
              <w:right w:val="nil"/>
            </w:tcBorders>
          </w:tcPr>
          <w:p w14:paraId="3F18054D" w14:textId="77777777" w:rsidR="008A6D82" w:rsidRDefault="008A6D82" w:rsidP="00CB618A">
            <w:pPr>
              <w:pStyle w:val="Tableheading"/>
              <w:spacing w:before="0" w:after="0"/>
              <w:rPr>
                <w:rFonts w:cs="Arial"/>
              </w:rPr>
            </w:pPr>
            <w:r w:rsidRPr="00720204">
              <w:rPr>
                <w:rFonts w:cs="Arial"/>
              </w:rPr>
              <w:t>soil gradient: intensive cover</w:t>
            </w:r>
          </w:p>
        </w:tc>
        <w:tc>
          <w:tcPr>
            <w:tcW w:w="865" w:type="dxa"/>
            <w:tcBorders>
              <w:top w:val="nil"/>
              <w:left w:val="nil"/>
              <w:bottom w:val="nil"/>
              <w:right w:val="nil"/>
            </w:tcBorders>
            <w:vAlign w:val="center"/>
          </w:tcPr>
          <w:p w14:paraId="179035F0" w14:textId="77777777" w:rsidR="008A6D82" w:rsidRDefault="008A6D82" w:rsidP="00CB618A">
            <w:pPr>
              <w:pStyle w:val="Tableheading"/>
              <w:spacing w:before="0" w:after="0"/>
              <w:rPr>
                <w:rFonts w:cs="Arial"/>
              </w:rPr>
            </w:pPr>
            <w:r>
              <w:rPr>
                <w:rFonts w:cs="Arial"/>
              </w:rPr>
              <w:t>2</w:t>
            </w:r>
          </w:p>
        </w:tc>
        <w:tc>
          <w:tcPr>
            <w:tcW w:w="709" w:type="dxa"/>
            <w:tcBorders>
              <w:top w:val="nil"/>
              <w:left w:val="nil"/>
              <w:bottom w:val="nil"/>
              <w:right w:val="nil"/>
            </w:tcBorders>
            <w:vAlign w:val="center"/>
          </w:tcPr>
          <w:p w14:paraId="1271FF4C" w14:textId="77777777" w:rsidR="008A6D82" w:rsidRPr="00DE1F41" w:rsidRDefault="008A6D82" w:rsidP="00CB618A">
            <w:pPr>
              <w:pStyle w:val="Tableheading"/>
              <w:spacing w:before="0" w:after="0"/>
              <w:rPr>
                <w:rFonts w:eastAsia="Times New Roman" w:cs="Arial"/>
                <w:color w:val="000000"/>
                <w:szCs w:val="20"/>
              </w:rPr>
            </w:pPr>
            <w:r>
              <w:rPr>
                <w:rFonts w:eastAsia="Times New Roman" w:cs="Arial"/>
                <w:color w:val="000000"/>
                <w:szCs w:val="20"/>
              </w:rPr>
              <w:t>1.03</w:t>
            </w:r>
          </w:p>
        </w:tc>
      </w:tr>
      <w:tr w:rsidR="008A6D82" w14:paraId="0A1E329F" w14:textId="77777777" w:rsidTr="00CB618A">
        <w:trPr>
          <w:jc w:val="center"/>
        </w:trPr>
        <w:tc>
          <w:tcPr>
            <w:tcW w:w="2254" w:type="dxa"/>
            <w:tcBorders>
              <w:top w:val="nil"/>
              <w:left w:val="nil"/>
              <w:bottom w:val="single" w:sz="4" w:space="0" w:color="000000" w:themeColor="text1"/>
              <w:right w:val="nil"/>
            </w:tcBorders>
          </w:tcPr>
          <w:p w14:paraId="6E2976B4" w14:textId="77777777" w:rsidR="008A6D82" w:rsidRDefault="008A6D82" w:rsidP="00CB618A">
            <w:pPr>
              <w:pStyle w:val="Tableheading"/>
              <w:spacing w:before="0" w:after="0"/>
              <w:rPr>
                <w:rFonts w:cs="Arial"/>
              </w:rPr>
            </w:pPr>
            <w:r w:rsidRPr="00720204">
              <w:rPr>
                <w:rFonts w:cs="Arial"/>
              </w:rPr>
              <w:t>inflow</w:t>
            </w:r>
          </w:p>
        </w:tc>
        <w:tc>
          <w:tcPr>
            <w:tcW w:w="865" w:type="dxa"/>
            <w:tcBorders>
              <w:top w:val="nil"/>
              <w:left w:val="nil"/>
              <w:bottom w:val="single" w:sz="4" w:space="0" w:color="000000" w:themeColor="text1"/>
              <w:right w:val="nil"/>
            </w:tcBorders>
            <w:vAlign w:val="center"/>
          </w:tcPr>
          <w:p w14:paraId="47BBBB0C" w14:textId="77777777" w:rsidR="008A6D82" w:rsidRDefault="008A6D82" w:rsidP="00CB618A">
            <w:pPr>
              <w:pStyle w:val="Tableheading"/>
              <w:spacing w:before="0" w:after="0"/>
              <w:rPr>
                <w:rFonts w:cs="Arial"/>
              </w:rPr>
            </w:pPr>
            <w:r>
              <w:rPr>
                <w:rFonts w:cs="Arial"/>
              </w:rPr>
              <w:t>1</w:t>
            </w:r>
          </w:p>
        </w:tc>
        <w:tc>
          <w:tcPr>
            <w:tcW w:w="709" w:type="dxa"/>
            <w:tcBorders>
              <w:top w:val="nil"/>
              <w:left w:val="nil"/>
              <w:bottom w:val="single" w:sz="4" w:space="0" w:color="000000" w:themeColor="text1"/>
              <w:right w:val="nil"/>
            </w:tcBorders>
            <w:vAlign w:val="center"/>
          </w:tcPr>
          <w:p w14:paraId="08038551" w14:textId="77777777" w:rsidR="008A6D82" w:rsidRPr="00DE1F41" w:rsidRDefault="008A6D82" w:rsidP="00CB618A">
            <w:pPr>
              <w:pStyle w:val="Tableheading"/>
              <w:spacing w:before="0" w:after="0"/>
              <w:rPr>
                <w:rFonts w:eastAsia="Times New Roman" w:cs="Arial"/>
                <w:color w:val="000000"/>
                <w:szCs w:val="20"/>
              </w:rPr>
            </w:pPr>
            <w:r>
              <w:rPr>
                <w:rFonts w:eastAsia="Times New Roman" w:cs="Arial"/>
                <w:color w:val="000000"/>
                <w:szCs w:val="20"/>
              </w:rPr>
              <w:t>1.02</w:t>
            </w:r>
          </w:p>
        </w:tc>
      </w:tr>
    </w:tbl>
    <w:p w14:paraId="4388A819" w14:textId="77777777" w:rsidR="008A6D82" w:rsidRDefault="008A6D82" w:rsidP="008A6D82">
      <w:pPr>
        <w:rPr>
          <w:lang w:eastAsia="zh-CN"/>
        </w:rPr>
      </w:pPr>
    </w:p>
    <w:p w14:paraId="6CA5929B" w14:textId="77777777" w:rsidR="008A6D82" w:rsidRPr="005032DA" w:rsidRDefault="008A6D82" w:rsidP="008A6D82">
      <w:pPr>
        <w:rPr>
          <w:lang w:eastAsia="zh-CN"/>
        </w:rPr>
      </w:pPr>
    </w:p>
    <w:p w14:paraId="26F6481C" w14:textId="77777777" w:rsidR="008A6D82" w:rsidRDefault="008A6D82" w:rsidP="008A6D82">
      <w:pPr>
        <w:jc w:val="center"/>
        <w:rPr>
          <w:rFonts w:ascii="Arial" w:hAnsi="Arial" w:cs="Arial"/>
          <w:sz w:val="20"/>
        </w:rPr>
      </w:pPr>
      <w:r>
        <w:rPr>
          <w:noProof/>
          <w:lang w:eastAsia="en-GB"/>
        </w:rPr>
        <w:drawing>
          <wp:inline distT="0" distB="0" distL="0" distR="0" wp14:anchorId="77754BDB" wp14:editId="69EC0166">
            <wp:extent cx="3163986" cy="4152732"/>
            <wp:effectExtent l="0" t="0" r="0" b="63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182124" cy="4176538"/>
                    </a:xfrm>
                    <a:prstGeom prst="rect">
                      <a:avLst/>
                    </a:prstGeom>
                  </pic:spPr>
                </pic:pic>
              </a:graphicData>
            </a:graphic>
          </wp:inline>
        </w:drawing>
      </w:r>
    </w:p>
    <w:p w14:paraId="51392121" w14:textId="77777777" w:rsidR="008A6D82" w:rsidRDefault="008A6D82" w:rsidP="008A6D82">
      <w:pPr>
        <w:rPr>
          <w:rFonts w:ascii="Arial" w:hAnsi="Arial" w:cs="Arial"/>
          <w:sz w:val="20"/>
        </w:rPr>
      </w:pPr>
      <w:r w:rsidRPr="00E64879">
        <w:rPr>
          <w:rFonts w:ascii="Arial" w:hAnsi="Arial" w:cs="Arial"/>
          <w:sz w:val="20"/>
        </w:rPr>
        <w:t xml:space="preserve">Figure </w:t>
      </w:r>
      <w:r>
        <w:rPr>
          <w:rFonts w:ascii="Arial" w:hAnsi="Arial" w:cs="Arial"/>
          <w:sz w:val="20"/>
        </w:rPr>
        <w:t>S2.4</w:t>
      </w:r>
      <w:r w:rsidRPr="00E64879">
        <w:rPr>
          <w:rFonts w:ascii="Arial" w:hAnsi="Arial" w:cs="Arial"/>
          <w:sz w:val="20"/>
        </w:rPr>
        <w:tab/>
        <w:t>Condit</w:t>
      </w:r>
      <w:r>
        <w:rPr>
          <w:rFonts w:ascii="Arial" w:hAnsi="Arial" w:cs="Arial"/>
          <w:sz w:val="20"/>
        </w:rPr>
        <w:t xml:space="preserve">ional plot of variation in pond soluble reactive phosphorus concentration </w:t>
      </w:r>
      <w:r w:rsidRPr="00E64879">
        <w:rPr>
          <w:rFonts w:ascii="Arial" w:hAnsi="Arial" w:cs="Arial"/>
          <w:sz w:val="20"/>
        </w:rPr>
        <w:t xml:space="preserve">in relation to </w:t>
      </w:r>
      <w:r>
        <w:rPr>
          <w:rFonts w:ascii="Arial" w:hAnsi="Arial" w:cs="Arial"/>
          <w:sz w:val="20"/>
        </w:rPr>
        <w:t>inflow presence</w:t>
      </w:r>
      <w:r w:rsidRPr="00E64879">
        <w:rPr>
          <w:rFonts w:ascii="Arial" w:hAnsi="Arial" w:cs="Arial"/>
          <w:sz w:val="20"/>
        </w:rPr>
        <w:t>. Results were graphed using coefficients from the minimum adequate model. Error bars represent 95% confidence intervals.</w:t>
      </w:r>
    </w:p>
    <w:p w14:paraId="17B8C95B" w14:textId="77777777" w:rsidR="008A6D82" w:rsidRDefault="008A6D82" w:rsidP="008A6D82">
      <w:pPr>
        <w:rPr>
          <w:rFonts w:asciiTheme="majorHAnsi" w:eastAsiaTheme="majorEastAsia" w:hAnsiTheme="majorHAnsi" w:cstheme="majorBidi"/>
          <w:b/>
          <w:sz w:val="26"/>
          <w:szCs w:val="26"/>
          <w:lang w:eastAsia="zh-CN"/>
        </w:rPr>
      </w:pPr>
      <w:r>
        <w:br w:type="page"/>
      </w:r>
    </w:p>
    <w:p w14:paraId="27115DC9" w14:textId="77777777" w:rsidR="008A6D82" w:rsidRDefault="008A6D82" w:rsidP="008A6D82">
      <w:pPr>
        <w:pStyle w:val="Heading2"/>
      </w:pPr>
      <w:bookmarkStart w:id="60" w:name="_Toc517431856"/>
      <w:r>
        <w:t>Supplementary Information References</w:t>
      </w:r>
      <w:bookmarkEnd w:id="60"/>
    </w:p>
    <w:p w14:paraId="6047A48F" w14:textId="77777777" w:rsidR="008A6D82" w:rsidRPr="00580A4F" w:rsidRDefault="008A6D82" w:rsidP="008A6D82">
      <w:pPr>
        <w:rPr>
          <w:lang w:eastAsia="zh-CN"/>
        </w:rPr>
      </w:pPr>
      <w:r w:rsidRPr="00580A4F">
        <w:rPr>
          <w:lang w:eastAsia="zh-CN"/>
        </w:rPr>
        <w:t>Bartoń, K. MuMIn: model selection and model averaging based on information criteria (AICc and alike) R package version. (2018).</w:t>
      </w:r>
    </w:p>
    <w:p w14:paraId="3780F929" w14:textId="77777777" w:rsidR="008A6D82" w:rsidRDefault="008A6D82" w:rsidP="008A6D82">
      <w:pPr>
        <w:rPr>
          <w:noProof/>
        </w:rPr>
      </w:pPr>
      <w:r w:rsidRPr="00580A4F">
        <w:rPr>
          <w:noProof/>
        </w:rPr>
        <w:t xml:space="preserve">Burnham, K. P. &amp; Anderson, D. R. </w:t>
      </w:r>
      <w:r w:rsidRPr="00580A4F">
        <w:rPr>
          <w:i/>
          <w:iCs/>
          <w:noProof/>
        </w:rPr>
        <w:t>Model Selection and Multimodel Inference: A Practical Information-Theoretic Approach (2nd ed)</w:t>
      </w:r>
      <w:r w:rsidRPr="00580A4F">
        <w:rPr>
          <w:noProof/>
        </w:rPr>
        <w:t xml:space="preserve">. </w:t>
      </w:r>
      <w:r w:rsidRPr="00580A4F">
        <w:rPr>
          <w:i/>
          <w:iCs/>
          <w:noProof/>
        </w:rPr>
        <w:t>Ecological Modelling</w:t>
      </w:r>
      <w:r w:rsidRPr="00580A4F">
        <w:rPr>
          <w:noProof/>
        </w:rPr>
        <w:t xml:space="preserve"> </w:t>
      </w:r>
      <w:r w:rsidRPr="00580A4F">
        <w:rPr>
          <w:b/>
          <w:bCs/>
          <w:noProof/>
        </w:rPr>
        <w:t>172,</w:t>
      </w:r>
      <w:r w:rsidRPr="00580A4F">
        <w:rPr>
          <w:noProof/>
        </w:rPr>
        <w:t xml:space="preserve"> (2002).</w:t>
      </w:r>
    </w:p>
    <w:p w14:paraId="69E3735B" w14:textId="77777777" w:rsidR="008A6D82" w:rsidRDefault="008A6D82" w:rsidP="008A6D82">
      <w:pPr>
        <w:rPr>
          <w:lang w:eastAsia="en-GB"/>
        </w:rPr>
      </w:pPr>
      <w:r>
        <w:rPr>
          <w:lang w:eastAsia="en-GB"/>
        </w:rPr>
        <w:t>Dehnen-Schmutz, K., Perrings, C. &amp; Williamson, M. Controlling Rhododendron ponticum in British Isles: An economic analysis. J. Environ. Manage. 70, 323–332 (2004).</w:t>
      </w:r>
    </w:p>
    <w:p w14:paraId="55CD659D" w14:textId="77777777" w:rsidR="008A6D82" w:rsidRDefault="008A6D82" w:rsidP="008A6D82">
      <w:pPr>
        <w:rPr>
          <w:lang w:eastAsia="en-GB"/>
        </w:rPr>
      </w:pPr>
      <w:r>
        <w:rPr>
          <w:lang w:eastAsia="en-GB"/>
        </w:rPr>
        <w:t xml:space="preserve">Forestry Commission (2017). National Forest Inventory field survey data, first cycle. </w:t>
      </w:r>
      <w:hyperlink r:id="rId41" w:history="1">
        <w:r w:rsidRPr="005F04F3">
          <w:rPr>
            <w:rStyle w:val="Hyperlink"/>
            <w:lang w:eastAsia="en-GB"/>
          </w:rPr>
          <w:t>https://www.forestresearch.gov.uk/tools-and-resources/national-forest-inventory/</w:t>
        </w:r>
      </w:hyperlink>
      <w:r>
        <w:rPr>
          <w:lang w:eastAsia="en-GB"/>
        </w:rPr>
        <w:t xml:space="preserve"> </w:t>
      </w:r>
    </w:p>
    <w:p w14:paraId="43C02608" w14:textId="77777777" w:rsidR="008A6D82" w:rsidRDefault="008A6D82" w:rsidP="008A6D82">
      <w:pPr>
        <w:rPr>
          <w:lang w:eastAsia="en-GB"/>
        </w:rPr>
      </w:pPr>
      <w:r w:rsidRPr="00580A4F">
        <w:rPr>
          <w:lang w:eastAsia="en-GB"/>
        </w:rPr>
        <w:t xml:space="preserve">Fox, J. and Monette, G. Generalized collinearity diagnostics. JASA, </w:t>
      </w:r>
      <w:r w:rsidRPr="00580A4F">
        <w:rPr>
          <w:b/>
          <w:lang w:eastAsia="en-GB"/>
        </w:rPr>
        <w:t>87</w:t>
      </w:r>
      <w:r w:rsidRPr="00580A4F">
        <w:rPr>
          <w:lang w:eastAsia="en-GB"/>
        </w:rPr>
        <w:t>, 178--183. (1992).</w:t>
      </w:r>
    </w:p>
    <w:p w14:paraId="3D7FCD42" w14:textId="77777777" w:rsidR="008A6D82" w:rsidRDefault="008A6D82" w:rsidP="008A6D82">
      <w:pPr>
        <w:rPr>
          <w:lang w:eastAsia="en-GB"/>
        </w:rPr>
      </w:pPr>
      <w:r w:rsidRPr="00580A4F">
        <w:rPr>
          <w:lang w:eastAsia="en-GB"/>
        </w:rPr>
        <w:t>Morton, R. D. et al. Land Cover Map 2007 (25m raster, GB) v1.2. (2014).</w:t>
      </w:r>
    </w:p>
    <w:p w14:paraId="6AF23A56" w14:textId="77777777" w:rsidR="008A6D82" w:rsidRPr="00580A4F" w:rsidRDefault="008A6D82" w:rsidP="008A6D82">
      <w:pPr>
        <w:rPr>
          <w:lang w:eastAsia="en-GB"/>
        </w:rPr>
      </w:pPr>
      <w:r>
        <w:rPr>
          <w:lang w:eastAsia="en-GB"/>
        </w:rPr>
        <w:t>Thomson, A. G., Radford, G. L., Norris, D. A. &amp; Good, J. E. G. Factors affecting the distribution and spread of Rhododendron in North Wales. J. Environ. Manage. 39, 199–212 (1993).</w:t>
      </w:r>
    </w:p>
    <w:p w14:paraId="69B4DB84" w14:textId="77777777" w:rsidR="008A6D82" w:rsidRPr="00895F9A" w:rsidRDefault="008A6D82" w:rsidP="008A6D82">
      <w:pPr>
        <w:rPr>
          <w:lang w:eastAsia="en-GB"/>
        </w:rPr>
      </w:pPr>
      <w:r w:rsidRPr="00580A4F">
        <w:rPr>
          <w:lang w:eastAsia="en-GB"/>
        </w:rPr>
        <w:t xml:space="preserve">VanDerWal, J., Falconi, L., Januchowski, S., Shoo, L., &amp; Storlie, C. SDMTools: Species distribution modelling tools: Tools for processing data associated with species distribution modelling exercises. R package version 1.1‐221. (2014). </w:t>
      </w:r>
    </w:p>
    <w:p w14:paraId="5A5654E8" w14:textId="77777777" w:rsidR="008A6D82" w:rsidRDefault="008A6D82" w:rsidP="008A6D82"/>
    <w:p w14:paraId="1204B449" w14:textId="6AA1749A" w:rsidR="008A6D82" w:rsidRDefault="008A6D82">
      <w:pPr>
        <w:rPr>
          <w:rFonts w:ascii="Arial" w:hAnsi="Arial" w:cs="Arial"/>
          <w:sz w:val="20"/>
          <w:lang w:eastAsia="en-GB"/>
        </w:rPr>
      </w:pPr>
      <w:r>
        <w:rPr>
          <w:rFonts w:ascii="Arial" w:hAnsi="Arial" w:cs="Arial"/>
          <w:sz w:val="20"/>
          <w:lang w:eastAsia="en-GB"/>
        </w:rPr>
        <w:br w:type="page"/>
      </w:r>
    </w:p>
    <w:p w14:paraId="307B85A7" w14:textId="77777777" w:rsidR="008A699C" w:rsidRPr="00895F9A" w:rsidRDefault="008A699C" w:rsidP="0034081E">
      <w:pPr>
        <w:jc w:val="both"/>
        <w:rPr>
          <w:lang w:eastAsia="en-GB"/>
        </w:rPr>
      </w:pPr>
    </w:p>
    <w:sectPr w:rsidR="008A699C" w:rsidRPr="00895F9A" w:rsidSect="008A6D8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536491" w14:textId="77777777" w:rsidR="00BA70DD" w:rsidRDefault="00BA70DD" w:rsidP="008A699C">
      <w:pPr>
        <w:spacing w:after="0" w:line="240" w:lineRule="auto"/>
      </w:pPr>
      <w:r>
        <w:separator/>
      </w:r>
    </w:p>
  </w:endnote>
  <w:endnote w:type="continuationSeparator" w:id="0">
    <w:p w14:paraId="2117B209" w14:textId="77777777" w:rsidR="00BA70DD" w:rsidRDefault="00BA70DD" w:rsidP="008A69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DengXian Light">
    <w:altName w:val="等线 Light"/>
    <w:panose1 w:val="00000000000000000000"/>
    <w:charset w:val="86"/>
    <w:family w:val="roman"/>
    <w:notTrueType/>
    <w:pitch w:val="default"/>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modern"/>
    <w:pitch w:val="fixed"/>
    <w:sig w:usb0="00000001" w:usb1="080E0000" w:usb2="00000010" w:usb3="00000000" w:csb0="00040000" w:csb1="00000000"/>
  </w:font>
  <w:font w:name="Meridien-Roman">
    <w:panose1 w:val="00000000000000000000"/>
    <w:charset w:val="00"/>
    <w:family w:val="roman"/>
    <w:notTrueType/>
    <w:pitch w:val="default"/>
    <w:sig w:usb0="00000003" w:usb1="00000000" w:usb2="00000000" w:usb3="00000000" w:csb0="00000001" w:csb1="00000000"/>
  </w:font>
  <w:font w:name="Lucida Console">
    <w:panose1 w:val="020B0609040504020204"/>
    <w:charset w:val="00"/>
    <w:family w:val="modern"/>
    <w:pitch w:val="fixed"/>
    <w:sig w:usb0="8000028F" w:usb1="00001800" w:usb2="00000000" w:usb3="00000000" w:csb0="0000001F"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47981656"/>
      <w:docPartObj>
        <w:docPartGallery w:val="Page Numbers (Bottom of Page)"/>
        <w:docPartUnique/>
      </w:docPartObj>
    </w:sdtPr>
    <w:sdtEndPr>
      <w:rPr>
        <w:noProof/>
      </w:rPr>
    </w:sdtEndPr>
    <w:sdtContent>
      <w:p w14:paraId="27A91C2B" w14:textId="509A8145" w:rsidR="003B75CB" w:rsidRDefault="003B75CB">
        <w:pPr>
          <w:pStyle w:val="Footer"/>
          <w:jc w:val="right"/>
        </w:pPr>
        <w:r>
          <w:fldChar w:fldCharType="begin"/>
        </w:r>
        <w:r>
          <w:instrText xml:space="preserve"> PAGE   \* MERGEFORMAT </w:instrText>
        </w:r>
        <w:r>
          <w:fldChar w:fldCharType="separate"/>
        </w:r>
        <w:r w:rsidR="00C5138B">
          <w:rPr>
            <w:noProof/>
          </w:rPr>
          <w:t>1</w:t>
        </w:r>
        <w:r>
          <w:rPr>
            <w:noProof/>
          </w:rPr>
          <w:fldChar w:fldCharType="end"/>
        </w:r>
      </w:p>
    </w:sdtContent>
  </w:sdt>
  <w:p w14:paraId="1E75205E" w14:textId="77777777" w:rsidR="003B75CB" w:rsidRDefault="003B75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F082B0" w14:textId="77777777" w:rsidR="00BA70DD" w:rsidRDefault="00BA70DD" w:rsidP="008A699C">
      <w:pPr>
        <w:spacing w:after="0" w:line="240" w:lineRule="auto"/>
      </w:pPr>
      <w:r>
        <w:separator/>
      </w:r>
    </w:p>
  </w:footnote>
  <w:footnote w:type="continuationSeparator" w:id="0">
    <w:p w14:paraId="0D271F37" w14:textId="77777777" w:rsidR="00BA70DD" w:rsidRDefault="00BA70DD" w:rsidP="008A699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E15ED3"/>
    <w:multiLevelType w:val="hybridMultilevel"/>
    <w:tmpl w:val="0F2EBE2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15:restartNumberingAfterBreak="0">
    <w:nsid w:val="13FB38E2"/>
    <w:multiLevelType w:val="hybridMultilevel"/>
    <w:tmpl w:val="D6867652"/>
    <w:lvl w:ilvl="0" w:tplc="8B9C64C2">
      <w:start w:val="1"/>
      <w:numFmt w:val="bullet"/>
      <w:lvlText w:val="•"/>
      <w:lvlJc w:val="left"/>
      <w:pPr>
        <w:tabs>
          <w:tab w:val="num" w:pos="360"/>
        </w:tabs>
        <w:ind w:left="360" w:hanging="360"/>
      </w:pPr>
      <w:rPr>
        <w:rFonts w:ascii="Arial" w:hAnsi="Arial" w:hint="default"/>
      </w:rPr>
    </w:lvl>
    <w:lvl w:ilvl="1" w:tplc="DAD25560" w:tentative="1">
      <w:start w:val="1"/>
      <w:numFmt w:val="bullet"/>
      <w:lvlText w:val="•"/>
      <w:lvlJc w:val="left"/>
      <w:pPr>
        <w:tabs>
          <w:tab w:val="num" w:pos="1080"/>
        </w:tabs>
        <w:ind w:left="1080" w:hanging="360"/>
      </w:pPr>
      <w:rPr>
        <w:rFonts w:ascii="Arial" w:hAnsi="Arial" w:hint="default"/>
      </w:rPr>
    </w:lvl>
    <w:lvl w:ilvl="2" w:tplc="D81078FA" w:tentative="1">
      <w:start w:val="1"/>
      <w:numFmt w:val="bullet"/>
      <w:lvlText w:val="•"/>
      <w:lvlJc w:val="left"/>
      <w:pPr>
        <w:tabs>
          <w:tab w:val="num" w:pos="1800"/>
        </w:tabs>
        <w:ind w:left="1800" w:hanging="360"/>
      </w:pPr>
      <w:rPr>
        <w:rFonts w:ascii="Arial" w:hAnsi="Arial" w:hint="default"/>
      </w:rPr>
    </w:lvl>
    <w:lvl w:ilvl="3" w:tplc="9F46AE92" w:tentative="1">
      <w:start w:val="1"/>
      <w:numFmt w:val="bullet"/>
      <w:lvlText w:val="•"/>
      <w:lvlJc w:val="left"/>
      <w:pPr>
        <w:tabs>
          <w:tab w:val="num" w:pos="2520"/>
        </w:tabs>
        <w:ind w:left="2520" w:hanging="360"/>
      </w:pPr>
      <w:rPr>
        <w:rFonts w:ascii="Arial" w:hAnsi="Arial" w:hint="default"/>
      </w:rPr>
    </w:lvl>
    <w:lvl w:ilvl="4" w:tplc="84180AB8" w:tentative="1">
      <w:start w:val="1"/>
      <w:numFmt w:val="bullet"/>
      <w:lvlText w:val="•"/>
      <w:lvlJc w:val="left"/>
      <w:pPr>
        <w:tabs>
          <w:tab w:val="num" w:pos="3240"/>
        </w:tabs>
        <w:ind w:left="3240" w:hanging="360"/>
      </w:pPr>
      <w:rPr>
        <w:rFonts w:ascii="Arial" w:hAnsi="Arial" w:hint="default"/>
      </w:rPr>
    </w:lvl>
    <w:lvl w:ilvl="5" w:tplc="988A72B6" w:tentative="1">
      <w:start w:val="1"/>
      <w:numFmt w:val="bullet"/>
      <w:lvlText w:val="•"/>
      <w:lvlJc w:val="left"/>
      <w:pPr>
        <w:tabs>
          <w:tab w:val="num" w:pos="3960"/>
        </w:tabs>
        <w:ind w:left="3960" w:hanging="360"/>
      </w:pPr>
      <w:rPr>
        <w:rFonts w:ascii="Arial" w:hAnsi="Arial" w:hint="default"/>
      </w:rPr>
    </w:lvl>
    <w:lvl w:ilvl="6" w:tplc="206E960A" w:tentative="1">
      <w:start w:val="1"/>
      <w:numFmt w:val="bullet"/>
      <w:lvlText w:val="•"/>
      <w:lvlJc w:val="left"/>
      <w:pPr>
        <w:tabs>
          <w:tab w:val="num" w:pos="4680"/>
        </w:tabs>
        <w:ind w:left="4680" w:hanging="360"/>
      </w:pPr>
      <w:rPr>
        <w:rFonts w:ascii="Arial" w:hAnsi="Arial" w:hint="default"/>
      </w:rPr>
    </w:lvl>
    <w:lvl w:ilvl="7" w:tplc="A2648830" w:tentative="1">
      <w:start w:val="1"/>
      <w:numFmt w:val="bullet"/>
      <w:lvlText w:val="•"/>
      <w:lvlJc w:val="left"/>
      <w:pPr>
        <w:tabs>
          <w:tab w:val="num" w:pos="5400"/>
        </w:tabs>
        <w:ind w:left="5400" w:hanging="360"/>
      </w:pPr>
      <w:rPr>
        <w:rFonts w:ascii="Arial" w:hAnsi="Arial" w:hint="default"/>
      </w:rPr>
    </w:lvl>
    <w:lvl w:ilvl="8" w:tplc="35A8ECEA" w:tentative="1">
      <w:start w:val="1"/>
      <w:numFmt w:val="bullet"/>
      <w:lvlText w:val="•"/>
      <w:lvlJc w:val="left"/>
      <w:pPr>
        <w:tabs>
          <w:tab w:val="num" w:pos="6120"/>
        </w:tabs>
        <w:ind w:left="6120" w:hanging="360"/>
      </w:pPr>
      <w:rPr>
        <w:rFonts w:ascii="Arial" w:hAnsi="Arial" w:hint="default"/>
      </w:rPr>
    </w:lvl>
  </w:abstractNum>
  <w:abstractNum w:abstractNumId="2" w15:restartNumberingAfterBreak="0">
    <w:nsid w:val="2D793BBD"/>
    <w:multiLevelType w:val="hybridMultilevel"/>
    <w:tmpl w:val="E1B8F4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7DD68B0"/>
    <w:multiLevelType w:val="hybridMultilevel"/>
    <w:tmpl w:val="07E89A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132567F"/>
    <w:multiLevelType w:val="hybridMultilevel"/>
    <w:tmpl w:val="27F6537E"/>
    <w:lvl w:ilvl="0" w:tplc="7F3825BC">
      <w:start w:val="1"/>
      <w:numFmt w:val="decimal"/>
      <w:lvlText w:val="%1."/>
      <w:lvlJc w:val="left"/>
      <w:pPr>
        <w:ind w:left="720" w:hanging="360"/>
      </w:pPr>
      <w:rPr>
        <w:rFonts w:cstheme="minorBidi"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CDB400B"/>
    <w:multiLevelType w:val="hybridMultilevel"/>
    <w:tmpl w:val="6CC8C028"/>
    <w:lvl w:ilvl="0" w:tplc="7144D030">
      <w:start w:val="1"/>
      <w:numFmt w:val="bullet"/>
      <w:lvlText w:val="•"/>
      <w:lvlJc w:val="left"/>
      <w:pPr>
        <w:tabs>
          <w:tab w:val="num" w:pos="360"/>
        </w:tabs>
        <w:ind w:left="360" w:hanging="360"/>
      </w:pPr>
      <w:rPr>
        <w:rFonts w:ascii="Arial" w:hAnsi="Arial" w:hint="default"/>
      </w:rPr>
    </w:lvl>
    <w:lvl w:ilvl="1" w:tplc="72C447E4" w:tentative="1">
      <w:start w:val="1"/>
      <w:numFmt w:val="bullet"/>
      <w:lvlText w:val="•"/>
      <w:lvlJc w:val="left"/>
      <w:pPr>
        <w:tabs>
          <w:tab w:val="num" w:pos="1080"/>
        </w:tabs>
        <w:ind w:left="1080" w:hanging="360"/>
      </w:pPr>
      <w:rPr>
        <w:rFonts w:ascii="Arial" w:hAnsi="Arial" w:hint="default"/>
      </w:rPr>
    </w:lvl>
    <w:lvl w:ilvl="2" w:tplc="50D0D634" w:tentative="1">
      <w:start w:val="1"/>
      <w:numFmt w:val="bullet"/>
      <w:lvlText w:val="•"/>
      <w:lvlJc w:val="left"/>
      <w:pPr>
        <w:tabs>
          <w:tab w:val="num" w:pos="1800"/>
        </w:tabs>
        <w:ind w:left="1800" w:hanging="360"/>
      </w:pPr>
      <w:rPr>
        <w:rFonts w:ascii="Arial" w:hAnsi="Arial" w:hint="default"/>
      </w:rPr>
    </w:lvl>
    <w:lvl w:ilvl="3" w:tplc="22E40A16" w:tentative="1">
      <w:start w:val="1"/>
      <w:numFmt w:val="bullet"/>
      <w:lvlText w:val="•"/>
      <w:lvlJc w:val="left"/>
      <w:pPr>
        <w:tabs>
          <w:tab w:val="num" w:pos="2520"/>
        </w:tabs>
        <w:ind w:left="2520" w:hanging="360"/>
      </w:pPr>
      <w:rPr>
        <w:rFonts w:ascii="Arial" w:hAnsi="Arial" w:hint="default"/>
      </w:rPr>
    </w:lvl>
    <w:lvl w:ilvl="4" w:tplc="5664A5E2" w:tentative="1">
      <w:start w:val="1"/>
      <w:numFmt w:val="bullet"/>
      <w:lvlText w:val="•"/>
      <w:lvlJc w:val="left"/>
      <w:pPr>
        <w:tabs>
          <w:tab w:val="num" w:pos="3240"/>
        </w:tabs>
        <w:ind w:left="3240" w:hanging="360"/>
      </w:pPr>
      <w:rPr>
        <w:rFonts w:ascii="Arial" w:hAnsi="Arial" w:hint="default"/>
      </w:rPr>
    </w:lvl>
    <w:lvl w:ilvl="5" w:tplc="57DC286A" w:tentative="1">
      <w:start w:val="1"/>
      <w:numFmt w:val="bullet"/>
      <w:lvlText w:val="•"/>
      <w:lvlJc w:val="left"/>
      <w:pPr>
        <w:tabs>
          <w:tab w:val="num" w:pos="3960"/>
        </w:tabs>
        <w:ind w:left="3960" w:hanging="360"/>
      </w:pPr>
      <w:rPr>
        <w:rFonts w:ascii="Arial" w:hAnsi="Arial" w:hint="default"/>
      </w:rPr>
    </w:lvl>
    <w:lvl w:ilvl="6" w:tplc="DEDC387E" w:tentative="1">
      <w:start w:val="1"/>
      <w:numFmt w:val="bullet"/>
      <w:lvlText w:val="•"/>
      <w:lvlJc w:val="left"/>
      <w:pPr>
        <w:tabs>
          <w:tab w:val="num" w:pos="4680"/>
        </w:tabs>
        <w:ind w:left="4680" w:hanging="360"/>
      </w:pPr>
      <w:rPr>
        <w:rFonts w:ascii="Arial" w:hAnsi="Arial" w:hint="default"/>
      </w:rPr>
    </w:lvl>
    <w:lvl w:ilvl="7" w:tplc="A92EE190" w:tentative="1">
      <w:start w:val="1"/>
      <w:numFmt w:val="bullet"/>
      <w:lvlText w:val="•"/>
      <w:lvlJc w:val="left"/>
      <w:pPr>
        <w:tabs>
          <w:tab w:val="num" w:pos="5400"/>
        </w:tabs>
        <w:ind w:left="5400" w:hanging="360"/>
      </w:pPr>
      <w:rPr>
        <w:rFonts w:ascii="Arial" w:hAnsi="Arial" w:hint="default"/>
      </w:rPr>
    </w:lvl>
    <w:lvl w:ilvl="8" w:tplc="D338BE6C" w:tentative="1">
      <w:start w:val="1"/>
      <w:numFmt w:val="bullet"/>
      <w:lvlText w:val="•"/>
      <w:lvlJc w:val="left"/>
      <w:pPr>
        <w:tabs>
          <w:tab w:val="num" w:pos="6120"/>
        </w:tabs>
        <w:ind w:left="6120" w:hanging="360"/>
      </w:pPr>
      <w:rPr>
        <w:rFonts w:ascii="Arial" w:hAnsi="Arial" w:hint="default"/>
      </w:rPr>
    </w:lvl>
  </w:abstractNum>
  <w:abstractNum w:abstractNumId="6" w15:restartNumberingAfterBreak="0">
    <w:nsid w:val="6FFB3A2E"/>
    <w:multiLevelType w:val="hybridMultilevel"/>
    <w:tmpl w:val="F4448E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1">
      <w:start w:val="1"/>
      <w:numFmt w:val="bullet"/>
      <w:lvlText w:val=""/>
      <w:lvlJc w:val="left"/>
      <w:pPr>
        <w:ind w:left="3600" w:hanging="360"/>
      </w:pPr>
      <w:rPr>
        <w:rFonts w:ascii="Symbol" w:hAnsi="Symbol" w:hint="default"/>
      </w:rPr>
    </w:lvl>
    <w:lvl w:ilvl="5" w:tplc="0809000F">
      <w:start w:val="1"/>
      <w:numFmt w:val="decimal"/>
      <w:lvlText w:val="%6."/>
      <w:lvlJc w:val="left"/>
      <w:pPr>
        <w:ind w:left="4320" w:hanging="360"/>
      </w:pPr>
      <w:rPr>
        <w:rFont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6"/>
  </w:num>
  <w:num w:numId="4">
    <w:abstractNumId w:val="2"/>
  </w:num>
  <w:num w:numId="5">
    <w:abstractNumId w:val="1"/>
  </w:num>
  <w:num w:numId="6">
    <w:abstractNumId w:val="5"/>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7750"/>
    <w:rsid w:val="000005F7"/>
    <w:rsid w:val="00003479"/>
    <w:rsid w:val="000109B9"/>
    <w:rsid w:val="000225F4"/>
    <w:rsid w:val="00025FB2"/>
    <w:rsid w:val="000320FA"/>
    <w:rsid w:val="00042A03"/>
    <w:rsid w:val="00054CA7"/>
    <w:rsid w:val="000614B3"/>
    <w:rsid w:val="00062920"/>
    <w:rsid w:val="0006456A"/>
    <w:rsid w:val="0006697D"/>
    <w:rsid w:val="00070263"/>
    <w:rsid w:val="00072C7E"/>
    <w:rsid w:val="00075880"/>
    <w:rsid w:val="00075D01"/>
    <w:rsid w:val="000837A8"/>
    <w:rsid w:val="000927C2"/>
    <w:rsid w:val="00095DAA"/>
    <w:rsid w:val="000A23B0"/>
    <w:rsid w:val="000B4182"/>
    <w:rsid w:val="000C0C43"/>
    <w:rsid w:val="000C2C53"/>
    <w:rsid w:val="000C591F"/>
    <w:rsid w:val="000D0355"/>
    <w:rsid w:val="000D25DB"/>
    <w:rsid w:val="000D688B"/>
    <w:rsid w:val="000E337F"/>
    <w:rsid w:val="000E59B9"/>
    <w:rsid w:val="000E728A"/>
    <w:rsid w:val="000F67BE"/>
    <w:rsid w:val="000F7F78"/>
    <w:rsid w:val="00102A06"/>
    <w:rsid w:val="001048F3"/>
    <w:rsid w:val="001129F6"/>
    <w:rsid w:val="001145C5"/>
    <w:rsid w:val="00117421"/>
    <w:rsid w:val="001313BE"/>
    <w:rsid w:val="00151C4D"/>
    <w:rsid w:val="00152B89"/>
    <w:rsid w:val="00153292"/>
    <w:rsid w:val="001565C0"/>
    <w:rsid w:val="00161B2C"/>
    <w:rsid w:val="00163C2E"/>
    <w:rsid w:val="00165F9D"/>
    <w:rsid w:val="00167CB5"/>
    <w:rsid w:val="00173667"/>
    <w:rsid w:val="0017496B"/>
    <w:rsid w:val="001751FB"/>
    <w:rsid w:val="0018095E"/>
    <w:rsid w:val="0019048E"/>
    <w:rsid w:val="001921AA"/>
    <w:rsid w:val="001972B9"/>
    <w:rsid w:val="001B32ED"/>
    <w:rsid w:val="001C3ACD"/>
    <w:rsid w:val="001C5D87"/>
    <w:rsid w:val="001D09CC"/>
    <w:rsid w:val="001D1CE8"/>
    <w:rsid w:val="001D3581"/>
    <w:rsid w:val="001D72F6"/>
    <w:rsid w:val="001D7E6E"/>
    <w:rsid w:val="001E166C"/>
    <w:rsid w:val="00202F8B"/>
    <w:rsid w:val="00206E6A"/>
    <w:rsid w:val="00210082"/>
    <w:rsid w:val="0021230E"/>
    <w:rsid w:val="00216B9C"/>
    <w:rsid w:val="002214AF"/>
    <w:rsid w:val="00230103"/>
    <w:rsid w:val="002336AB"/>
    <w:rsid w:val="002466E6"/>
    <w:rsid w:val="00246E2E"/>
    <w:rsid w:val="00251B50"/>
    <w:rsid w:val="00253566"/>
    <w:rsid w:val="0027031D"/>
    <w:rsid w:val="00276044"/>
    <w:rsid w:val="00276F66"/>
    <w:rsid w:val="0028488D"/>
    <w:rsid w:val="002853BE"/>
    <w:rsid w:val="0028544C"/>
    <w:rsid w:val="0029329C"/>
    <w:rsid w:val="00294F08"/>
    <w:rsid w:val="00297BE1"/>
    <w:rsid w:val="002B7788"/>
    <w:rsid w:val="002C161E"/>
    <w:rsid w:val="002C342D"/>
    <w:rsid w:val="002C5343"/>
    <w:rsid w:val="002D2520"/>
    <w:rsid w:val="002D3E84"/>
    <w:rsid w:val="002F0F7C"/>
    <w:rsid w:val="002F20FE"/>
    <w:rsid w:val="002F3B21"/>
    <w:rsid w:val="002F5495"/>
    <w:rsid w:val="003148F0"/>
    <w:rsid w:val="003156F8"/>
    <w:rsid w:val="00315EE4"/>
    <w:rsid w:val="0031749B"/>
    <w:rsid w:val="00321194"/>
    <w:rsid w:val="00324C1A"/>
    <w:rsid w:val="00327A37"/>
    <w:rsid w:val="0033106A"/>
    <w:rsid w:val="00336164"/>
    <w:rsid w:val="003401BE"/>
    <w:rsid w:val="00340238"/>
    <w:rsid w:val="0034081E"/>
    <w:rsid w:val="0034249E"/>
    <w:rsid w:val="0034319B"/>
    <w:rsid w:val="00344028"/>
    <w:rsid w:val="0034516E"/>
    <w:rsid w:val="00350DFE"/>
    <w:rsid w:val="0035182C"/>
    <w:rsid w:val="00365A44"/>
    <w:rsid w:val="003668F6"/>
    <w:rsid w:val="003670C8"/>
    <w:rsid w:val="00367901"/>
    <w:rsid w:val="00372D7B"/>
    <w:rsid w:val="00374A82"/>
    <w:rsid w:val="00377EB6"/>
    <w:rsid w:val="00380F3B"/>
    <w:rsid w:val="0039421E"/>
    <w:rsid w:val="003B0732"/>
    <w:rsid w:val="003B19DF"/>
    <w:rsid w:val="003B2889"/>
    <w:rsid w:val="003B75CB"/>
    <w:rsid w:val="003C270F"/>
    <w:rsid w:val="003C656A"/>
    <w:rsid w:val="003D4E43"/>
    <w:rsid w:val="003D4FCC"/>
    <w:rsid w:val="003D7598"/>
    <w:rsid w:val="003F0254"/>
    <w:rsid w:val="003F27F0"/>
    <w:rsid w:val="003F68DC"/>
    <w:rsid w:val="003F7727"/>
    <w:rsid w:val="004003C9"/>
    <w:rsid w:val="00400B22"/>
    <w:rsid w:val="004113FD"/>
    <w:rsid w:val="00420628"/>
    <w:rsid w:val="00421EFE"/>
    <w:rsid w:val="00425075"/>
    <w:rsid w:val="0042560B"/>
    <w:rsid w:val="00425F61"/>
    <w:rsid w:val="00426757"/>
    <w:rsid w:val="00430E87"/>
    <w:rsid w:val="00442D33"/>
    <w:rsid w:val="00442D4E"/>
    <w:rsid w:val="00442E37"/>
    <w:rsid w:val="00456B99"/>
    <w:rsid w:val="0046623B"/>
    <w:rsid w:val="00474375"/>
    <w:rsid w:val="004813B8"/>
    <w:rsid w:val="00482C71"/>
    <w:rsid w:val="0049304E"/>
    <w:rsid w:val="00493247"/>
    <w:rsid w:val="004A3BA4"/>
    <w:rsid w:val="004A5B71"/>
    <w:rsid w:val="004A75E1"/>
    <w:rsid w:val="004B1A87"/>
    <w:rsid w:val="004B2701"/>
    <w:rsid w:val="004B4E67"/>
    <w:rsid w:val="004C1C36"/>
    <w:rsid w:val="004D1BEB"/>
    <w:rsid w:val="004D5616"/>
    <w:rsid w:val="004D658C"/>
    <w:rsid w:val="004E2980"/>
    <w:rsid w:val="004F3F7F"/>
    <w:rsid w:val="004F7E2B"/>
    <w:rsid w:val="005004FF"/>
    <w:rsid w:val="005032DA"/>
    <w:rsid w:val="00504269"/>
    <w:rsid w:val="0050586F"/>
    <w:rsid w:val="00510B46"/>
    <w:rsid w:val="00513055"/>
    <w:rsid w:val="00513668"/>
    <w:rsid w:val="005177BE"/>
    <w:rsid w:val="005178C0"/>
    <w:rsid w:val="00525F4C"/>
    <w:rsid w:val="00531C08"/>
    <w:rsid w:val="00541BF9"/>
    <w:rsid w:val="00544D36"/>
    <w:rsid w:val="005467B9"/>
    <w:rsid w:val="0054728F"/>
    <w:rsid w:val="0055047A"/>
    <w:rsid w:val="00550676"/>
    <w:rsid w:val="0055380E"/>
    <w:rsid w:val="005570AB"/>
    <w:rsid w:val="00567BA1"/>
    <w:rsid w:val="005740BB"/>
    <w:rsid w:val="005757B3"/>
    <w:rsid w:val="00576CB3"/>
    <w:rsid w:val="00580A4F"/>
    <w:rsid w:val="005910D4"/>
    <w:rsid w:val="00592D42"/>
    <w:rsid w:val="00593E61"/>
    <w:rsid w:val="00594449"/>
    <w:rsid w:val="005968AD"/>
    <w:rsid w:val="005A35DE"/>
    <w:rsid w:val="005B0F0B"/>
    <w:rsid w:val="005B1FD4"/>
    <w:rsid w:val="005C15E3"/>
    <w:rsid w:val="005C787F"/>
    <w:rsid w:val="005D39E6"/>
    <w:rsid w:val="005D7435"/>
    <w:rsid w:val="005E3685"/>
    <w:rsid w:val="005E5DF8"/>
    <w:rsid w:val="005E76B1"/>
    <w:rsid w:val="005F54ED"/>
    <w:rsid w:val="005F5531"/>
    <w:rsid w:val="00604584"/>
    <w:rsid w:val="0061007F"/>
    <w:rsid w:val="00611407"/>
    <w:rsid w:val="00614477"/>
    <w:rsid w:val="00623CA9"/>
    <w:rsid w:val="00632E70"/>
    <w:rsid w:val="00633A85"/>
    <w:rsid w:val="00635A2A"/>
    <w:rsid w:val="006377AB"/>
    <w:rsid w:val="00641E69"/>
    <w:rsid w:val="00645852"/>
    <w:rsid w:val="006541D6"/>
    <w:rsid w:val="00663095"/>
    <w:rsid w:val="00663C6D"/>
    <w:rsid w:val="006647BE"/>
    <w:rsid w:val="006751EF"/>
    <w:rsid w:val="00677F8D"/>
    <w:rsid w:val="00681FFC"/>
    <w:rsid w:val="006821F3"/>
    <w:rsid w:val="00683701"/>
    <w:rsid w:val="0069029B"/>
    <w:rsid w:val="00695377"/>
    <w:rsid w:val="00696C54"/>
    <w:rsid w:val="00697278"/>
    <w:rsid w:val="006A6328"/>
    <w:rsid w:val="006A65CB"/>
    <w:rsid w:val="006B2102"/>
    <w:rsid w:val="006B5C12"/>
    <w:rsid w:val="006B639C"/>
    <w:rsid w:val="006B65CD"/>
    <w:rsid w:val="006B6879"/>
    <w:rsid w:val="006B7BEB"/>
    <w:rsid w:val="006C2A50"/>
    <w:rsid w:val="006C4A51"/>
    <w:rsid w:val="006E39B5"/>
    <w:rsid w:val="006F4F07"/>
    <w:rsid w:val="007041E1"/>
    <w:rsid w:val="00712E1F"/>
    <w:rsid w:val="0071467C"/>
    <w:rsid w:val="0071711E"/>
    <w:rsid w:val="00720204"/>
    <w:rsid w:val="00727026"/>
    <w:rsid w:val="00730E86"/>
    <w:rsid w:val="00744720"/>
    <w:rsid w:val="00750509"/>
    <w:rsid w:val="0075728D"/>
    <w:rsid w:val="00762739"/>
    <w:rsid w:val="00766396"/>
    <w:rsid w:val="00775895"/>
    <w:rsid w:val="00775993"/>
    <w:rsid w:val="0077683C"/>
    <w:rsid w:val="00776A72"/>
    <w:rsid w:val="00777BAA"/>
    <w:rsid w:val="00782D72"/>
    <w:rsid w:val="0078394F"/>
    <w:rsid w:val="007869DB"/>
    <w:rsid w:val="007905B0"/>
    <w:rsid w:val="007951AE"/>
    <w:rsid w:val="0079787B"/>
    <w:rsid w:val="007A1D42"/>
    <w:rsid w:val="007A3DFD"/>
    <w:rsid w:val="007A57DB"/>
    <w:rsid w:val="007A7F97"/>
    <w:rsid w:val="007B24A1"/>
    <w:rsid w:val="007C2326"/>
    <w:rsid w:val="007C2EE3"/>
    <w:rsid w:val="007C477B"/>
    <w:rsid w:val="007C5B32"/>
    <w:rsid w:val="007C6259"/>
    <w:rsid w:val="007D0322"/>
    <w:rsid w:val="007D4876"/>
    <w:rsid w:val="007D5F68"/>
    <w:rsid w:val="007F19C9"/>
    <w:rsid w:val="007F6223"/>
    <w:rsid w:val="007F6D3B"/>
    <w:rsid w:val="007F6F3F"/>
    <w:rsid w:val="00814205"/>
    <w:rsid w:val="00817FD9"/>
    <w:rsid w:val="00821831"/>
    <w:rsid w:val="008337AF"/>
    <w:rsid w:val="0084261D"/>
    <w:rsid w:val="00843AFA"/>
    <w:rsid w:val="00846BEF"/>
    <w:rsid w:val="008615AF"/>
    <w:rsid w:val="008656D6"/>
    <w:rsid w:val="0087375F"/>
    <w:rsid w:val="0088037D"/>
    <w:rsid w:val="00883C76"/>
    <w:rsid w:val="00891462"/>
    <w:rsid w:val="00892EAF"/>
    <w:rsid w:val="00895F9A"/>
    <w:rsid w:val="00897750"/>
    <w:rsid w:val="008A1184"/>
    <w:rsid w:val="008A2739"/>
    <w:rsid w:val="008A4602"/>
    <w:rsid w:val="008A6147"/>
    <w:rsid w:val="008A699C"/>
    <w:rsid w:val="008A6D82"/>
    <w:rsid w:val="008B25F3"/>
    <w:rsid w:val="008B2A6B"/>
    <w:rsid w:val="008B2EA9"/>
    <w:rsid w:val="008B3127"/>
    <w:rsid w:val="008B32AE"/>
    <w:rsid w:val="008B5F31"/>
    <w:rsid w:val="008C12D2"/>
    <w:rsid w:val="008C144E"/>
    <w:rsid w:val="008D34AC"/>
    <w:rsid w:val="008E1997"/>
    <w:rsid w:val="008E4C74"/>
    <w:rsid w:val="008F64EB"/>
    <w:rsid w:val="00905890"/>
    <w:rsid w:val="009062ED"/>
    <w:rsid w:val="00927333"/>
    <w:rsid w:val="009334FA"/>
    <w:rsid w:val="00940B28"/>
    <w:rsid w:val="0094416E"/>
    <w:rsid w:val="009444DE"/>
    <w:rsid w:val="00954123"/>
    <w:rsid w:val="00955C68"/>
    <w:rsid w:val="00956C67"/>
    <w:rsid w:val="00960B22"/>
    <w:rsid w:val="009644C6"/>
    <w:rsid w:val="009769FE"/>
    <w:rsid w:val="009824B5"/>
    <w:rsid w:val="0098590E"/>
    <w:rsid w:val="00985F26"/>
    <w:rsid w:val="009903F6"/>
    <w:rsid w:val="009A281A"/>
    <w:rsid w:val="009B2432"/>
    <w:rsid w:val="009B3DFB"/>
    <w:rsid w:val="009B4EC5"/>
    <w:rsid w:val="009C30CB"/>
    <w:rsid w:val="009C59C0"/>
    <w:rsid w:val="009D0702"/>
    <w:rsid w:val="009D0A63"/>
    <w:rsid w:val="009D59A1"/>
    <w:rsid w:val="009E0F80"/>
    <w:rsid w:val="00A031A2"/>
    <w:rsid w:val="00A110AD"/>
    <w:rsid w:val="00A124F8"/>
    <w:rsid w:val="00A15AC2"/>
    <w:rsid w:val="00A15D3D"/>
    <w:rsid w:val="00A176E0"/>
    <w:rsid w:val="00A25C2D"/>
    <w:rsid w:val="00A317C0"/>
    <w:rsid w:val="00A425A0"/>
    <w:rsid w:val="00A4702A"/>
    <w:rsid w:val="00A5096E"/>
    <w:rsid w:val="00A51315"/>
    <w:rsid w:val="00A51B8B"/>
    <w:rsid w:val="00A561FD"/>
    <w:rsid w:val="00A57E41"/>
    <w:rsid w:val="00A61384"/>
    <w:rsid w:val="00A65953"/>
    <w:rsid w:val="00A7511B"/>
    <w:rsid w:val="00A801AF"/>
    <w:rsid w:val="00A82348"/>
    <w:rsid w:val="00A82D89"/>
    <w:rsid w:val="00A9440D"/>
    <w:rsid w:val="00AA252A"/>
    <w:rsid w:val="00AA2CA2"/>
    <w:rsid w:val="00AC04CA"/>
    <w:rsid w:val="00AC5D0B"/>
    <w:rsid w:val="00AC7621"/>
    <w:rsid w:val="00AD478D"/>
    <w:rsid w:val="00AD5581"/>
    <w:rsid w:val="00AD6424"/>
    <w:rsid w:val="00AD649E"/>
    <w:rsid w:val="00AD68E4"/>
    <w:rsid w:val="00AF1971"/>
    <w:rsid w:val="00AF44E4"/>
    <w:rsid w:val="00B00F24"/>
    <w:rsid w:val="00B040F4"/>
    <w:rsid w:val="00B068AA"/>
    <w:rsid w:val="00B10F52"/>
    <w:rsid w:val="00B11DF5"/>
    <w:rsid w:val="00B11FCA"/>
    <w:rsid w:val="00B12F8F"/>
    <w:rsid w:val="00B13C2B"/>
    <w:rsid w:val="00B14E67"/>
    <w:rsid w:val="00B1731B"/>
    <w:rsid w:val="00B22B14"/>
    <w:rsid w:val="00B22C91"/>
    <w:rsid w:val="00B250FA"/>
    <w:rsid w:val="00B26E65"/>
    <w:rsid w:val="00B31CEC"/>
    <w:rsid w:val="00B32BF1"/>
    <w:rsid w:val="00B36897"/>
    <w:rsid w:val="00B416DC"/>
    <w:rsid w:val="00B44B6C"/>
    <w:rsid w:val="00B52164"/>
    <w:rsid w:val="00B565F9"/>
    <w:rsid w:val="00B66A39"/>
    <w:rsid w:val="00B66F1D"/>
    <w:rsid w:val="00B67ACE"/>
    <w:rsid w:val="00B81E3F"/>
    <w:rsid w:val="00B825AC"/>
    <w:rsid w:val="00B933C3"/>
    <w:rsid w:val="00B95483"/>
    <w:rsid w:val="00B96BD7"/>
    <w:rsid w:val="00BA0457"/>
    <w:rsid w:val="00BA510F"/>
    <w:rsid w:val="00BA70DD"/>
    <w:rsid w:val="00BB0F35"/>
    <w:rsid w:val="00BC18E2"/>
    <w:rsid w:val="00BC2DF3"/>
    <w:rsid w:val="00BD10D0"/>
    <w:rsid w:val="00BD736F"/>
    <w:rsid w:val="00BE0CEE"/>
    <w:rsid w:val="00BE260F"/>
    <w:rsid w:val="00BF2D40"/>
    <w:rsid w:val="00BF5A37"/>
    <w:rsid w:val="00BF5FF0"/>
    <w:rsid w:val="00C03724"/>
    <w:rsid w:val="00C06BD4"/>
    <w:rsid w:val="00C1458B"/>
    <w:rsid w:val="00C1699F"/>
    <w:rsid w:val="00C218DB"/>
    <w:rsid w:val="00C25EE3"/>
    <w:rsid w:val="00C413F7"/>
    <w:rsid w:val="00C425E5"/>
    <w:rsid w:val="00C47D1F"/>
    <w:rsid w:val="00C5083E"/>
    <w:rsid w:val="00C5138B"/>
    <w:rsid w:val="00C529F7"/>
    <w:rsid w:val="00C541C9"/>
    <w:rsid w:val="00C57916"/>
    <w:rsid w:val="00C61914"/>
    <w:rsid w:val="00C61FE8"/>
    <w:rsid w:val="00C73AEE"/>
    <w:rsid w:val="00C80BFB"/>
    <w:rsid w:val="00C87514"/>
    <w:rsid w:val="00C93158"/>
    <w:rsid w:val="00CA5ADE"/>
    <w:rsid w:val="00CA77F9"/>
    <w:rsid w:val="00CB1520"/>
    <w:rsid w:val="00CC0813"/>
    <w:rsid w:val="00CC1DE8"/>
    <w:rsid w:val="00CC4F14"/>
    <w:rsid w:val="00CC7E66"/>
    <w:rsid w:val="00CD3DE2"/>
    <w:rsid w:val="00CD5A6B"/>
    <w:rsid w:val="00CD62C9"/>
    <w:rsid w:val="00CD6DF2"/>
    <w:rsid w:val="00CE29FD"/>
    <w:rsid w:val="00CE2E0B"/>
    <w:rsid w:val="00CE50BF"/>
    <w:rsid w:val="00CE7B5C"/>
    <w:rsid w:val="00CF1020"/>
    <w:rsid w:val="00CF624A"/>
    <w:rsid w:val="00D2547C"/>
    <w:rsid w:val="00D319F7"/>
    <w:rsid w:val="00D426FF"/>
    <w:rsid w:val="00D43ED4"/>
    <w:rsid w:val="00D4686A"/>
    <w:rsid w:val="00D50E1C"/>
    <w:rsid w:val="00D51CBD"/>
    <w:rsid w:val="00D527BA"/>
    <w:rsid w:val="00D53DBF"/>
    <w:rsid w:val="00D61AE6"/>
    <w:rsid w:val="00D62DE9"/>
    <w:rsid w:val="00D64478"/>
    <w:rsid w:val="00D731D1"/>
    <w:rsid w:val="00D741E9"/>
    <w:rsid w:val="00D80777"/>
    <w:rsid w:val="00D8691A"/>
    <w:rsid w:val="00D911E2"/>
    <w:rsid w:val="00D92C31"/>
    <w:rsid w:val="00D97E4D"/>
    <w:rsid w:val="00DB24D6"/>
    <w:rsid w:val="00DC324D"/>
    <w:rsid w:val="00DD2636"/>
    <w:rsid w:val="00DD264C"/>
    <w:rsid w:val="00DD4F82"/>
    <w:rsid w:val="00DE0DAB"/>
    <w:rsid w:val="00DE1F41"/>
    <w:rsid w:val="00DE5C02"/>
    <w:rsid w:val="00DE65B0"/>
    <w:rsid w:val="00DF34B1"/>
    <w:rsid w:val="00DF6287"/>
    <w:rsid w:val="00DF66AA"/>
    <w:rsid w:val="00E03D27"/>
    <w:rsid w:val="00E11DB2"/>
    <w:rsid w:val="00E16E35"/>
    <w:rsid w:val="00E30FB3"/>
    <w:rsid w:val="00E35B1B"/>
    <w:rsid w:val="00E37285"/>
    <w:rsid w:val="00E43BCC"/>
    <w:rsid w:val="00E4500D"/>
    <w:rsid w:val="00E450A1"/>
    <w:rsid w:val="00E4618E"/>
    <w:rsid w:val="00E47910"/>
    <w:rsid w:val="00E52785"/>
    <w:rsid w:val="00E56957"/>
    <w:rsid w:val="00E572EC"/>
    <w:rsid w:val="00E62E58"/>
    <w:rsid w:val="00E639C2"/>
    <w:rsid w:val="00E653C9"/>
    <w:rsid w:val="00E65ECD"/>
    <w:rsid w:val="00E660CC"/>
    <w:rsid w:val="00E706C0"/>
    <w:rsid w:val="00E82C27"/>
    <w:rsid w:val="00E84007"/>
    <w:rsid w:val="00E861CB"/>
    <w:rsid w:val="00E908E7"/>
    <w:rsid w:val="00E90D93"/>
    <w:rsid w:val="00E95D46"/>
    <w:rsid w:val="00E95F0F"/>
    <w:rsid w:val="00EA1643"/>
    <w:rsid w:val="00EA48C9"/>
    <w:rsid w:val="00EB432B"/>
    <w:rsid w:val="00EB7D90"/>
    <w:rsid w:val="00EC02E9"/>
    <w:rsid w:val="00EC410A"/>
    <w:rsid w:val="00EC49B8"/>
    <w:rsid w:val="00EE0342"/>
    <w:rsid w:val="00EF000E"/>
    <w:rsid w:val="00EF6A71"/>
    <w:rsid w:val="00F02A58"/>
    <w:rsid w:val="00F13E10"/>
    <w:rsid w:val="00F1550B"/>
    <w:rsid w:val="00F16E4B"/>
    <w:rsid w:val="00F24F2E"/>
    <w:rsid w:val="00F30F58"/>
    <w:rsid w:val="00F313A9"/>
    <w:rsid w:val="00F314A0"/>
    <w:rsid w:val="00F4618D"/>
    <w:rsid w:val="00F52221"/>
    <w:rsid w:val="00F53295"/>
    <w:rsid w:val="00F535BF"/>
    <w:rsid w:val="00F7144E"/>
    <w:rsid w:val="00F720F2"/>
    <w:rsid w:val="00F72814"/>
    <w:rsid w:val="00F75DB1"/>
    <w:rsid w:val="00F771D6"/>
    <w:rsid w:val="00F8286C"/>
    <w:rsid w:val="00F82870"/>
    <w:rsid w:val="00F86132"/>
    <w:rsid w:val="00F93E75"/>
    <w:rsid w:val="00FA23E7"/>
    <w:rsid w:val="00FA6A56"/>
    <w:rsid w:val="00FA7771"/>
    <w:rsid w:val="00FB4738"/>
    <w:rsid w:val="00FC1189"/>
    <w:rsid w:val="00FC781F"/>
    <w:rsid w:val="00FC7A9E"/>
    <w:rsid w:val="00FD577E"/>
    <w:rsid w:val="00FD6582"/>
    <w:rsid w:val="00FD72E4"/>
    <w:rsid w:val="00FF1EF8"/>
    <w:rsid w:val="00FF4855"/>
    <w:rsid w:val="00FF51AD"/>
    <w:rsid w:val="00FF7AC5"/>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3C0DEF6"/>
  <w15:docId w15:val="{F7160489-A32D-4CAA-B7A9-9AD8170F36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7750"/>
  </w:style>
  <w:style w:type="paragraph" w:styleId="Heading1">
    <w:name w:val="heading 1"/>
    <w:basedOn w:val="Normal"/>
    <w:next w:val="Normal"/>
    <w:link w:val="Heading1Char"/>
    <w:autoRedefine/>
    <w:uiPriority w:val="9"/>
    <w:qFormat/>
    <w:rsid w:val="008A6D82"/>
    <w:pPr>
      <w:keepNext/>
      <w:keepLines/>
      <w:spacing w:before="240" w:after="240" w:line="360" w:lineRule="auto"/>
      <w:outlineLvl w:val="0"/>
    </w:pPr>
    <w:rPr>
      <w:rFonts w:ascii="Arial" w:eastAsiaTheme="majorEastAsia" w:hAnsi="Arial" w:cstheme="majorBidi"/>
      <w:b/>
      <w:sz w:val="40"/>
      <w:szCs w:val="32"/>
      <w:lang w:eastAsia="zh-CN"/>
    </w:rPr>
  </w:style>
  <w:style w:type="paragraph" w:styleId="Heading2">
    <w:name w:val="heading 2"/>
    <w:basedOn w:val="Normal"/>
    <w:next w:val="Normal"/>
    <w:link w:val="Heading2Char"/>
    <w:autoRedefine/>
    <w:uiPriority w:val="9"/>
    <w:unhideWhenUsed/>
    <w:qFormat/>
    <w:rsid w:val="008A6D82"/>
    <w:pPr>
      <w:keepNext/>
      <w:keepLines/>
      <w:spacing w:before="120" w:line="240" w:lineRule="auto"/>
      <w:outlineLvl w:val="1"/>
    </w:pPr>
    <w:rPr>
      <w:rFonts w:ascii="Arial" w:eastAsiaTheme="majorEastAsia" w:hAnsi="Arial" w:cs="Arial"/>
      <w:b/>
      <w:sz w:val="24"/>
      <w:szCs w:val="20"/>
      <w:lang w:eastAsia="zh-CN"/>
    </w:rPr>
  </w:style>
  <w:style w:type="paragraph" w:styleId="Heading3">
    <w:name w:val="heading 3"/>
    <w:basedOn w:val="Normal"/>
    <w:next w:val="Normal"/>
    <w:link w:val="Heading3Char"/>
    <w:uiPriority w:val="9"/>
    <w:unhideWhenUsed/>
    <w:qFormat/>
    <w:rsid w:val="008A6D82"/>
    <w:pPr>
      <w:keepNext/>
      <w:keepLines/>
      <w:spacing w:before="40" w:after="240"/>
      <w:outlineLvl w:val="2"/>
    </w:pPr>
    <w:rPr>
      <w:rFonts w:ascii="Arial" w:eastAsiaTheme="majorEastAsia" w:hAnsi="Arial" w:cstheme="majorBidi"/>
      <w:b/>
      <w:sz w:val="24"/>
      <w:szCs w:val="24"/>
    </w:rPr>
  </w:style>
  <w:style w:type="paragraph" w:styleId="Heading4">
    <w:name w:val="heading 4"/>
    <w:basedOn w:val="Normal"/>
    <w:next w:val="Normal"/>
    <w:link w:val="Heading4Char"/>
    <w:uiPriority w:val="9"/>
    <w:unhideWhenUsed/>
    <w:qFormat/>
    <w:rsid w:val="00D911E2"/>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A6D82"/>
    <w:rPr>
      <w:rFonts w:ascii="Arial" w:eastAsiaTheme="majorEastAsia" w:hAnsi="Arial" w:cstheme="majorBidi"/>
      <w:b/>
      <w:sz w:val="40"/>
      <w:szCs w:val="32"/>
      <w:lang w:eastAsia="zh-CN"/>
    </w:rPr>
  </w:style>
  <w:style w:type="character" w:customStyle="1" w:styleId="Heading2Char">
    <w:name w:val="Heading 2 Char"/>
    <w:basedOn w:val="DefaultParagraphFont"/>
    <w:link w:val="Heading2"/>
    <w:uiPriority w:val="9"/>
    <w:rsid w:val="008A6D82"/>
    <w:rPr>
      <w:rFonts w:ascii="Arial" w:eastAsiaTheme="majorEastAsia" w:hAnsi="Arial" w:cs="Arial"/>
      <w:b/>
      <w:sz w:val="24"/>
      <w:szCs w:val="20"/>
      <w:lang w:eastAsia="zh-CN"/>
    </w:rPr>
  </w:style>
  <w:style w:type="character" w:customStyle="1" w:styleId="Heading3Char">
    <w:name w:val="Heading 3 Char"/>
    <w:basedOn w:val="DefaultParagraphFont"/>
    <w:link w:val="Heading3"/>
    <w:uiPriority w:val="9"/>
    <w:rsid w:val="008A6D82"/>
    <w:rPr>
      <w:rFonts w:ascii="Arial" w:eastAsiaTheme="majorEastAsia" w:hAnsi="Arial" w:cstheme="majorBidi"/>
      <w:b/>
      <w:sz w:val="24"/>
      <w:szCs w:val="24"/>
    </w:rPr>
  </w:style>
  <w:style w:type="character" w:styleId="Hyperlink">
    <w:name w:val="Hyperlink"/>
    <w:basedOn w:val="DefaultParagraphFont"/>
    <w:uiPriority w:val="99"/>
    <w:unhideWhenUsed/>
    <w:rsid w:val="00897750"/>
    <w:rPr>
      <w:color w:val="0563C1" w:themeColor="hyperlink"/>
      <w:u w:val="single"/>
    </w:rPr>
  </w:style>
  <w:style w:type="character" w:styleId="CommentReference">
    <w:name w:val="annotation reference"/>
    <w:basedOn w:val="DefaultParagraphFont"/>
    <w:uiPriority w:val="99"/>
    <w:semiHidden/>
    <w:unhideWhenUsed/>
    <w:rsid w:val="00897750"/>
    <w:rPr>
      <w:sz w:val="16"/>
      <w:szCs w:val="16"/>
    </w:rPr>
  </w:style>
  <w:style w:type="paragraph" w:styleId="CommentText">
    <w:name w:val="annotation text"/>
    <w:basedOn w:val="Normal"/>
    <w:link w:val="CommentTextChar"/>
    <w:uiPriority w:val="99"/>
    <w:unhideWhenUsed/>
    <w:rsid w:val="00897750"/>
    <w:pPr>
      <w:spacing w:after="180" w:line="240" w:lineRule="auto"/>
    </w:pPr>
    <w:rPr>
      <w:rFonts w:ascii="Times New Roman" w:hAnsi="Times New Roman"/>
      <w:sz w:val="20"/>
      <w:szCs w:val="20"/>
    </w:rPr>
  </w:style>
  <w:style w:type="character" w:customStyle="1" w:styleId="CommentTextChar">
    <w:name w:val="Comment Text Char"/>
    <w:basedOn w:val="DefaultParagraphFont"/>
    <w:link w:val="CommentText"/>
    <w:uiPriority w:val="99"/>
    <w:rsid w:val="00897750"/>
    <w:rPr>
      <w:rFonts w:ascii="Times New Roman" w:hAnsi="Times New Roman"/>
      <w:sz w:val="20"/>
      <w:szCs w:val="20"/>
    </w:rPr>
  </w:style>
  <w:style w:type="paragraph" w:styleId="BalloonText">
    <w:name w:val="Balloon Text"/>
    <w:basedOn w:val="Normal"/>
    <w:link w:val="BalloonTextChar"/>
    <w:uiPriority w:val="99"/>
    <w:semiHidden/>
    <w:unhideWhenUsed/>
    <w:rsid w:val="008977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7750"/>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897750"/>
    <w:pPr>
      <w:spacing w:after="160"/>
    </w:pPr>
    <w:rPr>
      <w:rFonts w:asciiTheme="minorHAnsi" w:hAnsiTheme="minorHAnsi"/>
      <w:b/>
      <w:bCs/>
    </w:rPr>
  </w:style>
  <w:style w:type="character" w:customStyle="1" w:styleId="CommentSubjectChar">
    <w:name w:val="Comment Subject Char"/>
    <w:basedOn w:val="CommentTextChar"/>
    <w:link w:val="CommentSubject"/>
    <w:uiPriority w:val="99"/>
    <w:semiHidden/>
    <w:rsid w:val="00897750"/>
    <w:rPr>
      <w:rFonts w:ascii="Times New Roman" w:hAnsi="Times New Roman"/>
      <w:b/>
      <w:bCs/>
      <w:sz w:val="20"/>
      <w:szCs w:val="20"/>
    </w:rPr>
  </w:style>
  <w:style w:type="paragraph" w:styleId="NormalWeb">
    <w:name w:val="Normal (Web)"/>
    <w:basedOn w:val="Normal"/>
    <w:uiPriority w:val="99"/>
    <w:unhideWhenUsed/>
    <w:rsid w:val="00897750"/>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ListParagraph">
    <w:name w:val="List Paragraph"/>
    <w:basedOn w:val="Normal"/>
    <w:uiPriority w:val="34"/>
    <w:qFormat/>
    <w:rsid w:val="00897750"/>
    <w:pPr>
      <w:spacing w:after="180" w:line="480" w:lineRule="auto"/>
      <w:ind w:left="720"/>
      <w:contextualSpacing/>
    </w:pPr>
    <w:rPr>
      <w:rFonts w:ascii="Times New Roman" w:hAnsi="Times New Roman"/>
      <w:sz w:val="24"/>
    </w:rPr>
  </w:style>
  <w:style w:type="table" w:styleId="TableGrid">
    <w:name w:val="Table Grid"/>
    <w:basedOn w:val="TableNormal"/>
    <w:uiPriority w:val="39"/>
    <w:rsid w:val="00BF5A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D911E2"/>
    <w:rPr>
      <w:rFonts w:asciiTheme="majorHAnsi" w:eastAsiaTheme="majorEastAsia" w:hAnsiTheme="majorHAnsi" w:cstheme="majorBidi"/>
      <w:i/>
      <w:iCs/>
      <w:color w:val="2E74B5" w:themeColor="accent1" w:themeShade="BF"/>
    </w:rPr>
  </w:style>
  <w:style w:type="paragraph" w:customStyle="1" w:styleId="Tableheading">
    <w:name w:val="Table heading"/>
    <w:basedOn w:val="Normal"/>
    <w:uiPriority w:val="99"/>
    <w:qFormat/>
    <w:rsid w:val="00D911E2"/>
    <w:pPr>
      <w:spacing w:before="240" w:after="120" w:line="240" w:lineRule="auto"/>
    </w:pPr>
    <w:rPr>
      <w:rFonts w:ascii="Arial" w:eastAsiaTheme="minorEastAsia" w:hAnsi="Arial"/>
      <w:bCs/>
      <w:sz w:val="20"/>
      <w:lang w:eastAsia="en-GB"/>
    </w:rPr>
  </w:style>
  <w:style w:type="paragraph" w:customStyle="1" w:styleId="Table">
    <w:name w:val="Table"/>
    <w:basedOn w:val="Normal"/>
    <w:qFormat/>
    <w:rsid w:val="00D911E2"/>
    <w:pPr>
      <w:spacing w:after="120" w:line="240" w:lineRule="auto"/>
    </w:pPr>
    <w:rPr>
      <w:rFonts w:asciiTheme="minorBidi" w:eastAsiaTheme="minorEastAsia" w:hAnsiTheme="minorBidi"/>
      <w:sz w:val="20"/>
      <w:lang w:eastAsia="zh-CN"/>
    </w:rPr>
  </w:style>
  <w:style w:type="paragraph" w:styleId="HTMLPreformatted">
    <w:name w:val="HTML Preformatted"/>
    <w:basedOn w:val="Normal"/>
    <w:link w:val="HTMLPreformattedChar"/>
    <w:uiPriority w:val="99"/>
    <w:semiHidden/>
    <w:unhideWhenUsed/>
    <w:rsid w:val="00C80B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C80BFB"/>
    <w:rPr>
      <w:rFonts w:ascii="Courier New" w:eastAsia="Times New Roman" w:hAnsi="Courier New" w:cs="Courier New"/>
      <w:sz w:val="20"/>
      <w:szCs w:val="20"/>
      <w:lang w:eastAsia="en-GB"/>
    </w:rPr>
  </w:style>
  <w:style w:type="character" w:customStyle="1" w:styleId="gnkrckgcmsb">
    <w:name w:val="gnkrckgcmsb"/>
    <w:basedOn w:val="DefaultParagraphFont"/>
    <w:rsid w:val="00C80BFB"/>
  </w:style>
  <w:style w:type="character" w:customStyle="1" w:styleId="gnkrckgcmrb">
    <w:name w:val="gnkrckgcmrb"/>
    <w:basedOn w:val="DefaultParagraphFont"/>
    <w:rsid w:val="00C80BFB"/>
  </w:style>
  <w:style w:type="character" w:customStyle="1" w:styleId="gnkrckgcgsb">
    <w:name w:val="gnkrckgcgsb"/>
    <w:basedOn w:val="DefaultParagraphFont"/>
    <w:rsid w:val="00C80BFB"/>
  </w:style>
  <w:style w:type="paragraph" w:styleId="Revision">
    <w:name w:val="Revision"/>
    <w:hidden/>
    <w:uiPriority w:val="99"/>
    <w:semiHidden/>
    <w:rsid w:val="00BC18E2"/>
    <w:pPr>
      <w:spacing w:after="0" w:line="240" w:lineRule="auto"/>
    </w:pPr>
  </w:style>
  <w:style w:type="paragraph" w:styleId="TOCHeading">
    <w:name w:val="TOC Heading"/>
    <w:basedOn w:val="Heading1"/>
    <w:next w:val="Normal"/>
    <w:uiPriority w:val="39"/>
    <w:unhideWhenUsed/>
    <w:qFormat/>
    <w:rsid w:val="008A699C"/>
    <w:pPr>
      <w:spacing w:after="0" w:line="259" w:lineRule="auto"/>
      <w:outlineLvl w:val="9"/>
    </w:pPr>
    <w:rPr>
      <w:rFonts w:asciiTheme="majorHAnsi" w:hAnsiTheme="majorHAnsi"/>
      <w:b w:val="0"/>
      <w:color w:val="2E74B5" w:themeColor="accent1" w:themeShade="BF"/>
      <w:lang w:val="en-US" w:eastAsia="en-US"/>
    </w:rPr>
  </w:style>
  <w:style w:type="paragraph" w:styleId="TOC1">
    <w:name w:val="toc 1"/>
    <w:basedOn w:val="Normal"/>
    <w:next w:val="Normal"/>
    <w:autoRedefine/>
    <w:uiPriority w:val="39"/>
    <w:unhideWhenUsed/>
    <w:rsid w:val="00D92C31"/>
    <w:pPr>
      <w:tabs>
        <w:tab w:val="right" w:leader="dot" w:pos="9016"/>
      </w:tabs>
      <w:spacing w:after="100"/>
    </w:pPr>
    <w:rPr>
      <w:b/>
      <w:noProof/>
    </w:rPr>
  </w:style>
  <w:style w:type="paragraph" w:styleId="TOC2">
    <w:name w:val="toc 2"/>
    <w:basedOn w:val="Normal"/>
    <w:next w:val="Normal"/>
    <w:autoRedefine/>
    <w:uiPriority w:val="39"/>
    <w:unhideWhenUsed/>
    <w:rsid w:val="008A699C"/>
    <w:pPr>
      <w:spacing w:after="100"/>
      <w:ind w:left="220"/>
    </w:pPr>
  </w:style>
  <w:style w:type="paragraph" w:styleId="TOC3">
    <w:name w:val="toc 3"/>
    <w:basedOn w:val="Normal"/>
    <w:next w:val="Normal"/>
    <w:autoRedefine/>
    <w:uiPriority w:val="39"/>
    <w:unhideWhenUsed/>
    <w:rsid w:val="008A699C"/>
    <w:pPr>
      <w:spacing w:after="100"/>
      <w:ind w:left="440"/>
    </w:pPr>
  </w:style>
  <w:style w:type="paragraph" w:styleId="Header">
    <w:name w:val="header"/>
    <w:basedOn w:val="Normal"/>
    <w:link w:val="HeaderChar"/>
    <w:uiPriority w:val="99"/>
    <w:unhideWhenUsed/>
    <w:rsid w:val="008A699C"/>
    <w:pPr>
      <w:tabs>
        <w:tab w:val="center" w:pos="4513"/>
        <w:tab w:val="right" w:pos="9026"/>
      </w:tabs>
      <w:spacing w:after="0" w:line="240" w:lineRule="auto"/>
    </w:pPr>
  </w:style>
  <w:style w:type="character" w:customStyle="1" w:styleId="HeaderChar">
    <w:name w:val="Header Char"/>
    <w:basedOn w:val="DefaultParagraphFont"/>
    <w:link w:val="Header"/>
    <w:uiPriority w:val="99"/>
    <w:rsid w:val="008A699C"/>
  </w:style>
  <w:style w:type="paragraph" w:styleId="Footer">
    <w:name w:val="footer"/>
    <w:basedOn w:val="Normal"/>
    <w:link w:val="FooterChar"/>
    <w:uiPriority w:val="99"/>
    <w:unhideWhenUsed/>
    <w:rsid w:val="008A699C"/>
    <w:pPr>
      <w:tabs>
        <w:tab w:val="center" w:pos="4513"/>
        <w:tab w:val="right" w:pos="9026"/>
      </w:tabs>
      <w:spacing w:after="0" w:line="240" w:lineRule="auto"/>
    </w:pPr>
  </w:style>
  <w:style w:type="character" w:customStyle="1" w:styleId="FooterChar">
    <w:name w:val="Footer Char"/>
    <w:basedOn w:val="DefaultParagraphFont"/>
    <w:link w:val="Footer"/>
    <w:uiPriority w:val="99"/>
    <w:rsid w:val="008A699C"/>
  </w:style>
  <w:style w:type="character" w:styleId="LineNumber">
    <w:name w:val="line number"/>
    <w:basedOn w:val="DefaultParagraphFont"/>
    <w:uiPriority w:val="99"/>
    <w:semiHidden/>
    <w:unhideWhenUsed/>
    <w:rsid w:val="00EB7D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87232">
      <w:marLeft w:val="0"/>
      <w:marRight w:val="0"/>
      <w:marTop w:val="0"/>
      <w:marBottom w:val="0"/>
      <w:divBdr>
        <w:top w:val="none" w:sz="0" w:space="0" w:color="auto"/>
        <w:left w:val="none" w:sz="0" w:space="0" w:color="auto"/>
        <w:bottom w:val="none" w:sz="0" w:space="0" w:color="auto"/>
        <w:right w:val="none" w:sz="0" w:space="0" w:color="auto"/>
      </w:divBdr>
      <w:divsChild>
        <w:div w:id="1213888190">
          <w:marLeft w:val="0"/>
          <w:marRight w:val="0"/>
          <w:marTop w:val="0"/>
          <w:marBottom w:val="0"/>
          <w:divBdr>
            <w:top w:val="none" w:sz="0" w:space="0" w:color="auto"/>
            <w:left w:val="none" w:sz="0" w:space="0" w:color="auto"/>
            <w:bottom w:val="none" w:sz="0" w:space="0" w:color="auto"/>
            <w:right w:val="none" w:sz="0" w:space="0" w:color="auto"/>
          </w:divBdr>
        </w:div>
      </w:divsChild>
    </w:div>
    <w:div w:id="20327031">
      <w:marLeft w:val="0"/>
      <w:marRight w:val="0"/>
      <w:marTop w:val="0"/>
      <w:marBottom w:val="0"/>
      <w:divBdr>
        <w:top w:val="none" w:sz="0" w:space="0" w:color="auto"/>
        <w:left w:val="none" w:sz="0" w:space="0" w:color="auto"/>
        <w:bottom w:val="none" w:sz="0" w:space="0" w:color="auto"/>
        <w:right w:val="none" w:sz="0" w:space="0" w:color="auto"/>
      </w:divBdr>
      <w:divsChild>
        <w:div w:id="14382735">
          <w:marLeft w:val="0"/>
          <w:marRight w:val="0"/>
          <w:marTop w:val="0"/>
          <w:marBottom w:val="0"/>
          <w:divBdr>
            <w:top w:val="none" w:sz="0" w:space="0" w:color="auto"/>
            <w:left w:val="none" w:sz="0" w:space="0" w:color="auto"/>
            <w:bottom w:val="none" w:sz="0" w:space="0" w:color="auto"/>
            <w:right w:val="none" w:sz="0" w:space="0" w:color="auto"/>
          </w:divBdr>
        </w:div>
      </w:divsChild>
    </w:div>
    <w:div w:id="45226080">
      <w:marLeft w:val="0"/>
      <w:marRight w:val="0"/>
      <w:marTop w:val="0"/>
      <w:marBottom w:val="0"/>
      <w:divBdr>
        <w:top w:val="none" w:sz="0" w:space="0" w:color="auto"/>
        <w:left w:val="none" w:sz="0" w:space="0" w:color="auto"/>
        <w:bottom w:val="none" w:sz="0" w:space="0" w:color="auto"/>
        <w:right w:val="none" w:sz="0" w:space="0" w:color="auto"/>
      </w:divBdr>
      <w:divsChild>
        <w:div w:id="540627473">
          <w:marLeft w:val="0"/>
          <w:marRight w:val="0"/>
          <w:marTop w:val="0"/>
          <w:marBottom w:val="0"/>
          <w:divBdr>
            <w:top w:val="none" w:sz="0" w:space="0" w:color="auto"/>
            <w:left w:val="none" w:sz="0" w:space="0" w:color="auto"/>
            <w:bottom w:val="none" w:sz="0" w:space="0" w:color="auto"/>
            <w:right w:val="none" w:sz="0" w:space="0" w:color="auto"/>
          </w:divBdr>
        </w:div>
      </w:divsChild>
    </w:div>
    <w:div w:id="71631022">
      <w:bodyDiv w:val="1"/>
      <w:marLeft w:val="0"/>
      <w:marRight w:val="0"/>
      <w:marTop w:val="0"/>
      <w:marBottom w:val="0"/>
      <w:divBdr>
        <w:top w:val="none" w:sz="0" w:space="0" w:color="auto"/>
        <w:left w:val="none" w:sz="0" w:space="0" w:color="auto"/>
        <w:bottom w:val="none" w:sz="0" w:space="0" w:color="auto"/>
        <w:right w:val="none" w:sz="0" w:space="0" w:color="auto"/>
      </w:divBdr>
    </w:div>
    <w:div w:id="75786779">
      <w:bodyDiv w:val="1"/>
      <w:marLeft w:val="0"/>
      <w:marRight w:val="0"/>
      <w:marTop w:val="0"/>
      <w:marBottom w:val="0"/>
      <w:divBdr>
        <w:top w:val="none" w:sz="0" w:space="0" w:color="auto"/>
        <w:left w:val="none" w:sz="0" w:space="0" w:color="auto"/>
        <w:bottom w:val="none" w:sz="0" w:space="0" w:color="auto"/>
        <w:right w:val="none" w:sz="0" w:space="0" w:color="auto"/>
      </w:divBdr>
    </w:div>
    <w:div w:id="102654934">
      <w:marLeft w:val="0"/>
      <w:marRight w:val="0"/>
      <w:marTop w:val="0"/>
      <w:marBottom w:val="0"/>
      <w:divBdr>
        <w:top w:val="none" w:sz="0" w:space="0" w:color="auto"/>
        <w:left w:val="none" w:sz="0" w:space="0" w:color="auto"/>
        <w:bottom w:val="none" w:sz="0" w:space="0" w:color="auto"/>
        <w:right w:val="none" w:sz="0" w:space="0" w:color="auto"/>
      </w:divBdr>
      <w:divsChild>
        <w:div w:id="1368600903">
          <w:marLeft w:val="0"/>
          <w:marRight w:val="0"/>
          <w:marTop w:val="0"/>
          <w:marBottom w:val="0"/>
          <w:divBdr>
            <w:top w:val="none" w:sz="0" w:space="0" w:color="auto"/>
            <w:left w:val="none" w:sz="0" w:space="0" w:color="auto"/>
            <w:bottom w:val="none" w:sz="0" w:space="0" w:color="auto"/>
            <w:right w:val="none" w:sz="0" w:space="0" w:color="auto"/>
          </w:divBdr>
        </w:div>
      </w:divsChild>
    </w:div>
    <w:div w:id="126246054">
      <w:marLeft w:val="0"/>
      <w:marRight w:val="0"/>
      <w:marTop w:val="0"/>
      <w:marBottom w:val="0"/>
      <w:divBdr>
        <w:top w:val="none" w:sz="0" w:space="0" w:color="auto"/>
        <w:left w:val="none" w:sz="0" w:space="0" w:color="auto"/>
        <w:bottom w:val="none" w:sz="0" w:space="0" w:color="auto"/>
        <w:right w:val="none" w:sz="0" w:space="0" w:color="auto"/>
      </w:divBdr>
      <w:divsChild>
        <w:div w:id="279184885">
          <w:marLeft w:val="0"/>
          <w:marRight w:val="0"/>
          <w:marTop w:val="0"/>
          <w:marBottom w:val="0"/>
          <w:divBdr>
            <w:top w:val="none" w:sz="0" w:space="0" w:color="auto"/>
            <w:left w:val="none" w:sz="0" w:space="0" w:color="auto"/>
            <w:bottom w:val="none" w:sz="0" w:space="0" w:color="auto"/>
            <w:right w:val="none" w:sz="0" w:space="0" w:color="auto"/>
          </w:divBdr>
        </w:div>
      </w:divsChild>
    </w:div>
    <w:div w:id="131800318">
      <w:bodyDiv w:val="1"/>
      <w:marLeft w:val="0"/>
      <w:marRight w:val="0"/>
      <w:marTop w:val="0"/>
      <w:marBottom w:val="0"/>
      <w:divBdr>
        <w:top w:val="none" w:sz="0" w:space="0" w:color="auto"/>
        <w:left w:val="none" w:sz="0" w:space="0" w:color="auto"/>
        <w:bottom w:val="none" w:sz="0" w:space="0" w:color="auto"/>
        <w:right w:val="none" w:sz="0" w:space="0" w:color="auto"/>
      </w:divBdr>
      <w:divsChild>
        <w:div w:id="524639553">
          <w:marLeft w:val="0"/>
          <w:marRight w:val="0"/>
          <w:marTop w:val="0"/>
          <w:marBottom w:val="0"/>
          <w:divBdr>
            <w:top w:val="none" w:sz="0" w:space="0" w:color="auto"/>
            <w:left w:val="none" w:sz="0" w:space="0" w:color="auto"/>
            <w:bottom w:val="none" w:sz="0" w:space="0" w:color="auto"/>
            <w:right w:val="none" w:sz="0" w:space="0" w:color="auto"/>
          </w:divBdr>
        </w:div>
        <w:div w:id="717583587">
          <w:marLeft w:val="0"/>
          <w:marRight w:val="0"/>
          <w:marTop w:val="0"/>
          <w:marBottom w:val="0"/>
          <w:divBdr>
            <w:top w:val="none" w:sz="0" w:space="0" w:color="auto"/>
            <w:left w:val="none" w:sz="0" w:space="0" w:color="auto"/>
            <w:bottom w:val="none" w:sz="0" w:space="0" w:color="auto"/>
            <w:right w:val="none" w:sz="0" w:space="0" w:color="auto"/>
          </w:divBdr>
        </w:div>
        <w:div w:id="1032532122">
          <w:marLeft w:val="0"/>
          <w:marRight w:val="0"/>
          <w:marTop w:val="0"/>
          <w:marBottom w:val="0"/>
          <w:divBdr>
            <w:top w:val="none" w:sz="0" w:space="0" w:color="auto"/>
            <w:left w:val="none" w:sz="0" w:space="0" w:color="auto"/>
            <w:bottom w:val="none" w:sz="0" w:space="0" w:color="auto"/>
            <w:right w:val="none" w:sz="0" w:space="0" w:color="auto"/>
          </w:divBdr>
        </w:div>
        <w:div w:id="1451777296">
          <w:marLeft w:val="0"/>
          <w:marRight w:val="0"/>
          <w:marTop w:val="0"/>
          <w:marBottom w:val="0"/>
          <w:divBdr>
            <w:top w:val="none" w:sz="0" w:space="0" w:color="auto"/>
            <w:left w:val="none" w:sz="0" w:space="0" w:color="auto"/>
            <w:bottom w:val="none" w:sz="0" w:space="0" w:color="auto"/>
            <w:right w:val="none" w:sz="0" w:space="0" w:color="auto"/>
          </w:divBdr>
        </w:div>
        <w:div w:id="1664580445">
          <w:marLeft w:val="0"/>
          <w:marRight w:val="0"/>
          <w:marTop w:val="0"/>
          <w:marBottom w:val="0"/>
          <w:divBdr>
            <w:top w:val="none" w:sz="0" w:space="0" w:color="auto"/>
            <w:left w:val="none" w:sz="0" w:space="0" w:color="auto"/>
            <w:bottom w:val="none" w:sz="0" w:space="0" w:color="auto"/>
            <w:right w:val="none" w:sz="0" w:space="0" w:color="auto"/>
          </w:divBdr>
        </w:div>
        <w:div w:id="2131629012">
          <w:marLeft w:val="0"/>
          <w:marRight w:val="0"/>
          <w:marTop w:val="0"/>
          <w:marBottom w:val="0"/>
          <w:divBdr>
            <w:top w:val="none" w:sz="0" w:space="0" w:color="auto"/>
            <w:left w:val="none" w:sz="0" w:space="0" w:color="auto"/>
            <w:bottom w:val="none" w:sz="0" w:space="0" w:color="auto"/>
            <w:right w:val="none" w:sz="0" w:space="0" w:color="auto"/>
          </w:divBdr>
        </w:div>
      </w:divsChild>
    </w:div>
    <w:div w:id="150562087">
      <w:marLeft w:val="0"/>
      <w:marRight w:val="0"/>
      <w:marTop w:val="0"/>
      <w:marBottom w:val="0"/>
      <w:divBdr>
        <w:top w:val="none" w:sz="0" w:space="0" w:color="auto"/>
        <w:left w:val="none" w:sz="0" w:space="0" w:color="auto"/>
        <w:bottom w:val="none" w:sz="0" w:space="0" w:color="auto"/>
        <w:right w:val="none" w:sz="0" w:space="0" w:color="auto"/>
      </w:divBdr>
      <w:divsChild>
        <w:div w:id="949508306">
          <w:marLeft w:val="0"/>
          <w:marRight w:val="0"/>
          <w:marTop w:val="0"/>
          <w:marBottom w:val="0"/>
          <w:divBdr>
            <w:top w:val="none" w:sz="0" w:space="0" w:color="auto"/>
            <w:left w:val="none" w:sz="0" w:space="0" w:color="auto"/>
            <w:bottom w:val="none" w:sz="0" w:space="0" w:color="auto"/>
            <w:right w:val="none" w:sz="0" w:space="0" w:color="auto"/>
          </w:divBdr>
        </w:div>
      </w:divsChild>
    </w:div>
    <w:div w:id="152843055">
      <w:bodyDiv w:val="1"/>
      <w:marLeft w:val="0"/>
      <w:marRight w:val="0"/>
      <w:marTop w:val="0"/>
      <w:marBottom w:val="0"/>
      <w:divBdr>
        <w:top w:val="none" w:sz="0" w:space="0" w:color="auto"/>
        <w:left w:val="none" w:sz="0" w:space="0" w:color="auto"/>
        <w:bottom w:val="none" w:sz="0" w:space="0" w:color="auto"/>
        <w:right w:val="none" w:sz="0" w:space="0" w:color="auto"/>
      </w:divBdr>
    </w:div>
    <w:div w:id="206187656">
      <w:marLeft w:val="0"/>
      <w:marRight w:val="0"/>
      <w:marTop w:val="0"/>
      <w:marBottom w:val="0"/>
      <w:divBdr>
        <w:top w:val="none" w:sz="0" w:space="0" w:color="auto"/>
        <w:left w:val="none" w:sz="0" w:space="0" w:color="auto"/>
        <w:bottom w:val="none" w:sz="0" w:space="0" w:color="auto"/>
        <w:right w:val="none" w:sz="0" w:space="0" w:color="auto"/>
      </w:divBdr>
      <w:divsChild>
        <w:div w:id="1671055402">
          <w:marLeft w:val="0"/>
          <w:marRight w:val="0"/>
          <w:marTop w:val="0"/>
          <w:marBottom w:val="0"/>
          <w:divBdr>
            <w:top w:val="none" w:sz="0" w:space="0" w:color="auto"/>
            <w:left w:val="none" w:sz="0" w:space="0" w:color="auto"/>
            <w:bottom w:val="none" w:sz="0" w:space="0" w:color="auto"/>
            <w:right w:val="none" w:sz="0" w:space="0" w:color="auto"/>
          </w:divBdr>
        </w:div>
      </w:divsChild>
    </w:div>
    <w:div w:id="246422155">
      <w:marLeft w:val="0"/>
      <w:marRight w:val="0"/>
      <w:marTop w:val="0"/>
      <w:marBottom w:val="0"/>
      <w:divBdr>
        <w:top w:val="none" w:sz="0" w:space="0" w:color="auto"/>
        <w:left w:val="none" w:sz="0" w:space="0" w:color="auto"/>
        <w:bottom w:val="none" w:sz="0" w:space="0" w:color="auto"/>
        <w:right w:val="none" w:sz="0" w:space="0" w:color="auto"/>
      </w:divBdr>
      <w:divsChild>
        <w:div w:id="1445005249">
          <w:marLeft w:val="0"/>
          <w:marRight w:val="0"/>
          <w:marTop w:val="0"/>
          <w:marBottom w:val="0"/>
          <w:divBdr>
            <w:top w:val="none" w:sz="0" w:space="0" w:color="auto"/>
            <w:left w:val="none" w:sz="0" w:space="0" w:color="auto"/>
            <w:bottom w:val="none" w:sz="0" w:space="0" w:color="auto"/>
            <w:right w:val="none" w:sz="0" w:space="0" w:color="auto"/>
          </w:divBdr>
        </w:div>
      </w:divsChild>
    </w:div>
    <w:div w:id="350645583">
      <w:marLeft w:val="0"/>
      <w:marRight w:val="0"/>
      <w:marTop w:val="0"/>
      <w:marBottom w:val="0"/>
      <w:divBdr>
        <w:top w:val="none" w:sz="0" w:space="0" w:color="auto"/>
        <w:left w:val="none" w:sz="0" w:space="0" w:color="auto"/>
        <w:bottom w:val="none" w:sz="0" w:space="0" w:color="auto"/>
        <w:right w:val="none" w:sz="0" w:space="0" w:color="auto"/>
      </w:divBdr>
      <w:divsChild>
        <w:div w:id="841631112">
          <w:marLeft w:val="0"/>
          <w:marRight w:val="0"/>
          <w:marTop w:val="0"/>
          <w:marBottom w:val="0"/>
          <w:divBdr>
            <w:top w:val="none" w:sz="0" w:space="0" w:color="auto"/>
            <w:left w:val="none" w:sz="0" w:space="0" w:color="auto"/>
            <w:bottom w:val="none" w:sz="0" w:space="0" w:color="auto"/>
            <w:right w:val="none" w:sz="0" w:space="0" w:color="auto"/>
          </w:divBdr>
        </w:div>
      </w:divsChild>
    </w:div>
    <w:div w:id="353190853">
      <w:marLeft w:val="0"/>
      <w:marRight w:val="0"/>
      <w:marTop w:val="0"/>
      <w:marBottom w:val="0"/>
      <w:divBdr>
        <w:top w:val="none" w:sz="0" w:space="0" w:color="auto"/>
        <w:left w:val="none" w:sz="0" w:space="0" w:color="auto"/>
        <w:bottom w:val="none" w:sz="0" w:space="0" w:color="auto"/>
        <w:right w:val="none" w:sz="0" w:space="0" w:color="auto"/>
      </w:divBdr>
      <w:divsChild>
        <w:div w:id="1977055961">
          <w:marLeft w:val="0"/>
          <w:marRight w:val="0"/>
          <w:marTop w:val="0"/>
          <w:marBottom w:val="0"/>
          <w:divBdr>
            <w:top w:val="none" w:sz="0" w:space="0" w:color="auto"/>
            <w:left w:val="none" w:sz="0" w:space="0" w:color="auto"/>
            <w:bottom w:val="none" w:sz="0" w:space="0" w:color="auto"/>
            <w:right w:val="none" w:sz="0" w:space="0" w:color="auto"/>
          </w:divBdr>
        </w:div>
      </w:divsChild>
    </w:div>
    <w:div w:id="366376031">
      <w:marLeft w:val="0"/>
      <w:marRight w:val="0"/>
      <w:marTop w:val="0"/>
      <w:marBottom w:val="0"/>
      <w:divBdr>
        <w:top w:val="none" w:sz="0" w:space="0" w:color="auto"/>
        <w:left w:val="none" w:sz="0" w:space="0" w:color="auto"/>
        <w:bottom w:val="none" w:sz="0" w:space="0" w:color="auto"/>
        <w:right w:val="none" w:sz="0" w:space="0" w:color="auto"/>
      </w:divBdr>
      <w:divsChild>
        <w:div w:id="2004888703">
          <w:marLeft w:val="0"/>
          <w:marRight w:val="0"/>
          <w:marTop w:val="0"/>
          <w:marBottom w:val="0"/>
          <w:divBdr>
            <w:top w:val="none" w:sz="0" w:space="0" w:color="auto"/>
            <w:left w:val="none" w:sz="0" w:space="0" w:color="auto"/>
            <w:bottom w:val="none" w:sz="0" w:space="0" w:color="auto"/>
            <w:right w:val="none" w:sz="0" w:space="0" w:color="auto"/>
          </w:divBdr>
        </w:div>
      </w:divsChild>
    </w:div>
    <w:div w:id="369690952">
      <w:marLeft w:val="0"/>
      <w:marRight w:val="0"/>
      <w:marTop w:val="0"/>
      <w:marBottom w:val="0"/>
      <w:divBdr>
        <w:top w:val="none" w:sz="0" w:space="0" w:color="auto"/>
        <w:left w:val="none" w:sz="0" w:space="0" w:color="auto"/>
        <w:bottom w:val="none" w:sz="0" w:space="0" w:color="auto"/>
        <w:right w:val="none" w:sz="0" w:space="0" w:color="auto"/>
      </w:divBdr>
      <w:divsChild>
        <w:div w:id="306054228">
          <w:marLeft w:val="0"/>
          <w:marRight w:val="0"/>
          <w:marTop w:val="0"/>
          <w:marBottom w:val="0"/>
          <w:divBdr>
            <w:top w:val="none" w:sz="0" w:space="0" w:color="auto"/>
            <w:left w:val="none" w:sz="0" w:space="0" w:color="auto"/>
            <w:bottom w:val="none" w:sz="0" w:space="0" w:color="auto"/>
            <w:right w:val="none" w:sz="0" w:space="0" w:color="auto"/>
          </w:divBdr>
        </w:div>
      </w:divsChild>
    </w:div>
    <w:div w:id="398095848">
      <w:marLeft w:val="0"/>
      <w:marRight w:val="0"/>
      <w:marTop w:val="0"/>
      <w:marBottom w:val="0"/>
      <w:divBdr>
        <w:top w:val="none" w:sz="0" w:space="0" w:color="auto"/>
        <w:left w:val="none" w:sz="0" w:space="0" w:color="auto"/>
        <w:bottom w:val="none" w:sz="0" w:space="0" w:color="auto"/>
        <w:right w:val="none" w:sz="0" w:space="0" w:color="auto"/>
      </w:divBdr>
      <w:divsChild>
        <w:div w:id="2100101631">
          <w:marLeft w:val="0"/>
          <w:marRight w:val="0"/>
          <w:marTop w:val="0"/>
          <w:marBottom w:val="0"/>
          <w:divBdr>
            <w:top w:val="none" w:sz="0" w:space="0" w:color="auto"/>
            <w:left w:val="none" w:sz="0" w:space="0" w:color="auto"/>
            <w:bottom w:val="none" w:sz="0" w:space="0" w:color="auto"/>
            <w:right w:val="none" w:sz="0" w:space="0" w:color="auto"/>
          </w:divBdr>
        </w:div>
      </w:divsChild>
    </w:div>
    <w:div w:id="398669801">
      <w:marLeft w:val="0"/>
      <w:marRight w:val="0"/>
      <w:marTop w:val="0"/>
      <w:marBottom w:val="0"/>
      <w:divBdr>
        <w:top w:val="none" w:sz="0" w:space="0" w:color="auto"/>
        <w:left w:val="none" w:sz="0" w:space="0" w:color="auto"/>
        <w:bottom w:val="none" w:sz="0" w:space="0" w:color="auto"/>
        <w:right w:val="none" w:sz="0" w:space="0" w:color="auto"/>
      </w:divBdr>
      <w:divsChild>
        <w:div w:id="1414088740">
          <w:marLeft w:val="0"/>
          <w:marRight w:val="0"/>
          <w:marTop w:val="0"/>
          <w:marBottom w:val="0"/>
          <w:divBdr>
            <w:top w:val="none" w:sz="0" w:space="0" w:color="auto"/>
            <w:left w:val="none" w:sz="0" w:space="0" w:color="auto"/>
            <w:bottom w:val="none" w:sz="0" w:space="0" w:color="auto"/>
            <w:right w:val="none" w:sz="0" w:space="0" w:color="auto"/>
          </w:divBdr>
        </w:div>
      </w:divsChild>
    </w:div>
    <w:div w:id="402488473">
      <w:marLeft w:val="0"/>
      <w:marRight w:val="0"/>
      <w:marTop w:val="0"/>
      <w:marBottom w:val="0"/>
      <w:divBdr>
        <w:top w:val="none" w:sz="0" w:space="0" w:color="auto"/>
        <w:left w:val="none" w:sz="0" w:space="0" w:color="auto"/>
        <w:bottom w:val="none" w:sz="0" w:space="0" w:color="auto"/>
        <w:right w:val="none" w:sz="0" w:space="0" w:color="auto"/>
      </w:divBdr>
      <w:divsChild>
        <w:div w:id="955790647">
          <w:marLeft w:val="0"/>
          <w:marRight w:val="0"/>
          <w:marTop w:val="0"/>
          <w:marBottom w:val="0"/>
          <w:divBdr>
            <w:top w:val="none" w:sz="0" w:space="0" w:color="auto"/>
            <w:left w:val="none" w:sz="0" w:space="0" w:color="auto"/>
            <w:bottom w:val="none" w:sz="0" w:space="0" w:color="auto"/>
            <w:right w:val="none" w:sz="0" w:space="0" w:color="auto"/>
          </w:divBdr>
        </w:div>
      </w:divsChild>
    </w:div>
    <w:div w:id="438915417">
      <w:marLeft w:val="0"/>
      <w:marRight w:val="0"/>
      <w:marTop w:val="0"/>
      <w:marBottom w:val="0"/>
      <w:divBdr>
        <w:top w:val="none" w:sz="0" w:space="0" w:color="auto"/>
        <w:left w:val="none" w:sz="0" w:space="0" w:color="auto"/>
        <w:bottom w:val="none" w:sz="0" w:space="0" w:color="auto"/>
        <w:right w:val="none" w:sz="0" w:space="0" w:color="auto"/>
      </w:divBdr>
      <w:divsChild>
        <w:div w:id="387144037">
          <w:marLeft w:val="0"/>
          <w:marRight w:val="0"/>
          <w:marTop w:val="0"/>
          <w:marBottom w:val="0"/>
          <w:divBdr>
            <w:top w:val="none" w:sz="0" w:space="0" w:color="auto"/>
            <w:left w:val="none" w:sz="0" w:space="0" w:color="auto"/>
            <w:bottom w:val="none" w:sz="0" w:space="0" w:color="auto"/>
            <w:right w:val="none" w:sz="0" w:space="0" w:color="auto"/>
          </w:divBdr>
        </w:div>
      </w:divsChild>
    </w:div>
    <w:div w:id="452478585">
      <w:marLeft w:val="0"/>
      <w:marRight w:val="0"/>
      <w:marTop w:val="0"/>
      <w:marBottom w:val="0"/>
      <w:divBdr>
        <w:top w:val="none" w:sz="0" w:space="0" w:color="auto"/>
        <w:left w:val="none" w:sz="0" w:space="0" w:color="auto"/>
        <w:bottom w:val="none" w:sz="0" w:space="0" w:color="auto"/>
        <w:right w:val="none" w:sz="0" w:space="0" w:color="auto"/>
      </w:divBdr>
      <w:divsChild>
        <w:div w:id="1559048129">
          <w:marLeft w:val="0"/>
          <w:marRight w:val="0"/>
          <w:marTop w:val="0"/>
          <w:marBottom w:val="0"/>
          <w:divBdr>
            <w:top w:val="none" w:sz="0" w:space="0" w:color="auto"/>
            <w:left w:val="none" w:sz="0" w:space="0" w:color="auto"/>
            <w:bottom w:val="none" w:sz="0" w:space="0" w:color="auto"/>
            <w:right w:val="none" w:sz="0" w:space="0" w:color="auto"/>
          </w:divBdr>
        </w:div>
      </w:divsChild>
    </w:div>
    <w:div w:id="458304767">
      <w:marLeft w:val="0"/>
      <w:marRight w:val="0"/>
      <w:marTop w:val="0"/>
      <w:marBottom w:val="0"/>
      <w:divBdr>
        <w:top w:val="none" w:sz="0" w:space="0" w:color="auto"/>
        <w:left w:val="none" w:sz="0" w:space="0" w:color="auto"/>
        <w:bottom w:val="none" w:sz="0" w:space="0" w:color="auto"/>
        <w:right w:val="none" w:sz="0" w:space="0" w:color="auto"/>
      </w:divBdr>
      <w:divsChild>
        <w:div w:id="1652520779">
          <w:marLeft w:val="0"/>
          <w:marRight w:val="0"/>
          <w:marTop w:val="0"/>
          <w:marBottom w:val="0"/>
          <w:divBdr>
            <w:top w:val="none" w:sz="0" w:space="0" w:color="auto"/>
            <w:left w:val="none" w:sz="0" w:space="0" w:color="auto"/>
            <w:bottom w:val="none" w:sz="0" w:space="0" w:color="auto"/>
            <w:right w:val="none" w:sz="0" w:space="0" w:color="auto"/>
          </w:divBdr>
        </w:div>
      </w:divsChild>
    </w:div>
    <w:div w:id="496042080">
      <w:bodyDiv w:val="1"/>
      <w:marLeft w:val="0"/>
      <w:marRight w:val="0"/>
      <w:marTop w:val="0"/>
      <w:marBottom w:val="0"/>
      <w:divBdr>
        <w:top w:val="none" w:sz="0" w:space="0" w:color="auto"/>
        <w:left w:val="none" w:sz="0" w:space="0" w:color="auto"/>
        <w:bottom w:val="none" w:sz="0" w:space="0" w:color="auto"/>
        <w:right w:val="none" w:sz="0" w:space="0" w:color="auto"/>
      </w:divBdr>
      <w:divsChild>
        <w:div w:id="447430968">
          <w:marLeft w:val="0"/>
          <w:marRight w:val="0"/>
          <w:marTop w:val="0"/>
          <w:marBottom w:val="0"/>
          <w:divBdr>
            <w:top w:val="none" w:sz="0" w:space="0" w:color="auto"/>
            <w:left w:val="none" w:sz="0" w:space="0" w:color="auto"/>
            <w:bottom w:val="none" w:sz="0" w:space="0" w:color="auto"/>
            <w:right w:val="none" w:sz="0" w:space="0" w:color="auto"/>
          </w:divBdr>
          <w:divsChild>
            <w:div w:id="1936205954">
              <w:marLeft w:val="0"/>
              <w:marRight w:val="0"/>
              <w:marTop w:val="0"/>
              <w:marBottom w:val="0"/>
              <w:divBdr>
                <w:top w:val="none" w:sz="0" w:space="0" w:color="auto"/>
                <w:left w:val="none" w:sz="0" w:space="0" w:color="auto"/>
                <w:bottom w:val="none" w:sz="0" w:space="0" w:color="auto"/>
                <w:right w:val="none" w:sz="0" w:space="0" w:color="auto"/>
              </w:divBdr>
            </w:div>
          </w:divsChild>
        </w:div>
        <w:div w:id="1022320189">
          <w:marLeft w:val="0"/>
          <w:marRight w:val="0"/>
          <w:marTop w:val="0"/>
          <w:marBottom w:val="0"/>
          <w:divBdr>
            <w:top w:val="none" w:sz="0" w:space="0" w:color="auto"/>
            <w:left w:val="none" w:sz="0" w:space="0" w:color="auto"/>
            <w:bottom w:val="none" w:sz="0" w:space="0" w:color="auto"/>
            <w:right w:val="none" w:sz="0" w:space="0" w:color="auto"/>
          </w:divBdr>
          <w:divsChild>
            <w:div w:id="1401102050">
              <w:marLeft w:val="0"/>
              <w:marRight w:val="0"/>
              <w:marTop w:val="0"/>
              <w:marBottom w:val="0"/>
              <w:divBdr>
                <w:top w:val="none" w:sz="0" w:space="0" w:color="auto"/>
                <w:left w:val="none" w:sz="0" w:space="0" w:color="auto"/>
                <w:bottom w:val="none" w:sz="0" w:space="0" w:color="auto"/>
                <w:right w:val="none" w:sz="0" w:space="0" w:color="auto"/>
              </w:divBdr>
            </w:div>
            <w:div w:id="1635713246">
              <w:marLeft w:val="0"/>
              <w:marRight w:val="0"/>
              <w:marTop w:val="0"/>
              <w:marBottom w:val="0"/>
              <w:divBdr>
                <w:top w:val="none" w:sz="0" w:space="0" w:color="auto"/>
                <w:left w:val="none" w:sz="0" w:space="0" w:color="auto"/>
                <w:bottom w:val="none" w:sz="0" w:space="0" w:color="auto"/>
                <w:right w:val="none" w:sz="0" w:space="0" w:color="auto"/>
              </w:divBdr>
              <w:divsChild>
                <w:div w:id="1355378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0942506">
      <w:bodyDiv w:val="1"/>
      <w:marLeft w:val="0"/>
      <w:marRight w:val="0"/>
      <w:marTop w:val="0"/>
      <w:marBottom w:val="0"/>
      <w:divBdr>
        <w:top w:val="none" w:sz="0" w:space="0" w:color="auto"/>
        <w:left w:val="none" w:sz="0" w:space="0" w:color="auto"/>
        <w:bottom w:val="none" w:sz="0" w:space="0" w:color="auto"/>
        <w:right w:val="none" w:sz="0" w:space="0" w:color="auto"/>
      </w:divBdr>
    </w:div>
    <w:div w:id="574970165">
      <w:marLeft w:val="0"/>
      <w:marRight w:val="0"/>
      <w:marTop w:val="0"/>
      <w:marBottom w:val="0"/>
      <w:divBdr>
        <w:top w:val="none" w:sz="0" w:space="0" w:color="auto"/>
        <w:left w:val="none" w:sz="0" w:space="0" w:color="auto"/>
        <w:bottom w:val="none" w:sz="0" w:space="0" w:color="auto"/>
        <w:right w:val="none" w:sz="0" w:space="0" w:color="auto"/>
      </w:divBdr>
    </w:div>
    <w:div w:id="576404415">
      <w:marLeft w:val="0"/>
      <w:marRight w:val="0"/>
      <w:marTop w:val="0"/>
      <w:marBottom w:val="0"/>
      <w:divBdr>
        <w:top w:val="none" w:sz="0" w:space="0" w:color="auto"/>
        <w:left w:val="none" w:sz="0" w:space="0" w:color="auto"/>
        <w:bottom w:val="none" w:sz="0" w:space="0" w:color="auto"/>
        <w:right w:val="none" w:sz="0" w:space="0" w:color="auto"/>
      </w:divBdr>
      <w:divsChild>
        <w:div w:id="233321613">
          <w:marLeft w:val="0"/>
          <w:marRight w:val="0"/>
          <w:marTop w:val="0"/>
          <w:marBottom w:val="0"/>
          <w:divBdr>
            <w:top w:val="none" w:sz="0" w:space="0" w:color="auto"/>
            <w:left w:val="none" w:sz="0" w:space="0" w:color="auto"/>
            <w:bottom w:val="none" w:sz="0" w:space="0" w:color="auto"/>
            <w:right w:val="none" w:sz="0" w:space="0" w:color="auto"/>
          </w:divBdr>
        </w:div>
      </w:divsChild>
    </w:div>
    <w:div w:id="579950852">
      <w:marLeft w:val="0"/>
      <w:marRight w:val="0"/>
      <w:marTop w:val="0"/>
      <w:marBottom w:val="0"/>
      <w:divBdr>
        <w:top w:val="none" w:sz="0" w:space="0" w:color="auto"/>
        <w:left w:val="none" w:sz="0" w:space="0" w:color="auto"/>
        <w:bottom w:val="none" w:sz="0" w:space="0" w:color="auto"/>
        <w:right w:val="none" w:sz="0" w:space="0" w:color="auto"/>
      </w:divBdr>
      <w:divsChild>
        <w:div w:id="1817188831">
          <w:marLeft w:val="0"/>
          <w:marRight w:val="0"/>
          <w:marTop w:val="0"/>
          <w:marBottom w:val="0"/>
          <w:divBdr>
            <w:top w:val="none" w:sz="0" w:space="0" w:color="auto"/>
            <w:left w:val="none" w:sz="0" w:space="0" w:color="auto"/>
            <w:bottom w:val="none" w:sz="0" w:space="0" w:color="auto"/>
            <w:right w:val="none" w:sz="0" w:space="0" w:color="auto"/>
          </w:divBdr>
        </w:div>
      </w:divsChild>
    </w:div>
    <w:div w:id="601761109">
      <w:marLeft w:val="0"/>
      <w:marRight w:val="0"/>
      <w:marTop w:val="0"/>
      <w:marBottom w:val="0"/>
      <w:divBdr>
        <w:top w:val="none" w:sz="0" w:space="0" w:color="auto"/>
        <w:left w:val="none" w:sz="0" w:space="0" w:color="auto"/>
        <w:bottom w:val="none" w:sz="0" w:space="0" w:color="auto"/>
        <w:right w:val="none" w:sz="0" w:space="0" w:color="auto"/>
      </w:divBdr>
      <w:divsChild>
        <w:div w:id="2001619734">
          <w:marLeft w:val="0"/>
          <w:marRight w:val="0"/>
          <w:marTop w:val="0"/>
          <w:marBottom w:val="0"/>
          <w:divBdr>
            <w:top w:val="none" w:sz="0" w:space="0" w:color="auto"/>
            <w:left w:val="none" w:sz="0" w:space="0" w:color="auto"/>
            <w:bottom w:val="none" w:sz="0" w:space="0" w:color="auto"/>
            <w:right w:val="none" w:sz="0" w:space="0" w:color="auto"/>
          </w:divBdr>
        </w:div>
      </w:divsChild>
    </w:div>
    <w:div w:id="623196060">
      <w:bodyDiv w:val="1"/>
      <w:marLeft w:val="0"/>
      <w:marRight w:val="0"/>
      <w:marTop w:val="0"/>
      <w:marBottom w:val="0"/>
      <w:divBdr>
        <w:top w:val="none" w:sz="0" w:space="0" w:color="auto"/>
        <w:left w:val="none" w:sz="0" w:space="0" w:color="auto"/>
        <w:bottom w:val="none" w:sz="0" w:space="0" w:color="auto"/>
        <w:right w:val="none" w:sz="0" w:space="0" w:color="auto"/>
      </w:divBdr>
    </w:div>
    <w:div w:id="645015737">
      <w:marLeft w:val="0"/>
      <w:marRight w:val="0"/>
      <w:marTop w:val="0"/>
      <w:marBottom w:val="0"/>
      <w:divBdr>
        <w:top w:val="none" w:sz="0" w:space="0" w:color="auto"/>
        <w:left w:val="none" w:sz="0" w:space="0" w:color="auto"/>
        <w:bottom w:val="none" w:sz="0" w:space="0" w:color="auto"/>
        <w:right w:val="none" w:sz="0" w:space="0" w:color="auto"/>
      </w:divBdr>
      <w:divsChild>
        <w:div w:id="477457690">
          <w:marLeft w:val="0"/>
          <w:marRight w:val="0"/>
          <w:marTop w:val="0"/>
          <w:marBottom w:val="0"/>
          <w:divBdr>
            <w:top w:val="none" w:sz="0" w:space="0" w:color="auto"/>
            <w:left w:val="none" w:sz="0" w:space="0" w:color="auto"/>
            <w:bottom w:val="none" w:sz="0" w:space="0" w:color="auto"/>
            <w:right w:val="none" w:sz="0" w:space="0" w:color="auto"/>
          </w:divBdr>
        </w:div>
      </w:divsChild>
    </w:div>
    <w:div w:id="679313271">
      <w:marLeft w:val="0"/>
      <w:marRight w:val="0"/>
      <w:marTop w:val="0"/>
      <w:marBottom w:val="0"/>
      <w:divBdr>
        <w:top w:val="none" w:sz="0" w:space="0" w:color="auto"/>
        <w:left w:val="none" w:sz="0" w:space="0" w:color="auto"/>
        <w:bottom w:val="none" w:sz="0" w:space="0" w:color="auto"/>
        <w:right w:val="none" w:sz="0" w:space="0" w:color="auto"/>
      </w:divBdr>
      <w:divsChild>
        <w:div w:id="1677540010">
          <w:marLeft w:val="0"/>
          <w:marRight w:val="0"/>
          <w:marTop w:val="0"/>
          <w:marBottom w:val="0"/>
          <w:divBdr>
            <w:top w:val="none" w:sz="0" w:space="0" w:color="auto"/>
            <w:left w:val="none" w:sz="0" w:space="0" w:color="auto"/>
            <w:bottom w:val="none" w:sz="0" w:space="0" w:color="auto"/>
            <w:right w:val="none" w:sz="0" w:space="0" w:color="auto"/>
          </w:divBdr>
        </w:div>
      </w:divsChild>
    </w:div>
    <w:div w:id="716979203">
      <w:bodyDiv w:val="1"/>
      <w:marLeft w:val="0"/>
      <w:marRight w:val="0"/>
      <w:marTop w:val="0"/>
      <w:marBottom w:val="0"/>
      <w:divBdr>
        <w:top w:val="none" w:sz="0" w:space="0" w:color="auto"/>
        <w:left w:val="none" w:sz="0" w:space="0" w:color="auto"/>
        <w:bottom w:val="none" w:sz="0" w:space="0" w:color="auto"/>
        <w:right w:val="none" w:sz="0" w:space="0" w:color="auto"/>
      </w:divBdr>
    </w:div>
    <w:div w:id="729233274">
      <w:marLeft w:val="0"/>
      <w:marRight w:val="0"/>
      <w:marTop w:val="0"/>
      <w:marBottom w:val="0"/>
      <w:divBdr>
        <w:top w:val="none" w:sz="0" w:space="0" w:color="auto"/>
        <w:left w:val="none" w:sz="0" w:space="0" w:color="auto"/>
        <w:bottom w:val="none" w:sz="0" w:space="0" w:color="auto"/>
        <w:right w:val="none" w:sz="0" w:space="0" w:color="auto"/>
      </w:divBdr>
    </w:div>
    <w:div w:id="733166157">
      <w:marLeft w:val="0"/>
      <w:marRight w:val="0"/>
      <w:marTop w:val="0"/>
      <w:marBottom w:val="0"/>
      <w:divBdr>
        <w:top w:val="none" w:sz="0" w:space="0" w:color="auto"/>
        <w:left w:val="none" w:sz="0" w:space="0" w:color="auto"/>
        <w:bottom w:val="none" w:sz="0" w:space="0" w:color="auto"/>
        <w:right w:val="none" w:sz="0" w:space="0" w:color="auto"/>
      </w:divBdr>
      <w:divsChild>
        <w:div w:id="215358207">
          <w:marLeft w:val="0"/>
          <w:marRight w:val="0"/>
          <w:marTop w:val="0"/>
          <w:marBottom w:val="0"/>
          <w:divBdr>
            <w:top w:val="none" w:sz="0" w:space="0" w:color="auto"/>
            <w:left w:val="none" w:sz="0" w:space="0" w:color="auto"/>
            <w:bottom w:val="none" w:sz="0" w:space="0" w:color="auto"/>
            <w:right w:val="none" w:sz="0" w:space="0" w:color="auto"/>
          </w:divBdr>
        </w:div>
      </w:divsChild>
    </w:div>
    <w:div w:id="795492155">
      <w:marLeft w:val="0"/>
      <w:marRight w:val="0"/>
      <w:marTop w:val="0"/>
      <w:marBottom w:val="0"/>
      <w:divBdr>
        <w:top w:val="none" w:sz="0" w:space="0" w:color="auto"/>
        <w:left w:val="none" w:sz="0" w:space="0" w:color="auto"/>
        <w:bottom w:val="none" w:sz="0" w:space="0" w:color="auto"/>
        <w:right w:val="none" w:sz="0" w:space="0" w:color="auto"/>
      </w:divBdr>
      <w:divsChild>
        <w:div w:id="693531654">
          <w:marLeft w:val="0"/>
          <w:marRight w:val="0"/>
          <w:marTop w:val="0"/>
          <w:marBottom w:val="0"/>
          <w:divBdr>
            <w:top w:val="none" w:sz="0" w:space="0" w:color="auto"/>
            <w:left w:val="none" w:sz="0" w:space="0" w:color="auto"/>
            <w:bottom w:val="none" w:sz="0" w:space="0" w:color="auto"/>
            <w:right w:val="none" w:sz="0" w:space="0" w:color="auto"/>
          </w:divBdr>
        </w:div>
      </w:divsChild>
    </w:div>
    <w:div w:id="823664731">
      <w:marLeft w:val="0"/>
      <w:marRight w:val="0"/>
      <w:marTop w:val="0"/>
      <w:marBottom w:val="0"/>
      <w:divBdr>
        <w:top w:val="none" w:sz="0" w:space="0" w:color="auto"/>
        <w:left w:val="none" w:sz="0" w:space="0" w:color="auto"/>
        <w:bottom w:val="none" w:sz="0" w:space="0" w:color="auto"/>
        <w:right w:val="none" w:sz="0" w:space="0" w:color="auto"/>
      </w:divBdr>
      <w:divsChild>
        <w:div w:id="2072999622">
          <w:marLeft w:val="0"/>
          <w:marRight w:val="0"/>
          <w:marTop w:val="0"/>
          <w:marBottom w:val="0"/>
          <w:divBdr>
            <w:top w:val="none" w:sz="0" w:space="0" w:color="auto"/>
            <w:left w:val="none" w:sz="0" w:space="0" w:color="auto"/>
            <w:bottom w:val="none" w:sz="0" w:space="0" w:color="auto"/>
            <w:right w:val="none" w:sz="0" w:space="0" w:color="auto"/>
          </w:divBdr>
        </w:div>
      </w:divsChild>
    </w:div>
    <w:div w:id="829758665">
      <w:marLeft w:val="0"/>
      <w:marRight w:val="0"/>
      <w:marTop w:val="0"/>
      <w:marBottom w:val="0"/>
      <w:divBdr>
        <w:top w:val="none" w:sz="0" w:space="0" w:color="auto"/>
        <w:left w:val="none" w:sz="0" w:space="0" w:color="auto"/>
        <w:bottom w:val="none" w:sz="0" w:space="0" w:color="auto"/>
        <w:right w:val="none" w:sz="0" w:space="0" w:color="auto"/>
      </w:divBdr>
      <w:divsChild>
        <w:div w:id="1529220311">
          <w:marLeft w:val="0"/>
          <w:marRight w:val="0"/>
          <w:marTop w:val="0"/>
          <w:marBottom w:val="0"/>
          <w:divBdr>
            <w:top w:val="none" w:sz="0" w:space="0" w:color="auto"/>
            <w:left w:val="none" w:sz="0" w:space="0" w:color="auto"/>
            <w:bottom w:val="none" w:sz="0" w:space="0" w:color="auto"/>
            <w:right w:val="none" w:sz="0" w:space="0" w:color="auto"/>
          </w:divBdr>
        </w:div>
      </w:divsChild>
    </w:div>
    <w:div w:id="833691611">
      <w:bodyDiv w:val="1"/>
      <w:marLeft w:val="0"/>
      <w:marRight w:val="0"/>
      <w:marTop w:val="0"/>
      <w:marBottom w:val="0"/>
      <w:divBdr>
        <w:top w:val="none" w:sz="0" w:space="0" w:color="auto"/>
        <w:left w:val="none" w:sz="0" w:space="0" w:color="auto"/>
        <w:bottom w:val="none" w:sz="0" w:space="0" w:color="auto"/>
        <w:right w:val="none" w:sz="0" w:space="0" w:color="auto"/>
      </w:divBdr>
      <w:divsChild>
        <w:div w:id="972365488">
          <w:marLeft w:val="0"/>
          <w:marRight w:val="0"/>
          <w:marTop w:val="0"/>
          <w:marBottom w:val="0"/>
          <w:divBdr>
            <w:top w:val="none" w:sz="0" w:space="0" w:color="auto"/>
            <w:left w:val="none" w:sz="0" w:space="0" w:color="auto"/>
            <w:bottom w:val="none" w:sz="0" w:space="0" w:color="auto"/>
            <w:right w:val="none" w:sz="0" w:space="0" w:color="auto"/>
          </w:divBdr>
        </w:div>
        <w:div w:id="1568615028">
          <w:marLeft w:val="0"/>
          <w:marRight w:val="0"/>
          <w:marTop w:val="0"/>
          <w:marBottom w:val="0"/>
          <w:divBdr>
            <w:top w:val="none" w:sz="0" w:space="0" w:color="auto"/>
            <w:left w:val="none" w:sz="0" w:space="0" w:color="auto"/>
            <w:bottom w:val="none" w:sz="0" w:space="0" w:color="auto"/>
            <w:right w:val="none" w:sz="0" w:space="0" w:color="auto"/>
          </w:divBdr>
        </w:div>
      </w:divsChild>
    </w:div>
    <w:div w:id="840973436">
      <w:marLeft w:val="0"/>
      <w:marRight w:val="0"/>
      <w:marTop w:val="0"/>
      <w:marBottom w:val="0"/>
      <w:divBdr>
        <w:top w:val="none" w:sz="0" w:space="0" w:color="auto"/>
        <w:left w:val="none" w:sz="0" w:space="0" w:color="auto"/>
        <w:bottom w:val="none" w:sz="0" w:space="0" w:color="auto"/>
        <w:right w:val="none" w:sz="0" w:space="0" w:color="auto"/>
      </w:divBdr>
      <w:divsChild>
        <w:div w:id="702362362">
          <w:marLeft w:val="0"/>
          <w:marRight w:val="0"/>
          <w:marTop w:val="0"/>
          <w:marBottom w:val="0"/>
          <w:divBdr>
            <w:top w:val="none" w:sz="0" w:space="0" w:color="auto"/>
            <w:left w:val="none" w:sz="0" w:space="0" w:color="auto"/>
            <w:bottom w:val="none" w:sz="0" w:space="0" w:color="auto"/>
            <w:right w:val="none" w:sz="0" w:space="0" w:color="auto"/>
          </w:divBdr>
        </w:div>
      </w:divsChild>
    </w:div>
    <w:div w:id="868447852">
      <w:marLeft w:val="0"/>
      <w:marRight w:val="0"/>
      <w:marTop w:val="0"/>
      <w:marBottom w:val="0"/>
      <w:divBdr>
        <w:top w:val="none" w:sz="0" w:space="0" w:color="auto"/>
        <w:left w:val="none" w:sz="0" w:space="0" w:color="auto"/>
        <w:bottom w:val="none" w:sz="0" w:space="0" w:color="auto"/>
        <w:right w:val="none" w:sz="0" w:space="0" w:color="auto"/>
      </w:divBdr>
      <w:divsChild>
        <w:div w:id="975338292">
          <w:marLeft w:val="0"/>
          <w:marRight w:val="0"/>
          <w:marTop w:val="0"/>
          <w:marBottom w:val="0"/>
          <w:divBdr>
            <w:top w:val="none" w:sz="0" w:space="0" w:color="auto"/>
            <w:left w:val="none" w:sz="0" w:space="0" w:color="auto"/>
            <w:bottom w:val="none" w:sz="0" w:space="0" w:color="auto"/>
            <w:right w:val="none" w:sz="0" w:space="0" w:color="auto"/>
          </w:divBdr>
        </w:div>
      </w:divsChild>
    </w:div>
    <w:div w:id="886258208">
      <w:marLeft w:val="0"/>
      <w:marRight w:val="0"/>
      <w:marTop w:val="0"/>
      <w:marBottom w:val="0"/>
      <w:divBdr>
        <w:top w:val="none" w:sz="0" w:space="0" w:color="auto"/>
        <w:left w:val="none" w:sz="0" w:space="0" w:color="auto"/>
        <w:bottom w:val="none" w:sz="0" w:space="0" w:color="auto"/>
        <w:right w:val="none" w:sz="0" w:space="0" w:color="auto"/>
      </w:divBdr>
    </w:div>
    <w:div w:id="892351958">
      <w:marLeft w:val="0"/>
      <w:marRight w:val="0"/>
      <w:marTop w:val="0"/>
      <w:marBottom w:val="0"/>
      <w:divBdr>
        <w:top w:val="none" w:sz="0" w:space="0" w:color="auto"/>
        <w:left w:val="none" w:sz="0" w:space="0" w:color="auto"/>
        <w:bottom w:val="none" w:sz="0" w:space="0" w:color="auto"/>
        <w:right w:val="none" w:sz="0" w:space="0" w:color="auto"/>
      </w:divBdr>
      <w:divsChild>
        <w:div w:id="537281045">
          <w:marLeft w:val="0"/>
          <w:marRight w:val="0"/>
          <w:marTop w:val="0"/>
          <w:marBottom w:val="0"/>
          <w:divBdr>
            <w:top w:val="none" w:sz="0" w:space="0" w:color="auto"/>
            <w:left w:val="none" w:sz="0" w:space="0" w:color="auto"/>
            <w:bottom w:val="none" w:sz="0" w:space="0" w:color="auto"/>
            <w:right w:val="none" w:sz="0" w:space="0" w:color="auto"/>
          </w:divBdr>
        </w:div>
      </w:divsChild>
    </w:div>
    <w:div w:id="934509025">
      <w:bodyDiv w:val="1"/>
      <w:marLeft w:val="0"/>
      <w:marRight w:val="0"/>
      <w:marTop w:val="0"/>
      <w:marBottom w:val="0"/>
      <w:divBdr>
        <w:top w:val="none" w:sz="0" w:space="0" w:color="auto"/>
        <w:left w:val="none" w:sz="0" w:space="0" w:color="auto"/>
        <w:bottom w:val="none" w:sz="0" w:space="0" w:color="auto"/>
        <w:right w:val="none" w:sz="0" w:space="0" w:color="auto"/>
      </w:divBdr>
    </w:div>
    <w:div w:id="957294276">
      <w:marLeft w:val="0"/>
      <w:marRight w:val="0"/>
      <w:marTop w:val="0"/>
      <w:marBottom w:val="0"/>
      <w:divBdr>
        <w:top w:val="none" w:sz="0" w:space="0" w:color="auto"/>
        <w:left w:val="none" w:sz="0" w:space="0" w:color="auto"/>
        <w:bottom w:val="none" w:sz="0" w:space="0" w:color="auto"/>
        <w:right w:val="none" w:sz="0" w:space="0" w:color="auto"/>
      </w:divBdr>
      <w:divsChild>
        <w:div w:id="431164792">
          <w:marLeft w:val="0"/>
          <w:marRight w:val="0"/>
          <w:marTop w:val="0"/>
          <w:marBottom w:val="0"/>
          <w:divBdr>
            <w:top w:val="none" w:sz="0" w:space="0" w:color="auto"/>
            <w:left w:val="none" w:sz="0" w:space="0" w:color="auto"/>
            <w:bottom w:val="none" w:sz="0" w:space="0" w:color="auto"/>
            <w:right w:val="none" w:sz="0" w:space="0" w:color="auto"/>
          </w:divBdr>
        </w:div>
      </w:divsChild>
    </w:div>
    <w:div w:id="970944902">
      <w:marLeft w:val="0"/>
      <w:marRight w:val="0"/>
      <w:marTop w:val="0"/>
      <w:marBottom w:val="0"/>
      <w:divBdr>
        <w:top w:val="none" w:sz="0" w:space="0" w:color="auto"/>
        <w:left w:val="none" w:sz="0" w:space="0" w:color="auto"/>
        <w:bottom w:val="none" w:sz="0" w:space="0" w:color="auto"/>
        <w:right w:val="none" w:sz="0" w:space="0" w:color="auto"/>
      </w:divBdr>
      <w:divsChild>
        <w:div w:id="1687444361">
          <w:marLeft w:val="0"/>
          <w:marRight w:val="0"/>
          <w:marTop w:val="0"/>
          <w:marBottom w:val="0"/>
          <w:divBdr>
            <w:top w:val="none" w:sz="0" w:space="0" w:color="auto"/>
            <w:left w:val="none" w:sz="0" w:space="0" w:color="auto"/>
            <w:bottom w:val="none" w:sz="0" w:space="0" w:color="auto"/>
            <w:right w:val="none" w:sz="0" w:space="0" w:color="auto"/>
          </w:divBdr>
        </w:div>
      </w:divsChild>
    </w:div>
    <w:div w:id="1026178067">
      <w:marLeft w:val="0"/>
      <w:marRight w:val="0"/>
      <w:marTop w:val="0"/>
      <w:marBottom w:val="0"/>
      <w:divBdr>
        <w:top w:val="none" w:sz="0" w:space="0" w:color="auto"/>
        <w:left w:val="none" w:sz="0" w:space="0" w:color="auto"/>
        <w:bottom w:val="none" w:sz="0" w:space="0" w:color="auto"/>
        <w:right w:val="none" w:sz="0" w:space="0" w:color="auto"/>
      </w:divBdr>
      <w:divsChild>
        <w:div w:id="689648291">
          <w:marLeft w:val="0"/>
          <w:marRight w:val="0"/>
          <w:marTop w:val="0"/>
          <w:marBottom w:val="0"/>
          <w:divBdr>
            <w:top w:val="none" w:sz="0" w:space="0" w:color="auto"/>
            <w:left w:val="none" w:sz="0" w:space="0" w:color="auto"/>
            <w:bottom w:val="none" w:sz="0" w:space="0" w:color="auto"/>
            <w:right w:val="none" w:sz="0" w:space="0" w:color="auto"/>
          </w:divBdr>
        </w:div>
      </w:divsChild>
    </w:div>
    <w:div w:id="1088698348">
      <w:marLeft w:val="0"/>
      <w:marRight w:val="0"/>
      <w:marTop w:val="0"/>
      <w:marBottom w:val="0"/>
      <w:divBdr>
        <w:top w:val="none" w:sz="0" w:space="0" w:color="auto"/>
        <w:left w:val="none" w:sz="0" w:space="0" w:color="auto"/>
        <w:bottom w:val="none" w:sz="0" w:space="0" w:color="auto"/>
        <w:right w:val="none" w:sz="0" w:space="0" w:color="auto"/>
      </w:divBdr>
      <w:divsChild>
        <w:div w:id="583880020">
          <w:marLeft w:val="0"/>
          <w:marRight w:val="0"/>
          <w:marTop w:val="0"/>
          <w:marBottom w:val="0"/>
          <w:divBdr>
            <w:top w:val="none" w:sz="0" w:space="0" w:color="auto"/>
            <w:left w:val="none" w:sz="0" w:space="0" w:color="auto"/>
            <w:bottom w:val="none" w:sz="0" w:space="0" w:color="auto"/>
            <w:right w:val="none" w:sz="0" w:space="0" w:color="auto"/>
          </w:divBdr>
        </w:div>
      </w:divsChild>
    </w:div>
    <w:div w:id="1125611700">
      <w:bodyDiv w:val="1"/>
      <w:marLeft w:val="0"/>
      <w:marRight w:val="0"/>
      <w:marTop w:val="0"/>
      <w:marBottom w:val="0"/>
      <w:divBdr>
        <w:top w:val="none" w:sz="0" w:space="0" w:color="auto"/>
        <w:left w:val="none" w:sz="0" w:space="0" w:color="auto"/>
        <w:bottom w:val="none" w:sz="0" w:space="0" w:color="auto"/>
        <w:right w:val="none" w:sz="0" w:space="0" w:color="auto"/>
      </w:divBdr>
    </w:div>
    <w:div w:id="1152210765">
      <w:marLeft w:val="0"/>
      <w:marRight w:val="0"/>
      <w:marTop w:val="0"/>
      <w:marBottom w:val="0"/>
      <w:divBdr>
        <w:top w:val="none" w:sz="0" w:space="0" w:color="auto"/>
        <w:left w:val="none" w:sz="0" w:space="0" w:color="auto"/>
        <w:bottom w:val="none" w:sz="0" w:space="0" w:color="auto"/>
        <w:right w:val="none" w:sz="0" w:space="0" w:color="auto"/>
      </w:divBdr>
      <w:divsChild>
        <w:div w:id="832793763">
          <w:marLeft w:val="0"/>
          <w:marRight w:val="0"/>
          <w:marTop w:val="0"/>
          <w:marBottom w:val="0"/>
          <w:divBdr>
            <w:top w:val="none" w:sz="0" w:space="0" w:color="auto"/>
            <w:left w:val="none" w:sz="0" w:space="0" w:color="auto"/>
            <w:bottom w:val="none" w:sz="0" w:space="0" w:color="auto"/>
            <w:right w:val="none" w:sz="0" w:space="0" w:color="auto"/>
          </w:divBdr>
        </w:div>
      </w:divsChild>
    </w:div>
    <w:div w:id="1197281438">
      <w:marLeft w:val="0"/>
      <w:marRight w:val="0"/>
      <w:marTop w:val="0"/>
      <w:marBottom w:val="0"/>
      <w:divBdr>
        <w:top w:val="none" w:sz="0" w:space="0" w:color="auto"/>
        <w:left w:val="none" w:sz="0" w:space="0" w:color="auto"/>
        <w:bottom w:val="none" w:sz="0" w:space="0" w:color="auto"/>
        <w:right w:val="none" w:sz="0" w:space="0" w:color="auto"/>
      </w:divBdr>
      <w:divsChild>
        <w:div w:id="475874284">
          <w:marLeft w:val="0"/>
          <w:marRight w:val="0"/>
          <w:marTop w:val="0"/>
          <w:marBottom w:val="0"/>
          <w:divBdr>
            <w:top w:val="none" w:sz="0" w:space="0" w:color="auto"/>
            <w:left w:val="none" w:sz="0" w:space="0" w:color="auto"/>
            <w:bottom w:val="none" w:sz="0" w:space="0" w:color="auto"/>
            <w:right w:val="none" w:sz="0" w:space="0" w:color="auto"/>
          </w:divBdr>
        </w:div>
      </w:divsChild>
    </w:div>
    <w:div w:id="1255549205">
      <w:bodyDiv w:val="1"/>
      <w:marLeft w:val="0"/>
      <w:marRight w:val="0"/>
      <w:marTop w:val="0"/>
      <w:marBottom w:val="0"/>
      <w:divBdr>
        <w:top w:val="none" w:sz="0" w:space="0" w:color="auto"/>
        <w:left w:val="none" w:sz="0" w:space="0" w:color="auto"/>
        <w:bottom w:val="none" w:sz="0" w:space="0" w:color="auto"/>
        <w:right w:val="none" w:sz="0" w:space="0" w:color="auto"/>
      </w:divBdr>
      <w:divsChild>
        <w:div w:id="16467623">
          <w:marLeft w:val="0"/>
          <w:marRight w:val="0"/>
          <w:marTop w:val="0"/>
          <w:marBottom w:val="0"/>
          <w:divBdr>
            <w:top w:val="none" w:sz="0" w:space="0" w:color="auto"/>
            <w:left w:val="none" w:sz="0" w:space="0" w:color="auto"/>
            <w:bottom w:val="none" w:sz="0" w:space="0" w:color="auto"/>
            <w:right w:val="none" w:sz="0" w:space="0" w:color="auto"/>
          </w:divBdr>
        </w:div>
        <w:div w:id="329407882">
          <w:marLeft w:val="0"/>
          <w:marRight w:val="0"/>
          <w:marTop w:val="0"/>
          <w:marBottom w:val="0"/>
          <w:divBdr>
            <w:top w:val="none" w:sz="0" w:space="0" w:color="auto"/>
            <w:left w:val="none" w:sz="0" w:space="0" w:color="auto"/>
            <w:bottom w:val="none" w:sz="0" w:space="0" w:color="auto"/>
            <w:right w:val="none" w:sz="0" w:space="0" w:color="auto"/>
          </w:divBdr>
        </w:div>
        <w:div w:id="467016160">
          <w:marLeft w:val="0"/>
          <w:marRight w:val="0"/>
          <w:marTop w:val="0"/>
          <w:marBottom w:val="0"/>
          <w:divBdr>
            <w:top w:val="none" w:sz="0" w:space="0" w:color="auto"/>
            <w:left w:val="none" w:sz="0" w:space="0" w:color="auto"/>
            <w:bottom w:val="none" w:sz="0" w:space="0" w:color="auto"/>
            <w:right w:val="none" w:sz="0" w:space="0" w:color="auto"/>
          </w:divBdr>
        </w:div>
        <w:div w:id="641236182">
          <w:marLeft w:val="0"/>
          <w:marRight w:val="0"/>
          <w:marTop w:val="0"/>
          <w:marBottom w:val="0"/>
          <w:divBdr>
            <w:top w:val="none" w:sz="0" w:space="0" w:color="auto"/>
            <w:left w:val="none" w:sz="0" w:space="0" w:color="auto"/>
            <w:bottom w:val="none" w:sz="0" w:space="0" w:color="auto"/>
            <w:right w:val="none" w:sz="0" w:space="0" w:color="auto"/>
          </w:divBdr>
        </w:div>
        <w:div w:id="727798641">
          <w:marLeft w:val="0"/>
          <w:marRight w:val="0"/>
          <w:marTop w:val="0"/>
          <w:marBottom w:val="0"/>
          <w:divBdr>
            <w:top w:val="none" w:sz="0" w:space="0" w:color="auto"/>
            <w:left w:val="none" w:sz="0" w:space="0" w:color="auto"/>
            <w:bottom w:val="none" w:sz="0" w:space="0" w:color="auto"/>
            <w:right w:val="none" w:sz="0" w:space="0" w:color="auto"/>
          </w:divBdr>
        </w:div>
        <w:div w:id="778376076">
          <w:marLeft w:val="0"/>
          <w:marRight w:val="0"/>
          <w:marTop w:val="0"/>
          <w:marBottom w:val="0"/>
          <w:divBdr>
            <w:top w:val="none" w:sz="0" w:space="0" w:color="auto"/>
            <w:left w:val="none" w:sz="0" w:space="0" w:color="auto"/>
            <w:bottom w:val="none" w:sz="0" w:space="0" w:color="auto"/>
            <w:right w:val="none" w:sz="0" w:space="0" w:color="auto"/>
          </w:divBdr>
        </w:div>
      </w:divsChild>
    </w:div>
    <w:div w:id="1264915822">
      <w:marLeft w:val="0"/>
      <w:marRight w:val="0"/>
      <w:marTop w:val="0"/>
      <w:marBottom w:val="0"/>
      <w:divBdr>
        <w:top w:val="none" w:sz="0" w:space="0" w:color="auto"/>
        <w:left w:val="none" w:sz="0" w:space="0" w:color="auto"/>
        <w:bottom w:val="none" w:sz="0" w:space="0" w:color="auto"/>
        <w:right w:val="none" w:sz="0" w:space="0" w:color="auto"/>
      </w:divBdr>
      <w:divsChild>
        <w:div w:id="1265072816">
          <w:marLeft w:val="0"/>
          <w:marRight w:val="0"/>
          <w:marTop w:val="0"/>
          <w:marBottom w:val="0"/>
          <w:divBdr>
            <w:top w:val="none" w:sz="0" w:space="0" w:color="auto"/>
            <w:left w:val="none" w:sz="0" w:space="0" w:color="auto"/>
            <w:bottom w:val="none" w:sz="0" w:space="0" w:color="auto"/>
            <w:right w:val="none" w:sz="0" w:space="0" w:color="auto"/>
          </w:divBdr>
        </w:div>
      </w:divsChild>
    </w:div>
    <w:div w:id="1269854670">
      <w:marLeft w:val="0"/>
      <w:marRight w:val="0"/>
      <w:marTop w:val="0"/>
      <w:marBottom w:val="0"/>
      <w:divBdr>
        <w:top w:val="none" w:sz="0" w:space="0" w:color="auto"/>
        <w:left w:val="none" w:sz="0" w:space="0" w:color="auto"/>
        <w:bottom w:val="none" w:sz="0" w:space="0" w:color="auto"/>
        <w:right w:val="none" w:sz="0" w:space="0" w:color="auto"/>
      </w:divBdr>
      <w:divsChild>
        <w:div w:id="836775557">
          <w:marLeft w:val="0"/>
          <w:marRight w:val="0"/>
          <w:marTop w:val="0"/>
          <w:marBottom w:val="0"/>
          <w:divBdr>
            <w:top w:val="none" w:sz="0" w:space="0" w:color="auto"/>
            <w:left w:val="none" w:sz="0" w:space="0" w:color="auto"/>
            <w:bottom w:val="none" w:sz="0" w:space="0" w:color="auto"/>
            <w:right w:val="none" w:sz="0" w:space="0" w:color="auto"/>
          </w:divBdr>
        </w:div>
      </w:divsChild>
    </w:div>
    <w:div w:id="1288118793">
      <w:marLeft w:val="0"/>
      <w:marRight w:val="0"/>
      <w:marTop w:val="0"/>
      <w:marBottom w:val="0"/>
      <w:divBdr>
        <w:top w:val="none" w:sz="0" w:space="0" w:color="auto"/>
        <w:left w:val="none" w:sz="0" w:space="0" w:color="auto"/>
        <w:bottom w:val="none" w:sz="0" w:space="0" w:color="auto"/>
        <w:right w:val="none" w:sz="0" w:space="0" w:color="auto"/>
      </w:divBdr>
      <w:divsChild>
        <w:div w:id="991374678">
          <w:marLeft w:val="0"/>
          <w:marRight w:val="0"/>
          <w:marTop w:val="0"/>
          <w:marBottom w:val="0"/>
          <w:divBdr>
            <w:top w:val="none" w:sz="0" w:space="0" w:color="auto"/>
            <w:left w:val="none" w:sz="0" w:space="0" w:color="auto"/>
            <w:bottom w:val="none" w:sz="0" w:space="0" w:color="auto"/>
            <w:right w:val="none" w:sz="0" w:space="0" w:color="auto"/>
          </w:divBdr>
        </w:div>
      </w:divsChild>
    </w:div>
    <w:div w:id="1290744227">
      <w:marLeft w:val="0"/>
      <w:marRight w:val="0"/>
      <w:marTop w:val="0"/>
      <w:marBottom w:val="0"/>
      <w:divBdr>
        <w:top w:val="none" w:sz="0" w:space="0" w:color="auto"/>
        <w:left w:val="none" w:sz="0" w:space="0" w:color="auto"/>
        <w:bottom w:val="none" w:sz="0" w:space="0" w:color="auto"/>
        <w:right w:val="none" w:sz="0" w:space="0" w:color="auto"/>
      </w:divBdr>
      <w:divsChild>
        <w:div w:id="753401995">
          <w:marLeft w:val="0"/>
          <w:marRight w:val="0"/>
          <w:marTop w:val="0"/>
          <w:marBottom w:val="0"/>
          <w:divBdr>
            <w:top w:val="none" w:sz="0" w:space="0" w:color="auto"/>
            <w:left w:val="none" w:sz="0" w:space="0" w:color="auto"/>
            <w:bottom w:val="none" w:sz="0" w:space="0" w:color="auto"/>
            <w:right w:val="none" w:sz="0" w:space="0" w:color="auto"/>
          </w:divBdr>
        </w:div>
      </w:divsChild>
    </w:div>
    <w:div w:id="1313480620">
      <w:marLeft w:val="0"/>
      <w:marRight w:val="0"/>
      <w:marTop w:val="0"/>
      <w:marBottom w:val="0"/>
      <w:divBdr>
        <w:top w:val="none" w:sz="0" w:space="0" w:color="auto"/>
        <w:left w:val="none" w:sz="0" w:space="0" w:color="auto"/>
        <w:bottom w:val="none" w:sz="0" w:space="0" w:color="auto"/>
        <w:right w:val="none" w:sz="0" w:space="0" w:color="auto"/>
      </w:divBdr>
      <w:divsChild>
        <w:div w:id="557283475">
          <w:marLeft w:val="0"/>
          <w:marRight w:val="0"/>
          <w:marTop w:val="0"/>
          <w:marBottom w:val="0"/>
          <w:divBdr>
            <w:top w:val="none" w:sz="0" w:space="0" w:color="auto"/>
            <w:left w:val="none" w:sz="0" w:space="0" w:color="auto"/>
            <w:bottom w:val="none" w:sz="0" w:space="0" w:color="auto"/>
            <w:right w:val="none" w:sz="0" w:space="0" w:color="auto"/>
          </w:divBdr>
        </w:div>
      </w:divsChild>
    </w:div>
    <w:div w:id="1341661837">
      <w:marLeft w:val="0"/>
      <w:marRight w:val="0"/>
      <w:marTop w:val="0"/>
      <w:marBottom w:val="0"/>
      <w:divBdr>
        <w:top w:val="none" w:sz="0" w:space="0" w:color="auto"/>
        <w:left w:val="none" w:sz="0" w:space="0" w:color="auto"/>
        <w:bottom w:val="none" w:sz="0" w:space="0" w:color="auto"/>
        <w:right w:val="none" w:sz="0" w:space="0" w:color="auto"/>
      </w:divBdr>
      <w:divsChild>
        <w:div w:id="200096527">
          <w:marLeft w:val="0"/>
          <w:marRight w:val="0"/>
          <w:marTop w:val="0"/>
          <w:marBottom w:val="0"/>
          <w:divBdr>
            <w:top w:val="none" w:sz="0" w:space="0" w:color="auto"/>
            <w:left w:val="none" w:sz="0" w:space="0" w:color="auto"/>
            <w:bottom w:val="none" w:sz="0" w:space="0" w:color="auto"/>
            <w:right w:val="none" w:sz="0" w:space="0" w:color="auto"/>
          </w:divBdr>
        </w:div>
      </w:divsChild>
    </w:div>
    <w:div w:id="1349066393">
      <w:marLeft w:val="0"/>
      <w:marRight w:val="0"/>
      <w:marTop w:val="0"/>
      <w:marBottom w:val="0"/>
      <w:divBdr>
        <w:top w:val="none" w:sz="0" w:space="0" w:color="auto"/>
        <w:left w:val="none" w:sz="0" w:space="0" w:color="auto"/>
        <w:bottom w:val="none" w:sz="0" w:space="0" w:color="auto"/>
        <w:right w:val="none" w:sz="0" w:space="0" w:color="auto"/>
      </w:divBdr>
      <w:divsChild>
        <w:div w:id="1640113143">
          <w:marLeft w:val="0"/>
          <w:marRight w:val="0"/>
          <w:marTop w:val="0"/>
          <w:marBottom w:val="0"/>
          <w:divBdr>
            <w:top w:val="none" w:sz="0" w:space="0" w:color="auto"/>
            <w:left w:val="none" w:sz="0" w:space="0" w:color="auto"/>
            <w:bottom w:val="none" w:sz="0" w:space="0" w:color="auto"/>
            <w:right w:val="none" w:sz="0" w:space="0" w:color="auto"/>
          </w:divBdr>
        </w:div>
      </w:divsChild>
    </w:div>
    <w:div w:id="1357610657">
      <w:marLeft w:val="0"/>
      <w:marRight w:val="0"/>
      <w:marTop w:val="0"/>
      <w:marBottom w:val="0"/>
      <w:divBdr>
        <w:top w:val="none" w:sz="0" w:space="0" w:color="auto"/>
        <w:left w:val="none" w:sz="0" w:space="0" w:color="auto"/>
        <w:bottom w:val="none" w:sz="0" w:space="0" w:color="auto"/>
        <w:right w:val="none" w:sz="0" w:space="0" w:color="auto"/>
      </w:divBdr>
      <w:divsChild>
        <w:div w:id="14697155">
          <w:marLeft w:val="0"/>
          <w:marRight w:val="0"/>
          <w:marTop w:val="0"/>
          <w:marBottom w:val="0"/>
          <w:divBdr>
            <w:top w:val="none" w:sz="0" w:space="0" w:color="auto"/>
            <w:left w:val="none" w:sz="0" w:space="0" w:color="auto"/>
            <w:bottom w:val="none" w:sz="0" w:space="0" w:color="auto"/>
            <w:right w:val="none" w:sz="0" w:space="0" w:color="auto"/>
          </w:divBdr>
        </w:div>
      </w:divsChild>
    </w:div>
    <w:div w:id="1384476292">
      <w:marLeft w:val="0"/>
      <w:marRight w:val="0"/>
      <w:marTop w:val="0"/>
      <w:marBottom w:val="0"/>
      <w:divBdr>
        <w:top w:val="none" w:sz="0" w:space="0" w:color="auto"/>
        <w:left w:val="none" w:sz="0" w:space="0" w:color="auto"/>
        <w:bottom w:val="none" w:sz="0" w:space="0" w:color="auto"/>
        <w:right w:val="none" w:sz="0" w:space="0" w:color="auto"/>
      </w:divBdr>
    </w:div>
    <w:div w:id="1397896172">
      <w:marLeft w:val="0"/>
      <w:marRight w:val="0"/>
      <w:marTop w:val="0"/>
      <w:marBottom w:val="0"/>
      <w:divBdr>
        <w:top w:val="none" w:sz="0" w:space="0" w:color="auto"/>
        <w:left w:val="none" w:sz="0" w:space="0" w:color="auto"/>
        <w:bottom w:val="none" w:sz="0" w:space="0" w:color="auto"/>
        <w:right w:val="none" w:sz="0" w:space="0" w:color="auto"/>
      </w:divBdr>
      <w:divsChild>
        <w:div w:id="602418134">
          <w:marLeft w:val="0"/>
          <w:marRight w:val="0"/>
          <w:marTop w:val="0"/>
          <w:marBottom w:val="0"/>
          <w:divBdr>
            <w:top w:val="none" w:sz="0" w:space="0" w:color="auto"/>
            <w:left w:val="none" w:sz="0" w:space="0" w:color="auto"/>
            <w:bottom w:val="none" w:sz="0" w:space="0" w:color="auto"/>
            <w:right w:val="none" w:sz="0" w:space="0" w:color="auto"/>
          </w:divBdr>
        </w:div>
      </w:divsChild>
    </w:div>
    <w:div w:id="1400640665">
      <w:marLeft w:val="0"/>
      <w:marRight w:val="0"/>
      <w:marTop w:val="0"/>
      <w:marBottom w:val="0"/>
      <w:divBdr>
        <w:top w:val="none" w:sz="0" w:space="0" w:color="auto"/>
        <w:left w:val="none" w:sz="0" w:space="0" w:color="auto"/>
        <w:bottom w:val="none" w:sz="0" w:space="0" w:color="auto"/>
        <w:right w:val="none" w:sz="0" w:space="0" w:color="auto"/>
      </w:divBdr>
      <w:divsChild>
        <w:div w:id="1412239653">
          <w:marLeft w:val="0"/>
          <w:marRight w:val="0"/>
          <w:marTop w:val="0"/>
          <w:marBottom w:val="0"/>
          <w:divBdr>
            <w:top w:val="none" w:sz="0" w:space="0" w:color="auto"/>
            <w:left w:val="none" w:sz="0" w:space="0" w:color="auto"/>
            <w:bottom w:val="none" w:sz="0" w:space="0" w:color="auto"/>
            <w:right w:val="none" w:sz="0" w:space="0" w:color="auto"/>
          </w:divBdr>
        </w:div>
      </w:divsChild>
    </w:div>
    <w:div w:id="1417632084">
      <w:marLeft w:val="0"/>
      <w:marRight w:val="0"/>
      <w:marTop w:val="0"/>
      <w:marBottom w:val="0"/>
      <w:divBdr>
        <w:top w:val="none" w:sz="0" w:space="0" w:color="auto"/>
        <w:left w:val="none" w:sz="0" w:space="0" w:color="auto"/>
        <w:bottom w:val="none" w:sz="0" w:space="0" w:color="auto"/>
        <w:right w:val="none" w:sz="0" w:space="0" w:color="auto"/>
      </w:divBdr>
      <w:divsChild>
        <w:div w:id="1537620081">
          <w:marLeft w:val="0"/>
          <w:marRight w:val="0"/>
          <w:marTop w:val="0"/>
          <w:marBottom w:val="0"/>
          <w:divBdr>
            <w:top w:val="none" w:sz="0" w:space="0" w:color="auto"/>
            <w:left w:val="none" w:sz="0" w:space="0" w:color="auto"/>
            <w:bottom w:val="none" w:sz="0" w:space="0" w:color="auto"/>
            <w:right w:val="none" w:sz="0" w:space="0" w:color="auto"/>
          </w:divBdr>
        </w:div>
      </w:divsChild>
    </w:div>
    <w:div w:id="1453095130">
      <w:marLeft w:val="0"/>
      <w:marRight w:val="0"/>
      <w:marTop w:val="0"/>
      <w:marBottom w:val="0"/>
      <w:divBdr>
        <w:top w:val="none" w:sz="0" w:space="0" w:color="auto"/>
        <w:left w:val="none" w:sz="0" w:space="0" w:color="auto"/>
        <w:bottom w:val="none" w:sz="0" w:space="0" w:color="auto"/>
        <w:right w:val="none" w:sz="0" w:space="0" w:color="auto"/>
      </w:divBdr>
      <w:divsChild>
        <w:div w:id="903955746">
          <w:marLeft w:val="0"/>
          <w:marRight w:val="0"/>
          <w:marTop w:val="0"/>
          <w:marBottom w:val="0"/>
          <w:divBdr>
            <w:top w:val="none" w:sz="0" w:space="0" w:color="auto"/>
            <w:left w:val="none" w:sz="0" w:space="0" w:color="auto"/>
            <w:bottom w:val="none" w:sz="0" w:space="0" w:color="auto"/>
            <w:right w:val="none" w:sz="0" w:space="0" w:color="auto"/>
          </w:divBdr>
        </w:div>
      </w:divsChild>
    </w:div>
    <w:div w:id="1454324783">
      <w:marLeft w:val="0"/>
      <w:marRight w:val="0"/>
      <w:marTop w:val="0"/>
      <w:marBottom w:val="0"/>
      <w:divBdr>
        <w:top w:val="none" w:sz="0" w:space="0" w:color="auto"/>
        <w:left w:val="none" w:sz="0" w:space="0" w:color="auto"/>
        <w:bottom w:val="none" w:sz="0" w:space="0" w:color="auto"/>
        <w:right w:val="none" w:sz="0" w:space="0" w:color="auto"/>
      </w:divBdr>
      <w:divsChild>
        <w:div w:id="164395269">
          <w:marLeft w:val="0"/>
          <w:marRight w:val="0"/>
          <w:marTop w:val="0"/>
          <w:marBottom w:val="0"/>
          <w:divBdr>
            <w:top w:val="none" w:sz="0" w:space="0" w:color="auto"/>
            <w:left w:val="none" w:sz="0" w:space="0" w:color="auto"/>
            <w:bottom w:val="none" w:sz="0" w:space="0" w:color="auto"/>
            <w:right w:val="none" w:sz="0" w:space="0" w:color="auto"/>
          </w:divBdr>
        </w:div>
      </w:divsChild>
    </w:div>
    <w:div w:id="1495416146">
      <w:marLeft w:val="0"/>
      <w:marRight w:val="0"/>
      <w:marTop w:val="0"/>
      <w:marBottom w:val="0"/>
      <w:divBdr>
        <w:top w:val="none" w:sz="0" w:space="0" w:color="auto"/>
        <w:left w:val="none" w:sz="0" w:space="0" w:color="auto"/>
        <w:bottom w:val="none" w:sz="0" w:space="0" w:color="auto"/>
        <w:right w:val="none" w:sz="0" w:space="0" w:color="auto"/>
      </w:divBdr>
      <w:divsChild>
        <w:div w:id="1565412950">
          <w:marLeft w:val="0"/>
          <w:marRight w:val="0"/>
          <w:marTop w:val="0"/>
          <w:marBottom w:val="0"/>
          <w:divBdr>
            <w:top w:val="none" w:sz="0" w:space="0" w:color="auto"/>
            <w:left w:val="none" w:sz="0" w:space="0" w:color="auto"/>
            <w:bottom w:val="none" w:sz="0" w:space="0" w:color="auto"/>
            <w:right w:val="none" w:sz="0" w:space="0" w:color="auto"/>
          </w:divBdr>
        </w:div>
      </w:divsChild>
    </w:div>
    <w:div w:id="1506742600">
      <w:marLeft w:val="0"/>
      <w:marRight w:val="0"/>
      <w:marTop w:val="0"/>
      <w:marBottom w:val="0"/>
      <w:divBdr>
        <w:top w:val="none" w:sz="0" w:space="0" w:color="auto"/>
        <w:left w:val="none" w:sz="0" w:space="0" w:color="auto"/>
        <w:bottom w:val="none" w:sz="0" w:space="0" w:color="auto"/>
        <w:right w:val="none" w:sz="0" w:space="0" w:color="auto"/>
      </w:divBdr>
      <w:divsChild>
        <w:div w:id="488638734">
          <w:marLeft w:val="0"/>
          <w:marRight w:val="0"/>
          <w:marTop w:val="0"/>
          <w:marBottom w:val="0"/>
          <w:divBdr>
            <w:top w:val="none" w:sz="0" w:space="0" w:color="auto"/>
            <w:left w:val="none" w:sz="0" w:space="0" w:color="auto"/>
            <w:bottom w:val="none" w:sz="0" w:space="0" w:color="auto"/>
            <w:right w:val="none" w:sz="0" w:space="0" w:color="auto"/>
          </w:divBdr>
        </w:div>
      </w:divsChild>
    </w:div>
    <w:div w:id="1542787130">
      <w:marLeft w:val="0"/>
      <w:marRight w:val="0"/>
      <w:marTop w:val="0"/>
      <w:marBottom w:val="0"/>
      <w:divBdr>
        <w:top w:val="none" w:sz="0" w:space="0" w:color="auto"/>
        <w:left w:val="none" w:sz="0" w:space="0" w:color="auto"/>
        <w:bottom w:val="none" w:sz="0" w:space="0" w:color="auto"/>
        <w:right w:val="none" w:sz="0" w:space="0" w:color="auto"/>
      </w:divBdr>
      <w:divsChild>
        <w:div w:id="2002585830">
          <w:marLeft w:val="0"/>
          <w:marRight w:val="0"/>
          <w:marTop w:val="0"/>
          <w:marBottom w:val="0"/>
          <w:divBdr>
            <w:top w:val="none" w:sz="0" w:space="0" w:color="auto"/>
            <w:left w:val="none" w:sz="0" w:space="0" w:color="auto"/>
            <w:bottom w:val="none" w:sz="0" w:space="0" w:color="auto"/>
            <w:right w:val="none" w:sz="0" w:space="0" w:color="auto"/>
          </w:divBdr>
        </w:div>
      </w:divsChild>
    </w:div>
    <w:div w:id="1560943403">
      <w:marLeft w:val="0"/>
      <w:marRight w:val="0"/>
      <w:marTop w:val="0"/>
      <w:marBottom w:val="0"/>
      <w:divBdr>
        <w:top w:val="none" w:sz="0" w:space="0" w:color="auto"/>
        <w:left w:val="none" w:sz="0" w:space="0" w:color="auto"/>
        <w:bottom w:val="none" w:sz="0" w:space="0" w:color="auto"/>
        <w:right w:val="none" w:sz="0" w:space="0" w:color="auto"/>
      </w:divBdr>
      <w:divsChild>
        <w:div w:id="2069650384">
          <w:marLeft w:val="0"/>
          <w:marRight w:val="0"/>
          <w:marTop w:val="0"/>
          <w:marBottom w:val="0"/>
          <w:divBdr>
            <w:top w:val="none" w:sz="0" w:space="0" w:color="auto"/>
            <w:left w:val="none" w:sz="0" w:space="0" w:color="auto"/>
            <w:bottom w:val="none" w:sz="0" w:space="0" w:color="auto"/>
            <w:right w:val="none" w:sz="0" w:space="0" w:color="auto"/>
          </w:divBdr>
        </w:div>
      </w:divsChild>
    </w:div>
    <w:div w:id="1567644079">
      <w:marLeft w:val="0"/>
      <w:marRight w:val="0"/>
      <w:marTop w:val="0"/>
      <w:marBottom w:val="0"/>
      <w:divBdr>
        <w:top w:val="none" w:sz="0" w:space="0" w:color="auto"/>
        <w:left w:val="none" w:sz="0" w:space="0" w:color="auto"/>
        <w:bottom w:val="none" w:sz="0" w:space="0" w:color="auto"/>
        <w:right w:val="none" w:sz="0" w:space="0" w:color="auto"/>
      </w:divBdr>
      <w:divsChild>
        <w:div w:id="737676435">
          <w:marLeft w:val="0"/>
          <w:marRight w:val="0"/>
          <w:marTop w:val="0"/>
          <w:marBottom w:val="0"/>
          <w:divBdr>
            <w:top w:val="none" w:sz="0" w:space="0" w:color="auto"/>
            <w:left w:val="none" w:sz="0" w:space="0" w:color="auto"/>
            <w:bottom w:val="none" w:sz="0" w:space="0" w:color="auto"/>
            <w:right w:val="none" w:sz="0" w:space="0" w:color="auto"/>
          </w:divBdr>
        </w:div>
      </w:divsChild>
    </w:div>
    <w:div w:id="1589002411">
      <w:marLeft w:val="0"/>
      <w:marRight w:val="0"/>
      <w:marTop w:val="0"/>
      <w:marBottom w:val="0"/>
      <w:divBdr>
        <w:top w:val="none" w:sz="0" w:space="0" w:color="auto"/>
        <w:left w:val="none" w:sz="0" w:space="0" w:color="auto"/>
        <w:bottom w:val="none" w:sz="0" w:space="0" w:color="auto"/>
        <w:right w:val="none" w:sz="0" w:space="0" w:color="auto"/>
      </w:divBdr>
      <w:divsChild>
        <w:div w:id="707874911">
          <w:marLeft w:val="0"/>
          <w:marRight w:val="0"/>
          <w:marTop w:val="0"/>
          <w:marBottom w:val="0"/>
          <w:divBdr>
            <w:top w:val="none" w:sz="0" w:space="0" w:color="auto"/>
            <w:left w:val="none" w:sz="0" w:space="0" w:color="auto"/>
            <w:bottom w:val="none" w:sz="0" w:space="0" w:color="auto"/>
            <w:right w:val="none" w:sz="0" w:space="0" w:color="auto"/>
          </w:divBdr>
        </w:div>
      </w:divsChild>
    </w:div>
    <w:div w:id="1595094251">
      <w:bodyDiv w:val="1"/>
      <w:marLeft w:val="0"/>
      <w:marRight w:val="0"/>
      <w:marTop w:val="0"/>
      <w:marBottom w:val="0"/>
      <w:divBdr>
        <w:top w:val="none" w:sz="0" w:space="0" w:color="auto"/>
        <w:left w:val="none" w:sz="0" w:space="0" w:color="auto"/>
        <w:bottom w:val="none" w:sz="0" w:space="0" w:color="auto"/>
        <w:right w:val="none" w:sz="0" w:space="0" w:color="auto"/>
      </w:divBdr>
      <w:divsChild>
        <w:div w:id="403727743">
          <w:marLeft w:val="0"/>
          <w:marRight w:val="0"/>
          <w:marTop w:val="0"/>
          <w:marBottom w:val="0"/>
          <w:divBdr>
            <w:top w:val="none" w:sz="0" w:space="0" w:color="auto"/>
            <w:left w:val="none" w:sz="0" w:space="0" w:color="auto"/>
            <w:bottom w:val="none" w:sz="0" w:space="0" w:color="auto"/>
            <w:right w:val="none" w:sz="0" w:space="0" w:color="auto"/>
          </w:divBdr>
          <w:divsChild>
            <w:div w:id="1442382538">
              <w:marLeft w:val="0"/>
              <w:marRight w:val="0"/>
              <w:marTop w:val="0"/>
              <w:marBottom w:val="0"/>
              <w:divBdr>
                <w:top w:val="none" w:sz="0" w:space="0" w:color="auto"/>
                <w:left w:val="none" w:sz="0" w:space="0" w:color="auto"/>
                <w:bottom w:val="none" w:sz="0" w:space="0" w:color="auto"/>
                <w:right w:val="none" w:sz="0" w:space="0" w:color="auto"/>
              </w:divBdr>
              <w:divsChild>
                <w:div w:id="846092320">
                  <w:marLeft w:val="150"/>
                  <w:marRight w:val="150"/>
                  <w:marTop w:val="150"/>
                  <w:marBottom w:val="150"/>
                  <w:divBdr>
                    <w:top w:val="none" w:sz="0" w:space="0" w:color="auto"/>
                    <w:left w:val="none" w:sz="0" w:space="0" w:color="auto"/>
                    <w:bottom w:val="none" w:sz="0" w:space="0" w:color="auto"/>
                    <w:right w:val="none" w:sz="0" w:space="0" w:color="auto"/>
                  </w:divBdr>
                  <w:divsChild>
                    <w:div w:id="2069649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314613">
          <w:marLeft w:val="0"/>
          <w:marRight w:val="0"/>
          <w:marTop w:val="0"/>
          <w:marBottom w:val="0"/>
          <w:divBdr>
            <w:top w:val="none" w:sz="0" w:space="0" w:color="auto"/>
            <w:left w:val="none" w:sz="0" w:space="0" w:color="auto"/>
            <w:bottom w:val="none" w:sz="0" w:space="0" w:color="auto"/>
            <w:right w:val="none" w:sz="0" w:space="0" w:color="auto"/>
          </w:divBdr>
          <w:divsChild>
            <w:div w:id="960841240">
              <w:marLeft w:val="0"/>
              <w:marRight w:val="0"/>
              <w:marTop w:val="0"/>
              <w:marBottom w:val="0"/>
              <w:divBdr>
                <w:top w:val="none" w:sz="0" w:space="0" w:color="auto"/>
                <w:left w:val="none" w:sz="0" w:space="0" w:color="auto"/>
                <w:bottom w:val="none" w:sz="0" w:space="0" w:color="auto"/>
                <w:right w:val="none" w:sz="0" w:space="0" w:color="auto"/>
              </w:divBdr>
              <w:divsChild>
                <w:div w:id="1892957550">
                  <w:marLeft w:val="150"/>
                  <w:marRight w:val="150"/>
                  <w:marTop w:val="150"/>
                  <w:marBottom w:val="150"/>
                  <w:divBdr>
                    <w:top w:val="none" w:sz="0" w:space="0" w:color="auto"/>
                    <w:left w:val="none" w:sz="0" w:space="0" w:color="auto"/>
                    <w:bottom w:val="none" w:sz="0" w:space="0" w:color="auto"/>
                    <w:right w:val="none" w:sz="0" w:space="0" w:color="auto"/>
                  </w:divBdr>
                  <w:divsChild>
                    <w:div w:id="794102901">
                      <w:marLeft w:val="0"/>
                      <w:marRight w:val="0"/>
                      <w:marTop w:val="0"/>
                      <w:marBottom w:val="0"/>
                      <w:divBdr>
                        <w:top w:val="none" w:sz="0" w:space="0" w:color="auto"/>
                        <w:left w:val="none" w:sz="0" w:space="0" w:color="auto"/>
                        <w:bottom w:val="none" w:sz="0" w:space="0" w:color="auto"/>
                        <w:right w:val="none" w:sz="0" w:space="0" w:color="auto"/>
                      </w:divBdr>
                      <w:divsChild>
                        <w:div w:id="544485258">
                          <w:marLeft w:val="0"/>
                          <w:marRight w:val="0"/>
                          <w:marTop w:val="0"/>
                          <w:marBottom w:val="0"/>
                          <w:divBdr>
                            <w:top w:val="none" w:sz="0" w:space="0" w:color="auto"/>
                            <w:left w:val="none" w:sz="0" w:space="0" w:color="auto"/>
                            <w:bottom w:val="none" w:sz="0" w:space="0" w:color="auto"/>
                            <w:right w:val="none" w:sz="0" w:space="0" w:color="auto"/>
                          </w:divBdr>
                          <w:divsChild>
                            <w:div w:id="708606527">
                              <w:marLeft w:val="150"/>
                              <w:marRight w:val="150"/>
                              <w:marTop w:val="15"/>
                              <w:marBottom w:val="150"/>
                              <w:divBdr>
                                <w:top w:val="none" w:sz="0" w:space="0" w:color="auto"/>
                                <w:left w:val="none" w:sz="0" w:space="0" w:color="auto"/>
                                <w:bottom w:val="none" w:sz="0" w:space="0" w:color="auto"/>
                                <w:right w:val="none" w:sz="0" w:space="0" w:color="auto"/>
                              </w:divBdr>
                              <w:divsChild>
                                <w:div w:id="269289056">
                                  <w:marLeft w:val="0"/>
                                  <w:marRight w:val="0"/>
                                  <w:marTop w:val="525"/>
                                  <w:marBottom w:val="0"/>
                                  <w:divBdr>
                                    <w:top w:val="none" w:sz="0" w:space="0" w:color="auto"/>
                                    <w:left w:val="none" w:sz="0" w:space="0" w:color="auto"/>
                                    <w:bottom w:val="none" w:sz="0" w:space="0" w:color="auto"/>
                                    <w:right w:val="none" w:sz="0" w:space="0" w:color="auto"/>
                                  </w:divBdr>
                                </w:div>
                                <w:div w:id="1646618318">
                                  <w:marLeft w:val="0"/>
                                  <w:marRight w:val="0"/>
                                  <w:marTop w:val="0"/>
                                  <w:marBottom w:val="0"/>
                                  <w:divBdr>
                                    <w:top w:val="none" w:sz="0" w:space="0" w:color="auto"/>
                                    <w:left w:val="none" w:sz="0" w:space="0" w:color="auto"/>
                                    <w:bottom w:val="none" w:sz="0" w:space="0" w:color="auto"/>
                                    <w:right w:val="none" w:sz="0" w:space="0" w:color="auto"/>
                                  </w:divBdr>
                                  <w:divsChild>
                                    <w:div w:id="2074545095">
                                      <w:marLeft w:val="0"/>
                                      <w:marRight w:val="0"/>
                                      <w:marTop w:val="0"/>
                                      <w:marBottom w:val="0"/>
                                      <w:divBdr>
                                        <w:top w:val="none" w:sz="0" w:space="0" w:color="auto"/>
                                        <w:left w:val="none" w:sz="0" w:space="0" w:color="auto"/>
                                        <w:bottom w:val="none" w:sz="0" w:space="0" w:color="auto"/>
                                        <w:right w:val="none" w:sz="0" w:space="0" w:color="auto"/>
                                      </w:divBdr>
                                      <w:divsChild>
                                        <w:div w:id="1455517223">
                                          <w:marLeft w:val="0"/>
                                          <w:marRight w:val="0"/>
                                          <w:marTop w:val="0"/>
                                          <w:marBottom w:val="0"/>
                                          <w:divBdr>
                                            <w:top w:val="none" w:sz="0" w:space="0" w:color="auto"/>
                                            <w:left w:val="none" w:sz="0" w:space="0" w:color="auto"/>
                                            <w:bottom w:val="none" w:sz="0" w:space="0" w:color="auto"/>
                                            <w:right w:val="none" w:sz="0" w:space="0" w:color="auto"/>
                                          </w:divBdr>
                                          <w:divsChild>
                                            <w:div w:id="629169678">
                                              <w:marLeft w:val="0"/>
                                              <w:marRight w:val="0"/>
                                              <w:marTop w:val="0"/>
                                              <w:marBottom w:val="0"/>
                                              <w:divBdr>
                                                <w:top w:val="none" w:sz="0" w:space="0" w:color="auto"/>
                                                <w:left w:val="none" w:sz="0" w:space="0" w:color="auto"/>
                                                <w:bottom w:val="none" w:sz="0" w:space="0" w:color="auto"/>
                                                <w:right w:val="none" w:sz="0" w:space="0" w:color="auto"/>
                                              </w:divBdr>
                                              <w:divsChild>
                                                <w:div w:id="235091906">
                                                  <w:marLeft w:val="0"/>
                                                  <w:marRight w:val="0"/>
                                                  <w:marTop w:val="0"/>
                                                  <w:marBottom w:val="0"/>
                                                  <w:divBdr>
                                                    <w:top w:val="none" w:sz="0" w:space="0" w:color="auto"/>
                                                    <w:left w:val="none" w:sz="0" w:space="0" w:color="auto"/>
                                                    <w:bottom w:val="none" w:sz="0" w:space="0" w:color="auto"/>
                                                    <w:right w:val="none" w:sz="0" w:space="0" w:color="auto"/>
                                                  </w:divBdr>
                                                  <w:divsChild>
                                                    <w:div w:id="890382823">
                                                      <w:marLeft w:val="0"/>
                                                      <w:marRight w:val="0"/>
                                                      <w:marTop w:val="0"/>
                                                      <w:marBottom w:val="0"/>
                                                      <w:divBdr>
                                                        <w:top w:val="none" w:sz="0" w:space="0" w:color="auto"/>
                                                        <w:left w:val="none" w:sz="0" w:space="0" w:color="auto"/>
                                                        <w:bottom w:val="none" w:sz="0" w:space="0" w:color="auto"/>
                                                        <w:right w:val="none" w:sz="0" w:space="0" w:color="auto"/>
                                                      </w:divBdr>
                                                      <w:divsChild>
                                                        <w:div w:id="300232652">
                                                          <w:marLeft w:val="0"/>
                                                          <w:marRight w:val="0"/>
                                                          <w:marTop w:val="0"/>
                                                          <w:marBottom w:val="0"/>
                                                          <w:divBdr>
                                                            <w:top w:val="none" w:sz="0" w:space="0" w:color="auto"/>
                                                            <w:left w:val="none" w:sz="0" w:space="0" w:color="auto"/>
                                                            <w:bottom w:val="none" w:sz="0" w:space="0" w:color="auto"/>
                                                            <w:right w:val="none" w:sz="0" w:space="0" w:color="auto"/>
                                                          </w:divBdr>
                                                        </w:div>
                                                        <w:div w:id="469631775">
                                                          <w:marLeft w:val="0"/>
                                                          <w:marRight w:val="0"/>
                                                          <w:marTop w:val="0"/>
                                                          <w:marBottom w:val="0"/>
                                                          <w:divBdr>
                                                            <w:top w:val="single" w:sz="6" w:space="7" w:color="auto"/>
                                                            <w:left w:val="none" w:sz="0" w:space="0" w:color="auto"/>
                                                            <w:bottom w:val="none" w:sz="0" w:space="0" w:color="auto"/>
                                                            <w:right w:val="none" w:sz="0" w:space="0" w:color="auto"/>
                                                          </w:divBdr>
                                                          <w:divsChild>
                                                            <w:div w:id="633292820">
                                                              <w:marLeft w:val="0"/>
                                                              <w:marRight w:val="0"/>
                                                              <w:marTop w:val="0"/>
                                                              <w:marBottom w:val="0"/>
                                                              <w:divBdr>
                                                                <w:top w:val="none" w:sz="0" w:space="0" w:color="auto"/>
                                                                <w:left w:val="none" w:sz="0" w:space="0" w:color="auto"/>
                                                                <w:bottom w:val="none" w:sz="0" w:space="0" w:color="auto"/>
                                                                <w:right w:val="none" w:sz="0" w:space="0" w:color="auto"/>
                                                              </w:divBdr>
                                                              <w:divsChild>
                                                                <w:div w:id="2076079306">
                                                                  <w:marLeft w:val="0"/>
                                                                  <w:marRight w:val="0"/>
                                                                  <w:marTop w:val="0"/>
                                                                  <w:marBottom w:val="0"/>
                                                                  <w:divBdr>
                                                                    <w:top w:val="none" w:sz="0" w:space="0" w:color="auto"/>
                                                                    <w:left w:val="none" w:sz="0" w:space="0" w:color="auto"/>
                                                                    <w:bottom w:val="none" w:sz="0" w:space="0" w:color="auto"/>
                                                                    <w:right w:val="none" w:sz="0" w:space="0" w:color="auto"/>
                                                                  </w:divBdr>
                                                                </w:div>
                                                              </w:divsChild>
                                                            </w:div>
                                                            <w:div w:id="1457865903">
                                                              <w:marLeft w:val="0"/>
                                                              <w:marRight w:val="0"/>
                                                              <w:marTop w:val="0"/>
                                                              <w:marBottom w:val="0"/>
                                                              <w:divBdr>
                                                                <w:top w:val="none" w:sz="0" w:space="0" w:color="auto"/>
                                                                <w:left w:val="none" w:sz="0" w:space="0" w:color="auto"/>
                                                                <w:bottom w:val="none" w:sz="0" w:space="0" w:color="auto"/>
                                                                <w:right w:val="none" w:sz="0" w:space="0" w:color="auto"/>
                                                              </w:divBdr>
                                                            </w:div>
                                                          </w:divsChild>
                                                        </w:div>
                                                        <w:div w:id="484276762">
                                                          <w:marLeft w:val="0"/>
                                                          <w:marRight w:val="0"/>
                                                          <w:marTop w:val="0"/>
                                                          <w:marBottom w:val="0"/>
                                                          <w:divBdr>
                                                            <w:top w:val="none" w:sz="0" w:space="0" w:color="auto"/>
                                                            <w:left w:val="none" w:sz="0" w:space="0" w:color="auto"/>
                                                            <w:bottom w:val="none" w:sz="0" w:space="0" w:color="auto"/>
                                                            <w:right w:val="none" w:sz="0" w:space="0" w:color="auto"/>
                                                          </w:divBdr>
                                                        </w:div>
                                                        <w:div w:id="732236461">
                                                          <w:marLeft w:val="0"/>
                                                          <w:marRight w:val="0"/>
                                                          <w:marTop w:val="0"/>
                                                          <w:marBottom w:val="0"/>
                                                          <w:divBdr>
                                                            <w:top w:val="none" w:sz="0" w:space="0" w:color="auto"/>
                                                            <w:left w:val="none" w:sz="0" w:space="0" w:color="auto"/>
                                                            <w:bottom w:val="none" w:sz="0" w:space="0" w:color="auto"/>
                                                            <w:right w:val="none" w:sz="0" w:space="0" w:color="auto"/>
                                                          </w:divBdr>
                                                        </w:div>
                                                        <w:div w:id="982933276">
                                                          <w:marLeft w:val="0"/>
                                                          <w:marRight w:val="0"/>
                                                          <w:marTop w:val="0"/>
                                                          <w:marBottom w:val="0"/>
                                                          <w:divBdr>
                                                            <w:top w:val="none" w:sz="0" w:space="0" w:color="auto"/>
                                                            <w:left w:val="none" w:sz="0" w:space="0" w:color="auto"/>
                                                            <w:bottom w:val="none" w:sz="0" w:space="0" w:color="auto"/>
                                                            <w:right w:val="none" w:sz="0" w:space="0" w:color="auto"/>
                                                          </w:divBdr>
                                                        </w:div>
                                                        <w:div w:id="1185943049">
                                                          <w:marLeft w:val="0"/>
                                                          <w:marRight w:val="0"/>
                                                          <w:marTop w:val="0"/>
                                                          <w:marBottom w:val="0"/>
                                                          <w:divBdr>
                                                            <w:top w:val="none" w:sz="0" w:space="0" w:color="auto"/>
                                                            <w:left w:val="none" w:sz="0" w:space="0" w:color="auto"/>
                                                            <w:bottom w:val="none" w:sz="0" w:space="0" w:color="auto"/>
                                                            <w:right w:val="none" w:sz="0" w:space="0" w:color="auto"/>
                                                          </w:divBdr>
                                                        </w:div>
                                                        <w:div w:id="1214344382">
                                                          <w:marLeft w:val="0"/>
                                                          <w:marRight w:val="0"/>
                                                          <w:marTop w:val="0"/>
                                                          <w:marBottom w:val="0"/>
                                                          <w:divBdr>
                                                            <w:top w:val="none" w:sz="0" w:space="0" w:color="auto"/>
                                                            <w:left w:val="none" w:sz="0" w:space="0" w:color="auto"/>
                                                            <w:bottom w:val="none" w:sz="0" w:space="0" w:color="auto"/>
                                                            <w:right w:val="none" w:sz="0" w:space="0" w:color="auto"/>
                                                          </w:divBdr>
                                                        </w:div>
                                                        <w:div w:id="1270163776">
                                                          <w:marLeft w:val="0"/>
                                                          <w:marRight w:val="0"/>
                                                          <w:marTop w:val="0"/>
                                                          <w:marBottom w:val="0"/>
                                                          <w:divBdr>
                                                            <w:top w:val="none" w:sz="0" w:space="0" w:color="auto"/>
                                                            <w:left w:val="none" w:sz="0" w:space="0" w:color="auto"/>
                                                            <w:bottom w:val="none" w:sz="0" w:space="0" w:color="auto"/>
                                                            <w:right w:val="none" w:sz="0" w:space="0" w:color="auto"/>
                                                          </w:divBdr>
                                                        </w:div>
                                                        <w:div w:id="1349722886">
                                                          <w:marLeft w:val="0"/>
                                                          <w:marRight w:val="0"/>
                                                          <w:marTop w:val="0"/>
                                                          <w:marBottom w:val="0"/>
                                                          <w:divBdr>
                                                            <w:top w:val="none" w:sz="0" w:space="0" w:color="auto"/>
                                                            <w:left w:val="none" w:sz="0" w:space="0" w:color="auto"/>
                                                            <w:bottom w:val="none" w:sz="0" w:space="0" w:color="auto"/>
                                                            <w:right w:val="none" w:sz="0" w:space="0" w:color="auto"/>
                                                          </w:divBdr>
                                                        </w:div>
                                                        <w:div w:id="1503887006">
                                                          <w:marLeft w:val="0"/>
                                                          <w:marRight w:val="0"/>
                                                          <w:marTop w:val="0"/>
                                                          <w:marBottom w:val="0"/>
                                                          <w:divBdr>
                                                            <w:top w:val="none" w:sz="0" w:space="0" w:color="auto"/>
                                                            <w:left w:val="none" w:sz="0" w:space="0" w:color="auto"/>
                                                            <w:bottom w:val="none" w:sz="0" w:space="0" w:color="auto"/>
                                                            <w:right w:val="none" w:sz="0" w:space="0" w:color="auto"/>
                                                          </w:divBdr>
                                                        </w:div>
                                                        <w:div w:id="1763716578">
                                                          <w:marLeft w:val="0"/>
                                                          <w:marRight w:val="0"/>
                                                          <w:marTop w:val="0"/>
                                                          <w:marBottom w:val="0"/>
                                                          <w:divBdr>
                                                            <w:top w:val="none" w:sz="0" w:space="0" w:color="auto"/>
                                                            <w:left w:val="none" w:sz="0" w:space="0" w:color="auto"/>
                                                            <w:bottom w:val="none" w:sz="0" w:space="0" w:color="auto"/>
                                                            <w:right w:val="none" w:sz="0" w:space="0" w:color="auto"/>
                                                          </w:divBdr>
                                                        </w:div>
                                                        <w:div w:id="1847666472">
                                                          <w:marLeft w:val="0"/>
                                                          <w:marRight w:val="0"/>
                                                          <w:marTop w:val="0"/>
                                                          <w:marBottom w:val="0"/>
                                                          <w:divBdr>
                                                            <w:top w:val="none" w:sz="0" w:space="0" w:color="auto"/>
                                                            <w:left w:val="none" w:sz="0" w:space="0" w:color="auto"/>
                                                            <w:bottom w:val="none" w:sz="0" w:space="0" w:color="auto"/>
                                                            <w:right w:val="none" w:sz="0" w:space="0" w:color="auto"/>
                                                          </w:divBdr>
                                                        </w:div>
                                                        <w:div w:id="2133281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9156124">
                              <w:marLeft w:val="135"/>
                              <w:marRight w:val="135"/>
                              <w:marTop w:val="0"/>
                              <w:marBottom w:val="135"/>
                              <w:divBdr>
                                <w:top w:val="none" w:sz="0" w:space="0" w:color="auto"/>
                                <w:left w:val="none" w:sz="0" w:space="0" w:color="auto"/>
                                <w:bottom w:val="none" w:sz="0" w:space="0" w:color="auto"/>
                                <w:right w:val="none" w:sz="0" w:space="0" w:color="auto"/>
                              </w:divBdr>
                              <w:divsChild>
                                <w:div w:id="878737933">
                                  <w:marLeft w:val="0"/>
                                  <w:marRight w:val="0"/>
                                  <w:marTop w:val="675"/>
                                  <w:marBottom w:val="0"/>
                                  <w:divBdr>
                                    <w:top w:val="none" w:sz="0" w:space="0" w:color="auto"/>
                                    <w:left w:val="none" w:sz="0" w:space="0" w:color="auto"/>
                                    <w:bottom w:val="none" w:sz="0" w:space="0" w:color="auto"/>
                                    <w:right w:val="none" w:sz="0" w:space="0" w:color="auto"/>
                                  </w:divBdr>
                                </w:div>
                                <w:div w:id="1085029288">
                                  <w:marLeft w:val="0"/>
                                  <w:marRight w:val="0"/>
                                  <w:marTop w:val="0"/>
                                  <w:marBottom w:val="0"/>
                                  <w:divBdr>
                                    <w:top w:val="none" w:sz="0" w:space="0" w:color="auto"/>
                                    <w:left w:val="none" w:sz="0" w:space="0" w:color="auto"/>
                                    <w:bottom w:val="none" w:sz="0" w:space="0" w:color="auto"/>
                                    <w:right w:val="none" w:sz="0" w:space="0" w:color="auto"/>
                                  </w:divBdr>
                                  <w:divsChild>
                                    <w:div w:id="2094740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761621">
                          <w:marLeft w:val="0"/>
                          <w:marRight w:val="0"/>
                          <w:marTop w:val="0"/>
                          <w:marBottom w:val="0"/>
                          <w:divBdr>
                            <w:top w:val="none" w:sz="0" w:space="0" w:color="auto"/>
                            <w:left w:val="none" w:sz="0" w:space="0" w:color="auto"/>
                            <w:bottom w:val="none" w:sz="0" w:space="0" w:color="auto"/>
                            <w:right w:val="none" w:sz="0" w:space="0" w:color="auto"/>
                          </w:divBdr>
                          <w:divsChild>
                            <w:div w:id="737560570">
                              <w:marLeft w:val="0"/>
                              <w:marRight w:val="0"/>
                              <w:marTop w:val="0"/>
                              <w:marBottom w:val="0"/>
                              <w:divBdr>
                                <w:top w:val="none" w:sz="0" w:space="0" w:color="auto"/>
                                <w:left w:val="none" w:sz="0" w:space="0" w:color="auto"/>
                                <w:bottom w:val="none" w:sz="0" w:space="0" w:color="auto"/>
                                <w:right w:val="none" w:sz="0" w:space="0" w:color="auto"/>
                              </w:divBdr>
                              <w:divsChild>
                                <w:div w:id="1813981058">
                                  <w:marLeft w:val="0"/>
                                  <w:marRight w:val="0"/>
                                  <w:marTop w:val="0"/>
                                  <w:marBottom w:val="0"/>
                                  <w:divBdr>
                                    <w:top w:val="none" w:sz="0" w:space="0" w:color="auto"/>
                                    <w:left w:val="none" w:sz="0" w:space="0" w:color="auto"/>
                                    <w:bottom w:val="none" w:sz="0" w:space="0" w:color="auto"/>
                                    <w:right w:val="none" w:sz="0" w:space="0" w:color="auto"/>
                                  </w:divBdr>
                                  <w:divsChild>
                                    <w:div w:id="114957073">
                                      <w:marLeft w:val="0"/>
                                      <w:marRight w:val="0"/>
                                      <w:marTop w:val="0"/>
                                      <w:marBottom w:val="0"/>
                                      <w:divBdr>
                                        <w:top w:val="none" w:sz="0" w:space="0" w:color="auto"/>
                                        <w:left w:val="none" w:sz="0" w:space="0" w:color="auto"/>
                                        <w:bottom w:val="none" w:sz="0" w:space="0" w:color="auto"/>
                                        <w:right w:val="none" w:sz="0" w:space="0" w:color="auto"/>
                                      </w:divBdr>
                                      <w:divsChild>
                                        <w:div w:id="1453288449">
                                          <w:marLeft w:val="0"/>
                                          <w:marRight w:val="0"/>
                                          <w:marTop w:val="0"/>
                                          <w:marBottom w:val="0"/>
                                          <w:divBdr>
                                            <w:top w:val="none" w:sz="0" w:space="0" w:color="auto"/>
                                            <w:left w:val="none" w:sz="0" w:space="0" w:color="auto"/>
                                            <w:bottom w:val="none" w:sz="0" w:space="0" w:color="auto"/>
                                            <w:right w:val="none" w:sz="0" w:space="0" w:color="auto"/>
                                          </w:divBdr>
                                          <w:divsChild>
                                            <w:div w:id="968634173">
                                              <w:marLeft w:val="0"/>
                                              <w:marRight w:val="0"/>
                                              <w:marTop w:val="0"/>
                                              <w:marBottom w:val="0"/>
                                              <w:divBdr>
                                                <w:top w:val="none" w:sz="0" w:space="0" w:color="auto"/>
                                                <w:left w:val="none" w:sz="0" w:space="0" w:color="auto"/>
                                                <w:bottom w:val="none" w:sz="0" w:space="0" w:color="auto"/>
                                                <w:right w:val="none" w:sz="0" w:space="0" w:color="auto"/>
                                              </w:divBdr>
                                              <w:divsChild>
                                                <w:div w:id="1719622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85930332">
          <w:marLeft w:val="0"/>
          <w:marRight w:val="0"/>
          <w:marTop w:val="0"/>
          <w:marBottom w:val="0"/>
          <w:divBdr>
            <w:top w:val="none" w:sz="0" w:space="0" w:color="auto"/>
            <w:left w:val="none" w:sz="0" w:space="0" w:color="auto"/>
            <w:bottom w:val="none" w:sz="0" w:space="0" w:color="auto"/>
            <w:right w:val="none" w:sz="0" w:space="0" w:color="auto"/>
          </w:divBdr>
          <w:divsChild>
            <w:div w:id="1655525019">
              <w:marLeft w:val="0"/>
              <w:marRight w:val="0"/>
              <w:marTop w:val="0"/>
              <w:marBottom w:val="0"/>
              <w:divBdr>
                <w:top w:val="none" w:sz="0" w:space="0" w:color="auto"/>
                <w:left w:val="none" w:sz="0" w:space="0" w:color="auto"/>
                <w:bottom w:val="none" w:sz="0" w:space="0" w:color="auto"/>
                <w:right w:val="none" w:sz="0" w:space="0" w:color="auto"/>
              </w:divBdr>
              <w:divsChild>
                <w:div w:id="1910575942">
                  <w:marLeft w:val="150"/>
                  <w:marRight w:val="150"/>
                  <w:marTop w:val="150"/>
                  <w:marBottom w:val="150"/>
                  <w:divBdr>
                    <w:top w:val="none" w:sz="0" w:space="0" w:color="auto"/>
                    <w:left w:val="none" w:sz="0" w:space="0" w:color="auto"/>
                    <w:bottom w:val="none" w:sz="0" w:space="0" w:color="auto"/>
                    <w:right w:val="none" w:sz="0" w:space="0" w:color="auto"/>
                  </w:divBdr>
                  <w:divsChild>
                    <w:div w:id="647710231">
                      <w:marLeft w:val="0"/>
                      <w:marRight w:val="0"/>
                      <w:marTop w:val="0"/>
                      <w:marBottom w:val="0"/>
                      <w:divBdr>
                        <w:top w:val="none" w:sz="0" w:space="0" w:color="auto"/>
                        <w:left w:val="none" w:sz="0" w:space="0" w:color="auto"/>
                        <w:bottom w:val="none" w:sz="0" w:space="0" w:color="auto"/>
                        <w:right w:val="none" w:sz="0" w:space="0" w:color="auto"/>
                      </w:divBdr>
                      <w:divsChild>
                        <w:div w:id="1835339611">
                          <w:marLeft w:val="0"/>
                          <w:marRight w:val="0"/>
                          <w:marTop w:val="0"/>
                          <w:marBottom w:val="0"/>
                          <w:divBdr>
                            <w:top w:val="none" w:sz="0" w:space="0" w:color="auto"/>
                            <w:left w:val="none" w:sz="0" w:space="0" w:color="auto"/>
                            <w:bottom w:val="none" w:sz="0" w:space="0" w:color="auto"/>
                            <w:right w:val="none" w:sz="0" w:space="0" w:color="auto"/>
                          </w:divBdr>
                          <w:divsChild>
                            <w:div w:id="1957101791">
                              <w:marLeft w:val="0"/>
                              <w:marRight w:val="0"/>
                              <w:marTop w:val="0"/>
                              <w:marBottom w:val="0"/>
                              <w:divBdr>
                                <w:top w:val="none" w:sz="0" w:space="0" w:color="auto"/>
                                <w:left w:val="none" w:sz="0" w:space="0" w:color="auto"/>
                                <w:bottom w:val="none" w:sz="0" w:space="0" w:color="auto"/>
                                <w:right w:val="none" w:sz="0" w:space="0" w:color="auto"/>
                              </w:divBdr>
                              <w:divsChild>
                                <w:div w:id="839545877">
                                  <w:marLeft w:val="0"/>
                                  <w:marRight w:val="0"/>
                                  <w:marTop w:val="0"/>
                                  <w:marBottom w:val="0"/>
                                  <w:divBdr>
                                    <w:top w:val="none" w:sz="0" w:space="0" w:color="auto"/>
                                    <w:left w:val="none" w:sz="0" w:space="0" w:color="auto"/>
                                    <w:bottom w:val="none" w:sz="0" w:space="0" w:color="auto"/>
                                    <w:right w:val="none" w:sz="0" w:space="0" w:color="auto"/>
                                  </w:divBdr>
                                  <w:divsChild>
                                    <w:div w:id="184906679">
                                      <w:marLeft w:val="0"/>
                                      <w:marRight w:val="0"/>
                                      <w:marTop w:val="0"/>
                                      <w:marBottom w:val="0"/>
                                      <w:divBdr>
                                        <w:top w:val="none" w:sz="0" w:space="0" w:color="auto"/>
                                        <w:left w:val="none" w:sz="0" w:space="0" w:color="auto"/>
                                        <w:bottom w:val="none" w:sz="0" w:space="0" w:color="auto"/>
                                        <w:right w:val="none" w:sz="0" w:space="0" w:color="auto"/>
                                      </w:divBdr>
                                    </w:div>
                                    <w:div w:id="226693398">
                                      <w:marLeft w:val="0"/>
                                      <w:marRight w:val="0"/>
                                      <w:marTop w:val="0"/>
                                      <w:marBottom w:val="0"/>
                                      <w:divBdr>
                                        <w:top w:val="none" w:sz="0" w:space="0" w:color="auto"/>
                                        <w:left w:val="none" w:sz="0" w:space="0" w:color="auto"/>
                                        <w:bottom w:val="none" w:sz="0" w:space="0" w:color="auto"/>
                                        <w:right w:val="none" w:sz="0" w:space="0" w:color="auto"/>
                                      </w:divBdr>
                                    </w:div>
                                    <w:div w:id="311953927">
                                      <w:marLeft w:val="0"/>
                                      <w:marRight w:val="0"/>
                                      <w:marTop w:val="0"/>
                                      <w:marBottom w:val="0"/>
                                      <w:divBdr>
                                        <w:top w:val="none" w:sz="0" w:space="0" w:color="auto"/>
                                        <w:left w:val="none" w:sz="0" w:space="0" w:color="auto"/>
                                        <w:bottom w:val="none" w:sz="0" w:space="0" w:color="auto"/>
                                        <w:right w:val="none" w:sz="0" w:space="0" w:color="auto"/>
                                      </w:divBdr>
                                    </w:div>
                                    <w:div w:id="330301473">
                                      <w:marLeft w:val="0"/>
                                      <w:marRight w:val="0"/>
                                      <w:marTop w:val="0"/>
                                      <w:marBottom w:val="0"/>
                                      <w:divBdr>
                                        <w:top w:val="none" w:sz="0" w:space="0" w:color="auto"/>
                                        <w:left w:val="none" w:sz="0" w:space="0" w:color="auto"/>
                                        <w:bottom w:val="none" w:sz="0" w:space="0" w:color="auto"/>
                                        <w:right w:val="none" w:sz="0" w:space="0" w:color="auto"/>
                                      </w:divBdr>
                                    </w:div>
                                    <w:div w:id="418797369">
                                      <w:marLeft w:val="0"/>
                                      <w:marRight w:val="0"/>
                                      <w:marTop w:val="0"/>
                                      <w:marBottom w:val="0"/>
                                      <w:divBdr>
                                        <w:top w:val="none" w:sz="0" w:space="0" w:color="auto"/>
                                        <w:left w:val="none" w:sz="0" w:space="0" w:color="auto"/>
                                        <w:bottom w:val="none" w:sz="0" w:space="0" w:color="auto"/>
                                        <w:right w:val="none" w:sz="0" w:space="0" w:color="auto"/>
                                      </w:divBdr>
                                    </w:div>
                                    <w:div w:id="567421789">
                                      <w:marLeft w:val="0"/>
                                      <w:marRight w:val="0"/>
                                      <w:marTop w:val="0"/>
                                      <w:marBottom w:val="0"/>
                                      <w:divBdr>
                                        <w:top w:val="none" w:sz="0" w:space="0" w:color="auto"/>
                                        <w:left w:val="none" w:sz="0" w:space="0" w:color="auto"/>
                                        <w:bottom w:val="none" w:sz="0" w:space="0" w:color="auto"/>
                                        <w:right w:val="none" w:sz="0" w:space="0" w:color="auto"/>
                                      </w:divBdr>
                                    </w:div>
                                    <w:div w:id="627706720">
                                      <w:marLeft w:val="0"/>
                                      <w:marRight w:val="0"/>
                                      <w:marTop w:val="0"/>
                                      <w:marBottom w:val="0"/>
                                      <w:divBdr>
                                        <w:top w:val="none" w:sz="0" w:space="0" w:color="auto"/>
                                        <w:left w:val="none" w:sz="0" w:space="0" w:color="auto"/>
                                        <w:bottom w:val="none" w:sz="0" w:space="0" w:color="auto"/>
                                        <w:right w:val="none" w:sz="0" w:space="0" w:color="auto"/>
                                      </w:divBdr>
                                    </w:div>
                                    <w:div w:id="722290343">
                                      <w:marLeft w:val="0"/>
                                      <w:marRight w:val="0"/>
                                      <w:marTop w:val="0"/>
                                      <w:marBottom w:val="0"/>
                                      <w:divBdr>
                                        <w:top w:val="none" w:sz="0" w:space="0" w:color="auto"/>
                                        <w:left w:val="none" w:sz="0" w:space="0" w:color="auto"/>
                                        <w:bottom w:val="none" w:sz="0" w:space="0" w:color="auto"/>
                                        <w:right w:val="none" w:sz="0" w:space="0" w:color="auto"/>
                                      </w:divBdr>
                                    </w:div>
                                    <w:div w:id="958880722">
                                      <w:marLeft w:val="0"/>
                                      <w:marRight w:val="0"/>
                                      <w:marTop w:val="0"/>
                                      <w:marBottom w:val="0"/>
                                      <w:divBdr>
                                        <w:top w:val="none" w:sz="0" w:space="0" w:color="auto"/>
                                        <w:left w:val="none" w:sz="0" w:space="0" w:color="auto"/>
                                        <w:bottom w:val="none" w:sz="0" w:space="0" w:color="auto"/>
                                        <w:right w:val="none" w:sz="0" w:space="0" w:color="auto"/>
                                      </w:divBdr>
                                    </w:div>
                                    <w:div w:id="1140686166">
                                      <w:marLeft w:val="0"/>
                                      <w:marRight w:val="0"/>
                                      <w:marTop w:val="0"/>
                                      <w:marBottom w:val="0"/>
                                      <w:divBdr>
                                        <w:top w:val="none" w:sz="0" w:space="0" w:color="auto"/>
                                        <w:left w:val="none" w:sz="0" w:space="0" w:color="auto"/>
                                        <w:bottom w:val="none" w:sz="0" w:space="0" w:color="auto"/>
                                        <w:right w:val="none" w:sz="0" w:space="0" w:color="auto"/>
                                      </w:divBdr>
                                    </w:div>
                                    <w:div w:id="1155950258">
                                      <w:marLeft w:val="0"/>
                                      <w:marRight w:val="0"/>
                                      <w:marTop w:val="0"/>
                                      <w:marBottom w:val="0"/>
                                      <w:divBdr>
                                        <w:top w:val="none" w:sz="0" w:space="0" w:color="auto"/>
                                        <w:left w:val="none" w:sz="0" w:space="0" w:color="auto"/>
                                        <w:bottom w:val="none" w:sz="0" w:space="0" w:color="auto"/>
                                        <w:right w:val="none" w:sz="0" w:space="0" w:color="auto"/>
                                      </w:divBdr>
                                    </w:div>
                                    <w:div w:id="1396465967">
                                      <w:marLeft w:val="0"/>
                                      <w:marRight w:val="0"/>
                                      <w:marTop w:val="0"/>
                                      <w:marBottom w:val="0"/>
                                      <w:divBdr>
                                        <w:top w:val="none" w:sz="0" w:space="0" w:color="auto"/>
                                        <w:left w:val="none" w:sz="0" w:space="0" w:color="auto"/>
                                        <w:bottom w:val="none" w:sz="0" w:space="0" w:color="auto"/>
                                        <w:right w:val="none" w:sz="0" w:space="0" w:color="auto"/>
                                      </w:divBdr>
                                    </w:div>
                                    <w:div w:id="1423408262">
                                      <w:marLeft w:val="0"/>
                                      <w:marRight w:val="0"/>
                                      <w:marTop w:val="0"/>
                                      <w:marBottom w:val="0"/>
                                      <w:divBdr>
                                        <w:top w:val="none" w:sz="0" w:space="0" w:color="auto"/>
                                        <w:left w:val="none" w:sz="0" w:space="0" w:color="auto"/>
                                        <w:bottom w:val="none" w:sz="0" w:space="0" w:color="auto"/>
                                        <w:right w:val="none" w:sz="0" w:space="0" w:color="auto"/>
                                      </w:divBdr>
                                    </w:div>
                                    <w:div w:id="1637830890">
                                      <w:marLeft w:val="0"/>
                                      <w:marRight w:val="0"/>
                                      <w:marTop w:val="0"/>
                                      <w:marBottom w:val="0"/>
                                      <w:divBdr>
                                        <w:top w:val="none" w:sz="0" w:space="0" w:color="auto"/>
                                        <w:left w:val="none" w:sz="0" w:space="0" w:color="auto"/>
                                        <w:bottom w:val="none" w:sz="0" w:space="0" w:color="auto"/>
                                        <w:right w:val="none" w:sz="0" w:space="0" w:color="auto"/>
                                      </w:divBdr>
                                    </w:div>
                                    <w:div w:id="1754398977">
                                      <w:marLeft w:val="0"/>
                                      <w:marRight w:val="0"/>
                                      <w:marTop w:val="0"/>
                                      <w:marBottom w:val="0"/>
                                      <w:divBdr>
                                        <w:top w:val="none" w:sz="0" w:space="0" w:color="auto"/>
                                        <w:left w:val="none" w:sz="0" w:space="0" w:color="auto"/>
                                        <w:bottom w:val="none" w:sz="0" w:space="0" w:color="auto"/>
                                        <w:right w:val="none" w:sz="0" w:space="0" w:color="auto"/>
                                      </w:divBdr>
                                    </w:div>
                                    <w:div w:id="1866139182">
                                      <w:marLeft w:val="0"/>
                                      <w:marRight w:val="0"/>
                                      <w:marTop w:val="0"/>
                                      <w:marBottom w:val="0"/>
                                      <w:divBdr>
                                        <w:top w:val="none" w:sz="0" w:space="0" w:color="auto"/>
                                        <w:left w:val="none" w:sz="0" w:space="0" w:color="auto"/>
                                        <w:bottom w:val="none" w:sz="0" w:space="0" w:color="auto"/>
                                        <w:right w:val="none" w:sz="0" w:space="0" w:color="auto"/>
                                      </w:divBdr>
                                    </w:div>
                                    <w:div w:id="1911764130">
                                      <w:marLeft w:val="0"/>
                                      <w:marRight w:val="0"/>
                                      <w:marTop w:val="0"/>
                                      <w:marBottom w:val="0"/>
                                      <w:divBdr>
                                        <w:top w:val="single" w:sz="6" w:space="7" w:color="auto"/>
                                        <w:left w:val="none" w:sz="0" w:space="0" w:color="auto"/>
                                        <w:bottom w:val="none" w:sz="0" w:space="0" w:color="auto"/>
                                        <w:right w:val="none" w:sz="0" w:space="0" w:color="auto"/>
                                      </w:divBdr>
                                      <w:divsChild>
                                        <w:div w:id="95027443">
                                          <w:marLeft w:val="0"/>
                                          <w:marRight w:val="0"/>
                                          <w:marTop w:val="0"/>
                                          <w:marBottom w:val="0"/>
                                          <w:divBdr>
                                            <w:top w:val="none" w:sz="0" w:space="0" w:color="auto"/>
                                            <w:left w:val="none" w:sz="0" w:space="0" w:color="auto"/>
                                            <w:bottom w:val="none" w:sz="0" w:space="0" w:color="auto"/>
                                            <w:right w:val="none" w:sz="0" w:space="0" w:color="auto"/>
                                          </w:divBdr>
                                        </w:div>
                                        <w:div w:id="2035111081">
                                          <w:marLeft w:val="0"/>
                                          <w:marRight w:val="0"/>
                                          <w:marTop w:val="0"/>
                                          <w:marBottom w:val="0"/>
                                          <w:divBdr>
                                            <w:top w:val="none" w:sz="0" w:space="0" w:color="auto"/>
                                            <w:left w:val="none" w:sz="0" w:space="0" w:color="auto"/>
                                            <w:bottom w:val="none" w:sz="0" w:space="0" w:color="auto"/>
                                            <w:right w:val="none" w:sz="0" w:space="0" w:color="auto"/>
                                          </w:divBdr>
                                          <w:divsChild>
                                            <w:div w:id="1484200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754680">
                                      <w:marLeft w:val="0"/>
                                      <w:marRight w:val="0"/>
                                      <w:marTop w:val="0"/>
                                      <w:marBottom w:val="0"/>
                                      <w:divBdr>
                                        <w:top w:val="none" w:sz="0" w:space="0" w:color="auto"/>
                                        <w:left w:val="none" w:sz="0" w:space="0" w:color="auto"/>
                                        <w:bottom w:val="none" w:sz="0" w:space="0" w:color="auto"/>
                                        <w:right w:val="none" w:sz="0" w:space="0" w:color="auto"/>
                                      </w:divBdr>
                                    </w:div>
                                    <w:div w:id="2043557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3042603">
          <w:marLeft w:val="0"/>
          <w:marRight w:val="0"/>
          <w:marTop w:val="0"/>
          <w:marBottom w:val="0"/>
          <w:divBdr>
            <w:top w:val="none" w:sz="0" w:space="0" w:color="auto"/>
            <w:left w:val="none" w:sz="0" w:space="0" w:color="auto"/>
            <w:bottom w:val="none" w:sz="0" w:space="0" w:color="auto"/>
            <w:right w:val="none" w:sz="0" w:space="0" w:color="auto"/>
          </w:divBdr>
          <w:divsChild>
            <w:div w:id="1965770128">
              <w:marLeft w:val="0"/>
              <w:marRight w:val="0"/>
              <w:marTop w:val="0"/>
              <w:marBottom w:val="0"/>
              <w:divBdr>
                <w:top w:val="none" w:sz="0" w:space="0" w:color="auto"/>
                <w:left w:val="none" w:sz="0" w:space="0" w:color="auto"/>
                <w:bottom w:val="none" w:sz="0" w:space="0" w:color="auto"/>
                <w:right w:val="none" w:sz="0" w:space="0" w:color="auto"/>
              </w:divBdr>
              <w:divsChild>
                <w:div w:id="514854666">
                  <w:marLeft w:val="150"/>
                  <w:marRight w:val="150"/>
                  <w:marTop w:val="150"/>
                  <w:marBottom w:val="150"/>
                  <w:divBdr>
                    <w:top w:val="none" w:sz="0" w:space="0" w:color="auto"/>
                    <w:left w:val="none" w:sz="0" w:space="0" w:color="auto"/>
                    <w:bottom w:val="none" w:sz="0" w:space="0" w:color="auto"/>
                    <w:right w:val="none" w:sz="0" w:space="0" w:color="auto"/>
                  </w:divBdr>
                  <w:divsChild>
                    <w:div w:id="208303994">
                      <w:marLeft w:val="0"/>
                      <w:marRight w:val="0"/>
                      <w:marTop w:val="0"/>
                      <w:marBottom w:val="0"/>
                      <w:divBdr>
                        <w:top w:val="none" w:sz="0" w:space="0" w:color="auto"/>
                        <w:left w:val="none" w:sz="0" w:space="0" w:color="auto"/>
                        <w:bottom w:val="none" w:sz="0" w:space="0" w:color="auto"/>
                        <w:right w:val="none" w:sz="0" w:space="0" w:color="auto"/>
                      </w:divBdr>
                      <w:divsChild>
                        <w:div w:id="570699629">
                          <w:marLeft w:val="0"/>
                          <w:marRight w:val="0"/>
                          <w:marTop w:val="0"/>
                          <w:marBottom w:val="0"/>
                          <w:divBdr>
                            <w:top w:val="none" w:sz="0" w:space="0" w:color="auto"/>
                            <w:left w:val="none" w:sz="0" w:space="0" w:color="auto"/>
                            <w:bottom w:val="none" w:sz="0" w:space="0" w:color="auto"/>
                            <w:right w:val="none" w:sz="0" w:space="0" w:color="auto"/>
                          </w:divBdr>
                          <w:divsChild>
                            <w:div w:id="523516729">
                              <w:marLeft w:val="0"/>
                              <w:marRight w:val="0"/>
                              <w:marTop w:val="0"/>
                              <w:marBottom w:val="0"/>
                              <w:divBdr>
                                <w:top w:val="none" w:sz="0" w:space="0" w:color="auto"/>
                                <w:left w:val="none" w:sz="0" w:space="0" w:color="auto"/>
                                <w:bottom w:val="none" w:sz="0" w:space="0" w:color="auto"/>
                                <w:right w:val="none" w:sz="0" w:space="0" w:color="auto"/>
                              </w:divBdr>
                              <w:divsChild>
                                <w:div w:id="507253946">
                                  <w:marLeft w:val="0"/>
                                  <w:marRight w:val="0"/>
                                  <w:marTop w:val="0"/>
                                  <w:marBottom w:val="0"/>
                                  <w:divBdr>
                                    <w:top w:val="none" w:sz="0" w:space="0" w:color="auto"/>
                                    <w:left w:val="none" w:sz="0" w:space="0" w:color="auto"/>
                                    <w:bottom w:val="none" w:sz="0" w:space="0" w:color="auto"/>
                                    <w:right w:val="none" w:sz="0" w:space="0" w:color="auto"/>
                                  </w:divBdr>
                                  <w:divsChild>
                                    <w:div w:id="1603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312543">
                          <w:marLeft w:val="0"/>
                          <w:marRight w:val="0"/>
                          <w:marTop w:val="0"/>
                          <w:marBottom w:val="0"/>
                          <w:divBdr>
                            <w:top w:val="none" w:sz="0" w:space="0" w:color="auto"/>
                            <w:left w:val="none" w:sz="0" w:space="0" w:color="auto"/>
                            <w:bottom w:val="none" w:sz="0" w:space="0" w:color="auto"/>
                            <w:right w:val="none" w:sz="0" w:space="0" w:color="auto"/>
                          </w:divBdr>
                          <w:divsChild>
                            <w:div w:id="327556595">
                              <w:marLeft w:val="150"/>
                              <w:marRight w:val="150"/>
                              <w:marTop w:val="15"/>
                              <w:marBottom w:val="150"/>
                              <w:divBdr>
                                <w:top w:val="none" w:sz="0" w:space="0" w:color="auto"/>
                                <w:left w:val="none" w:sz="0" w:space="0" w:color="auto"/>
                                <w:bottom w:val="none" w:sz="0" w:space="0" w:color="auto"/>
                                <w:right w:val="none" w:sz="0" w:space="0" w:color="auto"/>
                              </w:divBdr>
                              <w:divsChild>
                                <w:div w:id="296690888">
                                  <w:marLeft w:val="0"/>
                                  <w:marRight w:val="0"/>
                                  <w:marTop w:val="525"/>
                                  <w:marBottom w:val="0"/>
                                  <w:divBdr>
                                    <w:top w:val="none" w:sz="0" w:space="0" w:color="auto"/>
                                    <w:left w:val="none" w:sz="0" w:space="0" w:color="auto"/>
                                    <w:bottom w:val="none" w:sz="0" w:space="0" w:color="auto"/>
                                    <w:right w:val="none" w:sz="0" w:space="0" w:color="auto"/>
                                  </w:divBdr>
                                </w:div>
                                <w:div w:id="2132480705">
                                  <w:marLeft w:val="0"/>
                                  <w:marRight w:val="0"/>
                                  <w:marTop w:val="0"/>
                                  <w:marBottom w:val="0"/>
                                  <w:divBdr>
                                    <w:top w:val="none" w:sz="0" w:space="0" w:color="auto"/>
                                    <w:left w:val="none" w:sz="0" w:space="0" w:color="auto"/>
                                    <w:bottom w:val="none" w:sz="0" w:space="0" w:color="auto"/>
                                    <w:right w:val="none" w:sz="0" w:space="0" w:color="auto"/>
                                  </w:divBdr>
                                  <w:divsChild>
                                    <w:div w:id="2057123610">
                                      <w:marLeft w:val="0"/>
                                      <w:marRight w:val="0"/>
                                      <w:marTop w:val="0"/>
                                      <w:marBottom w:val="0"/>
                                      <w:divBdr>
                                        <w:top w:val="none" w:sz="0" w:space="0" w:color="auto"/>
                                        <w:left w:val="none" w:sz="0" w:space="0" w:color="auto"/>
                                        <w:bottom w:val="none" w:sz="0" w:space="0" w:color="auto"/>
                                        <w:right w:val="none" w:sz="0" w:space="0" w:color="auto"/>
                                      </w:divBdr>
                                      <w:divsChild>
                                        <w:div w:id="1408185628">
                                          <w:marLeft w:val="0"/>
                                          <w:marRight w:val="0"/>
                                          <w:marTop w:val="0"/>
                                          <w:marBottom w:val="0"/>
                                          <w:divBdr>
                                            <w:top w:val="none" w:sz="0" w:space="0" w:color="auto"/>
                                            <w:left w:val="none" w:sz="0" w:space="0" w:color="auto"/>
                                            <w:bottom w:val="none" w:sz="0" w:space="0" w:color="auto"/>
                                            <w:right w:val="none" w:sz="0" w:space="0" w:color="auto"/>
                                          </w:divBdr>
                                          <w:divsChild>
                                            <w:div w:id="1663504217">
                                              <w:marLeft w:val="0"/>
                                              <w:marRight w:val="0"/>
                                              <w:marTop w:val="0"/>
                                              <w:marBottom w:val="0"/>
                                              <w:divBdr>
                                                <w:top w:val="none" w:sz="0" w:space="0" w:color="auto"/>
                                                <w:left w:val="none" w:sz="0" w:space="0" w:color="auto"/>
                                                <w:bottom w:val="none" w:sz="0" w:space="0" w:color="auto"/>
                                                <w:right w:val="none" w:sz="0" w:space="0" w:color="auto"/>
                                              </w:divBdr>
                                              <w:divsChild>
                                                <w:div w:id="1955940133">
                                                  <w:marLeft w:val="0"/>
                                                  <w:marRight w:val="0"/>
                                                  <w:marTop w:val="0"/>
                                                  <w:marBottom w:val="0"/>
                                                  <w:divBdr>
                                                    <w:top w:val="none" w:sz="0" w:space="0" w:color="auto"/>
                                                    <w:left w:val="none" w:sz="0" w:space="0" w:color="auto"/>
                                                    <w:bottom w:val="none" w:sz="0" w:space="0" w:color="auto"/>
                                                    <w:right w:val="none" w:sz="0" w:space="0" w:color="auto"/>
                                                  </w:divBdr>
                                                  <w:divsChild>
                                                    <w:div w:id="555750071">
                                                      <w:marLeft w:val="0"/>
                                                      <w:marRight w:val="0"/>
                                                      <w:marTop w:val="0"/>
                                                      <w:marBottom w:val="0"/>
                                                      <w:divBdr>
                                                        <w:top w:val="none" w:sz="0" w:space="0" w:color="auto"/>
                                                        <w:left w:val="none" w:sz="0" w:space="0" w:color="auto"/>
                                                        <w:bottom w:val="none" w:sz="0" w:space="0" w:color="auto"/>
                                                        <w:right w:val="none" w:sz="0" w:space="0" w:color="auto"/>
                                                      </w:divBdr>
                                                      <w:divsChild>
                                                        <w:div w:id="14313414">
                                                          <w:marLeft w:val="0"/>
                                                          <w:marRight w:val="0"/>
                                                          <w:marTop w:val="0"/>
                                                          <w:marBottom w:val="0"/>
                                                          <w:divBdr>
                                                            <w:top w:val="none" w:sz="0" w:space="0" w:color="auto"/>
                                                            <w:left w:val="none" w:sz="0" w:space="0" w:color="auto"/>
                                                            <w:bottom w:val="none" w:sz="0" w:space="0" w:color="auto"/>
                                                            <w:right w:val="none" w:sz="0" w:space="0" w:color="auto"/>
                                                          </w:divBdr>
                                                        </w:div>
                                                        <w:div w:id="302542467">
                                                          <w:marLeft w:val="0"/>
                                                          <w:marRight w:val="0"/>
                                                          <w:marTop w:val="0"/>
                                                          <w:marBottom w:val="0"/>
                                                          <w:divBdr>
                                                            <w:top w:val="none" w:sz="0" w:space="0" w:color="auto"/>
                                                            <w:left w:val="none" w:sz="0" w:space="0" w:color="auto"/>
                                                            <w:bottom w:val="none" w:sz="0" w:space="0" w:color="auto"/>
                                                            <w:right w:val="none" w:sz="0" w:space="0" w:color="auto"/>
                                                          </w:divBdr>
                                                        </w:div>
                                                        <w:div w:id="447167356">
                                                          <w:marLeft w:val="0"/>
                                                          <w:marRight w:val="0"/>
                                                          <w:marTop w:val="0"/>
                                                          <w:marBottom w:val="0"/>
                                                          <w:divBdr>
                                                            <w:top w:val="none" w:sz="0" w:space="0" w:color="auto"/>
                                                            <w:left w:val="none" w:sz="0" w:space="0" w:color="auto"/>
                                                            <w:bottom w:val="none" w:sz="0" w:space="0" w:color="auto"/>
                                                            <w:right w:val="none" w:sz="0" w:space="0" w:color="auto"/>
                                                          </w:divBdr>
                                                        </w:div>
                                                        <w:div w:id="545260328">
                                                          <w:marLeft w:val="0"/>
                                                          <w:marRight w:val="0"/>
                                                          <w:marTop w:val="0"/>
                                                          <w:marBottom w:val="0"/>
                                                          <w:divBdr>
                                                            <w:top w:val="none" w:sz="0" w:space="0" w:color="auto"/>
                                                            <w:left w:val="none" w:sz="0" w:space="0" w:color="auto"/>
                                                            <w:bottom w:val="none" w:sz="0" w:space="0" w:color="auto"/>
                                                            <w:right w:val="none" w:sz="0" w:space="0" w:color="auto"/>
                                                          </w:divBdr>
                                                        </w:div>
                                                        <w:div w:id="914971210">
                                                          <w:marLeft w:val="0"/>
                                                          <w:marRight w:val="0"/>
                                                          <w:marTop w:val="0"/>
                                                          <w:marBottom w:val="0"/>
                                                          <w:divBdr>
                                                            <w:top w:val="none" w:sz="0" w:space="0" w:color="auto"/>
                                                            <w:left w:val="none" w:sz="0" w:space="0" w:color="auto"/>
                                                            <w:bottom w:val="none" w:sz="0" w:space="0" w:color="auto"/>
                                                            <w:right w:val="none" w:sz="0" w:space="0" w:color="auto"/>
                                                          </w:divBdr>
                                                        </w:div>
                                                        <w:div w:id="1302266062">
                                                          <w:marLeft w:val="0"/>
                                                          <w:marRight w:val="0"/>
                                                          <w:marTop w:val="0"/>
                                                          <w:marBottom w:val="0"/>
                                                          <w:divBdr>
                                                            <w:top w:val="none" w:sz="0" w:space="0" w:color="auto"/>
                                                            <w:left w:val="none" w:sz="0" w:space="0" w:color="auto"/>
                                                            <w:bottom w:val="none" w:sz="0" w:space="0" w:color="auto"/>
                                                            <w:right w:val="none" w:sz="0" w:space="0" w:color="auto"/>
                                                          </w:divBdr>
                                                        </w:div>
                                                        <w:div w:id="1325888466">
                                                          <w:marLeft w:val="0"/>
                                                          <w:marRight w:val="0"/>
                                                          <w:marTop w:val="0"/>
                                                          <w:marBottom w:val="0"/>
                                                          <w:divBdr>
                                                            <w:top w:val="none" w:sz="0" w:space="0" w:color="auto"/>
                                                            <w:left w:val="none" w:sz="0" w:space="0" w:color="auto"/>
                                                            <w:bottom w:val="none" w:sz="0" w:space="0" w:color="auto"/>
                                                            <w:right w:val="none" w:sz="0" w:space="0" w:color="auto"/>
                                                          </w:divBdr>
                                                        </w:div>
                                                        <w:div w:id="1732969173">
                                                          <w:marLeft w:val="0"/>
                                                          <w:marRight w:val="0"/>
                                                          <w:marTop w:val="0"/>
                                                          <w:marBottom w:val="0"/>
                                                          <w:divBdr>
                                                            <w:top w:val="none" w:sz="0" w:space="0" w:color="auto"/>
                                                            <w:left w:val="none" w:sz="0" w:space="0" w:color="auto"/>
                                                            <w:bottom w:val="none" w:sz="0" w:space="0" w:color="auto"/>
                                                            <w:right w:val="none" w:sz="0" w:space="0" w:color="auto"/>
                                                          </w:divBdr>
                                                        </w:div>
                                                        <w:div w:id="1735928245">
                                                          <w:marLeft w:val="0"/>
                                                          <w:marRight w:val="0"/>
                                                          <w:marTop w:val="0"/>
                                                          <w:marBottom w:val="0"/>
                                                          <w:divBdr>
                                                            <w:top w:val="none" w:sz="0" w:space="0" w:color="auto"/>
                                                            <w:left w:val="none" w:sz="0" w:space="0" w:color="auto"/>
                                                            <w:bottom w:val="none" w:sz="0" w:space="0" w:color="auto"/>
                                                            <w:right w:val="none" w:sz="0" w:space="0" w:color="auto"/>
                                                          </w:divBdr>
                                                        </w:div>
                                                        <w:div w:id="1816098711">
                                                          <w:marLeft w:val="0"/>
                                                          <w:marRight w:val="0"/>
                                                          <w:marTop w:val="0"/>
                                                          <w:marBottom w:val="0"/>
                                                          <w:divBdr>
                                                            <w:top w:val="none" w:sz="0" w:space="0" w:color="auto"/>
                                                            <w:left w:val="none" w:sz="0" w:space="0" w:color="auto"/>
                                                            <w:bottom w:val="none" w:sz="0" w:space="0" w:color="auto"/>
                                                            <w:right w:val="none" w:sz="0" w:space="0" w:color="auto"/>
                                                          </w:divBdr>
                                                        </w:div>
                                                        <w:div w:id="1840735272">
                                                          <w:marLeft w:val="0"/>
                                                          <w:marRight w:val="0"/>
                                                          <w:marTop w:val="0"/>
                                                          <w:marBottom w:val="0"/>
                                                          <w:divBdr>
                                                            <w:top w:val="none" w:sz="0" w:space="0" w:color="auto"/>
                                                            <w:left w:val="none" w:sz="0" w:space="0" w:color="auto"/>
                                                            <w:bottom w:val="none" w:sz="0" w:space="0" w:color="auto"/>
                                                            <w:right w:val="none" w:sz="0" w:space="0" w:color="auto"/>
                                                          </w:divBdr>
                                                        </w:div>
                                                        <w:div w:id="1861971984">
                                                          <w:marLeft w:val="0"/>
                                                          <w:marRight w:val="0"/>
                                                          <w:marTop w:val="0"/>
                                                          <w:marBottom w:val="0"/>
                                                          <w:divBdr>
                                                            <w:top w:val="none" w:sz="0" w:space="0" w:color="auto"/>
                                                            <w:left w:val="none" w:sz="0" w:space="0" w:color="auto"/>
                                                            <w:bottom w:val="none" w:sz="0" w:space="0" w:color="auto"/>
                                                            <w:right w:val="none" w:sz="0" w:space="0" w:color="auto"/>
                                                          </w:divBdr>
                                                        </w:div>
                                                        <w:div w:id="1893884462">
                                                          <w:marLeft w:val="0"/>
                                                          <w:marRight w:val="0"/>
                                                          <w:marTop w:val="0"/>
                                                          <w:marBottom w:val="0"/>
                                                          <w:divBdr>
                                                            <w:top w:val="single" w:sz="6" w:space="7" w:color="auto"/>
                                                            <w:left w:val="none" w:sz="0" w:space="0" w:color="auto"/>
                                                            <w:bottom w:val="none" w:sz="0" w:space="0" w:color="auto"/>
                                                            <w:right w:val="none" w:sz="0" w:space="0" w:color="auto"/>
                                                          </w:divBdr>
                                                          <w:divsChild>
                                                            <w:div w:id="196041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5686185">
                              <w:marLeft w:val="150"/>
                              <w:marRight w:val="150"/>
                              <w:marTop w:val="15"/>
                              <w:marBottom w:val="150"/>
                              <w:divBdr>
                                <w:top w:val="none" w:sz="0" w:space="0" w:color="auto"/>
                                <w:left w:val="none" w:sz="0" w:space="0" w:color="auto"/>
                                <w:bottom w:val="none" w:sz="0" w:space="0" w:color="auto"/>
                                <w:right w:val="none" w:sz="0" w:space="0" w:color="auto"/>
                              </w:divBdr>
                              <w:divsChild>
                                <w:div w:id="1097940400">
                                  <w:marLeft w:val="0"/>
                                  <w:marRight w:val="0"/>
                                  <w:marTop w:val="525"/>
                                  <w:marBottom w:val="0"/>
                                  <w:divBdr>
                                    <w:top w:val="none" w:sz="0" w:space="0" w:color="auto"/>
                                    <w:left w:val="none" w:sz="0" w:space="0" w:color="auto"/>
                                    <w:bottom w:val="none" w:sz="0" w:space="0" w:color="auto"/>
                                    <w:right w:val="none" w:sz="0" w:space="0" w:color="auto"/>
                                  </w:divBdr>
                                </w:div>
                                <w:div w:id="2145073421">
                                  <w:marLeft w:val="0"/>
                                  <w:marRight w:val="0"/>
                                  <w:marTop w:val="0"/>
                                  <w:marBottom w:val="0"/>
                                  <w:divBdr>
                                    <w:top w:val="none" w:sz="0" w:space="0" w:color="auto"/>
                                    <w:left w:val="none" w:sz="0" w:space="0" w:color="auto"/>
                                    <w:bottom w:val="none" w:sz="0" w:space="0" w:color="auto"/>
                                    <w:right w:val="none" w:sz="0" w:space="0" w:color="auto"/>
                                  </w:divBdr>
                                  <w:divsChild>
                                    <w:div w:id="1204057186">
                                      <w:marLeft w:val="0"/>
                                      <w:marRight w:val="0"/>
                                      <w:marTop w:val="0"/>
                                      <w:marBottom w:val="0"/>
                                      <w:divBdr>
                                        <w:top w:val="none" w:sz="0" w:space="0" w:color="auto"/>
                                        <w:left w:val="none" w:sz="0" w:space="0" w:color="auto"/>
                                        <w:bottom w:val="none" w:sz="0" w:space="0" w:color="auto"/>
                                        <w:right w:val="none" w:sz="0" w:space="0" w:color="auto"/>
                                      </w:divBdr>
                                      <w:divsChild>
                                        <w:div w:id="77293767">
                                          <w:marLeft w:val="0"/>
                                          <w:marRight w:val="0"/>
                                          <w:marTop w:val="0"/>
                                          <w:marBottom w:val="0"/>
                                          <w:divBdr>
                                            <w:top w:val="none" w:sz="0" w:space="0" w:color="auto"/>
                                            <w:left w:val="none" w:sz="0" w:space="0" w:color="auto"/>
                                            <w:bottom w:val="none" w:sz="0" w:space="0" w:color="auto"/>
                                            <w:right w:val="none" w:sz="0" w:space="0" w:color="auto"/>
                                          </w:divBdr>
                                          <w:divsChild>
                                            <w:div w:id="1297294515">
                                              <w:marLeft w:val="0"/>
                                              <w:marRight w:val="0"/>
                                              <w:marTop w:val="0"/>
                                              <w:marBottom w:val="0"/>
                                              <w:divBdr>
                                                <w:top w:val="none" w:sz="0" w:space="0" w:color="auto"/>
                                                <w:left w:val="none" w:sz="0" w:space="0" w:color="auto"/>
                                                <w:bottom w:val="none" w:sz="0" w:space="0" w:color="auto"/>
                                                <w:right w:val="none" w:sz="0" w:space="0" w:color="auto"/>
                                              </w:divBdr>
                                              <w:divsChild>
                                                <w:div w:id="1709990400">
                                                  <w:marLeft w:val="0"/>
                                                  <w:marRight w:val="0"/>
                                                  <w:marTop w:val="0"/>
                                                  <w:marBottom w:val="0"/>
                                                  <w:divBdr>
                                                    <w:top w:val="none" w:sz="0" w:space="0" w:color="auto"/>
                                                    <w:left w:val="none" w:sz="0" w:space="0" w:color="auto"/>
                                                    <w:bottom w:val="none" w:sz="0" w:space="0" w:color="auto"/>
                                                    <w:right w:val="none" w:sz="0" w:space="0" w:color="auto"/>
                                                  </w:divBdr>
                                                  <w:divsChild>
                                                    <w:div w:id="1995914737">
                                                      <w:marLeft w:val="0"/>
                                                      <w:marRight w:val="0"/>
                                                      <w:marTop w:val="0"/>
                                                      <w:marBottom w:val="0"/>
                                                      <w:divBdr>
                                                        <w:top w:val="none" w:sz="0" w:space="0" w:color="auto"/>
                                                        <w:left w:val="none" w:sz="0" w:space="0" w:color="auto"/>
                                                        <w:bottom w:val="none" w:sz="0" w:space="0" w:color="auto"/>
                                                        <w:right w:val="none" w:sz="0" w:space="0" w:color="auto"/>
                                                      </w:divBdr>
                                                      <w:divsChild>
                                                        <w:div w:id="109709528">
                                                          <w:marLeft w:val="0"/>
                                                          <w:marRight w:val="0"/>
                                                          <w:marTop w:val="0"/>
                                                          <w:marBottom w:val="0"/>
                                                          <w:divBdr>
                                                            <w:top w:val="none" w:sz="0" w:space="0" w:color="auto"/>
                                                            <w:left w:val="none" w:sz="0" w:space="0" w:color="auto"/>
                                                            <w:bottom w:val="none" w:sz="0" w:space="0" w:color="auto"/>
                                                            <w:right w:val="none" w:sz="0" w:space="0" w:color="auto"/>
                                                          </w:divBdr>
                                                        </w:div>
                                                        <w:div w:id="115103828">
                                                          <w:marLeft w:val="0"/>
                                                          <w:marRight w:val="0"/>
                                                          <w:marTop w:val="0"/>
                                                          <w:marBottom w:val="0"/>
                                                          <w:divBdr>
                                                            <w:top w:val="none" w:sz="0" w:space="0" w:color="auto"/>
                                                            <w:left w:val="none" w:sz="0" w:space="0" w:color="auto"/>
                                                            <w:bottom w:val="none" w:sz="0" w:space="0" w:color="auto"/>
                                                            <w:right w:val="none" w:sz="0" w:space="0" w:color="auto"/>
                                                          </w:divBdr>
                                                        </w:div>
                                                        <w:div w:id="308754859">
                                                          <w:marLeft w:val="0"/>
                                                          <w:marRight w:val="0"/>
                                                          <w:marTop w:val="0"/>
                                                          <w:marBottom w:val="0"/>
                                                          <w:divBdr>
                                                            <w:top w:val="single" w:sz="6" w:space="7" w:color="auto"/>
                                                            <w:left w:val="none" w:sz="0" w:space="0" w:color="auto"/>
                                                            <w:bottom w:val="none" w:sz="0" w:space="0" w:color="auto"/>
                                                            <w:right w:val="none" w:sz="0" w:space="0" w:color="auto"/>
                                                          </w:divBdr>
                                                          <w:divsChild>
                                                            <w:div w:id="951320850">
                                                              <w:marLeft w:val="0"/>
                                                              <w:marRight w:val="0"/>
                                                              <w:marTop w:val="0"/>
                                                              <w:marBottom w:val="0"/>
                                                              <w:divBdr>
                                                                <w:top w:val="none" w:sz="0" w:space="0" w:color="auto"/>
                                                                <w:left w:val="none" w:sz="0" w:space="0" w:color="auto"/>
                                                                <w:bottom w:val="none" w:sz="0" w:space="0" w:color="auto"/>
                                                                <w:right w:val="none" w:sz="0" w:space="0" w:color="auto"/>
                                                              </w:divBdr>
                                                            </w:div>
                                                            <w:div w:id="981541361">
                                                              <w:marLeft w:val="0"/>
                                                              <w:marRight w:val="0"/>
                                                              <w:marTop w:val="0"/>
                                                              <w:marBottom w:val="0"/>
                                                              <w:divBdr>
                                                                <w:top w:val="none" w:sz="0" w:space="0" w:color="auto"/>
                                                                <w:left w:val="none" w:sz="0" w:space="0" w:color="auto"/>
                                                                <w:bottom w:val="none" w:sz="0" w:space="0" w:color="auto"/>
                                                                <w:right w:val="none" w:sz="0" w:space="0" w:color="auto"/>
                                                              </w:divBdr>
                                                              <w:divsChild>
                                                                <w:div w:id="2086566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904564">
                                                          <w:marLeft w:val="0"/>
                                                          <w:marRight w:val="0"/>
                                                          <w:marTop w:val="0"/>
                                                          <w:marBottom w:val="0"/>
                                                          <w:divBdr>
                                                            <w:top w:val="none" w:sz="0" w:space="0" w:color="auto"/>
                                                            <w:left w:val="none" w:sz="0" w:space="0" w:color="auto"/>
                                                            <w:bottom w:val="none" w:sz="0" w:space="0" w:color="auto"/>
                                                            <w:right w:val="none" w:sz="0" w:space="0" w:color="auto"/>
                                                          </w:divBdr>
                                                        </w:div>
                                                        <w:div w:id="542644226">
                                                          <w:marLeft w:val="0"/>
                                                          <w:marRight w:val="0"/>
                                                          <w:marTop w:val="0"/>
                                                          <w:marBottom w:val="0"/>
                                                          <w:divBdr>
                                                            <w:top w:val="none" w:sz="0" w:space="0" w:color="auto"/>
                                                            <w:left w:val="none" w:sz="0" w:space="0" w:color="auto"/>
                                                            <w:bottom w:val="none" w:sz="0" w:space="0" w:color="auto"/>
                                                            <w:right w:val="none" w:sz="0" w:space="0" w:color="auto"/>
                                                          </w:divBdr>
                                                        </w:div>
                                                        <w:div w:id="670762078">
                                                          <w:marLeft w:val="0"/>
                                                          <w:marRight w:val="0"/>
                                                          <w:marTop w:val="0"/>
                                                          <w:marBottom w:val="0"/>
                                                          <w:divBdr>
                                                            <w:top w:val="none" w:sz="0" w:space="0" w:color="auto"/>
                                                            <w:left w:val="none" w:sz="0" w:space="0" w:color="auto"/>
                                                            <w:bottom w:val="none" w:sz="0" w:space="0" w:color="auto"/>
                                                            <w:right w:val="none" w:sz="0" w:space="0" w:color="auto"/>
                                                          </w:divBdr>
                                                        </w:div>
                                                        <w:div w:id="1054042327">
                                                          <w:marLeft w:val="0"/>
                                                          <w:marRight w:val="0"/>
                                                          <w:marTop w:val="0"/>
                                                          <w:marBottom w:val="0"/>
                                                          <w:divBdr>
                                                            <w:top w:val="none" w:sz="0" w:space="0" w:color="auto"/>
                                                            <w:left w:val="none" w:sz="0" w:space="0" w:color="auto"/>
                                                            <w:bottom w:val="none" w:sz="0" w:space="0" w:color="auto"/>
                                                            <w:right w:val="none" w:sz="0" w:space="0" w:color="auto"/>
                                                          </w:divBdr>
                                                        </w:div>
                                                        <w:div w:id="1056315647">
                                                          <w:marLeft w:val="0"/>
                                                          <w:marRight w:val="0"/>
                                                          <w:marTop w:val="0"/>
                                                          <w:marBottom w:val="0"/>
                                                          <w:divBdr>
                                                            <w:top w:val="none" w:sz="0" w:space="0" w:color="auto"/>
                                                            <w:left w:val="none" w:sz="0" w:space="0" w:color="auto"/>
                                                            <w:bottom w:val="none" w:sz="0" w:space="0" w:color="auto"/>
                                                            <w:right w:val="none" w:sz="0" w:space="0" w:color="auto"/>
                                                          </w:divBdr>
                                                        </w:div>
                                                        <w:div w:id="1111976385">
                                                          <w:marLeft w:val="0"/>
                                                          <w:marRight w:val="0"/>
                                                          <w:marTop w:val="0"/>
                                                          <w:marBottom w:val="0"/>
                                                          <w:divBdr>
                                                            <w:top w:val="none" w:sz="0" w:space="0" w:color="auto"/>
                                                            <w:left w:val="none" w:sz="0" w:space="0" w:color="auto"/>
                                                            <w:bottom w:val="none" w:sz="0" w:space="0" w:color="auto"/>
                                                            <w:right w:val="none" w:sz="0" w:space="0" w:color="auto"/>
                                                          </w:divBdr>
                                                        </w:div>
                                                        <w:div w:id="1450734483">
                                                          <w:marLeft w:val="0"/>
                                                          <w:marRight w:val="0"/>
                                                          <w:marTop w:val="0"/>
                                                          <w:marBottom w:val="0"/>
                                                          <w:divBdr>
                                                            <w:top w:val="none" w:sz="0" w:space="0" w:color="auto"/>
                                                            <w:left w:val="none" w:sz="0" w:space="0" w:color="auto"/>
                                                            <w:bottom w:val="none" w:sz="0" w:space="0" w:color="auto"/>
                                                            <w:right w:val="none" w:sz="0" w:space="0" w:color="auto"/>
                                                          </w:divBdr>
                                                        </w:div>
                                                        <w:div w:id="1599480480">
                                                          <w:marLeft w:val="0"/>
                                                          <w:marRight w:val="0"/>
                                                          <w:marTop w:val="0"/>
                                                          <w:marBottom w:val="0"/>
                                                          <w:divBdr>
                                                            <w:top w:val="none" w:sz="0" w:space="0" w:color="auto"/>
                                                            <w:left w:val="none" w:sz="0" w:space="0" w:color="auto"/>
                                                            <w:bottom w:val="none" w:sz="0" w:space="0" w:color="auto"/>
                                                            <w:right w:val="none" w:sz="0" w:space="0" w:color="auto"/>
                                                          </w:divBdr>
                                                        </w:div>
                                                        <w:div w:id="1668634498">
                                                          <w:marLeft w:val="0"/>
                                                          <w:marRight w:val="0"/>
                                                          <w:marTop w:val="0"/>
                                                          <w:marBottom w:val="0"/>
                                                          <w:divBdr>
                                                            <w:top w:val="none" w:sz="0" w:space="0" w:color="auto"/>
                                                            <w:left w:val="none" w:sz="0" w:space="0" w:color="auto"/>
                                                            <w:bottom w:val="none" w:sz="0" w:space="0" w:color="auto"/>
                                                            <w:right w:val="none" w:sz="0" w:space="0" w:color="auto"/>
                                                          </w:divBdr>
                                                        </w:div>
                                                        <w:div w:id="209932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6635580">
                              <w:marLeft w:val="150"/>
                              <w:marRight w:val="150"/>
                              <w:marTop w:val="15"/>
                              <w:marBottom w:val="150"/>
                              <w:divBdr>
                                <w:top w:val="none" w:sz="0" w:space="0" w:color="auto"/>
                                <w:left w:val="none" w:sz="0" w:space="0" w:color="auto"/>
                                <w:bottom w:val="none" w:sz="0" w:space="0" w:color="auto"/>
                                <w:right w:val="none" w:sz="0" w:space="0" w:color="auto"/>
                              </w:divBdr>
                              <w:divsChild>
                                <w:div w:id="919095255">
                                  <w:marLeft w:val="0"/>
                                  <w:marRight w:val="0"/>
                                  <w:marTop w:val="0"/>
                                  <w:marBottom w:val="0"/>
                                  <w:divBdr>
                                    <w:top w:val="none" w:sz="0" w:space="0" w:color="auto"/>
                                    <w:left w:val="none" w:sz="0" w:space="0" w:color="auto"/>
                                    <w:bottom w:val="none" w:sz="0" w:space="0" w:color="auto"/>
                                    <w:right w:val="none" w:sz="0" w:space="0" w:color="auto"/>
                                  </w:divBdr>
                                  <w:divsChild>
                                    <w:div w:id="155951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422665">
                              <w:marLeft w:val="150"/>
                              <w:marRight w:val="150"/>
                              <w:marTop w:val="15"/>
                              <w:marBottom w:val="150"/>
                              <w:divBdr>
                                <w:top w:val="none" w:sz="0" w:space="0" w:color="auto"/>
                                <w:left w:val="none" w:sz="0" w:space="0" w:color="auto"/>
                                <w:bottom w:val="none" w:sz="0" w:space="0" w:color="auto"/>
                                <w:right w:val="none" w:sz="0" w:space="0" w:color="auto"/>
                              </w:divBdr>
                              <w:divsChild>
                                <w:div w:id="75060558">
                                  <w:marLeft w:val="0"/>
                                  <w:marRight w:val="0"/>
                                  <w:marTop w:val="0"/>
                                  <w:marBottom w:val="0"/>
                                  <w:divBdr>
                                    <w:top w:val="none" w:sz="0" w:space="0" w:color="auto"/>
                                    <w:left w:val="none" w:sz="0" w:space="0" w:color="auto"/>
                                    <w:bottom w:val="none" w:sz="0" w:space="0" w:color="auto"/>
                                    <w:right w:val="none" w:sz="0" w:space="0" w:color="auto"/>
                                  </w:divBdr>
                                  <w:divsChild>
                                    <w:div w:id="151128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757311">
                              <w:marLeft w:val="135"/>
                              <w:marRight w:val="135"/>
                              <w:marTop w:val="0"/>
                              <w:marBottom w:val="135"/>
                              <w:divBdr>
                                <w:top w:val="none" w:sz="0" w:space="0" w:color="auto"/>
                                <w:left w:val="none" w:sz="0" w:space="0" w:color="auto"/>
                                <w:bottom w:val="none" w:sz="0" w:space="0" w:color="auto"/>
                                <w:right w:val="none" w:sz="0" w:space="0" w:color="auto"/>
                              </w:divBdr>
                              <w:divsChild>
                                <w:div w:id="395130442">
                                  <w:marLeft w:val="0"/>
                                  <w:marRight w:val="0"/>
                                  <w:marTop w:val="0"/>
                                  <w:marBottom w:val="0"/>
                                  <w:divBdr>
                                    <w:top w:val="none" w:sz="0" w:space="0" w:color="auto"/>
                                    <w:left w:val="none" w:sz="0" w:space="0" w:color="auto"/>
                                    <w:bottom w:val="none" w:sz="0" w:space="0" w:color="auto"/>
                                    <w:right w:val="none" w:sz="0" w:space="0" w:color="auto"/>
                                  </w:divBdr>
                                  <w:divsChild>
                                    <w:div w:id="561598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485325">
                              <w:marLeft w:val="150"/>
                              <w:marRight w:val="150"/>
                              <w:marTop w:val="15"/>
                              <w:marBottom w:val="150"/>
                              <w:divBdr>
                                <w:top w:val="none" w:sz="0" w:space="0" w:color="auto"/>
                                <w:left w:val="none" w:sz="0" w:space="0" w:color="auto"/>
                                <w:bottom w:val="none" w:sz="0" w:space="0" w:color="auto"/>
                                <w:right w:val="none" w:sz="0" w:space="0" w:color="auto"/>
                              </w:divBdr>
                              <w:divsChild>
                                <w:div w:id="1533809855">
                                  <w:marLeft w:val="0"/>
                                  <w:marRight w:val="0"/>
                                  <w:marTop w:val="0"/>
                                  <w:marBottom w:val="0"/>
                                  <w:divBdr>
                                    <w:top w:val="none" w:sz="0" w:space="0" w:color="auto"/>
                                    <w:left w:val="none" w:sz="0" w:space="0" w:color="auto"/>
                                    <w:bottom w:val="none" w:sz="0" w:space="0" w:color="auto"/>
                                    <w:right w:val="none" w:sz="0" w:space="0" w:color="auto"/>
                                  </w:divBdr>
                                  <w:divsChild>
                                    <w:div w:id="1267150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609877">
                              <w:marLeft w:val="150"/>
                              <w:marRight w:val="150"/>
                              <w:marTop w:val="15"/>
                              <w:marBottom w:val="150"/>
                              <w:divBdr>
                                <w:top w:val="none" w:sz="0" w:space="0" w:color="auto"/>
                                <w:left w:val="none" w:sz="0" w:space="0" w:color="auto"/>
                                <w:bottom w:val="none" w:sz="0" w:space="0" w:color="auto"/>
                                <w:right w:val="none" w:sz="0" w:space="0" w:color="auto"/>
                              </w:divBdr>
                              <w:divsChild>
                                <w:div w:id="834690407">
                                  <w:marLeft w:val="0"/>
                                  <w:marRight w:val="0"/>
                                  <w:marTop w:val="0"/>
                                  <w:marBottom w:val="0"/>
                                  <w:divBdr>
                                    <w:top w:val="none" w:sz="0" w:space="0" w:color="auto"/>
                                    <w:left w:val="none" w:sz="0" w:space="0" w:color="auto"/>
                                    <w:bottom w:val="none" w:sz="0" w:space="0" w:color="auto"/>
                                    <w:right w:val="none" w:sz="0" w:space="0" w:color="auto"/>
                                  </w:divBdr>
                                  <w:divsChild>
                                    <w:div w:id="127166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9321459">
          <w:marLeft w:val="0"/>
          <w:marRight w:val="0"/>
          <w:marTop w:val="0"/>
          <w:marBottom w:val="0"/>
          <w:divBdr>
            <w:top w:val="none" w:sz="0" w:space="0" w:color="auto"/>
            <w:left w:val="none" w:sz="0" w:space="0" w:color="auto"/>
            <w:bottom w:val="none" w:sz="0" w:space="0" w:color="auto"/>
            <w:right w:val="none" w:sz="0" w:space="0" w:color="auto"/>
          </w:divBdr>
          <w:divsChild>
            <w:div w:id="1712849943">
              <w:marLeft w:val="0"/>
              <w:marRight w:val="0"/>
              <w:marTop w:val="0"/>
              <w:marBottom w:val="0"/>
              <w:divBdr>
                <w:top w:val="none" w:sz="0" w:space="0" w:color="auto"/>
                <w:left w:val="none" w:sz="0" w:space="0" w:color="auto"/>
                <w:bottom w:val="none" w:sz="0" w:space="0" w:color="auto"/>
                <w:right w:val="none" w:sz="0" w:space="0" w:color="auto"/>
              </w:divBdr>
              <w:divsChild>
                <w:div w:id="662708349">
                  <w:marLeft w:val="150"/>
                  <w:marRight w:val="150"/>
                  <w:marTop w:val="150"/>
                  <w:marBottom w:val="150"/>
                  <w:divBdr>
                    <w:top w:val="none" w:sz="0" w:space="0" w:color="auto"/>
                    <w:left w:val="none" w:sz="0" w:space="0" w:color="auto"/>
                    <w:bottom w:val="none" w:sz="0" w:space="0" w:color="auto"/>
                    <w:right w:val="none" w:sz="0" w:space="0" w:color="auto"/>
                  </w:divBdr>
                  <w:divsChild>
                    <w:div w:id="1349596605">
                      <w:marLeft w:val="0"/>
                      <w:marRight w:val="0"/>
                      <w:marTop w:val="0"/>
                      <w:marBottom w:val="0"/>
                      <w:divBdr>
                        <w:top w:val="none" w:sz="0" w:space="0" w:color="auto"/>
                        <w:left w:val="none" w:sz="0" w:space="0" w:color="auto"/>
                        <w:bottom w:val="none" w:sz="0" w:space="0" w:color="auto"/>
                        <w:right w:val="none" w:sz="0" w:space="0" w:color="auto"/>
                      </w:divBdr>
                      <w:divsChild>
                        <w:div w:id="75593180">
                          <w:marLeft w:val="0"/>
                          <w:marRight w:val="0"/>
                          <w:marTop w:val="0"/>
                          <w:marBottom w:val="0"/>
                          <w:divBdr>
                            <w:top w:val="none" w:sz="0" w:space="0" w:color="auto"/>
                            <w:left w:val="none" w:sz="0" w:space="0" w:color="auto"/>
                            <w:bottom w:val="none" w:sz="0" w:space="0" w:color="auto"/>
                            <w:right w:val="none" w:sz="0" w:space="0" w:color="auto"/>
                          </w:divBdr>
                          <w:divsChild>
                            <w:div w:id="423183045">
                              <w:marLeft w:val="150"/>
                              <w:marRight w:val="150"/>
                              <w:marTop w:val="15"/>
                              <w:marBottom w:val="150"/>
                              <w:divBdr>
                                <w:top w:val="none" w:sz="0" w:space="0" w:color="auto"/>
                                <w:left w:val="none" w:sz="0" w:space="0" w:color="auto"/>
                                <w:bottom w:val="none" w:sz="0" w:space="0" w:color="auto"/>
                                <w:right w:val="none" w:sz="0" w:space="0" w:color="auto"/>
                              </w:divBdr>
                              <w:divsChild>
                                <w:div w:id="1197886013">
                                  <w:marLeft w:val="0"/>
                                  <w:marRight w:val="0"/>
                                  <w:marTop w:val="675"/>
                                  <w:marBottom w:val="0"/>
                                  <w:divBdr>
                                    <w:top w:val="none" w:sz="0" w:space="0" w:color="auto"/>
                                    <w:left w:val="none" w:sz="0" w:space="0" w:color="auto"/>
                                    <w:bottom w:val="none" w:sz="0" w:space="0" w:color="auto"/>
                                    <w:right w:val="none" w:sz="0" w:space="0" w:color="auto"/>
                                  </w:divBdr>
                                </w:div>
                                <w:div w:id="1266841834">
                                  <w:marLeft w:val="0"/>
                                  <w:marRight w:val="0"/>
                                  <w:marTop w:val="0"/>
                                  <w:marBottom w:val="0"/>
                                  <w:divBdr>
                                    <w:top w:val="none" w:sz="0" w:space="0" w:color="auto"/>
                                    <w:left w:val="none" w:sz="0" w:space="0" w:color="auto"/>
                                    <w:bottom w:val="none" w:sz="0" w:space="0" w:color="auto"/>
                                    <w:right w:val="none" w:sz="0" w:space="0" w:color="auto"/>
                                  </w:divBdr>
                                  <w:divsChild>
                                    <w:div w:id="31303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320318">
                              <w:marLeft w:val="150"/>
                              <w:marRight w:val="150"/>
                              <w:marTop w:val="15"/>
                              <w:marBottom w:val="150"/>
                              <w:divBdr>
                                <w:top w:val="none" w:sz="0" w:space="0" w:color="auto"/>
                                <w:left w:val="none" w:sz="0" w:space="0" w:color="auto"/>
                                <w:bottom w:val="none" w:sz="0" w:space="0" w:color="auto"/>
                                <w:right w:val="none" w:sz="0" w:space="0" w:color="auto"/>
                              </w:divBdr>
                              <w:divsChild>
                                <w:div w:id="490028214">
                                  <w:marLeft w:val="0"/>
                                  <w:marRight w:val="0"/>
                                  <w:marTop w:val="0"/>
                                  <w:marBottom w:val="0"/>
                                  <w:divBdr>
                                    <w:top w:val="none" w:sz="0" w:space="0" w:color="auto"/>
                                    <w:left w:val="none" w:sz="0" w:space="0" w:color="auto"/>
                                    <w:bottom w:val="none" w:sz="0" w:space="0" w:color="auto"/>
                                    <w:right w:val="none" w:sz="0" w:space="0" w:color="auto"/>
                                  </w:divBdr>
                                  <w:divsChild>
                                    <w:div w:id="149173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470085">
                              <w:marLeft w:val="135"/>
                              <w:marRight w:val="135"/>
                              <w:marTop w:val="0"/>
                              <w:marBottom w:val="135"/>
                              <w:divBdr>
                                <w:top w:val="none" w:sz="0" w:space="0" w:color="auto"/>
                                <w:left w:val="none" w:sz="0" w:space="0" w:color="auto"/>
                                <w:bottom w:val="none" w:sz="0" w:space="0" w:color="auto"/>
                                <w:right w:val="none" w:sz="0" w:space="0" w:color="auto"/>
                              </w:divBdr>
                              <w:divsChild>
                                <w:div w:id="1078094848">
                                  <w:marLeft w:val="0"/>
                                  <w:marRight w:val="0"/>
                                  <w:marTop w:val="0"/>
                                  <w:marBottom w:val="0"/>
                                  <w:divBdr>
                                    <w:top w:val="none" w:sz="0" w:space="0" w:color="auto"/>
                                    <w:left w:val="none" w:sz="0" w:space="0" w:color="auto"/>
                                    <w:bottom w:val="none" w:sz="0" w:space="0" w:color="auto"/>
                                    <w:right w:val="none" w:sz="0" w:space="0" w:color="auto"/>
                                  </w:divBdr>
                                  <w:divsChild>
                                    <w:div w:id="2139568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72604">
                          <w:marLeft w:val="0"/>
                          <w:marRight w:val="0"/>
                          <w:marTop w:val="0"/>
                          <w:marBottom w:val="0"/>
                          <w:divBdr>
                            <w:top w:val="none" w:sz="0" w:space="0" w:color="auto"/>
                            <w:left w:val="none" w:sz="0" w:space="0" w:color="auto"/>
                            <w:bottom w:val="none" w:sz="0" w:space="0" w:color="auto"/>
                            <w:right w:val="none" w:sz="0" w:space="0" w:color="auto"/>
                          </w:divBdr>
                          <w:divsChild>
                            <w:div w:id="1411929751">
                              <w:marLeft w:val="0"/>
                              <w:marRight w:val="0"/>
                              <w:marTop w:val="0"/>
                              <w:marBottom w:val="0"/>
                              <w:divBdr>
                                <w:top w:val="none" w:sz="0" w:space="0" w:color="auto"/>
                                <w:left w:val="none" w:sz="0" w:space="0" w:color="auto"/>
                                <w:bottom w:val="none" w:sz="0" w:space="0" w:color="auto"/>
                                <w:right w:val="none" w:sz="0" w:space="0" w:color="auto"/>
                              </w:divBdr>
                              <w:divsChild>
                                <w:div w:id="1966815915">
                                  <w:marLeft w:val="0"/>
                                  <w:marRight w:val="0"/>
                                  <w:marTop w:val="0"/>
                                  <w:marBottom w:val="0"/>
                                  <w:divBdr>
                                    <w:top w:val="none" w:sz="0" w:space="0" w:color="auto"/>
                                    <w:left w:val="none" w:sz="0" w:space="0" w:color="auto"/>
                                    <w:bottom w:val="none" w:sz="0" w:space="0" w:color="auto"/>
                                    <w:right w:val="none" w:sz="0" w:space="0" w:color="auto"/>
                                  </w:divBdr>
                                  <w:divsChild>
                                    <w:div w:id="377170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1059258">
      <w:marLeft w:val="0"/>
      <w:marRight w:val="0"/>
      <w:marTop w:val="0"/>
      <w:marBottom w:val="0"/>
      <w:divBdr>
        <w:top w:val="none" w:sz="0" w:space="0" w:color="auto"/>
        <w:left w:val="none" w:sz="0" w:space="0" w:color="auto"/>
        <w:bottom w:val="none" w:sz="0" w:space="0" w:color="auto"/>
        <w:right w:val="none" w:sz="0" w:space="0" w:color="auto"/>
      </w:divBdr>
      <w:divsChild>
        <w:div w:id="1680810939">
          <w:marLeft w:val="0"/>
          <w:marRight w:val="0"/>
          <w:marTop w:val="0"/>
          <w:marBottom w:val="0"/>
          <w:divBdr>
            <w:top w:val="none" w:sz="0" w:space="0" w:color="auto"/>
            <w:left w:val="none" w:sz="0" w:space="0" w:color="auto"/>
            <w:bottom w:val="none" w:sz="0" w:space="0" w:color="auto"/>
            <w:right w:val="none" w:sz="0" w:space="0" w:color="auto"/>
          </w:divBdr>
        </w:div>
      </w:divsChild>
    </w:div>
    <w:div w:id="1602713082">
      <w:bodyDiv w:val="1"/>
      <w:marLeft w:val="0"/>
      <w:marRight w:val="0"/>
      <w:marTop w:val="0"/>
      <w:marBottom w:val="0"/>
      <w:divBdr>
        <w:top w:val="none" w:sz="0" w:space="0" w:color="auto"/>
        <w:left w:val="none" w:sz="0" w:space="0" w:color="auto"/>
        <w:bottom w:val="none" w:sz="0" w:space="0" w:color="auto"/>
        <w:right w:val="none" w:sz="0" w:space="0" w:color="auto"/>
      </w:divBdr>
    </w:div>
    <w:div w:id="1632981424">
      <w:marLeft w:val="0"/>
      <w:marRight w:val="0"/>
      <w:marTop w:val="0"/>
      <w:marBottom w:val="0"/>
      <w:divBdr>
        <w:top w:val="none" w:sz="0" w:space="0" w:color="auto"/>
        <w:left w:val="none" w:sz="0" w:space="0" w:color="auto"/>
        <w:bottom w:val="none" w:sz="0" w:space="0" w:color="auto"/>
        <w:right w:val="none" w:sz="0" w:space="0" w:color="auto"/>
      </w:divBdr>
      <w:divsChild>
        <w:div w:id="1732189035">
          <w:marLeft w:val="0"/>
          <w:marRight w:val="0"/>
          <w:marTop w:val="0"/>
          <w:marBottom w:val="0"/>
          <w:divBdr>
            <w:top w:val="none" w:sz="0" w:space="0" w:color="auto"/>
            <w:left w:val="none" w:sz="0" w:space="0" w:color="auto"/>
            <w:bottom w:val="none" w:sz="0" w:space="0" w:color="auto"/>
            <w:right w:val="none" w:sz="0" w:space="0" w:color="auto"/>
          </w:divBdr>
        </w:div>
      </w:divsChild>
    </w:div>
    <w:div w:id="1634552682">
      <w:bodyDiv w:val="1"/>
      <w:marLeft w:val="0"/>
      <w:marRight w:val="0"/>
      <w:marTop w:val="0"/>
      <w:marBottom w:val="0"/>
      <w:divBdr>
        <w:top w:val="none" w:sz="0" w:space="0" w:color="auto"/>
        <w:left w:val="none" w:sz="0" w:space="0" w:color="auto"/>
        <w:bottom w:val="none" w:sz="0" w:space="0" w:color="auto"/>
        <w:right w:val="none" w:sz="0" w:space="0" w:color="auto"/>
      </w:divBdr>
      <w:divsChild>
        <w:div w:id="1063484902">
          <w:marLeft w:val="0"/>
          <w:marRight w:val="0"/>
          <w:marTop w:val="0"/>
          <w:marBottom w:val="0"/>
          <w:divBdr>
            <w:top w:val="none" w:sz="0" w:space="0" w:color="auto"/>
            <w:left w:val="none" w:sz="0" w:space="0" w:color="auto"/>
            <w:bottom w:val="none" w:sz="0" w:space="0" w:color="auto"/>
            <w:right w:val="none" w:sz="0" w:space="0" w:color="auto"/>
          </w:divBdr>
          <w:divsChild>
            <w:div w:id="825053281">
              <w:marLeft w:val="0"/>
              <w:marRight w:val="0"/>
              <w:marTop w:val="0"/>
              <w:marBottom w:val="0"/>
              <w:divBdr>
                <w:top w:val="none" w:sz="0" w:space="0" w:color="auto"/>
                <w:left w:val="none" w:sz="0" w:space="0" w:color="auto"/>
                <w:bottom w:val="none" w:sz="0" w:space="0" w:color="auto"/>
                <w:right w:val="none" w:sz="0" w:space="0" w:color="auto"/>
              </w:divBdr>
              <w:divsChild>
                <w:div w:id="1049299453">
                  <w:marLeft w:val="0"/>
                  <w:marRight w:val="0"/>
                  <w:marTop w:val="0"/>
                  <w:marBottom w:val="0"/>
                  <w:divBdr>
                    <w:top w:val="none" w:sz="0" w:space="0" w:color="auto"/>
                    <w:left w:val="none" w:sz="0" w:space="0" w:color="auto"/>
                    <w:bottom w:val="none" w:sz="0" w:space="0" w:color="auto"/>
                    <w:right w:val="none" w:sz="0" w:space="0" w:color="auto"/>
                  </w:divBdr>
                </w:div>
              </w:divsChild>
            </w:div>
            <w:div w:id="1305354487">
              <w:marLeft w:val="0"/>
              <w:marRight w:val="0"/>
              <w:marTop w:val="0"/>
              <w:marBottom w:val="0"/>
              <w:divBdr>
                <w:top w:val="none" w:sz="0" w:space="0" w:color="auto"/>
                <w:left w:val="none" w:sz="0" w:space="0" w:color="auto"/>
                <w:bottom w:val="none" w:sz="0" w:space="0" w:color="auto"/>
                <w:right w:val="none" w:sz="0" w:space="0" w:color="auto"/>
              </w:divBdr>
            </w:div>
          </w:divsChild>
        </w:div>
        <w:div w:id="1721393802">
          <w:marLeft w:val="0"/>
          <w:marRight w:val="0"/>
          <w:marTop w:val="0"/>
          <w:marBottom w:val="0"/>
          <w:divBdr>
            <w:top w:val="none" w:sz="0" w:space="0" w:color="auto"/>
            <w:left w:val="none" w:sz="0" w:space="0" w:color="auto"/>
            <w:bottom w:val="none" w:sz="0" w:space="0" w:color="auto"/>
            <w:right w:val="none" w:sz="0" w:space="0" w:color="auto"/>
          </w:divBdr>
          <w:divsChild>
            <w:div w:id="2106415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821401">
      <w:marLeft w:val="0"/>
      <w:marRight w:val="0"/>
      <w:marTop w:val="0"/>
      <w:marBottom w:val="0"/>
      <w:divBdr>
        <w:top w:val="none" w:sz="0" w:space="0" w:color="auto"/>
        <w:left w:val="none" w:sz="0" w:space="0" w:color="auto"/>
        <w:bottom w:val="none" w:sz="0" w:space="0" w:color="auto"/>
        <w:right w:val="none" w:sz="0" w:space="0" w:color="auto"/>
      </w:divBdr>
      <w:divsChild>
        <w:div w:id="189412555">
          <w:marLeft w:val="0"/>
          <w:marRight w:val="0"/>
          <w:marTop w:val="0"/>
          <w:marBottom w:val="0"/>
          <w:divBdr>
            <w:top w:val="none" w:sz="0" w:space="0" w:color="auto"/>
            <w:left w:val="none" w:sz="0" w:space="0" w:color="auto"/>
            <w:bottom w:val="none" w:sz="0" w:space="0" w:color="auto"/>
            <w:right w:val="none" w:sz="0" w:space="0" w:color="auto"/>
          </w:divBdr>
        </w:div>
      </w:divsChild>
    </w:div>
    <w:div w:id="1687096406">
      <w:marLeft w:val="0"/>
      <w:marRight w:val="0"/>
      <w:marTop w:val="0"/>
      <w:marBottom w:val="0"/>
      <w:divBdr>
        <w:top w:val="none" w:sz="0" w:space="0" w:color="auto"/>
        <w:left w:val="none" w:sz="0" w:space="0" w:color="auto"/>
        <w:bottom w:val="none" w:sz="0" w:space="0" w:color="auto"/>
        <w:right w:val="none" w:sz="0" w:space="0" w:color="auto"/>
      </w:divBdr>
      <w:divsChild>
        <w:div w:id="1698968082">
          <w:marLeft w:val="0"/>
          <w:marRight w:val="0"/>
          <w:marTop w:val="0"/>
          <w:marBottom w:val="0"/>
          <w:divBdr>
            <w:top w:val="none" w:sz="0" w:space="0" w:color="auto"/>
            <w:left w:val="none" w:sz="0" w:space="0" w:color="auto"/>
            <w:bottom w:val="none" w:sz="0" w:space="0" w:color="auto"/>
            <w:right w:val="none" w:sz="0" w:space="0" w:color="auto"/>
          </w:divBdr>
        </w:div>
      </w:divsChild>
    </w:div>
    <w:div w:id="1690450256">
      <w:marLeft w:val="0"/>
      <w:marRight w:val="0"/>
      <w:marTop w:val="0"/>
      <w:marBottom w:val="0"/>
      <w:divBdr>
        <w:top w:val="none" w:sz="0" w:space="0" w:color="auto"/>
        <w:left w:val="none" w:sz="0" w:space="0" w:color="auto"/>
        <w:bottom w:val="none" w:sz="0" w:space="0" w:color="auto"/>
        <w:right w:val="none" w:sz="0" w:space="0" w:color="auto"/>
      </w:divBdr>
      <w:divsChild>
        <w:div w:id="569854236">
          <w:marLeft w:val="0"/>
          <w:marRight w:val="0"/>
          <w:marTop w:val="0"/>
          <w:marBottom w:val="0"/>
          <w:divBdr>
            <w:top w:val="none" w:sz="0" w:space="0" w:color="auto"/>
            <w:left w:val="none" w:sz="0" w:space="0" w:color="auto"/>
            <w:bottom w:val="none" w:sz="0" w:space="0" w:color="auto"/>
            <w:right w:val="none" w:sz="0" w:space="0" w:color="auto"/>
          </w:divBdr>
        </w:div>
      </w:divsChild>
    </w:div>
    <w:div w:id="1712341181">
      <w:marLeft w:val="0"/>
      <w:marRight w:val="0"/>
      <w:marTop w:val="0"/>
      <w:marBottom w:val="0"/>
      <w:divBdr>
        <w:top w:val="none" w:sz="0" w:space="0" w:color="auto"/>
        <w:left w:val="none" w:sz="0" w:space="0" w:color="auto"/>
        <w:bottom w:val="none" w:sz="0" w:space="0" w:color="auto"/>
        <w:right w:val="none" w:sz="0" w:space="0" w:color="auto"/>
      </w:divBdr>
      <w:divsChild>
        <w:div w:id="115756163">
          <w:marLeft w:val="0"/>
          <w:marRight w:val="0"/>
          <w:marTop w:val="0"/>
          <w:marBottom w:val="0"/>
          <w:divBdr>
            <w:top w:val="none" w:sz="0" w:space="0" w:color="auto"/>
            <w:left w:val="none" w:sz="0" w:space="0" w:color="auto"/>
            <w:bottom w:val="none" w:sz="0" w:space="0" w:color="auto"/>
            <w:right w:val="none" w:sz="0" w:space="0" w:color="auto"/>
          </w:divBdr>
        </w:div>
      </w:divsChild>
    </w:div>
    <w:div w:id="1723674022">
      <w:marLeft w:val="0"/>
      <w:marRight w:val="0"/>
      <w:marTop w:val="0"/>
      <w:marBottom w:val="0"/>
      <w:divBdr>
        <w:top w:val="none" w:sz="0" w:space="0" w:color="auto"/>
        <w:left w:val="none" w:sz="0" w:space="0" w:color="auto"/>
        <w:bottom w:val="none" w:sz="0" w:space="0" w:color="auto"/>
        <w:right w:val="none" w:sz="0" w:space="0" w:color="auto"/>
      </w:divBdr>
      <w:divsChild>
        <w:div w:id="82797911">
          <w:marLeft w:val="0"/>
          <w:marRight w:val="0"/>
          <w:marTop w:val="0"/>
          <w:marBottom w:val="0"/>
          <w:divBdr>
            <w:top w:val="none" w:sz="0" w:space="0" w:color="auto"/>
            <w:left w:val="none" w:sz="0" w:space="0" w:color="auto"/>
            <w:bottom w:val="none" w:sz="0" w:space="0" w:color="auto"/>
            <w:right w:val="none" w:sz="0" w:space="0" w:color="auto"/>
          </w:divBdr>
        </w:div>
      </w:divsChild>
    </w:div>
    <w:div w:id="1778022050">
      <w:marLeft w:val="0"/>
      <w:marRight w:val="0"/>
      <w:marTop w:val="0"/>
      <w:marBottom w:val="0"/>
      <w:divBdr>
        <w:top w:val="none" w:sz="0" w:space="0" w:color="auto"/>
        <w:left w:val="none" w:sz="0" w:space="0" w:color="auto"/>
        <w:bottom w:val="none" w:sz="0" w:space="0" w:color="auto"/>
        <w:right w:val="none" w:sz="0" w:space="0" w:color="auto"/>
      </w:divBdr>
    </w:div>
    <w:div w:id="1789544383">
      <w:marLeft w:val="0"/>
      <w:marRight w:val="0"/>
      <w:marTop w:val="0"/>
      <w:marBottom w:val="0"/>
      <w:divBdr>
        <w:top w:val="none" w:sz="0" w:space="0" w:color="auto"/>
        <w:left w:val="none" w:sz="0" w:space="0" w:color="auto"/>
        <w:bottom w:val="none" w:sz="0" w:space="0" w:color="auto"/>
        <w:right w:val="none" w:sz="0" w:space="0" w:color="auto"/>
      </w:divBdr>
    </w:div>
    <w:div w:id="1789816028">
      <w:marLeft w:val="0"/>
      <w:marRight w:val="0"/>
      <w:marTop w:val="0"/>
      <w:marBottom w:val="0"/>
      <w:divBdr>
        <w:top w:val="none" w:sz="0" w:space="0" w:color="auto"/>
        <w:left w:val="none" w:sz="0" w:space="0" w:color="auto"/>
        <w:bottom w:val="none" w:sz="0" w:space="0" w:color="auto"/>
        <w:right w:val="none" w:sz="0" w:space="0" w:color="auto"/>
      </w:divBdr>
      <w:divsChild>
        <w:div w:id="646782327">
          <w:marLeft w:val="0"/>
          <w:marRight w:val="0"/>
          <w:marTop w:val="0"/>
          <w:marBottom w:val="0"/>
          <w:divBdr>
            <w:top w:val="none" w:sz="0" w:space="0" w:color="auto"/>
            <w:left w:val="none" w:sz="0" w:space="0" w:color="auto"/>
            <w:bottom w:val="none" w:sz="0" w:space="0" w:color="auto"/>
            <w:right w:val="none" w:sz="0" w:space="0" w:color="auto"/>
          </w:divBdr>
        </w:div>
      </w:divsChild>
    </w:div>
    <w:div w:id="1793548905">
      <w:marLeft w:val="0"/>
      <w:marRight w:val="0"/>
      <w:marTop w:val="0"/>
      <w:marBottom w:val="0"/>
      <w:divBdr>
        <w:top w:val="none" w:sz="0" w:space="0" w:color="auto"/>
        <w:left w:val="none" w:sz="0" w:space="0" w:color="auto"/>
        <w:bottom w:val="none" w:sz="0" w:space="0" w:color="auto"/>
        <w:right w:val="none" w:sz="0" w:space="0" w:color="auto"/>
      </w:divBdr>
      <w:divsChild>
        <w:div w:id="1311397106">
          <w:marLeft w:val="0"/>
          <w:marRight w:val="0"/>
          <w:marTop w:val="0"/>
          <w:marBottom w:val="0"/>
          <w:divBdr>
            <w:top w:val="none" w:sz="0" w:space="0" w:color="auto"/>
            <w:left w:val="none" w:sz="0" w:space="0" w:color="auto"/>
            <w:bottom w:val="none" w:sz="0" w:space="0" w:color="auto"/>
            <w:right w:val="none" w:sz="0" w:space="0" w:color="auto"/>
          </w:divBdr>
        </w:div>
      </w:divsChild>
    </w:div>
    <w:div w:id="1799490131">
      <w:marLeft w:val="0"/>
      <w:marRight w:val="0"/>
      <w:marTop w:val="0"/>
      <w:marBottom w:val="0"/>
      <w:divBdr>
        <w:top w:val="none" w:sz="0" w:space="0" w:color="auto"/>
        <w:left w:val="none" w:sz="0" w:space="0" w:color="auto"/>
        <w:bottom w:val="none" w:sz="0" w:space="0" w:color="auto"/>
        <w:right w:val="none" w:sz="0" w:space="0" w:color="auto"/>
      </w:divBdr>
      <w:divsChild>
        <w:div w:id="975529760">
          <w:marLeft w:val="0"/>
          <w:marRight w:val="0"/>
          <w:marTop w:val="0"/>
          <w:marBottom w:val="0"/>
          <w:divBdr>
            <w:top w:val="none" w:sz="0" w:space="0" w:color="auto"/>
            <w:left w:val="none" w:sz="0" w:space="0" w:color="auto"/>
            <w:bottom w:val="none" w:sz="0" w:space="0" w:color="auto"/>
            <w:right w:val="none" w:sz="0" w:space="0" w:color="auto"/>
          </w:divBdr>
        </w:div>
      </w:divsChild>
    </w:div>
    <w:div w:id="1816215314">
      <w:marLeft w:val="0"/>
      <w:marRight w:val="0"/>
      <w:marTop w:val="0"/>
      <w:marBottom w:val="0"/>
      <w:divBdr>
        <w:top w:val="none" w:sz="0" w:space="0" w:color="auto"/>
        <w:left w:val="none" w:sz="0" w:space="0" w:color="auto"/>
        <w:bottom w:val="none" w:sz="0" w:space="0" w:color="auto"/>
        <w:right w:val="none" w:sz="0" w:space="0" w:color="auto"/>
      </w:divBdr>
      <w:divsChild>
        <w:div w:id="1947272695">
          <w:marLeft w:val="0"/>
          <w:marRight w:val="0"/>
          <w:marTop w:val="0"/>
          <w:marBottom w:val="0"/>
          <w:divBdr>
            <w:top w:val="none" w:sz="0" w:space="0" w:color="auto"/>
            <w:left w:val="none" w:sz="0" w:space="0" w:color="auto"/>
            <w:bottom w:val="none" w:sz="0" w:space="0" w:color="auto"/>
            <w:right w:val="none" w:sz="0" w:space="0" w:color="auto"/>
          </w:divBdr>
        </w:div>
      </w:divsChild>
    </w:div>
    <w:div w:id="1817335565">
      <w:marLeft w:val="0"/>
      <w:marRight w:val="0"/>
      <w:marTop w:val="0"/>
      <w:marBottom w:val="0"/>
      <w:divBdr>
        <w:top w:val="none" w:sz="0" w:space="0" w:color="auto"/>
        <w:left w:val="none" w:sz="0" w:space="0" w:color="auto"/>
        <w:bottom w:val="none" w:sz="0" w:space="0" w:color="auto"/>
        <w:right w:val="none" w:sz="0" w:space="0" w:color="auto"/>
      </w:divBdr>
      <w:divsChild>
        <w:div w:id="1929339403">
          <w:marLeft w:val="0"/>
          <w:marRight w:val="0"/>
          <w:marTop w:val="0"/>
          <w:marBottom w:val="0"/>
          <w:divBdr>
            <w:top w:val="none" w:sz="0" w:space="0" w:color="auto"/>
            <w:left w:val="none" w:sz="0" w:space="0" w:color="auto"/>
            <w:bottom w:val="none" w:sz="0" w:space="0" w:color="auto"/>
            <w:right w:val="none" w:sz="0" w:space="0" w:color="auto"/>
          </w:divBdr>
        </w:div>
      </w:divsChild>
    </w:div>
    <w:div w:id="1818258845">
      <w:marLeft w:val="0"/>
      <w:marRight w:val="0"/>
      <w:marTop w:val="0"/>
      <w:marBottom w:val="0"/>
      <w:divBdr>
        <w:top w:val="none" w:sz="0" w:space="0" w:color="auto"/>
        <w:left w:val="none" w:sz="0" w:space="0" w:color="auto"/>
        <w:bottom w:val="none" w:sz="0" w:space="0" w:color="auto"/>
        <w:right w:val="none" w:sz="0" w:space="0" w:color="auto"/>
      </w:divBdr>
      <w:divsChild>
        <w:div w:id="1706061054">
          <w:marLeft w:val="0"/>
          <w:marRight w:val="0"/>
          <w:marTop w:val="0"/>
          <w:marBottom w:val="0"/>
          <w:divBdr>
            <w:top w:val="none" w:sz="0" w:space="0" w:color="auto"/>
            <w:left w:val="none" w:sz="0" w:space="0" w:color="auto"/>
            <w:bottom w:val="none" w:sz="0" w:space="0" w:color="auto"/>
            <w:right w:val="none" w:sz="0" w:space="0" w:color="auto"/>
          </w:divBdr>
        </w:div>
      </w:divsChild>
    </w:div>
    <w:div w:id="1822578170">
      <w:marLeft w:val="0"/>
      <w:marRight w:val="0"/>
      <w:marTop w:val="0"/>
      <w:marBottom w:val="0"/>
      <w:divBdr>
        <w:top w:val="none" w:sz="0" w:space="0" w:color="auto"/>
        <w:left w:val="none" w:sz="0" w:space="0" w:color="auto"/>
        <w:bottom w:val="none" w:sz="0" w:space="0" w:color="auto"/>
        <w:right w:val="none" w:sz="0" w:space="0" w:color="auto"/>
      </w:divBdr>
      <w:divsChild>
        <w:div w:id="1057819528">
          <w:marLeft w:val="0"/>
          <w:marRight w:val="0"/>
          <w:marTop w:val="0"/>
          <w:marBottom w:val="0"/>
          <w:divBdr>
            <w:top w:val="none" w:sz="0" w:space="0" w:color="auto"/>
            <w:left w:val="none" w:sz="0" w:space="0" w:color="auto"/>
            <w:bottom w:val="none" w:sz="0" w:space="0" w:color="auto"/>
            <w:right w:val="none" w:sz="0" w:space="0" w:color="auto"/>
          </w:divBdr>
        </w:div>
      </w:divsChild>
    </w:div>
    <w:div w:id="1836997744">
      <w:marLeft w:val="0"/>
      <w:marRight w:val="0"/>
      <w:marTop w:val="0"/>
      <w:marBottom w:val="0"/>
      <w:divBdr>
        <w:top w:val="none" w:sz="0" w:space="0" w:color="auto"/>
        <w:left w:val="none" w:sz="0" w:space="0" w:color="auto"/>
        <w:bottom w:val="none" w:sz="0" w:space="0" w:color="auto"/>
        <w:right w:val="none" w:sz="0" w:space="0" w:color="auto"/>
      </w:divBdr>
      <w:divsChild>
        <w:div w:id="15540976">
          <w:marLeft w:val="0"/>
          <w:marRight w:val="0"/>
          <w:marTop w:val="0"/>
          <w:marBottom w:val="0"/>
          <w:divBdr>
            <w:top w:val="none" w:sz="0" w:space="0" w:color="auto"/>
            <w:left w:val="none" w:sz="0" w:space="0" w:color="auto"/>
            <w:bottom w:val="none" w:sz="0" w:space="0" w:color="auto"/>
            <w:right w:val="none" w:sz="0" w:space="0" w:color="auto"/>
          </w:divBdr>
        </w:div>
      </w:divsChild>
    </w:div>
    <w:div w:id="1838886296">
      <w:marLeft w:val="0"/>
      <w:marRight w:val="0"/>
      <w:marTop w:val="0"/>
      <w:marBottom w:val="0"/>
      <w:divBdr>
        <w:top w:val="none" w:sz="0" w:space="0" w:color="auto"/>
        <w:left w:val="none" w:sz="0" w:space="0" w:color="auto"/>
        <w:bottom w:val="none" w:sz="0" w:space="0" w:color="auto"/>
        <w:right w:val="none" w:sz="0" w:space="0" w:color="auto"/>
      </w:divBdr>
    </w:div>
    <w:div w:id="1848053928">
      <w:marLeft w:val="0"/>
      <w:marRight w:val="0"/>
      <w:marTop w:val="0"/>
      <w:marBottom w:val="0"/>
      <w:divBdr>
        <w:top w:val="none" w:sz="0" w:space="0" w:color="auto"/>
        <w:left w:val="none" w:sz="0" w:space="0" w:color="auto"/>
        <w:bottom w:val="none" w:sz="0" w:space="0" w:color="auto"/>
        <w:right w:val="none" w:sz="0" w:space="0" w:color="auto"/>
      </w:divBdr>
      <w:divsChild>
        <w:div w:id="877860041">
          <w:marLeft w:val="0"/>
          <w:marRight w:val="0"/>
          <w:marTop w:val="0"/>
          <w:marBottom w:val="0"/>
          <w:divBdr>
            <w:top w:val="none" w:sz="0" w:space="0" w:color="auto"/>
            <w:left w:val="none" w:sz="0" w:space="0" w:color="auto"/>
            <w:bottom w:val="none" w:sz="0" w:space="0" w:color="auto"/>
            <w:right w:val="none" w:sz="0" w:space="0" w:color="auto"/>
          </w:divBdr>
        </w:div>
      </w:divsChild>
    </w:div>
    <w:div w:id="1852639374">
      <w:marLeft w:val="0"/>
      <w:marRight w:val="0"/>
      <w:marTop w:val="0"/>
      <w:marBottom w:val="0"/>
      <w:divBdr>
        <w:top w:val="none" w:sz="0" w:space="0" w:color="auto"/>
        <w:left w:val="none" w:sz="0" w:space="0" w:color="auto"/>
        <w:bottom w:val="none" w:sz="0" w:space="0" w:color="auto"/>
        <w:right w:val="none" w:sz="0" w:space="0" w:color="auto"/>
      </w:divBdr>
      <w:divsChild>
        <w:div w:id="915896364">
          <w:marLeft w:val="0"/>
          <w:marRight w:val="0"/>
          <w:marTop w:val="0"/>
          <w:marBottom w:val="0"/>
          <w:divBdr>
            <w:top w:val="none" w:sz="0" w:space="0" w:color="auto"/>
            <w:left w:val="none" w:sz="0" w:space="0" w:color="auto"/>
            <w:bottom w:val="none" w:sz="0" w:space="0" w:color="auto"/>
            <w:right w:val="none" w:sz="0" w:space="0" w:color="auto"/>
          </w:divBdr>
        </w:div>
      </w:divsChild>
    </w:div>
    <w:div w:id="1864246945">
      <w:marLeft w:val="0"/>
      <w:marRight w:val="0"/>
      <w:marTop w:val="0"/>
      <w:marBottom w:val="0"/>
      <w:divBdr>
        <w:top w:val="none" w:sz="0" w:space="0" w:color="auto"/>
        <w:left w:val="none" w:sz="0" w:space="0" w:color="auto"/>
        <w:bottom w:val="none" w:sz="0" w:space="0" w:color="auto"/>
        <w:right w:val="none" w:sz="0" w:space="0" w:color="auto"/>
      </w:divBdr>
      <w:divsChild>
        <w:div w:id="583295619">
          <w:marLeft w:val="0"/>
          <w:marRight w:val="0"/>
          <w:marTop w:val="0"/>
          <w:marBottom w:val="0"/>
          <w:divBdr>
            <w:top w:val="none" w:sz="0" w:space="0" w:color="auto"/>
            <w:left w:val="none" w:sz="0" w:space="0" w:color="auto"/>
            <w:bottom w:val="none" w:sz="0" w:space="0" w:color="auto"/>
            <w:right w:val="none" w:sz="0" w:space="0" w:color="auto"/>
          </w:divBdr>
        </w:div>
      </w:divsChild>
    </w:div>
    <w:div w:id="1878852471">
      <w:marLeft w:val="0"/>
      <w:marRight w:val="0"/>
      <w:marTop w:val="0"/>
      <w:marBottom w:val="0"/>
      <w:divBdr>
        <w:top w:val="none" w:sz="0" w:space="0" w:color="auto"/>
        <w:left w:val="none" w:sz="0" w:space="0" w:color="auto"/>
        <w:bottom w:val="none" w:sz="0" w:space="0" w:color="auto"/>
        <w:right w:val="none" w:sz="0" w:space="0" w:color="auto"/>
      </w:divBdr>
      <w:divsChild>
        <w:div w:id="1502039659">
          <w:marLeft w:val="0"/>
          <w:marRight w:val="0"/>
          <w:marTop w:val="0"/>
          <w:marBottom w:val="0"/>
          <w:divBdr>
            <w:top w:val="none" w:sz="0" w:space="0" w:color="auto"/>
            <w:left w:val="none" w:sz="0" w:space="0" w:color="auto"/>
            <w:bottom w:val="none" w:sz="0" w:space="0" w:color="auto"/>
            <w:right w:val="none" w:sz="0" w:space="0" w:color="auto"/>
          </w:divBdr>
        </w:div>
      </w:divsChild>
    </w:div>
    <w:div w:id="1885406834">
      <w:marLeft w:val="0"/>
      <w:marRight w:val="0"/>
      <w:marTop w:val="0"/>
      <w:marBottom w:val="0"/>
      <w:divBdr>
        <w:top w:val="none" w:sz="0" w:space="0" w:color="auto"/>
        <w:left w:val="none" w:sz="0" w:space="0" w:color="auto"/>
        <w:bottom w:val="none" w:sz="0" w:space="0" w:color="auto"/>
        <w:right w:val="none" w:sz="0" w:space="0" w:color="auto"/>
      </w:divBdr>
      <w:divsChild>
        <w:div w:id="2134447305">
          <w:marLeft w:val="0"/>
          <w:marRight w:val="0"/>
          <w:marTop w:val="0"/>
          <w:marBottom w:val="0"/>
          <w:divBdr>
            <w:top w:val="none" w:sz="0" w:space="0" w:color="auto"/>
            <w:left w:val="none" w:sz="0" w:space="0" w:color="auto"/>
            <w:bottom w:val="none" w:sz="0" w:space="0" w:color="auto"/>
            <w:right w:val="none" w:sz="0" w:space="0" w:color="auto"/>
          </w:divBdr>
        </w:div>
      </w:divsChild>
    </w:div>
    <w:div w:id="1947418863">
      <w:marLeft w:val="0"/>
      <w:marRight w:val="0"/>
      <w:marTop w:val="0"/>
      <w:marBottom w:val="0"/>
      <w:divBdr>
        <w:top w:val="none" w:sz="0" w:space="0" w:color="auto"/>
        <w:left w:val="none" w:sz="0" w:space="0" w:color="auto"/>
        <w:bottom w:val="none" w:sz="0" w:space="0" w:color="auto"/>
        <w:right w:val="none" w:sz="0" w:space="0" w:color="auto"/>
      </w:divBdr>
      <w:divsChild>
        <w:div w:id="1187016408">
          <w:marLeft w:val="0"/>
          <w:marRight w:val="0"/>
          <w:marTop w:val="0"/>
          <w:marBottom w:val="0"/>
          <w:divBdr>
            <w:top w:val="none" w:sz="0" w:space="0" w:color="auto"/>
            <w:left w:val="none" w:sz="0" w:space="0" w:color="auto"/>
            <w:bottom w:val="none" w:sz="0" w:space="0" w:color="auto"/>
            <w:right w:val="none" w:sz="0" w:space="0" w:color="auto"/>
          </w:divBdr>
        </w:div>
      </w:divsChild>
    </w:div>
    <w:div w:id="1947884423">
      <w:marLeft w:val="0"/>
      <w:marRight w:val="0"/>
      <w:marTop w:val="0"/>
      <w:marBottom w:val="0"/>
      <w:divBdr>
        <w:top w:val="none" w:sz="0" w:space="0" w:color="auto"/>
        <w:left w:val="none" w:sz="0" w:space="0" w:color="auto"/>
        <w:bottom w:val="none" w:sz="0" w:space="0" w:color="auto"/>
        <w:right w:val="none" w:sz="0" w:space="0" w:color="auto"/>
      </w:divBdr>
      <w:divsChild>
        <w:div w:id="830603854">
          <w:marLeft w:val="0"/>
          <w:marRight w:val="0"/>
          <w:marTop w:val="0"/>
          <w:marBottom w:val="0"/>
          <w:divBdr>
            <w:top w:val="none" w:sz="0" w:space="0" w:color="auto"/>
            <w:left w:val="none" w:sz="0" w:space="0" w:color="auto"/>
            <w:bottom w:val="none" w:sz="0" w:space="0" w:color="auto"/>
            <w:right w:val="none" w:sz="0" w:space="0" w:color="auto"/>
          </w:divBdr>
        </w:div>
      </w:divsChild>
    </w:div>
    <w:div w:id="1950892691">
      <w:marLeft w:val="0"/>
      <w:marRight w:val="0"/>
      <w:marTop w:val="0"/>
      <w:marBottom w:val="0"/>
      <w:divBdr>
        <w:top w:val="none" w:sz="0" w:space="0" w:color="auto"/>
        <w:left w:val="none" w:sz="0" w:space="0" w:color="auto"/>
        <w:bottom w:val="none" w:sz="0" w:space="0" w:color="auto"/>
        <w:right w:val="none" w:sz="0" w:space="0" w:color="auto"/>
      </w:divBdr>
      <w:divsChild>
        <w:div w:id="633828043">
          <w:marLeft w:val="0"/>
          <w:marRight w:val="0"/>
          <w:marTop w:val="0"/>
          <w:marBottom w:val="0"/>
          <w:divBdr>
            <w:top w:val="none" w:sz="0" w:space="0" w:color="auto"/>
            <w:left w:val="none" w:sz="0" w:space="0" w:color="auto"/>
            <w:bottom w:val="none" w:sz="0" w:space="0" w:color="auto"/>
            <w:right w:val="none" w:sz="0" w:space="0" w:color="auto"/>
          </w:divBdr>
        </w:div>
      </w:divsChild>
    </w:div>
    <w:div w:id="1961568564">
      <w:marLeft w:val="0"/>
      <w:marRight w:val="0"/>
      <w:marTop w:val="0"/>
      <w:marBottom w:val="0"/>
      <w:divBdr>
        <w:top w:val="none" w:sz="0" w:space="0" w:color="auto"/>
        <w:left w:val="none" w:sz="0" w:space="0" w:color="auto"/>
        <w:bottom w:val="none" w:sz="0" w:space="0" w:color="auto"/>
        <w:right w:val="none" w:sz="0" w:space="0" w:color="auto"/>
      </w:divBdr>
      <w:divsChild>
        <w:div w:id="661546084">
          <w:marLeft w:val="0"/>
          <w:marRight w:val="0"/>
          <w:marTop w:val="0"/>
          <w:marBottom w:val="0"/>
          <w:divBdr>
            <w:top w:val="none" w:sz="0" w:space="0" w:color="auto"/>
            <w:left w:val="none" w:sz="0" w:space="0" w:color="auto"/>
            <w:bottom w:val="none" w:sz="0" w:space="0" w:color="auto"/>
            <w:right w:val="none" w:sz="0" w:space="0" w:color="auto"/>
          </w:divBdr>
        </w:div>
      </w:divsChild>
    </w:div>
    <w:div w:id="1963880480">
      <w:marLeft w:val="0"/>
      <w:marRight w:val="0"/>
      <w:marTop w:val="0"/>
      <w:marBottom w:val="0"/>
      <w:divBdr>
        <w:top w:val="none" w:sz="0" w:space="0" w:color="auto"/>
        <w:left w:val="none" w:sz="0" w:space="0" w:color="auto"/>
        <w:bottom w:val="none" w:sz="0" w:space="0" w:color="auto"/>
        <w:right w:val="none" w:sz="0" w:space="0" w:color="auto"/>
      </w:divBdr>
    </w:div>
    <w:div w:id="1968585016">
      <w:marLeft w:val="0"/>
      <w:marRight w:val="0"/>
      <w:marTop w:val="0"/>
      <w:marBottom w:val="0"/>
      <w:divBdr>
        <w:top w:val="none" w:sz="0" w:space="0" w:color="auto"/>
        <w:left w:val="none" w:sz="0" w:space="0" w:color="auto"/>
        <w:bottom w:val="none" w:sz="0" w:space="0" w:color="auto"/>
        <w:right w:val="none" w:sz="0" w:space="0" w:color="auto"/>
      </w:divBdr>
      <w:divsChild>
        <w:div w:id="1281112244">
          <w:marLeft w:val="0"/>
          <w:marRight w:val="0"/>
          <w:marTop w:val="0"/>
          <w:marBottom w:val="0"/>
          <w:divBdr>
            <w:top w:val="none" w:sz="0" w:space="0" w:color="auto"/>
            <w:left w:val="none" w:sz="0" w:space="0" w:color="auto"/>
            <w:bottom w:val="none" w:sz="0" w:space="0" w:color="auto"/>
            <w:right w:val="none" w:sz="0" w:space="0" w:color="auto"/>
          </w:divBdr>
        </w:div>
      </w:divsChild>
    </w:div>
    <w:div w:id="1988123306">
      <w:bodyDiv w:val="1"/>
      <w:marLeft w:val="0"/>
      <w:marRight w:val="0"/>
      <w:marTop w:val="0"/>
      <w:marBottom w:val="0"/>
      <w:divBdr>
        <w:top w:val="none" w:sz="0" w:space="0" w:color="auto"/>
        <w:left w:val="none" w:sz="0" w:space="0" w:color="auto"/>
        <w:bottom w:val="none" w:sz="0" w:space="0" w:color="auto"/>
        <w:right w:val="none" w:sz="0" w:space="0" w:color="auto"/>
      </w:divBdr>
      <w:divsChild>
        <w:div w:id="384262963">
          <w:marLeft w:val="0"/>
          <w:marRight w:val="0"/>
          <w:marTop w:val="0"/>
          <w:marBottom w:val="0"/>
          <w:divBdr>
            <w:top w:val="none" w:sz="0" w:space="0" w:color="auto"/>
            <w:left w:val="none" w:sz="0" w:space="0" w:color="auto"/>
            <w:bottom w:val="none" w:sz="0" w:space="0" w:color="auto"/>
            <w:right w:val="none" w:sz="0" w:space="0" w:color="auto"/>
          </w:divBdr>
        </w:div>
        <w:div w:id="700397489">
          <w:marLeft w:val="0"/>
          <w:marRight w:val="0"/>
          <w:marTop w:val="0"/>
          <w:marBottom w:val="0"/>
          <w:divBdr>
            <w:top w:val="none" w:sz="0" w:space="0" w:color="auto"/>
            <w:left w:val="none" w:sz="0" w:space="0" w:color="auto"/>
            <w:bottom w:val="none" w:sz="0" w:space="0" w:color="auto"/>
            <w:right w:val="none" w:sz="0" w:space="0" w:color="auto"/>
          </w:divBdr>
        </w:div>
        <w:div w:id="922954650">
          <w:marLeft w:val="0"/>
          <w:marRight w:val="0"/>
          <w:marTop w:val="0"/>
          <w:marBottom w:val="0"/>
          <w:divBdr>
            <w:top w:val="none" w:sz="0" w:space="0" w:color="auto"/>
            <w:left w:val="none" w:sz="0" w:space="0" w:color="auto"/>
            <w:bottom w:val="none" w:sz="0" w:space="0" w:color="auto"/>
            <w:right w:val="none" w:sz="0" w:space="0" w:color="auto"/>
          </w:divBdr>
        </w:div>
        <w:div w:id="1213300464">
          <w:marLeft w:val="0"/>
          <w:marRight w:val="0"/>
          <w:marTop w:val="0"/>
          <w:marBottom w:val="0"/>
          <w:divBdr>
            <w:top w:val="none" w:sz="0" w:space="0" w:color="auto"/>
            <w:left w:val="none" w:sz="0" w:space="0" w:color="auto"/>
            <w:bottom w:val="none" w:sz="0" w:space="0" w:color="auto"/>
            <w:right w:val="none" w:sz="0" w:space="0" w:color="auto"/>
          </w:divBdr>
        </w:div>
        <w:div w:id="1442992225">
          <w:marLeft w:val="0"/>
          <w:marRight w:val="0"/>
          <w:marTop w:val="0"/>
          <w:marBottom w:val="0"/>
          <w:divBdr>
            <w:top w:val="none" w:sz="0" w:space="0" w:color="auto"/>
            <w:left w:val="none" w:sz="0" w:space="0" w:color="auto"/>
            <w:bottom w:val="none" w:sz="0" w:space="0" w:color="auto"/>
            <w:right w:val="none" w:sz="0" w:space="0" w:color="auto"/>
          </w:divBdr>
        </w:div>
        <w:div w:id="1631281258">
          <w:marLeft w:val="0"/>
          <w:marRight w:val="0"/>
          <w:marTop w:val="0"/>
          <w:marBottom w:val="0"/>
          <w:divBdr>
            <w:top w:val="none" w:sz="0" w:space="0" w:color="auto"/>
            <w:left w:val="none" w:sz="0" w:space="0" w:color="auto"/>
            <w:bottom w:val="none" w:sz="0" w:space="0" w:color="auto"/>
            <w:right w:val="none" w:sz="0" w:space="0" w:color="auto"/>
          </w:divBdr>
        </w:div>
      </w:divsChild>
    </w:div>
    <w:div w:id="2032221481">
      <w:bodyDiv w:val="1"/>
      <w:marLeft w:val="0"/>
      <w:marRight w:val="0"/>
      <w:marTop w:val="0"/>
      <w:marBottom w:val="0"/>
      <w:divBdr>
        <w:top w:val="none" w:sz="0" w:space="0" w:color="auto"/>
        <w:left w:val="none" w:sz="0" w:space="0" w:color="auto"/>
        <w:bottom w:val="none" w:sz="0" w:space="0" w:color="auto"/>
        <w:right w:val="none" w:sz="0" w:space="0" w:color="auto"/>
      </w:divBdr>
      <w:divsChild>
        <w:div w:id="946086671">
          <w:marLeft w:val="0"/>
          <w:marRight w:val="0"/>
          <w:marTop w:val="0"/>
          <w:marBottom w:val="0"/>
          <w:divBdr>
            <w:top w:val="none" w:sz="0" w:space="0" w:color="auto"/>
            <w:left w:val="none" w:sz="0" w:space="0" w:color="auto"/>
            <w:bottom w:val="none" w:sz="0" w:space="0" w:color="auto"/>
            <w:right w:val="none" w:sz="0" w:space="0" w:color="auto"/>
          </w:divBdr>
          <w:divsChild>
            <w:div w:id="1954247816">
              <w:marLeft w:val="0"/>
              <w:marRight w:val="0"/>
              <w:marTop w:val="0"/>
              <w:marBottom w:val="0"/>
              <w:divBdr>
                <w:top w:val="none" w:sz="0" w:space="0" w:color="auto"/>
                <w:left w:val="none" w:sz="0" w:space="0" w:color="auto"/>
                <w:bottom w:val="none" w:sz="0" w:space="0" w:color="auto"/>
                <w:right w:val="none" w:sz="0" w:space="0" w:color="auto"/>
              </w:divBdr>
            </w:div>
          </w:divsChild>
        </w:div>
        <w:div w:id="1736857752">
          <w:marLeft w:val="0"/>
          <w:marRight w:val="0"/>
          <w:marTop w:val="0"/>
          <w:marBottom w:val="0"/>
          <w:divBdr>
            <w:top w:val="none" w:sz="0" w:space="0" w:color="auto"/>
            <w:left w:val="none" w:sz="0" w:space="0" w:color="auto"/>
            <w:bottom w:val="none" w:sz="0" w:space="0" w:color="auto"/>
            <w:right w:val="none" w:sz="0" w:space="0" w:color="auto"/>
          </w:divBdr>
          <w:divsChild>
            <w:div w:id="986012782">
              <w:marLeft w:val="0"/>
              <w:marRight w:val="0"/>
              <w:marTop w:val="0"/>
              <w:marBottom w:val="0"/>
              <w:divBdr>
                <w:top w:val="none" w:sz="0" w:space="0" w:color="auto"/>
                <w:left w:val="none" w:sz="0" w:space="0" w:color="auto"/>
                <w:bottom w:val="none" w:sz="0" w:space="0" w:color="auto"/>
                <w:right w:val="none" w:sz="0" w:space="0" w:color="auto"/>
              </w:divBdr>
            </w:div>
            <w:div w:id="1190072043">
              <w:marLeft w:val="0"/>
              <w:marRight w:val="0"/>
              <w:marTop w:val="0"/>
              <w:marBottom w:val="0"/>
              <w:divBdr>
                <w:top w:val="none" w:sz="0" w:space="0" w:color="auto"/>
                <w:left w:val="none" w:sz="0" w:space="0" w:color="auto"/>
                <w:bottom w:val="none" w:sz="0" w:space="0" w:color="auto"/>
                <w:right w:val="none" w:sz="0" w:space="0" w:color="auto"/>
              </w:divBdr>
              <w:divsChild>
                <w:div w:id="258952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201107">
      <w:marLeft w:val="0"/>
      <w:marRight w:val="0"/>
      <w:marTop w:val="0"/>
      <w:marBottom w:val="0"/>
      <w:divBdr>
        <w:top w:val="none" w:sz="0" w:space="0" w:color="auto"/>
        <w:left w:val="none" w:sz="0" w:space="0" w:color="auto"/>
        <w:bottom w:val="none" w:sz="0" w:space="0" w:color="auto"/>
        <w:right w:val="none" w:sz="0" w:space="0" w:color="auto"/>
      </w:divBdr>
      <w:divsChild>
        <w:div w:id="598756260">
          <w:marLeft w:val="0"/>
          <w:marRight w:val="0"/>
          <w:marTop w:val="0"/>
          <w:marBottom w:val="0"/>
          <w:divBdr>
            <w:top w:val="none" w:sz="0" w:space="0" w:color="auto"/>
            <w:left w:val="none" w:sz="0" w:space="0" w:color="auto"/>
            <w:bottom w:val="none" w:sz="0" w:space="0" w:color="auto"/>
            <w:right w:val="none" w:sz="0" w:space="0" w:color="auto"/>
          </w:divBdr>
        </w:div>
      </w:divsChild>
    </w:div>
    <w:div w:id="2083135401">
      <w:marLeft w:val="0"/>
      <w:marRight w:val="0"/>
      <w:marTop w:val="0"/>
      <w:marBottom w:val="0"/>
      <w:divBdr>
        <w:top w:val="none" w:sz="0" w:space="0" w:color="auto"/>
        <w:left w:val="none" w:sz="0" w:space="0" w:color="auto"/>
        <w:bottom w:val="none" w:sz="0" w:space="0" w:color="auto"/>
        <w:right w:val="none" w:sz="0" w:space="0" w:color="auto"/>
      </w:divBdr>
      <w:divsChild>
        <w:div w:id="24066028">
          <w:marLeft w:val="0"/>
          <w:marRight w:val="0"/>
          <w:marTop w:val="0"/>
          <w:marBottom w:val="0"/>
          <w:divBdr>
            <w:top w:val="none" w:sz="0" w:space="0" w:color="auto"/>
            <w:left w:val="none" w:sz="0" w:space="0" w:color="auto"/>
            <w:bottom w:val="none" w:sz="0" w:space="0" w:color="auto"/>
            <w:right w:val="none" w:sz="0" w:space="0" w:color="auto"/>
          </w:divBdr>
        </w:div>
      </w:divsChild>
    </w:div>
    <w:div w:id="2085643615">
      <w:marLeft w:val="0"/>
      <w:marRight w:val="0"/>
      <w:marTop w:val="0"/>
      <w:marBottom w:val="0"/>
      <w:divBdr>
        <w:top w:val="none" w:sz="0" w:space="0" w:color="auto"/>
        <w:left w:val="none" w:sz="0" w:space="0" w:color="auto"/>
        <w:bottom w:val="none" w:sz="0" w:space="0" w:color="auto"/>
        <w:right w:val="none" w:sz="0" w:space="0" w:color="auto"/>
      </w:divBdr>
      <w:divsChild>
        <w:div w:id="1823309562">
          <w:marLeft w:val="0"/>
          <w:marRight w:val="0"/>
          <w:marTop w:val="0"/>
          <w:marBottom w:val="0"/>
          <w:divBdr>
            <w:top w:val="none" w:sz="0" w:space="0" w:color="auto"/>
            <w:left w:val="none" w:sz="0" w:space="0" w:color="auto"/>
            <w:bottom w:val="none" w:sz="0" w:space="0" w:color="auto"/>
            <w:right w:val="none" w:sz="0" w:space="0" w:color="auto"/>
          </w:divBdr>
        </w:div>
      </w:divsChild>
    </w:div>
    <w:div w:id="2086562573">
      <w:marLeft w:val="0"/>
      <w:marRight w:val="0"/>
      <w:marTop w:val="0"/>
      <w:marBottom w:val="0"/>
      <w:divBdr>
        <w:top w:val="none" w:sz="0" w:space="0" w:color="auto"/>
        <w:left w:val="none" w:sz="0" w:space="0" w:color="auto"/>
        <w:bottom w:val="none" w:sz="0" w:space="0" w:color="auto"/>
        <w:right w:val="none" w:sz="0" w:space="0" w:color="auto"/>
      </w:divBdr>
      <w:divsChild>
        <w:div w:id="246426807">
          <w:marLeft w:val="0"/>
          <w:marRight w:val="0"/>
          <w:marTop w:val="0"/>
          <w:marBottom w:val="0"/>
          <w:divBdr>
            <w:top w:val="none" w:sz="0" w:space="0" w:color="auto"/>
            <w:left w:val="none" w:sz="0" w:space="0" w:color="auto"/>
            <w:bottom w:val="none" w:sz="0" w:space="0" w:color="auto"/>
            <w:right w:val="none" w:sz="0" w:space="0" w:color="auto"/>
          </w:divBdr>
        </w:div>
      </w:divsChild>
    </w:div>
    <w:div w:id="2086610449">
      <w:marLeft w:val="0"/>
      <w:marRight w:val="0"/>
      <w:marTop w:val="0"/>
      <w:marBottom w:val="0"/>
      <w:divBdr>
        <w:top w:val="none" w:sz="0" w:space="0" w:color="auto"/>
        <w:left w:val="none" w:sz="0" w:space="0" w:color="auto"/>
        <w:bottom w:val="none" w:sz="0" w:space="0" w:color="auto"/>
        <w:right w:val="none" w:sz="0" w:space="0" w:color="auto"/>
      </w:divBdr>
      <w:divsChild>
        <w:div w:id="994533816">
          <w:marLeft w:val="0"/>
          <w:marRight w:val="0"/>
          <w:marTop w:val="0"/>
          <w:marBottom w:val="0"/>
          <w:divBdr>
            <w:top w:val="none" w:sz="0" w:space="0" w:color="auto"/>
            <w:left w:val="none" w:sz="0" w:space="0" w:color="auto"/>
            <w:bottom w:val="none" w:sz="0" w:space="0" w:color="auto"/>
            <w:right w:val="none" w:sz="0" w:space="0" w:color="auto"/>
          </w:divBdr>
        </w:div>
      </w:divsChild>
    </w:div>
    <w:div w:id="2106147121">
      <w:marLeft w:val="0"/>
      <w:marRight w:val="0"/>
      <w:marTop w:val="0"/>
      <w:marBottom w:val="0"/>
      <w:divBdr>
        <w:top w:val="none" w:sz="0" w:space="0" w:color="auto"/>
        <w:left w:val="none" w:sz="0" w:space="0" w:color="auto"/>
        <w:bottom w:val="none" w:sz="0" w:space="0" w:color="auto"/>
        <w:right w:val="none" w:sz="0" w:space="0" w:color="auto"/>
      </w:divBdr>
      <w:divsChild>
        <w:div w:id="668144971">
          <w:marLeft w:val="0"/>
          <w:marRight w:val="0"/>
          <w:marTop w:val="0"/>
          <w:marBottom w:val="0"/>
          <w:divBdr>
            <w:top w:val="none" w:sz="0" w:space="0" w:color="auto"/>
            <w:left w:val="none" w:sz="0" w:space="0" w:color="auto"/>
            <w:bottom w:val="none" w:sz="0" w:space="0" w:color="auto"/>
            <w:right w:val="none" w:sz="0" w:space="0" w:color="auto"/>
          </w:divBdr>
        </w:div>
      </w:divsChild>
    </w:div>
    <w:div w:id="2111704767">
      <w:marLeft w:val="0"/>
      <w:marRight w:val="0"/>
      <w:marTop w:val="0"/>
      <w:marBottom w:val="0"/>
      <w:divBdr>
        <w:top w:val="none" w:sz="0" w:space="0" w:color="auto"/>
        <w:left w:val="none" w:sz="0" w:space="0" w:color="auto"/>
        <w:bottom w:val="none" w:sz="0" w:space="0" w:color="auto"/>
        <w:right w:val="none" w:sz="0" w:space="0" w:color="auto"/>
      </w:divBdr>
      <w:divsChild>
        <w:div w:id="545802892">
          <w:marLeft w:val="0"/>
          <w:marRight w:val="0"/>
          <w:marTop w:val="0"/>
          <w:marBottom w:val="0"/>
          <w:divBdr>
            <w:top w:val="none" w:sz="0" w:space="0" w:color="auto"/>
            <w:left w:val="none" w:sz="0" w:space="0" w:color="auto"/>
            <w:bottom w:val="none" w:sz="0" w:space="0" w:color="auto"/>
            <w:right w:val="none" w:sz="0" w:space="0" w:color="auto"/>
          </w:divBdr>
        </w:div>
      </w:divsChild>
    </w:div>
    <w:div w:id="2116096892">
      <w:bodyDiv w:val="1"/>
      <w:marLeft w:val="0"/>
      <w:marRight w:val="0"/>
      <w:marTop w:val="0"/>
      <w:marBottom w:val="0"/>
      <w:divBdr>
        <w:top w:val="none" w:sz="0" w:space="0" w:color="auto"/>
        <w:left w:val="none" w:sz="0" w:space="0" w:color="auto"/>
        <w:bottom w:val="none" w:sz="0" w:space="0" w:color="auto"/>
        <w:right w:val="none" w:sz="0" w:space="0" w:color="auto"/>
      </w:divBdr>
      <w:divsChild>
        <w:div w:id="414085564">
          <w:marLeft w:val="0"/>
          <w:marRight w:val="0"/>
          <w:marTop w:val="0"/>
          <w:marBottom w:val="0"/>
          <w:divBdr>
            <w:top w:val="none" w:sz="0" w:space="0" w:color="auto"/>
            <w:left w:val="none" w:sz="0" w:space="0" w:color="auto"/>
            <w:bottom w:val="none" w:sz="0" w:space="0" w:color="auto"/>
            <w:right w:val="none" w:sz="0" w:space="0" w:color="auto"/>
          </w:divBdr>
          <w:divsChild>
            <w:div w:id="180750701">
              <w:marLeft w:val="0"/>
              <w:marRight w:val="0"/>
              <w:marTop w:val="0"/>
              <w:marBottom w:val="0"/>
              <w:divBdr>
                <w:top w:val="none" w:sz="0" w:space="0" w:color="auto"/>
                <w:left w:val="none" w:sz="0" w:space="0" w:color="auto"/>
                <w:bottom w:val="none" w:sz="0" w:space="0" w:color="auto"/>
                <w:right w:val="none" w:sz="0" w:space="0" w:color="auto"/>
              </w:divBdr>
              <w:divsChild>
                <w:div w:id="1109082297">
                  <w:marLeft w:val="150"/>
                  <w:marRight w:val="150"/>
                  <w:marTop w:val="150"/>
                  <w:marBottom w:val="150"/>
                  <w:divBdr>
                    <w:top w:val="none" w:sz="0" w:space="0" w:color="auto"/>
                    <w:left w:val="none" w:sz="0" w:space="0" w:color="auto"/>
                    <w:bottom w:val="none" w:sz="0" w:space="0" w:color="auto"/>
                    <w:right w:val="none" w:sz="0" w:space="0" w:color="auto"/>
                  </w:divBdr>
                  <w:divsChild>
                    <w:div w:id="688802192">
                      <w:marLeft w:val="0"/>
                      <w:marRight w:val="0"/>
                      <w:marTop w:val="0"/>
                      <w:marBottom w:val="0"/>
                      <w:divBdr>
                        <w:top w:val="none" w:sz="0" w:space="0" w:color="auto"/>
                        <w:left w:val="none" w:sz="0" w:space="0" w:color="auto"/>
                        <w:bottom w:val="none" w:sz="0" w:space="0" w:color="auto"/>
                        <w:right w:val="none" w:sz="0" w:space="0" w:color="auto"/>
                      </w:divBdr>
                      <w:divsChild>
                        <w:div w:id="70547225">
                          <w:marLeft w:val="0"/>
                          <w:marRight w:val="0"/>
                          <w:marTop w:val="0"/>
                          <w:marBottom w:val="0"/>
                          <w:divBdr>
                            <w:top w:val="none" w:sz="0" w:space="0" w:color="auto"/>
                            <w:left w:val="none" w:sz="0" w:space="0" w:color="auto"/>
                            <w:bottom w:val="none" w:sz="0" w:space="0" w:color="auto"/>
                            <w:right w:val="none" w:sz="0" w:space="0" w:color="auto"/>
                          </w:divBdr>
                          <w:divsChild>
                            <w:div w:id="185144181">
                              <w:marLeft w:val="0"/>
                              <w:marRight w:val="0"/>
                              <w:marTop w:val="0"/>
                              <w:marBottom w:val="0"/>
                              <w:divBdr>
                                <w:top w:val="none" w:sz="0" w:space="0" w:color="auto"/>
                                <w:left w:val="none" w:sz="0" w:space="0" w:color="auto"/>
                                <w:bottom w:val="none" w:sz="0" w:space="0" w:color="auto"/>
                                <w:right w:val="none" w:sz="0" w:space="0" w:color="auto"/>
                              </w:divBdr>
                              <w:divsChild>
                                <w:div w:id="1521965716">
                                  <w:marLeft w:val="0"/>
                                  <w:marRight w:val="0"/>
                                  <w:marTop w:val="0"/>
                                  <w:marBottom w:val="0"/>
                                  <w:divBdr>
                                    <w:top w:val="none" w:sz="0" w:space="0" w:color="auto"/>
                                    <w:left w:val="none" w:sz="0" w:space="0" w:color="auto"/>
                                    <w:bottom w:val="none" w:sz="0" w:space="0" w:color="auto"/>
                                    <w:right w:val="none" w:sz="0" w:space="0" w:color="auto"/>
                                  </w:divBdr>
                                  <w:divsChild>
                                    <w:div w:id="97453650">
                                      <w:marLeft w:val="0"/>
                                      <w:marRight w:val="0"/>
                                      <w:marTop w:val="0"/>
                                      <w:marBottom w:val="0"/>
                                      <w:divBdr>
                                        <w:top w:val="none" w:sz="0" w:space="0" w:color="auto"/>
                                        <w:left w:val="none" w:sz="0" w:space="0" w:color="auto"/>
                                        <w:bottom w:val="none" w:sz="0" w:space="0" w:color="auto"/>
                                        <w:right w:val="none" w:sz="0" w:space="0" w:color="auto"/>
                                      </w:divBdr>
                                    </w:div>
                                    <w:div w:id="134228932">
                                      <w:marLeft w:val="0"/>
                                      <w:marRight w:val="0"/>
                                      <w:marTop w:val="0"/>
                                      <w:marBottom w:val="0"/>
                                      <w:divBdr>
                                        <w:top w:val="none" w:sz="0" w:space="0" w:color="auto"/>
                                        <w:left w:val="none" w:sz="0" w:space="0" w:color="auto"/>
                                        <w:bottom w:val="none" w:sz="0" w:space="0" w:color="auto"/>
                                        <w:right w:val="none" w:sz="0" w:space="0" w:color="auto"/>
                                      </w:divBdr>
                                    </w:div>
                                    <w:div w:id="240995149">
                                      <w:marLeft w:val="0"/>
                                      <w:marRight w:val="0"/>
                                      <w:marTop w:val="0"/>
                                      <w:marBottom w:val="0"/>
                                      <w:divBdr>
                                        <w:top w:val="single" w:sz="6" w:space="7" w:color="auto"/>
                                        <w:left w:val="none" w:sz="0" w:space="0" w:color="auto"/>
                                        <w:bottom w:val="none" w:sz="0" w:space="0" w:color="auto"/>
                                        <w:right w:val="none" w:sz="0" w:space="0" w:color="auto"/>
                                      </w:divBdr>
                                      <w:divsChild>
                                        <w:div w:id="722752864">
                                          <w:marLeft w:val="0"/>
                                          <w:marRight w:val="0"/>
                                          <w:marTop w:val="0"/>
                                          <w:marBottom w:val="0"/>
                                          <w:divBdr>
                                            <w:top w:val="none" w:sz="0" w:space="0" w:color="auto"/>
                                            <w:left w:val="none" w:sz="0" w:space="0" w:color="auto"/>
                                            <w:bottom w:val="none" w:sz="0" w:space="0" w:color="auto"/>
                                            <w:right w:val="none" w:sz="0" w:space="0" w:color="auto"/>
                                          </w:divBdr>
                                          <w:divsChild>
                                            <w:div w:id="81072671">
                                              <w:marLeft w:val="0"/>
                                              <w:marRight w:val="0"/>
                                              <w:marTop w:val="0"/>
                                              <w:marBottom w:val="0"/>
                                              <w:divBdr>
                                                <w:top w:val="none" w:sz="0" w:space="0" w:color="auto"/>
                                                <w:left w:val="none" w:sz="0" w:space="0" w:color="auto"/>
                                                <w:bottom w:val="none" w:sz="0" w:space="0" w:color="auto"/>
                                                <w:right w:val="none" w:sz="0" w:space="0" w:color="auto"/>
                                              </w:divBdr>
                                            </w:div>
                                          </w:divsChild>
                                        </w:div>
                                        <w:div w:id="1855730492">
                                          <w:marLeft w:val="0"/>
                                          <w:marRight w:val="0"/>
                                          <w:marTop w:val="0"/>
                                          <w:marBottom w:val="0"/>
                                          <w:divBdr>
                                            <w:top w:val="none" w:sz="0" w:space="0" w:color="auto"/>
                                            <w:left w:val="none" w:sz="0" w:space="0" w:color="auto"/>
                                            <w:bottom w:val="none" w:sz="0" w:space="0" w:color="auto"/>
                                            <w:right w:val="none" w:sz="0" w:space="0" w:color="auto"/>
                                          </w:divBdr>
                                        </w:div>
                                      </w:divsChild>
                                    </w:div>
                                    <w:div w:id="288247889">
                                      <w:marLeft w:val="0"/>
                                      <w:marRight w:val="0"/>
                                      <w:marTop w:val="0"/>
                                      <w:marBottom w:val="0"/>
                                      <w:divBdr>
                                        <w:top w:val="none" w:sz="0" w:space="0" w:color="auto"/>
                                        <w:left w:val="none" w:sz="0" w:space="0" w:color="auto"/>
                                        <w:bottom w:val="none" w:sz="0" w:space="0" w:color="auto"/>
                                        <w:right w:val="none" w:sz="0" w:space="0" w:color="auto"/>
                                      </w:divBdr>
                                    </w:div>
                                    <w:div w:id="474496317">
                                      <w:marLeft w:val="0"/>
                                      <w:marRight w:val="0"/>
                                      <w:marTop w:val="0"/>
                                      <w:marBottom w:val="0"/>
                                      <w:divBdr>
                                        <w:top w:val="none" w:sz="0" w:space="0" w:color="auto"/>
                                        <w:left w:val="none" w:sz="0" w:space="0" w:color="auto"/>
                                        <w:bottom w:val="none" w:sz="0" w:space="0" w:color="auto"/>
                                        <w:right w:val="none" w:sz="0" w:space="0" w:color="auto"/>
                                      </w:divBdr>
                                    </w:div>
                                    <w:div w:id="797533661">
                                      <w:marLeft w:val="0"/>
                                      <w:marRight w:val="0"/>
                                      <w:marTop w:val="0"/>
                                      <w:marBottom w:val="0"/>
                                      <w:divBdr>
                                        <w:top w:val="none" w:sz="0" w:space="0" w:color="auto"/>
                                        <w:left w:val="none" w:sz="0" w:space="0" w:color="auto"/>
                                        <w:bottom w:val="none" w:sz="0" w:space="0" w:color="auto"/>
                                        <w:right w:val="none" w:sz="0" w:space="0" w:color="auto"/>
                                      </w:divBdr>
                                    </w:div>
                                    <w:div w:id="924270241">
                                      <w:marLeft w:val="0"/>
                                      <w:marRight w:val="0"/>
                                      <w:marTop w:val="0"/>
                                      <w:marBottom w:val="0"/>
                                      <w:divBdr>
                                        <w:top w:val="none" w:sz="0" w:space="0" w:color="auto"/>
                                        <w:left w:val="none" w:sz="0" w:space="0" w:color="auto"/>
                                        <w:bottom w:val="none" w:sz="0" w:space="0" w:color="auto"/>
                                        <w:right w:val="none" w:sz="0" w:space="0" w:color="auto"/>
                                      </w:divBdr>
                                    </w:div>
                                    <w:div w:id="942613621">
                                      <w:marLeft w:val="0"/>
                                      <w:marRight w:val="0"/>
                                      <w:marTop w:val="0"/>
                                      <w:marBottom w:val="0"/>
                                      <w:divBdr>
                                        <w:top w:val="none" w:sz="0" w:space="0" w:color="auto"/>
                                        <w:left w:val="none" w:sz="0" w:space="0" w:color="auto"/>
                                        <w:bottom w:val="none" w:sz="0" w:space="0" w:color="auto"/>
                                        <w:right w:val="none" w:sz="0" w:space="0" w:color="auto"/>
                                      </w:divBdr>
                                    </w:div>
                                    <w:div w:id="1030566517">
                                      <w:marLeft w:val="0"/>
                                      <w:marRight w:val="0"/>
                                      <w:marTop w:val="0"/>
                                      <w:marBottom w:val="0"/>
                                      <w:divBdr>
                                        <w:top w:val="none" w:sz="0" w:space="0" w:color="auto"/>
                                        <w:left w:val="none" w:sz="0" w:space="0" w:color="auto"/>
                                        <w:bottom w:val="none" w:sz="0" w:space="0" w:color="auto"/>
                                        <w:right w:val="none" w:sz="0" w:space="0" w:color="auto"/>
                                      </w:divBdr>
                                    </w:div>
                                    <w:div w:id="1320887834">
                                      <w:marLeft w:val="0"/>
                                      <w:marRight w:val="0"/>
                                      <w:marTop w:val="0"/>
                                      <w:marBottom w:val="0"/>
                                      <w:divBdr>
                                        <w:top w:val="none" w:sz="0" w:space="0" w:color="auto"/>
                                        <w:left w:val="none" w:sz="0" w:space="0" w:color="auto"/>
                                        <w:bottom w:val="none" w:sz="0" w:space="0" w:color="auto"/>
                                        <w:right w:val="none" w:sz="0" w:space="0" w:color="auto"/>
                                      </w:divBdr>
                                    </w:div>
                                    <w:div w:id="1392775928">
                                      <w:marLeft w:val="0"/>
                                      <w:marRight w:val="0"/>
                                      <w:marTop w:val="0"/>
                                      <w:marBottom w:val="0"/>
                                      <w:divBdr>
                                        <w:top w:val="none" w:sz="0" w:space="0" w:color="auto"/>
                                        <w:left w:val="none" w:sz="0" w:space="0" w:color="auto"/>
                                        <w:bottom w:val="none" w:sz="0" w:space="0" w:color="auto"/>
                                        <w:right w:val="none" w:sz="0" w:space="0" w:color="auto"/>
                                      </w:divBdr>
                                    </w:div>
                                    <w:div w:id="1433933826">
                                      <w:marLeft w:val="0"/>
                                      <w:marRight w:val="0"/>
                                      <w:marTop w:val="0"/>
                                      <w:marBottom w:val="0"/>
                                      <w:divBdr>
                                        <w:top w:val="none" w:sz="0" w:space="0" w:color="auto"/>
                                        <w:left w:val="none" w:sz="0" w:space="0" w:color="auto"/>
                                        <w:bottom w:val="none" w:sz="0" w:space="0" w:color="auto"/>
                                        <w:right w:val="none" w:sz="0" w:space="0" w:color="auto"/>
                                      </w:divBdr>
                                    </w:div>
                                    <w:div w:id="1490706498">
                                      <w:marLeft w:val="0"/>
                                      <w:marRight w:val="0"/>
                                      <w:marTop w:val="0"/>
                                      <w:marBottom w:val="0"/>
                                      <w:divBdr>
                                        <w:top w:val="none" w:sz="0" w:space="0" w:color="auto"/>
                                        <w:left w:val="none" w:sz="0" w:space="0" w:color="auto"/>
                                        <w:bottom w:val="none" w:sz="0" w:space="0" w:color="auto"/>
                                        <w:right w:val="none" w:sz="0" w:space="0" w:color="auto"/>
                                      </w:divBdr>
                                    </w:div>
                                    <w:div w:id="1527058855">
                                      <w:marLeft w:val="0"/>
                                      <w:marRight w:val="0"/>
                                      <w:marTop w:val="0"/>
                                      <w:marBottom w:val="0"/>
                                      <w:divBdr>
                                        <w:top w:val="none" w:sz="0" w:space="0" w:color="auto"/>
                                        <w:left w:val="none" w:sz="0" w:space="0" w:color="auto"/>
                                        <w:bottom w:val="none" w:sz="0" w:space="0" w:color="auto"/>
                                        <w:right w:val="none" w:sz="0" w:space="0" w:color="auto"/>
                                      </w:divBdr>
                                    </w:div>
                                    <w:div w:id="1732001146">
                                      <w:marLeft w:val="0"/>
                                      <w:marRight w:val="0"/>
                                      <w:marTop w:val="0"/>
                                      <w:marBottom w:val="0"/>
                                      <w:divBdr>
                                        <w:top w:val="none" w:sz="0" w:space="0" w:color="auto"/>
                                        <w:left w:val="none" w:sz="0" w:space="0" w:color="auto"/>
                                        <w:bottom w:val="none" w:sz="0" w:space="0" w:color="auto"/>
                                        <w:right w:val="none" w:sz="0" w:space="0" w:color="auto"/>
                                      </w:divBdr>
                                    </w:div>
                                    <w:div w:id="1755317605">
                                      <w:marLeft w:val="0"/>
                                      <w:marRight w:val="0"/>
                                      <w:marTop w:val="0"/>
                                      <w:marBottom w:val="0"/>
                                      <w:divBdr>
                                        <w:top w:val="none" w:sz="0" w:space="0" w:color="auto"/>
                                        <w:left w:val="none" w:sz="0" w:space="0" w:color="auto"/>
                                        <w:bottom w:val="none" w:sz="0" w:space="0" w:color="auto"/>
                                        <w:right w:val="none" w:sz="0" w:space="0" w:color="auto"/>
                                      </w:divBdr>
                                    </w:div>
                                    <w:div w:id="1937472400">
                                      <w:marLeft w:val="0"/>
                                      <w:marRight w:val="0"/>
                                      <w:marTop w:val="0"/>
                                      <w:marBottom w:val="0"/>
                                      <w:divBdr>
                                        <w:top w:val="none" w:sz="0" w:space="0" w:color="auto"/>
                                        <w:left w:val="none" w:sz="0" w:space="0" w:color="auto"/>
                                        <w:bottom w:val="none" w:sz="0" w:space="0" w:color="auto"/>
                                        <w:right w:val="none" w:sz="0" w:space="0" w:color="auto"/>
                                      </w:divBdr>
                                    </w:div>
                                    <w:div w:id="1956473518">
                                      <w:marLeft w:val="0"/>
                                      <w:marRight w:val="0"/>
                                      <w:marTop w:val="0"/>
                                      <w:marBottom w:val="0"/>
                                      <w:divBdr>
                                        <w:top w:val="none" w:sz="0" w:space="0" w:color="auto"/>
                                        <w:left w:val="none" w:sz="0" w:space="0" w:color="auto"/>
                                        <w:bottom w:val="none" w:sz="0" w:space="0" w:color="auto"/>
                                        <w:right w:val="none" w:sz="0" w:space="0" w:color="auto"/>
                                      </w:divBdr>
                                    </w:div>
                                    <w:div w:id="2006086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1099713">
          <w:marLeft w:val="0"/>
          <w:marRight w:val="0"/>
          <w:marTop w:val="0"/>
          <w:marBottom w:val="0"/>
          <w:divBdr>
            <w:top w:val="none" w:sz="0" w:space="0" w:color="auto"/>
            <w:left w:val="none" w:sz="0" w:space="0" w:color="auto"/>
            <w:bottom w:val="none" w:sz="0" w:space="0" w:color="auto"/>
            <w:right w:val="none" w:sz="0" w:space="0" w:color="auto"/>
          </w:divBdr>
          <w:divsChild>
            <w:div w:id="196896242">
              <w:marLeft w:val="0"/>
              <w:marRight w:val="0"/>
              <w:marTop w:val="0"/>
              <w:marBottom w:val="0"/>
              <w:divBdr>
                <w:top w:val="none" w:sz="0" w:space="0" w:color="auto"/>
                <w:left w:val="none" w:sz="0" w:space="0" w:color="auto"/>
                <w:bottom w:val="none" w:sz="0" w:space="0" w:color="auto"/>
                <w:right w:val="none" w:sz="0" w:space="0" w:color="auto"/>
              </w:divBdr>
              <w:divsChild>
                <w:div w:id="1883705656">
                  <w:marLeft w:val="150"/>
                  <w:marRight w:val="150"/>
                  <w:marTop w:val="150"/>
                  <w:marBottom w:val="150"/>
                  <w:divBdr>
                    <w:top w:val="none" w:sz="0" w:space="0" w:color="auto"/>
                    <w:left w:val="none" w:sz="0" w:space="0" w:color="auto"/>
                    <w:bottom w:val="none" w:sz="0" w:space="0" w:color="auto"/>
                    <w:right w:val="none" w:sz="0" w:space="0" w:color="auto"/>
                  </w:divBdr>
                  <w:divsChild>
                    <w:div w:id="1389722312">
                      <w:marLeft w:val="0"/>
                      <w:marRight w:val="0"/>
                      <w:marTop w:val="0"/>
                      <w:marBottom w:val="0"/>
                      <w:divBdr>
                        <w:top w:val="none" w:sz="0" w:space="0" w:color="auto"/>
                        <w:left w:val="none" w:sz="0" w:space="0" w:color="auto"/>
                        <w:bottom w:val="none" w:sz="0" w:space="0" w:color="auto"/>
                        <w:right w:val="none" w:sz="0" w:space="0" w:color="auto"/>
                      </w:divBdr>
                      <w:divsChild>
                        <w:div w:id="550581172">
                          <w:marLeft w:val="0"/>
                          <w:marRight w:val="0"/>
                          <w:marTop w:val="0"/>
                          <w:marBottom w:val="0"/>
                          <w:divBdr>
                            <w:top w:val="none" w:sz="0" w:space="0" w:color="auto"/>
                            <w:left w:val="none" w:sz="0" w:space="0" w:color="auto"/>
                            <w:bottom w:val="none" w:sz="0" w:space="0" w:color="auto"/>
                            <w:right w:val="none" w:sz="0" w:space="0" w:color="auto"/>
                          </w:divBdr>
                          <w:divsChild>
                            <w:div w:id="1093863936">
                              <w:marLeft w:val="135"/>
                              <w:marRight w:val="135"/>
                              <w:marTop w:val="0"/>
                              <w:marBottom w:val="135"/>
                              <w:divBdr>
                                <w:top w:val="none" w:sz="0" w:space="0" w:color="auto"/>
                                <w:left w:val="none" w:sz="0" w:space="0" w:color="auto"/>
                                <w:bottom w:val="none" w:sz="0" w:space="0" w:color="auto"/>
                                <w:right w:val="none" w:sz="0" w:space="0" w:color="auto"/>
                              </w:divBdr>
                              <w:divsChild>
                                <w:div w:id="2059890404">
                                  <w:marLeft w:val="0"/>
                                  <w:marRight w:val="0"/>
                                  <w:marTop w:val="0"/>
                                  <w:marBottom w:val="0"/>
                                  <w:divBdr>
                                    <w:top w:val="none" w:sz="0" w:space="0" w:color="auto"/>
                                    <w:left w:val="none" w:sz="0" w:space="0" w:color="auto"/>
                                    <w:bottom w:val="none" w:sz="0" w:space="0" w:color="auto"/>
                                    <w:right w:val="none" w:sz="0" w:space="0" w:color="auto"/>
                                  </w:divBdr>
                                  <w:divsChild>
                                    <w:div w:id="768281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362774">
                              <w:marLeft w:val="150"/>
                              <w:marRight w:val="150"/>
                              <w:marTop w:val="15"/>
                              <w:marBottom w:val="150"/>
                              <w:divBdr>
                                <w:top w:val="none" w:sz="0" w:space="0" w:color="auto"/>
                                <w:left w:val="none" w:sz="0" w:space="0" w:color="auto"/>
                                <w:bottom w:val="none" w:sz="0" w:space="0" w:color="auto"/>
                                <w:right w:val="none" w:sz="0" w:space="0" w:color="auto"/>
                              </w:divBdr>
                              <w:divsChild>
                                <w:div w:id="1818300946">
                                  <w:marLeft w:val="0"/>
                                  <w:marRight w:val="0"/>
                                  <w:marTop w:val="0"/>
                                  <w:marBottom w:val="0"/>
                                  <w:divBdr>
                                    <w:top w:val="none" w:sz="0" w:space="0" w:color="auto"/>
                                    <w:left w:val="none" w:sz="0" w:space="0" w:color="auto"/>
                                    <w:bottom w:val="none" w:sz="0" w:space="0" w:color="auto"/>
                                    <w:right w:val="none" w:sz="0" w:space="0" w:color="auto"/>
                                  </w:divBdr>
                                  <w:divsChild>
                                    <w:div w:id="120849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611763">
                              <w:marLeft w:val="150"/>
                              <w:marRight w:val="150"/>
                              <w:marTop w:val="15"/>
                              <w:marBottom w:val="150"/>
                              <w:divBdr>
                                <w:top w:val="none" w:sz="0" w:space="0" w:color="auto"/>
                                <w:left w:val="none" w:sz="0" w:space="0" w:color="auto"/>
                                <w:bottom w:val="none" w:sz="0" w:space="0" w:color="auto"/>
                                <w:right w:val="none" w:sz="0" w:space="0" w:color="auto"/>
                              </w:divBdr>
                              <w:divsChild>
                                <w:div w:id="972902939">
                                  <w:marLeft w:val="0"/>
                                  <w:marRight w:val="0"/>
                                  <w:marTop w:val="675"/>
                                  <w:marBottom w:val="0"/>
                                  <w:divBdr>
                                    <w:top w:val="none" w:sz="0" w:space="0" w:color="auto"/>
                                    <w:left w:val="none" w:sz="0" w:space="0" w:color="auto"/>
                                    <w:bottom w:val="none" w:sz="0" w:space="0" w:color="auto"/>
                                    <w:right w:val="none" w:sz="0" w:space="0" w:color="auto"/>
                                  </w:divBdr>
                                </w:div>
                                <w:div w:id="1870098027">
                                  <w:marLeft w:val="0"/>
                                  <w:marRight w:val="0"/>
                                  <w:marTop w:val="0"/>
                                  <w:marBottom w:val="0"/>
                                  <w:divBdr>
                                    <w:top w:val="none" w:sz="0" w:space="0" w:color="auto"/>
                                    <w:left w:val="none" w:sz="0" w:space="0" w:color="auto"/>
                                    <w:bottom w:val="none" w:sz="0" w:space="0" w:color="auto"/>
                                    <w:right w:val="none" w:sz="0" w:space="0" w:color="auto"/>
                                  </w:divBdr>
                                  <w:divsChild>
                                    <w:div w:id="181641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018845">
                          <w:marLeft w:val="0"/>
                          <w:marRight w:val="0"/>
                          <w:marTop w:val="0"/>
                          <w:marBottom w:val="0"/>
                          <w:divBdr>
                            <w:top w:val="none" w:sz="0" w:space="0" w:color="auto"/>
                            <w:left w:val="none" w:sz="0" w:space="0" w:color="auto"/>
                            <w:bottom w:val="none" w:sz="0" w:space="0" w:color="auto"/>
                            <w:right w:val="none" w:sz="0" w:space="0" w:color="auto"/>
                          </w:divBdr>
                          <w:divsChild>
                            <w:div w:id="783962322">
                              <w:marLeft w:val="0"/>
                              <w:marRight w:val="0"/>
                              <w:marTop w:val="0"/>
                              <w:marBottom w:val="0"/>
                              <w:divBdr>
                                <w:top w:val="none" w:sz="0" w:space="0" w:color="auto"/>
                                <w:left w:val="none" w:sz="0" w:space="0" w:color="auto"/>
                                <w:bottom w:val="none" w:sz="0" w:space="0" w:color="auto"/>
                                <w:right w:val="none" w:sz="0" w:space="0" w:color="auto"/>
                              </w:divBdr>
                              <w:divsChild>
                                <w:div w:id="2074739266">
                                  <w:marLeft w:val="0"/>
                                  <w:marRight w:val="0"/>
                                  <w:marTop w:val="0"/>
                                  <w:marBottom w:val="0"/>
                                  <w:divBdr>
                                    <w:top w:val="none" w:sz="0" w:space="0" w:color="auto"/>
                                    <w:left w:val="none" w:sz="0" w:space="0" w:color="auto"/>
                                    <w:bottom w:val="none" w:sz="0" w:space="0" w:color="auto"/>
                                    <w:right w:val="none" w:sz="0" w:space="0" w:color="auto"/>
                                  </w:divBdr>
                                  <w:divsChild>
                                    <w:div w:id="45371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4227825">
          <w:marLeft w:val="0"/>
          <w:marRight w:val="0"/>
          <w:marTop w:val="0"/>
          <w:marBottom w:val="0"/>
          <w:divBdr>
            <w:top w:val="none" w:sz="0" w:space="0" w:color="auto"/>
            <w:left w:val="none" w:sz="0" w:space="0" w:color="auto"/>
            <w:bottom w:val="none" w:sz="0" w:space="0" w:color="auto"/>
            <w:right w:val="none" w:sz="0" w:space="0" w:color="auto"/>
          </w:divBdr>
          <w:divsChild>
            <w:div w:id="1140609547">
              <w:marLeft w:val="0"/>
              <w:marRight w:val="0"/>
              <w:marTop w:val="0"/>
              <w:marBottom w:val="0"/>
              <w:divBdr>
                <w:top w:val="none" w:sz="0" w:space="0" w:color="auto"/>
                <w:left w:val="none" w:sz="0" w:space="0" w:color="auto"/>
                <w:bottom w:val="none" w:sz="0" w:space="0" w:color="auto"/>
                <w:right w:val="none" w:sz="0" w:space="0" w:color="auto"/>
              </w:divBdr>
              <w:divsChild>
                <w:div w:id="1744908593">
                  <w:marLeft w:val="150"/>
                  <w:marRight w:val="150"/>
                  <w:marTop w:val="150"/>
                  <w:marBottom w:val="150"/>
                  <w:divBdr>
                    <w:top w:val="none" w:sz="0" w:space="0" w:color="auto"/>
                    <w:left w:val="none" w:sz="0" w:space="0" w:color="auto"/>
                    <w:bottom w:val="none" w:sz="0" w:space="0" w:color="auto"/>
                    <w:right w:val="none" w:sz="0" w:space="0" w:color="auto"/>
                  </w:divBdr>
                  <w:divsChild>
                    <w:div w:id="1951740143">
                      <w:marLeft w:val="0"/>
                      <w:marRight w:val="0"/>
                      <w:marTop w:val="0"/>
                      <w:marBottom w:val="0"/>
                      <w:divBdr>
                        <w:top w:val="none" w:sz="0" w:space="0" w:color="auto"/>
                        <w:left w:val="none" w:sz="0" w:space="0" w:color="auto"/>
                        <w:bottom w:val="none" w:sz="0" w:space="0" w:color="auto"/>
                        <w:right w:val="none" w:sz="0" w:space="0" w:color="auto"/>
                      </w:divBdr>
                      <w:divsChild>
                        <w:div w:id="425469007">
                          <w:marLeft w:val="0"/>
                          <w:marRight w:val="0"/>
                          <w:marTop w:val="0"/>
                          <w:marBottom w:val="0"/>
                          <w:divBdr>
                            <w:top w:val="none" w:sz="0" w:space="0" w:color="auto"/>
                            <w:left w:val="none" w:sz="0" w:space="0" w:color="auto"/>
                            <w:bottom w:val="none" w:sz="0" w:space="0" w:color="auto"/>
                            <w:right w:val="none" w:sz="0" w:space="0" w:color="auto"/>
                          </w:divBdr>
                          <w:divsChild>
                            <w:div w:id="285158217">
                              <w:marLeft w:val="0"/>
                              <w:marRight w:val="0"/>
                              <w:marTop w:val="0"/>
                              <w:marBottom w:val="0"/>
                              <w:divBdr>
                                <w:top w:val="none" w:sz="0" w:space="0" w:color="auto"/>
                                <w:left w:val="none" w:sz="0" w:space="0" w:color="auto"/>
                                <w:bottom w:val="none" w:sz="0" w:space="0" w:color="auto"/>
                                <w:right w:val="none" w:sz="0" w:space="0" w:color="auto"/>
                              </w:divBdr>
                              <w:divsChild>
                                <w:div w:id="1360818438">
                                  <w:marLeft w:val="0"/>
                                  <w:marRight w:val="0"/>
                                  <w:marTop w:val="0"/>
                                  <w:marBottom w:val="0"/>
                                  <w:divBdr>
                                    <w:top w:val="none" w:sz="0" w:space="0" w:color="auto"/>
                                    <w:left w:val="none" w:sz="0" w:space="0" w:color="auto"/>
                                    <w:bottom w:val="none" w:sz="0" w:space="0" w:color="auto"/>
                                    <w:right w:val="none" w:sz="0" w:space="0" w:color="auto"/>
                                  </w:divBdr>
                                  <w:divsChild>
                                    <w:div w:id="541094188">
                                      <w:marLeft w:val="0"/>
                                      <w:marRight w:val="0"/>
                                      <w:marTop w:val="0"/>
                                      <w:marBottom w:val="0"/>
                                      <w:divBdr>
                                        <w:top w:val="none" w:sz="0" w:space="0" w:color="auto"/>
                                        <w:left w:val="none" w:sz="0" w:space="0" w:color="auto"/>
                                        <w:bottom w:val="none" w:sz="0" w:space="0" w:color="auto"/>
                                        <w:right w:val="none" w:sz="0" w:space="0" w:color="auto"/>
                                      </w:divBdr>
                                      <w:divsChild>
                                        <w:div w:id="1864635874">
                                          <w:marLeft w:val="0"/>
                                          <w:marRight w:val="0"/>
                                          <w:marTop w:val="0"/>
                                          <w:marBottom w:val="0"/>
                                          <w:divBdr>
                                            <w:top w:val="none" w:sz="0" w:space="0" w:color="auto"/>
                                            <w:left w:val="none" w:sz="0" w:space="0" w:color="auto"/>
                                            <w:bottom w:val="none" w:sz="0" w:space="0" w:color="auto"/>
                                            <w:right w:val="none" w:sz="0" w:space="0" w:color="auto"/>
                                          </w:divBdr>
                                          <w:divsChild>
                                            <w:div w:id="1937010201">
                                              <w:marLeft w:val="0"/>
                                              <w:marRight w:val="0"/>
                                              <w:marTop w:val="0"/>
                                              <w:marBottom w:val="0"/>
                                              <w:divBdr>
                                                <w:top w:val="none" w:sz="0" w:space="0" w:color="auto"/>
                                                <w:left w:val="none" w:sz="0" w:space="0" w:color="auto"/>
                                                <w:bottom w:val="none" w:sz="0" w:space="0" w:color="auto"/>
                                                <w:right w:val="none" w:sz="0" w:space="0" w:color="auto"/>
                                              </w:divBdr>
                                              <w:divsChild>
                                                <w:div w:id="194848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7696975">
                          <w:marLeft w:val="0"/>
                          <w:marRight w:val="0"/>
                          <w:marTop w:val="0"/>
                          <w:marBottom w:val="0"/>
                          <w:divBdr>
                            <w:top w:val="none" w:sz="0" w:space="0" w:color="auto"/>
                            <w:left w:val="none" w:sz="0" w:space="0" w:color="auto"/>
                            <w:bottom w:val="none" w:sz="0" w:space="0" w:color="auto"/>
                            <w:right w:val="none" w:sz="0" w:space="0" w:color="auto"/>
                          </w:divBdr>
                          <w:divsChild>
                            <w:div w:id="304505093">
                              <w:marLeft w:val="135"/>
                              <w:marRight w:val="135"/>
                              <w:marTop w:val="0"/>
                              <w:marBottom w:val="135"/>
                              <w:divBdr>
                                <w:top w:val="none" w:sz="0" w:space="0" w:color="auto"/>
                                <w:left w:val="none" w:sz="0" w:space="0" w:color="auto"/>
                                <w:bottom w:val="none" w:sz="0" w:space="0" w:color="auto"/>
                                <w:right w:val="none" w:sz="0" w:space="0" w:color="auto"/>
                              </w:divBdr>
                              <w:divsChild>
                                <w:div w:id="512963142">
                                  <w:marLeft w:val="0"/>
                                  <w:marRight w:val="0"/>
                                  <w:marTop w:val="0"/>
                                  <w:marBottom w:val="0"/>
                                  <w:divBdr>
                                    <w:top w:val="none" w:sz="0" w:space="0" w:color="auto"/>
                                    <w:left w:val="none" w:sz="0" w:space="0" w:color="auto"/>
                                    <w:bottom w:val="none" w:sz="0" w:space="0" w:color="auto"/>
                                    <w:right w:val="none" w:sz="0" w:space="0" w:color="auto"/>
                                  </w:divBdr>
                                  <w:divsChild>
                                    <w:div w:id="2125995121">
                                      <w:marLeft w:val="0"/>
                                      <w:marRight w:val="0"/>
                                      <w:marTop w:val="0"/>
                                      <w:marBottom w:val="0"/>
                                      <w:divBdr>
                                        <w:top w:val="none" w:sz="0" w:space="0" w:color="auto"/>
                                        <w:left w:val="none" w:sz="0" w:space="0" w:color="auto"/>
                                        <w:bottom w:val="none" w:sz="0" w:space="0" w:color="auto"/>
                                        <w:right w:val="none" w:sz="0" w:space="0" w:color="auto"/>
                                      </w:divBdr>
                                    </w:div>
                                  </w:divsChild>
                                </w:div>
                                <w:div w:id="1212575572">
                                  <w:marLeft w:val="0"/>
                                  <w:marRight w:val="0"/>
                                  <w:marTop w:val="675"/>
                                  <w:marBottom w:val="0"/>
                                  <w:divBdr>
                                    <w:top w:val="none" w:sz="0" w:space="0" w:color="auto"/>
                                    <w:left w:val="none" w:sz="0" w:space="0" w:color="auto"/>
                                    <w:bottom w:val="none" w:sz="0" w:space="0" w:color="auto"/>
                                    <w:right w:val="none" w:sz="0" w:space="0" w:color="auto"/>
                                  </w:divBdr>
                                </w:div>
                              </w:divsChild>
                            </w:div>
                            <w:div w:id="533930333">
                              <w:marLeft w:val="150"/>
                              <w:marRight w:val="150"/>
                              <w:marTop w:val="15"/>
                              <w:marBottom w:val="150"/>
                              <w:divBdr>
                                <w:top w:val="none" w:sz="0" w:space="0" w:color="auto"/>
                                <w:left w:val="none" w:sz="0" w:space="0" w:color="auto"/>
                                <w:bottom w:val="none" w:sz="0" w:space="0" w:color="auto"/>
                                <w:right w:val="none" w:sz="0" w:space="0" w:color="auto"/>
                              </w:divBdr>
                              <w:divsChild>
                                <w:div w:id="445587322">
                                  <w:marLeft w:val="0"/>
                                  <w:marRight w:val="0"/>
                                  <w:marTop w:val="0"/>
                                  <w:marBottom w:val="0"/>
                                  <w:divBdr>
                                    <w:top w:val="none" w:sz="0" w:space="0" w:color="auto"/>
                                    <w:left w:val="none" w:sz="0" w:space="0" w:color="auto"/>
                                    <w:bottom w:val="none" w:sz="0" w:space="0" w:color="auto"/>
                                    <w:right w:val="none" w:sz="0" w:space="0" w:color="auto"/>
                                  </w:divBdr>
                                  <w:divsChild>
                                    <w:div w:id="1004043333">
                                      <w:marLeft w:val="0"/>
                                      <w:marRight w:val="0"/>
                                      <w:marTop w:val="0"/>
                                      <w:marBottom w:val="0"/>
                                      <w:divBdr>
                                        <w:top w:val="none" w:sz="0" w:space="0" w:color="auto"/>
                                        <w:left w:val="none" w:sz="0" w:space="0" w:color="auto"/>
                                        <w:bottom w:val="none" w:sz="0" w:space="0" w:color="auto"/>
                                        <w:right w:val="none" w:sz="0" w:space="0" w:color="auto"/>
                                      </w:divBdr>
                                      <w:divsChild>
                                        <w:div w:id="758672450">
                                          <w:marLeft w:val="0"/>
                                          <w:marRight w:val="0"/>
                                          <w:marTop w:val="0"/>
                                          <w:marBottom w:val="0"/>
                                          <w:divBdr>
                                            <w:top w:val="none" w:sz="0" w:space="0" w:color="auto"/>
                                            <w:left w:val="none" w:sz="0" w:space="0" w:color="auto"/>
                                            <w:bottom w:val="none" w:sz="0" w:space="0" w:color="auto"/>
                                            <w:right w:val="none" w:sz="0" w:space="0" w:color="auto"/>
                                          </w:divBdr>
                                          <w:divsChild>
                                            <w:div w:id="778448120">
                                              <w:marLeft w:val="0"/>
                                              <w:marRight w:val="0"/>
                                              <w:marTop w:val="0"/>
                                              <w:marBottom w:val="0"/>
                                              <w:divBdr>
                                                <w:top w:val="none" w:sz="0" w:space="0" w:color="auto"/>
                                                <w:left w:val="none" w:sz="0" w:space="0" w:color="auto"/>
                                                <w:bottom w:val="none" w:sz="0" w:space="0" w:color="auto"/>
                                                <w:right w:val="none" w:sz="0" w:space="0" w:color="auto"/>
                                              </w:divBdr>
                                              <w:divsChild>
                                                <w:div w:id="1185481269">
                                                  <w:marLeft w:val="0"/>
                                                  <w:marRight w:val="0"/>
                                                  <w:marTop w:val="0"/>
                                                  <w:marBottom w:val="0"/>
                                                  <w:divBdr>
                                                    <w:top w:val="none" w:sz="0" w:space="0" w:color="auto"/>
                                                    <w:left w:val="none" w:sz="0" w:space="0" w:color="auto"/>
                                                    <w:bottom w:val="none" w:sz="0" w:space="0" w:color="auto"/>
                                                    <w:right w:val="none" w:sz="0" w:space="0" w:color="auto"/>
                                                  </w:divBdr>
                                                  <w:divsChild>
                                                    <w:div w:id="2095279911">
                                                      <w:marLeft w:val="0"/>
                                                      <w:marRight w:val="0"/>
                                                      <w:marTop w:val="0"/>
                                                      <w:marBottom w:val="0"/>
                                                      <w:divBdr>
                                                        <w:top w:val="none" w:sz="0" w:space="0" w:color="auto"/>
                                                        <w:left w:val="none" w:sz="0" w:space="0" w:color="auto"/>
                                                        <w:bottom w:val="none" w:sz="0" w:space="0" w:color="auto"/>
                                                        <w:right w:val="none" w:sz="0" w:space="0" w:color="auto"/>
                                                      </w:divBdr>
                                                      <w:divsChild>
                                                        <w:div w:id="333604995">
                                                          <w:marLeft w:val="0"/>
                                                          <w:marRight w:val="0"/>
                                                          <w:marTop w:val="0"/>
                                                          <w:marBottom w:val="0"/>
                                                          <w:divBdr>
                                                            <w:top w:val="none" w:sz="0" w:space="0" w:color="auto"/>
                                                            <w:left w:val="none" w:sz="0" w:space="0" w:color="auto"/>
                                                            <w:bottom w:val="none" w:sz="0" w:space="0" w:color="auto"/>
                                                            <w:right w:val="none" w:sz="0" w:space="0" w:color="auto"/>
                                                          </w:divBdr>
                                                        </w:div>
                                                        <w:div w:id="467167839">
                                                          <w:marLeft w:val="0"/>
                                                          <w:marRight w:val="0"/>
                                                          <w:marTop w:val="0"/>
                                                          <w:marBottom w:val="0"/>
                                                          <w:divBdr>
                                                            <w:top w:val="none" w:sz="0" w:space="0" w:color="auto"/>
                                                            <w:left w:val="none" w:sz="0" w:space="0" w:color="auto"/>
                                                            <w:bottom w:val="none" w:sz="0" w:space="0" w:color="auto"/>
                                                            <w:right w:val="none" w:sz="0" w:space="0" w:color="auto"/>
                                                          </w:divBdr>
                                                        </w:div>
                                                        <w:div w:id="488523898">
                                                          <w:marLeft w:val="0"/>
                                                          <w:marRight w:val="0"/>
                                                          <w:marTop w:val="0"/>
                                                          <w:marBottom w:val="0"/>
                                                          <w:divBdr>
                                                            <w:top w:val="none" w:sz="0" w:space="0" w:color="auto"/>
                                                            <w:left w:val="none" w:sz="0" w:space="0" w:color="auto"/>
                                                            <w:bottom w:val="none" w:sz="0" w:space="0" w:color="auto"/>
                                                            <w:right w:val="none" w:sz="0" w:space="0" w:color="auto"/>
                                                          </w:divBdr>
                                                        </w:div>
                                                        <w:div w:id="571500225">
                                                          <w:marLeft w:val="0"/>
                                                          <w:marRight w:val="0"/>
                                                          <w:marTop w:val="0"/>
                                                          <w:marBottom w:val="0"/>
                                                          <w:divBdr>
                                                            <w:top w:val="none" w:sz="0" w:space="0" w:color="auto"/>
                                                            <w:left w:val="none" w:sz="0" w:space="0" w:color="auto"/>
                                                            <w:bottom w:val="none" w:sz="0" w:space="0" w:color="auto"/>
                                                            <w:right w:val="none" w:sz="0" w:space="0" w:color="auto"/>
                                                          </w:divBdr>
                                                        </w:div>
                                                        <w:div w:id="908419647">
                                                          <w:marLeft w:val="0"/>
                                                          <w:marRight w:val="0"/>
                                                          <w:marTop w:val="0"/>
                                                          <w:marBottom w:val="0"/>
                                                          <w:divBdr>
                                                            <w:top w:val="none" w:sz="0" w:space="0" w:color="auto"/>
                                                            <w:left w:val="none" w:sz="0" w:space="0" w:color="auto"/>
                                                            <w:bottom w:val="none" w:sz="0" w:space="0" w:color="auto"/>
                                                            <w:right w:val="none" w:sz="0" w:space="0" w:color="auto"/>
                                                          </w:divBdr>
                                                        </w:div>
                                                        <w:div w:id="944190783">
                                                          <w:marLeft w:val="0"/>
                                                          <w:marRight w:val="0"/>
                                                          <w:marTop w:val="0"/>
                                                          <w:marBottom w:val="0"/>
                                                          <w:divBdr>
                                                            <w:top w:val="none" w:sz="0" w:space="0" w:color="auto"/>
                                                            <w:left w:val="none" w:sz="0" w:space="0" w:color="auto"/>
                                                            <w:bottom w:val="none" w:sz="0" w:space="0" w:color="auto"/>
                                                            <w:right w:val="none" w:sz="0" w:space="0" w:color="auto"/>
                                                          </w:divBdr>
                                                        </w:div>
                                                        <w:div w:id="975991181">
                                                          <w:marLeft w:val="0"/>
                                                          <w:marRight w:val="0"/>
                                                          <w:marTop w:val="0"/>
                                                          <w:marBottom w:val="0"/>
                                                          <w:divBdr>
                                                            <w:top w:val="none" w:sz="0" w:space="0" w:color="auto"/>
                                                            <w:left w:val="none" w:sz="0" w:space="0" w:color="auto"/>
                                                            <w:bottom w:val="none" w:sz="0" w:space="0" w:color="auto"/>
                                                            <w:right w:val="none" w:sz="0" w:space="0" w:color="auto"/>
                                                          </w:divBdr>
                                                        </w:div>
                                                        <w:div w:id="1038314196">
                                                          <w:marLeft w:val="0"/>
                                                          <w:marRight w:val="0"/>
                                                          <w:marTop w:val="0"/>
                                                          <w:marBottom w:val="0"/>
                                                          <w:divBdr>
                                                            <w:top w:val="single" w:sz="6" w:space="7" w:color="auto"/>
                                                            <w:left w:val="none" w:sz="0" w:space="0" w:color="auto"/>
                                                            <w:bottom w:val="none" w:sz="0" w:space="0" w:color="auto"/>
                                                            <w:right w:val="none" w:sz="0" w:space="0" w:color="auto"/>
                                                          </w:divBdr>
                                                          <w:divsChild>
                                                            <w:div w:id="1145049938">
                                                              <w:marLeft w:val="0"/>
                                                              <w:marRight w:val="0"/>
                                                              <w:marTop w:val="0"/>
                                                              <w:marBottom w:val="0"/>
                                                              <w:divBdr>
                                                                <w:top w:val="none" w:sz="0" w:space="0" w:color="auto"/>
                                                                <w:left w:val="none" w:sz="0" w:space="0" w:color="auto"/>
                                                                <w:bottom w:val="none" w:sz="0" w:space="0" w:color="auto"/>
                                                                <w:right w:val="none" w:sz="0" w:space="0" w:color="auto"/>
                                                              </w:divBdr>
                                                            </w:div>
                                                            <w:div w:id="1400637072">
                                                              <w:marLeft w:val="0"/>
                                                              <w:marRight w:val="0"/>
                                                              <w:marTop w:val="0"/>
                                                              <w:marBottom w:val="0"/>
                                                              <w:divBdr>
                                                                <w:top w:val="none" w:sz="0" w:space="0" w:color="auto"/>
                                                                <w:left w:val="none" w:sz="0" w:space="0" w:color="auto"/>
                                                                <w:bottom w:val="none" w:sz="0" w:space="0" w:color="auto"/>
                                                                <w:right w:val="none" w:sz="0" w:space="0" w:color="auto"/>
                                                              </w:divBdr>
                                                              <w:divsChild>
                                                                <w:div w:id="1408113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783720">
                                                          <w:marLeft w:val="0"/>
                                                          <w:marRight w:val="0"/>
                                                          <w:marTop w:val="0"/>
                                                          <w:marBottom w:val="0"/>
                                                          <w:divBdr>
                                                            <w:top w:val="none" w:sz="0" w:space="0" w:color="auto"/>
                                                            <w:left w:val="none" w:sz="0" w:space="0" w:color="auto"/>
                                                            <w:bottom w:val="none" w:sz="0" w:space="0" w:color="auto"/>
                                                            <w:right w:val="none" w:sz="0" w:space="0" w:color="auto"/>
                                                          </w:divBdr>
                                                        </w:div>
                                                        <w:div w:id="1600679704">
                                                          <w:marLeft w:val="0"/>
                                                          <w:marRight w:val="0"/>
                                                          <w:marTop w:val="0"/>
                                                          <w:marBottom w:val="0"/>
                                                          <w:divBdr>
                                                            <w:top w:val="none" w:sz="0" w:space="0" w:color="auto"/>
                                                            <w:left w:val="none" w:sz="0" w:space="0" w:color="auto"/>
                                                            <w:bottom w:val="none" w:sz="0" w:space="0" w:color="auto"/>
                                                            <w:right w:val="none" w:sz="0" w:space="0" w:color="auto"/>
                                                          </w:divBdr>
                                                        </w:div>
                                                        <w:div w:id="1612787340">
                                                          <w:marLeft w:val="0"/>
                                                          <w:marRight w:val="0"/>
                                                          <w:marTop w:val="0"/>
                                                          <w:marBottom w:val="0"/>
                                                          <w:divBdr>
                                                            <w:top w:val="none" w:sz="0" w:space="0" w:color="auto"/>
                                                            <w:left w:val="none" w:sz="0" w:space="0" w:color="auto"/>
                                                            <w:bottom w:val="none" w:sz="0" w:space="0" w:color="auto"/>
                                                            <w:right w:val="none" w:sz="0" w:space="0" w:color="auto"/>
                                                          </w:divBdr>
                                                        </w:div>
                                                        <w:div w:id="1693342222">
                                                          <w:marLeft w:val="0"/>
                                                          <w:marRight w:val="0"/>
                                                          <w:marTop w:val="0"/>
                                                          <w:marBottom w:val="0"/>
                                                          <w:divBdr>
                                                            <w:top w:val="none" w:sz="0" w:space="0" w:color="auto"/>
                                                            <w:left w:val="none" w:sz="0" w:space="0" w:color="auto"/>
                                                            <w:bottom w:val="none" w:sz="0" w:space="0" w:color="auto"/>
                                                            <w:right w:val="none" w:sz="0" w:space="0" w:color="auto"/>
                                                          </w:divBdr>
                                                        </w:div>
                                                        <w:div w:id="199348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3219374">
                                  <w:marLeft w:val="0"/>
                                  <w:marRight w:val="0"/>
                                  <w:marTop w:val="5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5384076">
          <w:marLeft w:val="0"/>
          <w:marRight w:val="0"/>
          <w:marTop w:val="0"/>
          <w:marBottom w:val="0"/>
          <w:divBdr>
            <w:top w:val="none" w:sz="0" w:space="0" w:color="auto"/>
            <w:left w:val="none" w:sz="0" w:space="0" w:color="auto"/>
            <w:bottom w:val="none" w:sz="0" w:space="0" w:color="auto"/>
            <w:right w:val="none" w:sz="0" w:space="0" w:color="auto"/>
          </w:divBdr>
          <w:divsChild>
            <w:div w:id="384257459">
              <w:marLeft w:val="0"/>
              <w:marRight w:val="0"/>
              <w:marTop w:val="0"/>
              <w:marBottom w:val="0"/>
              <w:divBdr>
                <w:top w:val="none" w:sz="0" w:space="0" w:color="auto"/>
                <w:left w:val="none" w:sz="0" w:space="0" w:color="auto"/>
                <w:bottom w:val="none" w:sz="0" w:space="0" w:color="auto"/>
                <w:right w:val="none" w:sz="0" w:space="0" w:color="auto"/>
              </w:divBdr>
              <w:divsChild>
                <w:div w:id="1068502618">
                  <w:marLeft w:val="150"/>
                  <w:marRight w:val="150"/>
                  <w:marTop w:val="150"/>
                  <w:marBottom w:val="150"/>
                  <w:divBdr>
                    <w:top w:val="none" w:sz="0" w:space="0" w:color="auto"/>
                    <w:left w:val="none" w:sz="0" w:space="0" w:color="auto"/>
                    <w:bottom w:val="none" w:sz="0" w:space="0" w:color="auto"/>
                    <w:right w:val="none" w:sz="0" w:space="0" w:color="auto"/>
                  </w:divBdr>
                  <w:divsChild>
                    <w:div w:id="1238712182">
                      <w:marLeft w:val="0"/>
                      <w:marRight w:val="0"/>
                      <w:marTop w:val="0"/>
                      <w:marBottom w:val="0"/>
                      <w:divBdr>
                        <w:top w:val="none" w:sz="0" w:space="0" w:color="auto"/>
                        <w:left w:val="none" w:sz="0" w:space="0" w:color="auto"/>
                        <w:bottom w:val="none" w:sz="0" w:space="0" w:color="auto"/>
                        <w:right w:val="none" w:sz="0" w:space="0" w:color="auto"/>
                      </w:divBdr>
                      <w:divsChild>
                        <w:div w:id="861631018">
                          <w:marLeft w:val="0"/>
                          <w:marRight w:val="0"/>
                          <w:marTop w:val="0"/>
                          <w:marBottom w:val="0"/>
                          <w:divBdr>
                            <w:top w:val="none" w:sz="0" w:space="0" w:color="auto"/>
                            <w:left w:val="none" w:sz="0" w:space="0" w:color="auto"/>
                            <w:bottom w:val="none" w:sz="0" w:space="0" w:color="auto"/>
                            <w:right w:val="none" w:sz="0" w:space="0" w:color="auto"/>
                          </w:divBdr>
                          <w:divsChild>
                            <w:div w:id="246621899">
                              <w:marLeft w:val="150"/>
                              <w:marRight w:val="150"/>
                              <w:marTop w:val="15"/>
                              <w:marBottom w:val="150"/>
                              <w:divBdr>
                                <w:top w:val="none" w:sz="0" w:space="0" w:color="auto"/>
                                <w:left w:val="none" w:sz="0" w:space="0" w:color="auto"/>
                                <w:bottom w:val="none" w:sz="0" w:space="0" w:color="auto"/>
                                <w:right w:val="none" w:sz="0" w:space="0" w:color="auto"/>
                              </w:divBdr>
                              <w:divsChild>
                                <w:div w:id="42290675">
                                  <w:marLeft w:val="0"/>
                                  <w:marRight w:val="0"/>
                                  <w:marTop w:val="0"/>
                                  <w:marBottom w:val="0"/>
                                  <w:divBdr>
                                    <w:top w:val="none" w:sz="0" w:space="0" w:color="auto"/>
                                    <w:left w:val="none" w:sz="0" w:space="0" w:color="auto"/>
                                    <w:bottom w:val="none" w:sz="0" w:space="0" w:color="auto"/>
                                    <w:right w:val="none" w:sz="0" w:space="0" w:color="auto"/>
                                  </w:divBdr>
                                  <w:divsChild>
                                    <w:div w:id="1693220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680381">
                              <w:marLeft w:val="135"/>
                              <w:marRight w:val="135"/>
                              <w:marTop w:val="0"/>
                              <w:marBottom w:val="135"/>
                              <w:divBdr>
                                <w:top w:val="none" w:sz="0" w:space="0" w:color="auto"/>
                                <w:left w:val="none" w:sz="0" w:space="0" w:color="auto"/>
                                <w:bottom w:val="none" w:sz="0" w:space="0" w:color="auto"/>
                                <w:right w:val="none" w:sz="0" w:space="0" w:color="auto"/>
                              </w:divBdr>
                              <w:divsChild>
                                <w:div w:id="301929561">
                                  <w:marLeft w:val="0"/>
                                  <w:marRight w:val="0"/>
                                  <w:marTop w:val="0"/>
                                  <w:marBottom w:val="0"/>
                                  <w:divBdr>
                                    <w:top w:val="none" w:sz="0" w:space="0" w:color="auto"/>
                                    <w:left w:val="none" w:sz="0" w:space="0" w:color="auto"/>
                                    <w:bottom w:val="none" w:sz="0" w:space="0" w:color="auto"/>
                                    <w:right w:val="none" w:sz="0" w:space="0" w:color="auto"/>
                                  </w:divBdr>
                                  <w:divsChild>
                                    <w:div w:id="1962684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520368">
                              <w:marLeft w:val="150"/>
                              <w:marRight w:val="150"/>
                              <w:marTop w:val="15"/>
                              <w:marBottom w:val="150"/>
                              <w:divBdr>
                                <w:top w:val="none" w:sz="0" w:space="0" w:color="auto"/>
                                <w:left w:val="none" w:sz="0" w:space="0" w:color="auto"/>
                                <w:bottom w:val="none" w:sz="0" w:space="0" w:color="auto"/>
                                <w:right w:val="none" w:sz="0" w:space="0" w:color="auto"/>
                              </w:divBdr>
                              <w:divsChild>
                                <w:div w:id="608853820">
                                  <w:marLeft w:val="0"/>
                                  <w:marRight w:val="0"/>
                                  <w:marTop w:val="0"/>
                                  <w:marBottom w:val="0"/>
                                  <w:divBdr>
                                    <w:top w:val="none" w:sz="0" w:space="0" w:color="auto"/>
                                    <w:left w:val="none" w:sz="0" w:space="0" w:color="auto"/>
                                    <w:bottom w:val="none" w:sz="0" w:space="0" w:color="auto"/>
                                    <w:right w:val="none" w:sz="0" w:space="0" w:color="auto"/>
                                  </w:divBdr>
                                  <w:divsChild>
                                    <w:div w:id="1338653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406065">
                              <w:marLeft w:val="150"/>
                              <w:marRight w:val="150"/>
                              <w:marTop w:val="15"/>
                              <w:marBottom w:val="150"/>
                              <w:divBdr>
                                <w:top w:val="none" w:sz="0" w:space="0" w:color="auto"/>
                                <w:left w:val="none" w:sz="0" w:space="0" w:color="auto"/>
                                <w:bottom w:val="none" w:sz="0" w:space="0" w:color="auto"/>
                                <w:right w:val="none" w:sz="0" w:space="0" w:color="auto"/>
                              </w:divBdr>
                              <w:divsChild>
                                <w:div w:id="1106926202">
                                  <w:marLeft w:val="0"/>
                                  <w:marRight w:val="0"/>
                                  <w:marTop w:val="0"/>
                                  <w:marBottom w:val="0"/>
                                  <w:divBdr>
                                    <w:top w:val="none" w:sz="0" w:space="0" w:color="auto"/>
                                    <w:left w:val="none" w:sz="0" w:space="0" w:color="auto"/>
                                    <w:bottom w:val="none" w:sz="0" w:space="0" w:color="auto"/>
                                    <w:right w:val="none" w:sz="0" w:space="0" w:color="auto"/>
                                  </w:divBdr>
                                  <w:divsChild>
                                    <w:div w:id="606697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874000">
                              <w:marLeft w:val="150"/>
                              <w:marRight w:val="150"/>
                              <w:marTop w:val="15"/>
                              <w:marBottom w:val="150"/>
                              <w:divBdr>
                                <w:top w:val="none" w:sz="0" w:space="0" w:color="auto"/>
                                <w:left w:val="none" w:sz="0" w:space="0" w:color="auto"/>
                                <w:bottom w:val="none" w:sz="0" w:space="0" w:color="auto"/>
                                <w:right w:val="none" w:sz="0" w:space="0" w:color="auto"/>
                              </w:divBdr>
                              <w:divsChild>
                                <w:div w:id="627052767">
                                  <w:marLeft w:val="0"/>
                                  <w:marRight w:val="0"/>
                                  <w:marTop w:val="525"/>
                                  <w:marBottom w:val="0"/>
                                  <w:divBdr>
                                    <w:top w:val="none" w:sz="0" w:space="0" w:color="auto"/>
                                    <w:left w:val="none" w:sz="0" w:space="0" w:color="auto"/>
                                    <w:bottom w:val="none" w:sz="0" w:space="0" w:color="auto"/>
                                    <w:right w:val="none" w:sz="0" w:space="0" w:color="auto"/>
                                  </w:divBdr>
                                </w:div>
                                <w:div w:id="985865312">
                                  <w:marLeft w:val="0"/>
                                  <w:marRight w:val="0"/>
                                  <w:marTop w:val="0"/>
                                  <w:marBottom w:val="0"/>
                                  <w:divBdr>
                                    <w:top w:val="none" w:sz="0" w:space="0" w:color="auto"/>
                                    <w:left w:val="none" w:sz="0" w:space="0" w:color="auto"/>
                                    <w:bottom w:val="none" w:sz="0" w:space="0" w:color="auto"/>
                                    <w:right w:val="none" w:sz="0" w:space="0" w:color="auto"/>
                                  </w:divBdr>
                                  <w:divsChild>
                                    <w:div w:id="1958246013">
                                      <w:marLeft w:val="0"/>
                                      <w:marRight w:val="0"/>
                                      <w:marTop w:val="0"/>
                                      <w:marBottom w:val="0"/>
                                      <w:divBdr>
                                        <w:top w:val="none" w:sz="0" w:space="0" w:color="auto"/>
                                        <w:left w:val="none" w:sz="0" w:space="0" w:color="auto"/>
                                        <w:bottom w:val="none" w:sz="0" w:space="0" w:color="auto"/>
                                        <w:right w:val="none" w:sz="0" w:space="0" w:color="auto"/>
                                      </w:divBdr>
                                      <w:divsChild>
                                        <w:div w:id="2057503247">
                                          <w:marLeft w:val="0"/>
                                          <w:marRight w:val="0"/>
                                          <w:marTop w:val="0"/>
                                          <w:marBottom w:val="0"/>
                                          <w:divBdr>
                                            <w:top w:val="none" w:sz="0" w:space="0" w:color="auto"/>
                                            <w:left w:val="none" w:sz="0" w:space="0" w:color="auto"/>
                                            <w:bottom w:val="none" w:sz="0" w:space="0" w:color="auto"/>
                                            <w:right w:val="none" w:sz="0" w:space="0" w:color="auto"/>
                                          </w:divBdr>
                                          <w:divsChild>
                                            <w:div w:id="81149689">
                                              <w:marLeft w:val="0"/>
                                              <w:marRight w:val="0"/>
                                              <w:marTop w:val="0"/>
                                              <w:marBottom w:val="0"/>
                                              <w:divBdr>
                                                <w:top w:val="none" w:sz="0" w:space="0" w:color="auto"/>
                                                <w:left w:val="none" w:sz="0" w:space="0" w:color="auto"/>
                                                <w:bottom w:val="none" w:sz="0" w:space="0" w:color="auto"/>
                                                <w:right w:val="none" w:sz="0" w:space="0" w:color="auto"/>
                                              </w:divBdr>
                                              <w:divsChild>
                                                <w:div w:id="553782693">
                                                  <w:marLeft w:val="0"/>
                                                  <w:marRight w:val="0"/>
                                                  <w:marTop w:val="0"/>
                                                  <w:marBottom w:val="0"/>
                                                  <w:divBdr>
                                                    <w:top w:val="none" w:sz="0" w:space="0" w:color="auto"/>
                                                    <w:left w:val="none" w:sz="0" w:space="0" w:color="auto"/>
                                                    <w:bottom w:val="none" w:sz="0" w:space="0" w:color="auto"/>
                                                    <w:right w:val="none" w:sz="0" w:space="0" w:color="auto"/>
                                                  </w:divBdr>
                                                  <w:divsChild>
                                                    <w:div w:id="718287973">
                                                      <w:marLeft w:val="0"/>
                                                      <w:marRight w:val="0"/>
                                                      <w:marTop w:val="0"/>
                                                      <w:marBottom w:val="0"/>
                                                      <w:divBdr>
                                                        <w:top w:val="none" w:sz="0" w:space="0" w:color="auto"/>
                                                        <w:left w:val="none" w:sz="0" w:space="0" w:color="auto"/>
                                                        <w:bottom w:val="none" w:sz="0" w:space="0" w:color="auto"/>
                                                        <w:right w:val="none" w:sz="0" w:space="0" w:color="auto"/>
                                                      </w:divBdr>
                                                      <w:divsChild>
                                                        <w:div w:id="22286780">
                                                          <w:marLeft w:val="0"/>
                                                          <w:marRight w:val="0"/>
                                                          <w:marTop w:val="0"/>
                                                          <w:marBottom w:val="0"/>
                                                          <w:divBdr>
                                                            <w:top w:val="none" w:sz="0" w:space="0" w:color="auto"/>
                                                            <w:left w:val="none" w:sz="0" w:space="0" w:color="auto"/>
                                                            <w:bottom w:val="none" w:sz="0" w:space="0" w:color="auto"/>
                                                            <w:right w:val="none" w:sz="0" w:space="0" w:color="auto"/>
                                                          </w:divBdr>
                                                        </w:div>
                                                        <w:div w:id="135805257">
                                                          <w:marLeft w:val="0"/>
                                                          <w:marRight w:val="0"/>
                                                          <w:marTop w:val="0"/>
                                                          <w:marBottom w:val="0"/>
                                                          <w:divBdr>
                                                            <w:top w:val="none" w:sz="0" w:space="0" w:color="auto"/>
                                                            <w:left w:val="none" w:sz="0" w:space="0" w:color="auto"/>
                                                            <w:bottom w:val="none" w:sz="0" w:space="0" w:color="auto"/>
                                                            <w:right w:val="none" w:sz="0" w:space="0" w:color="auto"/>
                                                          </w:divBdr>
                                                        </w:div>
                                                        <w:div w:id="767043456">
                                                          <w:marLeft w:val="0"/>
                                                          <w:marRight w:val="0"/>
                                                          <w:marTop w:val="0"/>
                                                          <w:marBottom w:val="0"/>
                                                          <w:divBdr>
                                                            <w:top w:val="none" w:sz="0" w:space="0" w:color="auto"/>
                                                            <w:left w:val="none" w:sz="0" w:space="0" w:color="auto"/>
                                                            <w:bottom w:val="none" w:sz="0" w:space="0" w:color="auto"/>
                                                            <w:right w:val="none" w:sz="0" w:space="0" w:color="auto"/>
                                                          </w:divBdr>
                                                        </w:div>
                                                        <w:div w:id="869532046">
                                                          <w:marLeft w:val="0"/>
                                                          <w:marRight w:val="0"/>
                                                          <w:marTop w:val="0"/>
                                                          <w:marBottom w:val="0"/>
                                                          <w:divBdr>
                                                            <w:top w:val="none" w:sz="0" w:space="0" w:color="auto"/>
                                                            <w:left w:val="none" w:sz="0" w:space="0" w:color="auto"/>
                                                            <w:bottom w:val="none" w:sz="0" w:space="0" w:color="auto"/>
                                                            <w:right w:val="none" w:sz="0" w:space="0" w:color="auto"/>
                                                          </w:divBdr>
                                                        </w:div>
                                                        <w:div w:id="982582318">
                                                          <w:marLeft w:val="0"/>
                                                          <w:marRight w:val="0"/>
                                                          <w:marTop w:val="0"/>
                                                          <w:marBottom w:val="0"/>
                                                          <w:divBdr>
                                                            <w:top w:val="none" w:sz="0" w:space="0" w:color="auto"/>
                                                            <w:left w:val="none" w:sz="0" w:space="0" w:color="auto"/>
                                                            <w:bottom w:val="none" w:sz="0" w:space="0" w:color="auto"/>
                                                            <w:right w:val="none" w:sz="0" w:space="0" w:color="auto"/>
                                                          </w:divBdr>
                                                        </w:div>
                                                        <w:div w:id="1149640258">
                                                          <w:marLeft w:val="0"/>
                                                          <w:marRight w:val="0"/>
                                                          <w:marTop w:val="0"/>
                                                          <w:marBottom w:val="0"/>
                                                          <w:divBdr>
                                                            <w:top w:val="none" w:sz="0" w:space="0" w:color="auto"/>
                                                            <w:left w:val="none" w:sz="0" w:space="0" w:color="auto"/>
                                                            <w:bottom w:val="none" w:sz="0" w:space="0" w:color="auto"/>
                                                            <w:right w:val="none" w:sz="0" w:space="0" w:color="auto"/>
                                                          </w:divBdr>
                                                        </w:div>
                                                        <w:div w:id="1167791463">
                                                          <w:marLeft w:val="0"/>
                                                          <w:marRight w:val="0"/>
                                                          <w:marTop w:val="0"/>
                                                          <w:marBottom w:val="0"/>
                                                          <w:divBdr>
                                                            <w:top w:val="none" w:sz="0" w:space="0" w:color="auto"/>
                                                            <w:left w:val="none" w:sz="0" w:space="0" w:color="auto"/>
                                                            <w:bottom w:val="none" w:sz="0" w:space="0" w:color="auto"/>
                                                            <w:right w:val="none" w:sz="0" w:space="0" w:color="auto"/>
                                                          </w:divBdr>
                                                        </w:div>
                                                        <w:div w:id="1301112918">
                                                          <w:marLeft w:val="0"/>
                                                          <w:marRight w:val="0"/>
                                                          <w:marTop w:val="0"/>
                                                          <w:marBottom w:val="0"/>
                                                          <w:divBdr>
                                                            <w:top w:val="none" w:sz="0" w:space="0" w:color="auto"/>
                                                            <w:left w:val="none" w:sz="0" w:space="0" w:color="auto"/>
                                                            <w:bottom w:val="none" w:sz="0" w:space="0" w:color="auto"/>
                                                            <w:right w:val="none" w:sz="0" w:space="0" w:color="auto"/>
                                                          </w:divBdr>
                                                        </w:div>
                                                        <w:div w:id="1669865973">
                                                          <w:marLeft w:val="0"/>
                                                          <w:marRight w:val="0"/>
                                                          <w:marTop w:val="0"/>
                                                          <w:marBottom w:val="0"/>
                                                          <w:divBdr>
                                                            <w:top w:val="none" w:sz="0" w:space="0" w:color="auto"/>
                                                            <w:left w:val="none" w:sz="0" w:space="0" w:color="auto"/>
                                                            <w:bottom w:val="none" w:sz="0" w:space="0" w:color="auto"/>
                                                            <w:right w:val="none" w:sz="0" w:space="0" w:color="auto"/>
                                                          </w:divBdr>
                                                        </w:div>
                                                        <w:div w:id="1695229782">
                                                          <w:marLeft w:val="0"/>
                                                          <w:marRight w:val="0"/>
                                                          <w:marTop w:val="0"/>
                                                          <w:marBottom w:val="0"/>
                                                          <w:divBdr>
                                                            <w:top w:val="single" w:sz="6" w:space="7" w:color="auto"/>
                                                            <w:left w:val="none" w:sz="0" w:space="0" w:color="auto"/>
                                                            <w:bottom w:val="none" w:sz="0" w:space="0" w:color="auto"/>
                                                            <w:right w:val="none" w:sz="0" w:space="0" w:color="auto"/>
                                                          </w:divBdr>
                                                          <w:divsChild>
                                                            <w:div w:id="1586379899">
                                                              <w:marLeft w:val="0"/>
                                                              <w:marRight w:val="0"/>
                                                              <w:marTop w:val="0"/>
                                                              <w:marBottom w:val="0"/>
                                                              <w:divBdr>
                                                                <w:top w:val="none" w:sz="0" w:space="0" w:color="auto"/>
                                                                <w:left w:val="none" w:sz="0" w:space="0" w:color="auto"/>
                                                                <w:bottom w:val="none" w:sz="0" w:space="0" w:color="auto"/>
                                                                <w:right w:val="none" w:sz="0" w:space="0" w:color="auto"/>
                                                              </w:divBdr>
                                                            </w:div>
                                                          </w:divsChild>
                                                        </w:div>
                                                        <w:div w:id="1732733654">
                                                          <w:marLeft w:val="0"/>
                                                          <w:marRight w:val="0"/>
                                                          <w:marTop w:val="0"/>
                                                          <w:marBottom w:val="0"/>
                                                          <w:divBdr>
                                                            <w:top w:val="none" w:sz="0" w:space="0" w:color="auto"/>
                                                            <w:left w:val="none" w:sz="0" w:space="0" w:color="auto"/>
                                                            <w:bottom w:val="none" w:sz="0" w:space="0" w:color="auto"/>
                                                            <w:right w:val="none" w:sz="0" w:space="0" w:color="auto"/>
                                                          </w:divBdr>
                                                        </w:div>
                                                        <w:div w:id="2018119534">
                                                          <w:marLeft w:val="0"/>
                                                          <w:marRight w:val="0"/>
                                                          <w:marTop w:val="0"/>
                                                          <w:marBottom w:val="0"/>
                                                          <w:divBdr>
                                                            <w:top w:val="none" w:sz="0" w:space="0" w:color="auto"/>
                                                            <w:left w:val="none" w:sz="0" w:space="0" w:color="auto"/>
                                                            <w:bottom w:val="none" w:sz="0" w:space="0" w:color="auto"/>
                                                            <w:right w:val="none" w:sz="0" w:space="0" w:color="auto"/>
                                                          </w:divBdr>
                                                        </w:div>
                                                        <w:div w:id="2047482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8562670">
                              <w:marLeft w:val="150"/>
                              <w:marRight w:val="150"/>
                              <w:marTop w:val="15"/>
                              <w:marBottom w:val="150"/>
                              <w:divBdr>
                                <w:top w:val="none" w:sz="0" w:space="0" w:color="auto"/>
                                <w:left w:val="none" w:sz="0" w:space="0" w:color="auto"/>
                                <w:bottom w:val="none" w:sz="0" w:space="0" w:color="auto"/>
                                <w:right w:val="none" w:sz="0" w:space="0" w:color="auto"/>
                              </w:divBdr>
                              <w:divsChild>
                                <w:div w:id="1497568740">
                                  <w:marLeft w:val="0"/>
                                  <w:marRight w:val="0"/>
                                  <w:marTop w:val="0"/>
                                  <w:marBottom w:val="0"/>
                                  <w:divBdr>
                                    <w:top w:val="none" w:sz="0" w:space="0" w:color="auto"/>
                                    <w:left w:val="none" w:sz="0" w:space="0" w:color="auto"/>
                                    <w:bottom w:val="none" w:sz="0" w:space="0" w:color="auto"/>
                                    <w:right w:val="none" w:sz="0" w:space="0" w:color="auto"/>
                                  </w:divBdr>
                                  <w:divsChild>
                                    <w:div w:id="154567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500816">
                              <w:marLeft w:val="150"/>
                              <w:marRight w:val="150"/>
                              <w:marTop w:val="15"/>
                              <w:marBottom w:val="150"/>
                              <w:divBdr>
                                <w:top w:val="none" w:sz="0" w:space="0" w:color="auto"/>
                                <w:left w:val="none" w:sz="0" w:space="0" w:color="auto"/>
                                <w:bottom w:val="none" w:sz="0" w:space="0" w:color="auto"/>
                                <w:right w:val="none" w:sz="0" w:space="0" w:color="auto"/>
                              </w:divBdr>
                              <w:divsChild>
                                <w:div w:id="576288779">
                                  <w:marLeft w:val="0"/>
                                  <w:marRight w:val="0"/>
                                  <w:marTop w:val="525"/>
                                  <w:marBottom w:val="0"/>
                                  <w:divBdr>
                                    <w:top w:val="none" w:sz="0" w:space="0" w:color="auto"/>
                                    <w:left w:val="none" w:sz="0" w:space="0" w:color="auto"/>
                                    <w:bottom w:val="none" w:sz="0" w:space="0" w:color="auto"/>
                                    <w:right w:val="none" w:sz="0" w:space="0" w:color="auto"/>
                                  </w:divBdr>
                                </w:div>
                                <w:div w:id="1070349100">
                                  <w:marLeft w:val="0"/>
                                  <w:marRight w:val="0"/>
                                  <w:marTop w:val="0"/>
                                  <w:marBottom w:val="0"/>
                                  <w:divBdr>
                                    <w:top w:val="none" w:sz="0" w:space="0" w:color="auto"/>
                                    <w:left w:val="none" w:sz="0" w:space="0" w:color="auto"/>
                                    <w:bottom w:val="none" w:sz="0" w:space="0" w:color="auto"/>
                                    <w:right w:val="none" w:sz="0" w:space="0" w:color="auto"/>
                                  </w:divBdr>
                                  <w:divsChild>
                                    <w:div w:id="1051657712">
                                      <w:marLeft w:val="0"/>
                                      <w:marRight w:val="0"/>
                                      <w:marTop w:val="0"/>
                                      <w:marBottom w:val="0"/>
                                      <w:divBdr>
                                        <w:top w:val="none" w:sz="0" w:space="0" w:color="auto"/>
                                        <w:left w:val="none" w:sz="0" w:space="0" w:color="auto"/>
                                        <w:bottom w:val="none" w:sz="0" w:space="0" w:color="auto"/>
                                        <w:right w:val="none" w:sz="0" w:space="0" w:color="auto"/>
                                      </w:divBdr>
                                      <w:divsChild>
                                        <w:div w:id="1457135947">
                                          <w:marLeft w:val="0"/>
                                          <w:marRight w:val="0"/>
                                          <w:marTop w:val="0"/>
                                          <w:marBottom w:val="0"/>
                                          <w:divBdr>
                                            <w:top w:val="none" w:sz="0" w:space="0" w:color="auto"/>
                                            <w:left w:val="none" w:sz="0" w:space="0" w:color="auto"/>
                                            <w:bottom w:val="none" w:sz="0" w:space="0" w:color="auto"/>
                                            <w:right w:val="none" w:sz="0" w:space="0" w:color="auto"/>
                                          </w:divBdr>
                                          <w:divsChild>
                                            <w:div w:id="666203994">
                                              <w:marLeft w:val="0"/>
                                              <w:marRight w:val="0"/>
                                              <w:marTop w:val="0"/>
                                              <w:marBottom w:val="0"/>
                                              <w:divBdr>
                                                <w:top w:val="none" w:sz="0" w:space="0" w:color="auto"/>
                                                <w:left w:val="none" w:sz="0" w:space="0" w:color="auto"/>
                                                <w:bottom w:val="none" w:sz="0" w:space="0" w:color="auto"/>
                                                <w:right w:val="none" w:sz="0" w:space="0" w:color="auto"/>
                                              </w:divBdr>
                                              <w:divsChild>
                                                <w:div w:id="1769109557">
                                                  <w:marLeft w:val="0"/>
                                                  <w:marRight w:val="0"/>
                                                  <w:marTop w:val="0"/>
                                                  <w:marBottom w:val="0"/>
                                                  <w:divBdr>
                                                    <w:top w:val="none" w:sz="0" w:space="0" w:color="auto"/>
                                                    <w:left w:val="none" w:sz="0" w:space="0" w:color="auto"/>
                                                    <w:bottom w:val="none" w:sz="0" w:space="0" w:color="auto"/>
                                                    <w:right w:val="none" w:sz="0" w:space="0" w:color="auto"/>
                                                  </w:divBdr>
                                                  <w:divsChild>
                                                    <w:div w:id="165095673">
                                                      <w:marLeft w:val="0"/>
                                                      <w:marRight w:val="0"/>
                                                      <w:marTop w:val="0"/>
                                                      <w:marBottom w:val="0"/>
                                                      <w:divBdr>
                                                        <w:top w:val="none" w:sz="0" w:space="0" w:color="auto"/>
                                                        <w:left w:val="none" w:sz="0" w:space="0" w:color="auto"/>
                                                        <w:bottom w:val="none" w:sz="0" w:space="0" w:color="auto"/>
                                                        <w:right w:val="none" w:sz="0" w:space="0" w:color="auto"/>
                                                      </w:divBdr>
                                                      <w:divsChild>
                                                        <w:div w:id="20086088">
                                                          <w:marLeft w:val="0"/>
                                                          <w:marRight w:val="0"/>
                                                          <w:marTop w:val="0"/>
                                                          <w:marBottom w:val="0"/>
                                                          <w:divBdr>
                                                            <w:top w:val="none" w:sz="0" w:space="0" w:color="auto"/>
                                                            <w:left w:val="none" w:sz="0" w:space="0" w:color="auto"/>
                                                            <w:bottom w:val="none" w:sz="0" w:space="0" w:color="auto"/>
                                                            <w:right w:val="none" w:sz="0" w:space="0" w:color="auto"/>
                                                          </w:divBdr>
                                                        </w:div>
                                                        <w:div w:id="100614212">
                                                          <w:marLeft w:val="0"/>
                                                          <w:marRight w:val="0"/>
                                                          <w:marTop w:val="0"/>
                                                          <w:marBottom w:val="0"/>
                                                          <w:divBdr>
                                                            <w:top w:val="none" w:sz="0" w:space="0" w:color="auto"/>
                                                            <w:left w:val="none" w:sz="0" w:space="0" w:color="auto"/>
                                                            <w:bottom w:val="none" w:sz="0" w:space="0" w:color="auto"/>
                                                            <w:right w:val="none" w:sz="0" w:space="0" w:color="auto"/>
                                                          </w:divBdr>
                                                        </w:div>
                                                        <w:div w:id="125007793">
                                                          <w:marLeft w:val="0"/>
                                                          <w:marRight w:val="0"/>
                                                          <w:marTop w:val="0"/>
                                                          <w:marBottom w:val="0"/>
                                                          <w:divBdr>
                                                            <w:top w:val="none" w:sz="0" w:space="0" w:color="auto"/>
                                                            <w:left w:val="none" w:sz="0" w:space="0" w:color="auto"/>
                                                            <w:bottom w:val="none" w:sz="0" w:space="0" w:color="auto"/>
                                                            <w:right w:val="none" w:sz="0" w:space="0" w:color="auto"/>
                                                          </w:divBdr>
                                                        </w:div>
                                                        <w:div w:id="130098212">
                                                          <w:marLeft w:val="0"/>
                                                          <w:marRight w:val="0"/>
                                                          <w:marTop w:val="0"/>
                                                          <w:marBottom w:val="0"/>
                                                          <w:divBdr>
                                                            <w:top w:val="none" w:sz="0" w:space="0" w:color="auto"/>
                                                            <w:left w:val="none" w:sz="0" w:space="0" w:color="auto"/>
                                                            <w:bottom w:val="none" w:sz="0" w:space="0" w:color="auto"/>
                                                            <w:right w:val="none" w:sz="0" w:space="0" w:color="auto"/>
                                                          </w:divBdr>
                                                        </w:div>
                                                        <w:div w:id="231278149">
                                                          <w:marLeft w:val="0"/>
                                                          <w:marRight w:val="0"/>
                                                          <w:marTop w:val="0"/>
                                                          <w:marBottom w:val="0"/>
                                                          <w:divBdr>
                                                            <w:top w:val="none" w:sz="0" w:space="0" w:color="auto"/>
                                                            <w:left w:val="none" w:sz="0" w:space="0" w:color="auto"/>
                                                            <w:bottom w:val="none" w:sz="0" w:space="0" w:color="auto"/>
                                                            <w:right w:val="none" w:sz="0" w:space="0" w:color="auto"/>
                                                          </w:divBdr>
                                                        </w:div>
                                                        <w:div w:id="389770142">
                                                          <w:marLeft w:val="0"/>
                                                          <w:marRight w:val="0"/>
                                                          <w:marTop w:val="0"/>
                                                          <w:marBottom w:val="0"/>
                                                          <w:divBdr>
                                                            <w:top w:val="none" w:sz="0" w:space="0" w:color="auto"/>
                                                            <w:left w:val="none" w:sz="0" w:space="0" w:color="auto"/>
                                                            <w:bottom w:val="none" w:sz="0" w:space="0" w:color="auto"/>
                                                            <w:right w:val="none" w:sz="0" w:space="0" w:color="auto"/>
                                                          </w:divBdr>
                                                        </w:div>
                                                        <w:div w:id="672998499">
                                                          <w:marLeft w:val="0"/>
                                                          <w:marRight w:val="0"/>
                                                          <w:marTop w:val="0"/>
                                                          <w:marBottom w:val="0"/>
                                                          <w:divBdr>
                                                            <w:top w:val="none" w:sz="0" w:space="0" w:color="auto"/>
                                                            <w:left w:val="none" w:sz="0" w:space="0" w:color="auto"/>
                                                            <w:bottom w:val="none" w:sz="0" w:space="0" w:color="auto"/>
                                                            <w:right w:val="none" w:sz="0" w:space="0" w:color="auto"/>
                                                          </w:divBdr>
                                                        </w:div>
                                                        <w:div w:id="971210201">
                                                          <w:marLeft w:val="0"/>
                                                          <w:marRight w:val="0"/>
                                                          <w:marTop w:val="0"/>
                                                          <w:marBottom w:val="0"/>
                                                          <w:divBdr>
                                                            <w:top w:val="single" w:sz="6" w:space="7" w:color="auto"/>
                                                            <w:left w:val="none" w:sz="0" w:space="0" w:color="auto"/>
                                                            <w:bottom w:val="none" w:sz="0" w:space="0" w:color="auto"/>
                                                            <w:right w:val="none" w:sz="0" w:space="0" w:color="auto"/>
                                                          </w:divBdr>
                                                          <w:divsChild>
                                                            <w:div w:id="1230577802">
                                                              <w:marLeft w:val="0"/>
                                                              <w:marRight w:val="0"/>
                                                              <w:marTop w:val="0"/>
                                                              <w:marBottom w:val="0"/>
                                                              <w:divBdr>
                                                                <w:top w:val="none" w:sz="0" w:space="0" w:color="auto"/>
                                                                <w:left w:val="none" w:sz="0" w:space="0" w:color="auto"/>
                                                                <w:bottom w:val="none" w:sz="0" w:space="0" w:color="auto"/>
                                                                <w:right w:val="none" w:sz="0" w:space="0" w:color="auto"/>
                                                              </w:divBdr>
                                                              <w:divsChild>
                                                                <w:div w:id="1001128075">
                                                                  <w:marLeft w:val="0"/>
                                                                  <w:marRight w:val="0"/>
                                                                  <w:marTop w:val="0"/>
                                                                  <w:marBottom w:val="0"/>
                                                                  <w:divBdr>
                                                                    <w:top w:val="none" w:sz="0" w:space="0" w:color="auto"/>
                                                                    <w:left w:val="none" w:sz="0" w:space="0" w:color="auto"/>
                                                                    <w:bottom w:val="none" w:sz="0" w:space="0" w:color="auto"/>
                                                                    <w:right w:val="none" w:sz="0" w:space="0" w:color="auto"/>
                                                                  </w:divBdr>
                                                                </w:div>
                                                              </w:divsChild>
                                                            </w:div>
                                                            <w:div w:id="1828594325">
                                                              <w:marLeft w:val="0"/>
                                                              <w:marRight w:val="0"/>
                                                              <w:marTop w:val="0"/>
                                                              <w:marBottom w:val="0"/>
                                                              <w:divBdr>
                                                                <w:top w:val="none" w:sz="0" w:space="0" w:color="auto"/>
                                                                <w:left w:val="none" w:sz="0" w:space="0" w:color="auto"/>
                                                                <w:bottom w:val="none" w:sz="0" w:space="0" w:color="auto"/>
                                                                <w:right w:val="none" w:sz="0" w:space="0" w:color="auto"/>
                                                              </w:divBdr>
                                                            </w:div>
                                                          </w:divsChild>
                                                        </w:div>
                                                        <w:div w:id="1087653663">
                                                          <w:marLeft w:val="0"/>
                                                          <w:marRight w:val="0"/>
                                                          <w:marTop w:val="0"/>
                                                          <w:marBottom w:val="0"/>
                                                          <w:divBdr>
                                                            <w:top w:val="none" w:sz="0" w:space="0" w:color="auto"/>
                                                            <w:left w:val="none" w:sz="0" w:space="0" w:color="auto"/>
                                                            <w:bottom w:val="none" w:sz="0" w:space="0" w:color="auto"/>
                                                            <w:right w:val="none" w:sz="0" w:space="0" w:color="auto"/>
                                                          </w:divBdr>
                                                        </w:div>
                                                        <w:div w:id="1507789158">
                                                          <w:marLeft w:val="0"/>
                                                          <w:marRight w:val="0"/>
                                                          <w:marTop w:val="0"/>
                                                          <w:marBottom w:val="0"/>
                                                          <w:divBdr>
                                                            <w:top w:val="none" w:sz="0" w:space="0" w:color="auto"/>
                                                            <w:left w:val="none" w:sz="0" w:space="0" w:color="auto"/>
                                                            <w:bottom w:val="none" w:sz="0" w:space="0" w:color="auto"/>
                                                            <w:right w:val="none" w:sz="0" w:space="0" w:color="auto"/>
                                                          </w:divBdr>
                                                        </w:div>
                                                        <w:div w:id="1671443714">
                                                          <w:marLeft w:val="0"/>
                                                          <w:marRight w:val="0"/>
                                                          <w:marTop w:val="0"/>
                                                          <w:marBottom w:val="0"/>
                                                          <w:divBdr>
                                                            <w:top w:val="none" w:sz="0" w:space="0" w:color="auto"/>
                                                            <w:left w:val="none" w:sz="0" w:space="0" w:color="auto"/>
                                                            <w:bottom w:val="none" w:sz="0" w:space="0" w:color="auto"/>
                                                            <w:right w:val="none" w:sz="0" w:space="0" w:color="auto"/>
                                                          </w:divBdr>
                                                        </w:div>
                                                        <w:div w:id="1743064775">
                                                          <w:marLeft w:val="0"/>
                                                          <w:marRight w:val="0"/>
                                                          <w:marTop w:val="0"/>
                                                          <w:marBottom w:val="0"/>
                                                          <w:divBdr>
                                                            <w:top w:val="none" w:sz="0" w:space="0" w:color="auto"/>
                                                            <w:left w:val="none" w:sz="0" w:space="0" w:color="auto"/>
                                                            <w:bottom w:val="none" w:sz="0" w:space="0" w:color="auto"/>
                                                            <w:right w:val="none" w:sz="0" w:space="0" w:color="auto"/>
                                                          </w:divBdr>
                                                        </w:div>
                                                        <w:div w:id="194163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0599765">
                          <w:marLeft w:val="0"/>
                          <w:marRight w:val="0"/>
                          <w:marTop w:val="0"/>
                          <w:marBottom w:val="0"/>
                          <w:divBdr>
                            <w:top w:val="none" w:sz="0" w:space="0" w:color="auto"/>
                            <w:left w:val="none" w:sz="0" w:space="0" w:color="auto"/>
                            <w:bottom w:val="none" w:sz="0" w:space="0" w:color="auto"/>
                            <w:right w:val="none" w:sz="0" w:space="0" w:color="auto"/>
                          </w:divBdr>
                          <w:divsChild>
                            <w:div w:id="1166750672">
                              <w:marLeft w:val="0"/>
                              <w:marRight w:val="0"/>
                              <w:marTop w:val="0"/>
                              <w:marBottom w:val="0"/>
                              <w:divBdr>
                                <w:top w:val="none" w:sz="0" w:space="0" w:color="auto"/>
                                <w:left w:val="none" w:sz="0" w:space="0" w:color="auto"/>
                                <w:bottom w:val="none" w:sz="0" w:space="0" w:color="auto"/>
                                <w:right w:val="none" w:sz="0" w:space="0" w:color="auto"/>
                              </w:divBdr>
                              <w:divsChild>
                                <w:div w:id="1690520963">
                                  <w:marLeft w:val="0"/>
                                  <w:marRight w:val="0"/>
                                  <w:marTop w:val="0"/>
                                  <w:marBottom w:val="0"/>
                                  <w:divBdr>
                                    <w:top w:val="none" w:sz="0" w:space="0" w:color="auto"/>
                                    <w:left w:val="none" w:sz="0" w:space="0" w:color="auto"/>
                                    <w:bottom w:val="none" w:sz="0" w:space="0" w:color="auto"/>
                                    <w:right w:val="none" w:sz="0" w:space="0" w:color="auto"/>
                                  </w:divBdr>
                                  <w:divsChild>
                                    <w:div w:id="1452281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0109190">
          <w:marLeft w:val="0"/>
          <w:marRight w:val="0"/>
          <w:marTop w:val="0"/>
          <w:marBottom w:val="0"/>
          <w:divBdr>
            <w:top w:val="none" w:sz="0" w:space="0" w:color="auto"/>
            <w:left w:val="none" w:sz="0" w:space="0" w:color="auto"/>
            <w:bottom w:val="none" w:sz="0" w:space="0" w:color="auto"/>
            <w:right w:val="none" w:sz="0" w:space="0" w:color="auto"/>
          </w:divBdr>
          <w:divsChild>
            <w:div w:id="1900627432">
              <w:marLeft w:val="0"/>
              <w:marRight w:val="0"/>
              <w:marTop w:val="0"/>
              <w:marBottom w:val="0"/>
              <w:divBdr>
                <w:top w:val="none" w:sz="0" w:space="0" w:color="auto"/>
                <w:left w:val="none" w:sz="0" w:space="0" w:color="auto"/>
                <w:bottom w:val="none" w:sz="0" w:space="0" w:color="auto"/>
                <w:right w:val="none" w:sz="0" w:space="0" w:color="auto"/>
              </w:divBdr>
              <w:divsChild>
                <w:div w:id="895816324">
                  <w:marLeft w:val="150"/>
                  <w:marRight w:val="150"/>
                  <w:marTop w:val="150"/>
                  <w:marBottom w:val="150"/>
                  <w:divBdr>
                    <w:top w:val="none" w:sz="0" w:space="0" w:color="auto"/>
                    <w:left w:val="none" w:sz="0" w:space="0" w:color="auto"/>
                    <w:bottom w:val="none" w:sz="0" w:space="0" w:color="auto"/>
                    <w:right w:val="none" w:sz="0" w:space="0" w:color="auto"/>
                  </w:divBdr>
                  <w:divsChild>
                    <w:div w:id="878665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4518371">
      <w:bodyDiv w:val="1"/>
      <w:marLeft w:val="0"/>
      <w:marRight w:val="0"/>
      <w:marTop w:val="0"/>
      <w:marBottom w:val="0"/>
      <w:divBdr>
        <w:top w:val="none" w:sz="0" w:space="0" w:color="auto"/>
        <w:left w:val="none" w:sz="0" w:space="0" w:color="auto"/>
        <w:bottom w:val="none" w:sz="0" w:space="0" w:color="auto"/>
        <w:right w:val="none" w:sz="0" w:space="0" w:color="auto"/>
      </w:divBdr>
      <w:divsChild>
        <w:div w:id="606279018">
          <w:marLeft w:val="0"/>
          <w:marRight w:val="0"/>
          <w:marTop w:val="0"/>
          <w:marBottom w:val="0"/>
          <w:divBdr>
            <w:top w:val="none" w:sz="0" w:space="0" w:color="auto"/>
            <w:left w:val="none" w:sz="0" w:space="0" w:color="auto"/>
            <w:bottom w:val="none" w:sz="0" w:space="0" w:color="auto"/>
            <w:right w:val="none" w:sz="0" w:space="0" w:color="auto"/>
          </w:divBdr>
          <w:divsChild>
            <w:div w:id="442262603">
              <w:marLeft w:val="0"/>
              <w:marRight w:val="0"/>
              <w:marTop w:val="0"/>
              <w:marBottom w:val="0"/>
              <w:divBdr>
                <w:top w:val="none" w:sz="0" w:space="0" w:color="auto"/>
                <w:left w:val="none" w:sz="0" w:space="0" w:color="auto"/>
                <w:bottom w:val="none" w:sz="0" w:space="0" w:color="auto"/>
                <w:right w:val="none" w:sz="0" w:space="0" w:color="auto"/>
              </w:divBdr>
            </w:div>
          </w:divsChild>
        </w:div>
        <w:div w:id="1031539560">
          <w:marLeft w:val="0"/>
          <w:marRight w:val="0"/>
          <w:marTop w:val="0"/>
          <w:marBottom w:val="0"/>
          <w:divBdr>
            <w:top w:val="none" w:sz="0" w:space="0" w:color="auto"/>
            <w:left w:val="none" w:sz="0" w:space="0" w:color="auto"/>
            <w:bottom w:val="none" w:sz="0" w:space="0" w:color="auto"/>
            <w:right w:val="none" w:sz="0" w:space="0" w:color="auto"/>
          </w:divBdr>
          <w:divsChild>
            <w:div w:id="345134708">
              <w:marLeft w:val="0"/>
              <w:marRight w:val="0"/>
              <w:marTop w:val="0"/>
              <w:marBottom w:val="0"/>
              <w:divBdr>
                <w:top w:val="none" w:sz="0" w:space="0" w:color="auto"/>
                <w:left w:val="none" w:sz="0" w:space="0" w:color="auto"/>
                <w:bottom w:val="none" w:sz="0" w:space="0" w:color="auto"/>
                <w:right w:val="none" w:sz="0" w:space="0" w:color="auto"/>
              </w:divBdr>
              <w:divsChild>
                <w:div w:id="1459177991">
                  <w:marLeft w:val="0"/>
                  <w:marRight w:val="0"/>
                  <w:marTop w:val="0"/>
                  <w:marBottom w:val="0"/>
                  <w:divBdr>
                    <w:top w:val="none" w:sz="0" w:space="0" w:color="auto"/>
                    <w:left w:val="none" w:sz="0" w:space="0" w:color="auto"/>
                    <w:bottom w:val="none" w:sz="0" w:space="0" w:color="auto"/>
                    <w:right w:val="none" w:sz="0" w:space="0" w:color="auto"/>
                  </w:divBdr>
                </w:div>
              </w:divsChild>
            </w:div>
            <w:div w:id="634261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149957">
      <w:marLeft w:val="0"/>
      <w:marRight w:val="0"/>
      <w:marTop w:val="0"/>
      <w:marBottom w:val="0"/>
      <w:divBdr>
        <w:top w:val="none" w:sz="0" w:space="0" w:color="auto"/>
        <w:left w:val="none" w:sz="0" w:space="0" w:color="auto"/>
        <w:bottom w:val="none" w:sz="0" w:space="0" w:color="auto"/>
        <w:right w:val="none" w:sz="0" w:space="0" w:color="auto"/>
      </w:divBdr>
      <w:divsChild>
        <w:div w:id="43105402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Spake@soton.ac.uk" TargetMode="External"/><Relationship Id="rId13" Type="http://schemas.openxmlformats.org/officeDocument/2006/relationships/hyperlink" Target="https://www.forestresearch.gov.uk/tools-and-resources/forest-planning-and-management-services/ecological-site-classification-decision-support-system-esc-dss/" TargetMode="External"/><Relationship Id="rId18" Type="http://schemas.openxmlformats.org/officeDocument/2006/relationships/hyperlink" Target="http://www.esri.com" TargetMode="External"/><Relationship Id="rId26" Type="http://schemas.openxmlformats.org/officeDocument/2006/relationships/image" Target="media/image6.png"/><Relationship Id="rId39"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yperlink" Target="http://www.esri.com" TargetMode="External"/><Relationship Id="rId34" Type="http://schemas.openxmlformats.org/officeDocument/2006/relationships/hyperlink" Target="https://www.ordnancesurvey.co.uk/xml/products/OSTerrain50Grid.xml"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forestry.gov.uk/fr/beeh-a3gf9u" TargetMode="External"/><Relationship Id="rId17" Type="http://schemas.openxmlformats.org/officeDocument/2006/relationships/hyperlink" Target="http://data-forestry.opendata.arcgis.com/datasets/national-forest-inventory-woodland-gb" TargetMode="External"/><Relationship Id="rId25" Type="http://schemas.openxmlformats.org/officeDocument/2006/relationships/image" Target="media/image5.png"/><Relationship Id="rId33" Type="http://schemas.openxmlformats.org/officeDocument/2006/relationships/hyperlink" Target="https://digimap.edina.ac.uk/webhelp/environment/data_information/lcm2007.htm" TargetMode="External"/><Relationship Id="rId38"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hyperlink" Target="https://www.ordnancesurvey.co.uk/business-and-government/products/os-open-roads.html" TargetMode="External"/><Relationship Id="rId20" Type="http://schemas.openxmlformats.org/officeDocument/2006/relationships/hyperlink" Target="https://digimap.edina.ac.uk/webhelp/environment/data_information/lcm2007.htm" TargetMode="External"/><Relationship Id="rId29" Type="http://schemas.openxmlformats.org/officeDocument/2006/relationships/hyperlink" Target="https://www.ordnancesurvey.co.uk/xml/products/OSTerrain50Grid.xml" TargetMode="External"/><Relationship Id="rId41" Type="http://schemas.openxmlformats.org/officeDocument/2006/relationships/hyperlink" Target="https://www.forestresearch.gov.uk/tools-and-resources/national-forest-inventor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4.png"/><Relationship Id="rId32" Type="http://schemas.openxmlformats.org/officeDocument/2006/relationships/hyperlink" Target="https://digimap.edina.ac.uk/webhelp/environment/data_information/lcm2007.htm" TargetMode="External"/><Relationship Id="rId37" Type="http://schemas.openxmlformats.org/officeDocument/2006/relationships/image" Target="media/image9.png"/><Relationship Id="rId40"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hyperlink" Target="https://catalogue.ceh.ac.uk/documents/gemini/waf/" TargetMode="External"/><Relationship Id="rId23" Type="http://schemas.openxmlformats.org/officeDocument/2006/relationships/image" Target="media/image3.png"/><Relationship Id="rId28" Type="http://schemas.openxmlformats.org/officeDocument/2006/relationships/hyperlink" Target="https://www.metoffice.gov.uk/climate/uk/data/ukcp09/datasets" TargetMode="External"/><Relationship Id="rId36" Type="http://schemas.openxmlformats.org/officeDocument/2006/relationships/image" Target="media/image8.png"/><Relationship Id="rId10" Type="http://schemas.openxmlformats.org/officeDocument/2006/relationships/footer" Target="footer1.xml"/><Relationship Id="rId19" Type="http://schemas.openxmlformats.org/officeDocument/2006/relationships/hyperlink" Target="http://www.esri.com" TargetMode="External"/><Relationship Id="rId31" Type="http://schemas.openxmlformats.org/officeDocument/2006/relationships/hyperlink" Target="http://www.pollutantdeposition.ceh.ac.uk/"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ordnancesurvey.co.uk/xml/products/OSTerrain50Grid.xml" TargetMode="External"/><Relationship Id="rId22" Type="http://schemas.openxmlformats.org/officeDocument/2006/relationships/hyperlink" Target="http://www.esri.com" TargetMode="External"/><Relationship Id="rId27" Type="http://schemas.openxmlformats.org/officeDocument/2006/relationships/hyperlink" Target="https://www.metoffice.gov.uk/climate/uk/data/ukcp09/datasets" TargetMode="External"/><Relationship Id="rId30" Type="http://schemas.openxmlformats.org/officeDocument/2006/relationships/hyperlink" Target="https://www.bgs.ac.uk/products/onshore/soilPMM.html" TargetMode="External"/><Relationship Id="rId35" Type="http://schemas.openxmlformats.org/officeDocument/2006/relationships/image" Target="media/image7.pn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563A35-17EB-425E-BC69-355B7BBCCB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50</Pages>
  <Words>63341</Words>
  <Characters>361044</Characters>
  <Application>Microsoft Office Word</Application>
  <DocSecurity>4</DocSecurity>
  <Lines>3008</Lines>
  <Paragraphs>847</Paragraphs>
  <ScaleCrop>false</ScaleCrop>
  <HeadingPairs>
    <vt:vector size="2" baseType="variant">
      <vt:variant>
        <vt:lpstr>Title</vt:lpstr>
      </vt:variant>
      <vt:variant>
        <vt:i4>1</vt:i4>
      </vt:variant>
    </vt:vector>
  </HeadingPairs>
  <TitlesOfParts>
    <vt:vector size="1" baseType="lpstr">
      <vt:lpstr/>
    </vt:vector>
  </TitlesOfParts>
  <Company>University Of Southampton</Company>
  <LinksUpToDate>false</LinksUpToDate>
  <CharactersWithSpaces>423538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Spake R.</dc:creator>
  <cp:lastModifiedBy>Lapage K.P.</cp:lastModifiedBy>
  <cp:revision>2</cp:revision>
  <cp:lastPrinted>2018-11-13T09:52:00Z</cp:lastPrinted>
  <dcterms:created xsi:type="dcterms:W3CDTF">2019-02-21T14:33:00Z</dcterms:created>
  <dcterms:modified xsi:type="dcterms:W3CDTF">2019-02-21T14:33:00Z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http://www.zotero.org/styles/apa</vt:lpwstr>
  </property>
  <property fmtid="{D5CDD505-2E9C-101B-9397-08002B2CF9AE}" pid="3" name="Mendeley Recent Style Name 0_1">
    <vt:lpwstr>American Psychological Association 6th edition</vt:lpwstr>
  </property>
  <property fmtid="{D5CDD505-2E9C-101B-9397-08002B2CF9AE}" pid="4" name="Mendeley Recent Style Id 1_1">
    <vt:lpwstr>http://www.zotero.org/styles/chicago-author-date</vt:lpwstr>
  </property>
  <property fmtid="{D5CDD505-2E9C-101B-9397-08002B2CF9AE}" pid="5" name="Mendeley Recent Style Name 1_1">
    <vt:lpwstr>Chicago Manual of Style 17th edition (author-date)</vt:lpwstr>
  </property>
  <property fmtid="{D5CDD505-2E9C-101B-9397-08002B2CF9AE}" pid="6" name="Mendeley Recent Style Id 2_1">
    <vt:lpwstr>http://www.zotero.org/styles/harvard-cite-them-right</vt:lpwstr>
  </property>
  <property fmtid="{D5CDD505-2E9C-101B-9397-08002B2CF9AE}" pid="7" name="Mendeley Recent Style Name 2_1">
    <vt:lpwstr>Cite Them Right 10th edition - Harvard</vt:lpwstr>
  </property>
  <property fmtid="{D5CDD505-2E9C-101B-9397-08002B2CF9AE}" pid="8" name="Mendeley Recent Style Id 3_1">
    <vt:lpwstr>http://www.zotero.org/styles/global-ecology-and-biogeography</vt:lpwstr>
  </property>
  <property fmtid="{D5CDD505-2E9C-101B-9397-08002B2CF9AE}" pid="9" name="Mendeley Recent Style Name 3_1">
    <vt:lpwstr>Global Ecology and Biogeography</vt:lpwstr>
  </property>
  <property fmtid="{D5CDD505-2E9C-101B-9397-08002B2CF9AE}" pid="10" name="Mendeley Recent Style Id 4_1">
    <vt:lpwstr>http://www.zotero.org/styles/ieee</vt:lpwstr>
  </property>
  <property fmtid="{D5CDD505-2E9C-101B-9397-08002B2CF9AE}" pid="11" name="Mendeley Recent Style Name 4_1">
    <vt:lpwstr>IEEE</vt:lpwstr>
  </property>
  <property fmtid="{D5CDD505-2E9C-101B-9397-08002B2CF9AE}" pid="12" name="Mendeley Recent Style Id 5_1">
    <vt:lpwstr>http://www.zotero.org/styles/methods-in-ecology-and-evolution</vt:lpwstr>
  </property>
  <property fmtid="{D5CDD505-2E9C-101B-9397-08002B2CF9AE}" pid="13" name="Mendeley Recent Style Name 5_1">
    <vt:lpwstr>Methods in Ecology and Evolution</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7th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http://www.zotero.org/styles/science-without-titles</vt:lpwstr>
  </property>
  <property fmtid="{D5CDD505-2E9C-101B-9397-08002B2CF9AE}" pid="21" name="Mendeley Recent Style Name 9_1">
    <vt:lpwstr>Science (without titles)</vt:lpwstr>
  </property>
  <property fmtid="{D5CDD505-2E9C-101B-9397-08002B2CF9AE}" pid="22" name="Mendeley Document_1">
    <vt:lpwstr>True</vt:lpwstr>
  </property>
  <property fmtid="{D5CDD505-2E9C-101B-9397-08002B2CF9AE}" pid="23" name="Mendeley Unique User Id_1">
    <vt:lpwstr>34c0e69b-0968-3ee7-84b2-17c7bd385a48</vt:lpwstr>
  </property>
  <property fmtid="{D5CDD505-2E9C-101B-9397-08002B2CF9AE}" pid="24" name="Mendeley Citation Style_1">
    <vt:lpwstr>http://www.zotero.org/styles/nature</vt:lpwstr>
  </property>
</Properties>
</file>