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55588" w14:textId="25B1D961" w:rsidR="00221596" w:rsidRPr="00221596" w:rsidRDefault="00221596" w:rsidP="00C01274">
      <w:pPr>
        <w:rPr>
          <w:rFonts w:ascii="Cambria" w:hAnsi="Cambria"/>
          <w:b/>
        </w:rPr>
      </w:pPr>
      <w:bookmarkStart w:id="0" w:name="_GoBack"/>
      <w:bookmarkEnd w:id="0"/>
      <w:r w:rsidRPr="00221596">
        <w:rPr>
          <w:rFonts w:ascii="Cambria" w:hAnsi="Cambria"/>
          <w:b/>
        </w:rPr>
        <w:t>Published January 2019</w:t>
      </w:r>
      <w:r w:rsidR="00F33AB4">
        <w:rPr>
          <w:rFonts w:ascii="Cambria" w:hAnsi="Cambria"/>
          <w:b/>
        </w:rPr>
        <w:t xml:space="preserve"> in </w:t>
      </w:r>
      <w:r w:rsidR="00F33AB4">
        <w:rPr>
          <w:rFonts w:ascii="Cambria" w:hAnsi="Cambria"/>
          <w:b/>
          <w:i/>
        </w:rPr>
        <w:t>Impact</w:t>
      </w:r>
      <w:r w:rsidR="00F33AB4">
        <w:rPr>
          <w:rFonts w:ascii="Cambria" w:hAnsi="Cambria"/>
          <w:b/>
        </w:rPr>
        <w:t xml:space="preserve"> magazine</w:t>
      </w:r>
      <w:r w:rsidRPr="00221596">
        <w:rPr>
          <w:rFonts w:ascii="Cambria" w:hAnsi="Cambria"/>
          <w:b/>
        </w:rPr>
        <w:t xml:space="preserve">: </w:t>
      </w:r>
      <w:hyperlink r:id="rId7" w:history="1">
        <w:r w:rsidRPr="00221596">
          <w:rPr>
            <w:rStyle w:val="Hyperlink"/>
            <w:rFonts w:ascii="Cambria" w:hAnsi="Cambria"/>
            <w:b/>
          </w:rPr>
          <w:t>https://impact.chartered.college/article/prosocial-digital-games-inclusion-primary-classroom/</w:t>
        </w:r>
      </w:hyperlink>
      <w:r w:rsidRPr="00221596">
        <w:rPr>
          <w:rFonts w:ascii="Cambria" w:hAnsi="Cambria"/>
          <w:b/>
        </w:rPr>
        <w:t xml:space="preserve"> </w:t>
      </w:r>
    </w:p>
    <w:p w14:paraId="14963EE7" w14:textId="77777777" w:rsidR="00221596" w:rsidRPr="00221596" w:rsidRDefault="00221596" w:rsidP="00C01274">
      <w:pPr>
        <w:rPr>
          <w:rFonts w:ascii="Cambria" w:hAnsi="Cambria"/>
          <w:b/>
        </w:rPr>
      </w:pPr>
    </w:p>
    <w:p w14:paraId="4EC9E302" w14:textId="77777777" w:rsidR="00C01274" w:rsidRPr="00221596" w:rsidRDefault="00C01274" w:rsidP="00C01274">
      <w:pPr>
        <w:rPr>
          <w:rFonts w:ascii="Cambria" w:hAnsi="Cambria" w:cs="HelveticaNeue-Light"/>
          <w:b/>
          <w:color w:val="1F497D"/>
        </w:rPr>
      </w:pPr>
      <w:r w:rsidRPr="00221596">
        <w:rPr>
          <w:rFonts w:ascii="Cambria" w:hAnsi="Cambria"/>
          <w:b/>
        </w:rPr>
        <w:t>Prosocial digital games for inclusion in the primary classroom</w:t>
      </w:r>
    </w:p>
    <w:p w14:paraId="3216AA61" w14:textId="77777777" w:rsidR="00A71388" w:rsidRPr="00221596" w:rsidRDefault="00A71388" w:rsidP="00C01274">
      <w:pPr>
        <w:rPr>
          <w:rFonts w:ascii="Cambria" w:hAnsi="Cambria" w:cs="HelveticaNeue-Light"/>
          <w:color w:val="1F497D"/>
        </w:rPr>
      </w:pPr>
    </w:p>
    <w:p w14:paraId="2A931F3C" w14:textId="77777777" w:rsidR="00C01274" w:rsidRPr="00221596" w:rsidRDefault="00A71388" w:rsidP="00C01274">
      <w:pPr>
        <w:rPr>
          <w:rFonts w:ascii="Cambria" w:hAnsi="Cambria" w:cs="HelveticaNeue-Light"/>
        </w:rPr>
      </w:pPr>
      <w:r w:rsidRPr="00221596">
        <w:rPr>
          <w:rFonts w:ascii="Cambria" w:hAnsi="Cambria" w:cs="HelveticaNeue-Light"/>
        </w:rPr>
        <w:t>Professor Sarah Parsons &amp; Dr Efstathia Karakosta</w:t>
      </w:r>
    </w:p>
    <w:p w14:paraId="69220C06" w14:textId="1499DCCA" w:rsidR="00A71388" w:rsidRPr="00221596" w:rsidRDefault="00A71388" w:rsidP="00C01274">
      <w:pPr>
        <w:rPr>
          <w:rFonts w:ascii="Cambria" w:hAnsi="Cambria" w:cs="HelveticaNeue-Light"/>
        </w:rPr>
      </w:pPr>
      <w:r w:rsidRPr="00221596">
        <w:rPr>
          <w:rFonts w:ascii="Cambria" w:hAnsi="Cambria" w:cs="HelveticaNeue-Light"/>
        </w:rPr>
        <w:t>Centre for Research in Inclusion, Southampton Education School, University of Southampton</w:t>
      </w:r>
    </w:p>
    <w:p w14:paraId="30536A15" w14:textId="77777777" w:rsidR="00A940C4" w:rsidRPr="00221596" w:rsidRDefault="00A940C4" w:rsidP="00C01274">
      <w:pPr>
        <w:rPr>
          <w:rFonts w:ascii="Cambria" w:hAnsi="Cambria" w:cs="HelveticaNeue-Light"/>
          <w:color w:val="1F497D"/>
        </w:rPr>
      </w:pPr>
    </w:p>
    <w:p w14:paraId="5A342A1B" w14:textId="0B197FF9" w:rsidR="00A71388" w:rsidRPr="00221596" w:rsidRDefault="00AB303A" w:rsidP="00C01274">
      <w:pPr>
        <w:rPr>
          <w:rFonts w:ascii="Cambria" w:hAnsi="Cambria" w:cs="HelveticaNeue-Light"/>
        </w:rPr>
      </w:pPr>
      <w:r w:rsidRPr="00221596">
        <w:rPr>
          <w:rFonts w:ascii="Cambria" w:hAnsi="Cambria" w:cs="HelveticaNeue-Light"/>
        </w:rPr>
        <w:t>Key words:</w:t>
      </w:r>
      <w:r w:rsidR="00A940C4" w:rsidRPr="00221596">
        <w:rPr>
          <w:rFonts w:ascii="Cambria" w:hAnsi="Cambria" w:cs="HelveticaNeue-Light"/>
        </w:rPr>
        <w:t xml:space="preserve"> Digital games; prosocial skills; Key Stage 2</w:t>
      </w:r>
    </w:p>
    <w:p w14:paraId="6DB7E2AF" w14:textId="77777777" w:rsidR="00AB303A" w:rsidRPr="00221596" w:rsidRDefault="00AB303A" w:rsidP="00C01274">
      <w:pPr>
        <w:rPr>
          <w:rFonts w:ascii="Cambria" w:hAnsi="Cambria" w:cs="HelveticaNeue-Light"/>
          <w:color w:val="1F497D"/>
        </w:rPr>
      </w:pPr>
    </w:p>
    <w:p w14:paraId="42804158" w14:textId="77777777" w:rsidR="00AB303A" w:rsidRPr="00221596" w:rsidRDefault="00AB303A" w:rsidP="00C01274">
      <w:pPr>
        <w:rPr>
          <w:rFonts w:ascii="Cambria" w:hAnsi="Cambria" w:cs="HelveticaNeue-Light"/>
          <w:color w:val="1F497D"/>
        </w:rPr>
      </w:pPr>
    </w:p>
    <w:p w14:paraId="1E40252D" w14:textId="0B264322" w:rsidR="0093494D" w:rsidRPr="00221596" w:rsidRDefault="00DC06E3" w:rsidP="00240F75">
      <w:pPr>
        <w:spacing w:line="480" w:lineRule="auto"/>
        <w:rPr>
          <w:rFonts w:ascii="Cambria" w:hAnsi="Cambria"/>
        </w:rPr>
      </w:pPr>
      <w:r w:rsidRPr="00221596">
        <w:rPr>
          <w:rFonts w:ascii="Cambria" w:hAnsi="Cambria"/>
        </w:rPr>
        <w:t>Much of the discussion of digital games tends to focus on</w:t>
      </w:r>
      <w:r w:rsidR="00227417" w:rsidRPr="00221596">
        <w:rPr>
          <w:rFonts w:ascii="Cambria" w:hAnsi="Cambria"/>
        </w:rPr>
        <w:t xml:space="preserve"> the</w:t>
      </w:r>
      <w:r w:rsidRPr="00221596">
        <w:rPr>
          <w:rFonts w:ascii="Cambria" w:hAnsi="Cambria"/>
        </w:rPr>
        <w:t xml:space="preserve"> possible negative aspects, including that children and young people are spending too much time playing games</w:t>
      </w:r>
      <w:r w:rsidR="00227417" w:rsidRPr="00221596">
        <w:rPr>
          <w:rFonts w:ascii="Cambria" w:hAnsi="Cambria"/>
        </w:rPr>
        <w:t xml:space="preserve"> </w:t>
      </w:r>
      <w:r w:rsidRPr="00221596">
        <w:rPr>
          <w:rFonts w:ascii="Cambria" w:hAnsi="Cambria"/>
        </w:rPr>
        <w:t>and that violent video games lead to violent behaviours in real life. Actually, the evidence about the latter</w:t>
      </w:r>
      <w:r w:rsidR="00AC5DCE" w:rsidRPr="00221596">
        <w:rPr>
          <w:rFonts w:ascii="Cambria" w:hAnsi="Cambria"/>
        </w:rPr>
        <w:t xml:space="preserve"> is mixed </w:t>
      </w:r>
      <w:r w:rsidR="00240F75" w:rsidRPr="00221596">
        <w:rPr>
          <w:rFonts w:ascii="Cambria" w:hAnsi="Cambria"/>
        </w:rPr>
        <w:t>with research often showing short-term effects on behaviour rather than longer-term impacts (Warburton, 2018). At the same time, t</w:t>
      </w:r>
      <w:r w:rsidRPr="00221596">
        <w:rPr>
          <w:rFonts w:ascii="Cambria" w:hAnsi="Cambria"/>
        </w:rPr>
        <w:t>here is good evidence that game</w:t>
      </w:r>
      <w:r w:rsidR="00227417" w:rsidRPr="00221596">
        <w:rPr>
          <w:rFonts w:ascii="Cambria" w:hAnsi="Cambria"/>
        </w:rPr>
        <w:t>s</w:t>
      </w:r>
      <w:r w:rsidRPr="00221596">
        <w:rPr>
          <w:rFonts w:ascii="Cambria" w:hAnsi="Cambria"/>
        </w:rPr>
        <w:t>-based approaches to learning, and the opportunities to play prosocial digital games</w:t>
      </w:r>
      <w:r w:rsidR="00EB2E04" w:rsidRPr="00221596">
        <w:rPr>
          <w:rFonts w:ascii="Cambria" w:hAnsi="Cambria"/>
        </w:rPr>
        <w:t xml:space="preserve"> specifically</w:t>
      </w:r>
      <w:r w:rsidRPr="00221596">
        <w:rPr>
          <w:rFonts w:ascii="Cambria" w:hAnsi="Cambria"/>
        </w:rPr>
        <w:t>, can lead to improved social ski</w:t>
      </w:r>
      <w:r w:rsidR="00227417" w:rsidRPr="00221596">
        <w:rPr>
          <w:rFonts w:ascii="Cambria" w:hAnsi="Cambria"/>
        </w:rPr>
        <w:t xml:space="preserve">lls, understanding, behaviours </w:t>
      </w:r>
      <w:r w:rsidRPr="00221596">
        <w:rPr>
          <w:rFonts w:ascii="Cambria" w:hAnsi="Cambria"/>
        </w:rPr>
        <w:t>and academic outcomes</w:t>
      </w:r>
      <w:r w:rsidR="009210AD" w:rsidRPr="00221596">
        <w:rPr>
          <w:rFonts w:ascii="Cambria" w:hAnsi="Cambria"/>
        </w:rPr>
        <w:t xml:space="preserve"> over the longer-term</w:t>
      </w:r>
      <w:r w:rsidRPr="00221596">
        <w:rPr>
          <w:rFonts w:ascii="Cambria" w:hAnsi="Cambria"/>
        </w:rPr>
        <w:t xml:space="preserve"> (Jones, Greenberg &amp; Crowley, 2015; Stewart et al., 2013). </w:t>
      </w:r>
      <w:r w:rsidR="009210AD" w:rsidRPr="00221596">
        <w:rPr>
          <w:rFonts w:ascii="Cambria" w:hAnsi="Cambria"/>
        </w:rPr>
        <w:t>Prosocial skills can be</w:t>
      </w:r>
      <w:r w:rsidR="0032181B" w:rsidRPr="00221596">
        <w:rPr>
          <w:rFonts w:ascii="Cambria" w:hAnsi="Cambria"/>
        </w:rPr>
        <w:t xml:space="preserve"> described as voluntary, positive behaviours towards others such as h</w:t>
      </w:r>
      <w:r w:rsidR="00A67141" w:rsidRPr="00221596">
        <w:rPr>
          <w:rFonts w:ascii="Cambria" w:hAnsi="Cambria"/>
        </w:rPr>
        <w:t>elping, co-operating, turn-</w:t>
      </w:r>
      <w:r w:rsidR="00227417" w:rsidRPr="00221596">
        <w:rPr>
          <w:rFonts w:ascii="Cambria" w:hAnsi="Cambria"/>
        </w:rPr>
        <w:t xml:space="preserve">taking, empathising </w:t>
      </w:r>
      <w:r w:rsidR="0032181B" w:rsidRPr="00221596">
        <w:rPr>
          <w:rFonts w:ascii="Cambria" w:hAnsi="Cambria"/>
        </w:rPr>
        <w:t>and trusting (Padilla-Walker, 2016).</w:t>
      </w:r>
      <w:r w:rsidR="009210AD" w:rsidRPr="00221596">
        <w:rPr>
          <w:rFonts w:ascii="Cambria" w:hAnsi="Cambria"/>
        </w:rPr>
        <w:t xml:space="preserve"> </w:t>
      </w:r>
    </w:p>
    <w:p w14:paraId="14436C1F" w14:textId="4339C6A4" w:rsidR="00B85B94" w:rsidRPr="00221596" w:rsidRDefault="009210AD" w:rsidP="00240F75">
      <w:pPr>
        <w:spacing w:line="480" w:lineRule="auto"/>
        <w:rPr>
          <w:rFonts w:ascii="Cambria" w:hAnsi="Cambria"/>
        </w:rPr>
      </w:pPr>
      <w:r w:rsidRPr="00221596">
        <w:rPr>
          <w:rFonts w:ascii="Cambria" w:hAnsi="Cambria"/>
        </w:rPr>
        <w:t>The importance of children’s development of prosocial com</w:t>
      </w:r>
      <w:r w:rsidR="00A67141" w:rsidRPr="00221596">
        <w:rPr>
          <w:rFonts w:ascii="Cambria" w:hAnsi="Cambria"/>
        </w:rPr>
        <w:t xml:space="preserve">petence for health, well-being </w:t>
      </w:r>
      <w:r w:rsidRPr="00221596">
        <w:rPr>
          <w:rFonts w:ascii="Cambria" w:hAnsi="Cambria"/>
        </w:rPr>
        <w:t>and good academ</w:t>
      </w:r>
      <w:r w:rsidR="007A68A6" w:rsidRPr="00221596">
        <w:rPr>
          <w:rFonts w:ascii="Cambria" w:hAnsi="Cambria"/>
        </w:rPr>
        <w:t>ic outcomes is well established, to the extent that Public Health England (2015)</w:t>
      </w:r>
      <w:r w:rsidR="00A22D2C" w:rsidRPr="00221596">
        <w:rPr>
          <w:rFonts w:ascii="Cambria" w:hAnsi="Cambria"/>
        </w:rPr>
        <w:t xml:space="preserve"> has recommended that fa</w:t>
      </w:r>
      <w:r w:rsidR="00195F62" w:rsidRPr="00221596">
        <w:rPr>
          <w:rFonts w:ascii="Cambria" w:hAnsi="Cambria"/>
        </w:rPr>
        <w:t xml:space="preserve">cilitating the development of prosocial skills </w:t>
      </w:r>
      <w:r w:rsidR="00A22D2C" w:rsidRPr="00221596">
        <w:rPr>
          <w:rFonts w:ascii="Cambria" w:hAnsi="Cambria"/>
        </w:rPr>
        <w:t>should be an inclusive st</w:t>
      </w:r>
      <w:r w:rsidR="00C419B0" w:rsidRPr="00221596">
        <w:rPr>
          <w:rFonts w:ascii="Cambria" w:hAnsi="Cambria"/>
        </w:rPr>
        <w:t>rategy that targets</w:t>
      </w:r>
      <w:r w:rsidR="00924AF9" w:rsidRPr="00221596">
        <w:rPr>
          <w:rFonts w:ascii="Cambria" w:hAnsi="Cambria"/>
        </w:rPr>
        <w:t xml:space="preserve"> all learners</w:t>
      </w:r>
      <w:r w:rsidR="00A22D2C" w:rsidRPr="00221596">
        <w:rPr>
          <w:rFonts w:ascii="Cambria" w:hAnsi="Cambria"/>
        </w:rPr>
        <w:t>.</w:t>
      </w:r>
      <w:r w:rsidR="00731441" w:rsidRPr="00221596">
        <w:rPr>
          <w:rFonts w:ascii="Cambria" w:hAnsi="Cambria"/>
        </w:rPr>
        <w:t xml:space="preserve"> Similarly,</w:t>
      </w:r>
      <w:r w:rsidR="00777FC9" w:rsidRPr="00221596">
        <w:rPr>
          <w:rFonts w:ascii="Cambria" w:hAnsi="Cambria"/>
        </w:rPr>
        <w:t xml:space="preserve"> </w:t>
      </w:r>
      <w:r w:rsidR="0093494D" w:rsidRPr="00221596">
        <w:rPr>
          <w:rFonts w:ascii="Cambria" w:hAnsi="Cambria"/>
        </w:rPr>
        <w:t>prosocial digital games have been identified as potentially powerful tools for inclusive pedagogy in part because they do not</w:t>
      </w:r>
      <w:r w:rsidR="00EB2E04" w:rsidRPr="00221596">
        <w:rPr>
          <w:rFonts w:ascii="Cambria" w:hAnsi="Cambria"/>
        </w:rPr>
        <w:t xml:space="preserve"> ‘…depend exclusively on formal literacy and numeracy to teach skills and convey social messages’ </w:t>
      </w:r>
      <w:r w:rsidR="0093494D" w:rsidRPr="00221596">
        <w:rPr>
          <w:rFonts w:ascii="Cambria" w:hAnsi="Cambria"/>
        </w:rPr>
        <w:t>(Harr</w:t>
      </w:r>
      <w:r w:rsidR="009E07E9" w:rsidRPr="00221596">
        <w:rPr>
          <w:rFonts w:ascii="Cambria" w:hAnsi="Cambria"/>
        </w:rPr>
        <w:t xml:space="preserve">ington &amp; </w:t>
      </w:r>
      <w:r w:rsidR="0093494D" w:rsidRPr="00221596">
        <w:rPr>
          <w:rFonts w:ascii="Cambria" w:hAnsi="Cambria"/>
        </w:rPr>
        <w:t>O’Connell, 2016</w:t>
      </w:r>
      <w:r w:rsidR="00EB2E04" w:rsidRPr="00221596">
        <w:rPr>
          <w:rFonts w:ascii="Cambria" w:hAnsi="Cambria"/>
        </w:rPr>
        <w:t>; p.657</w:t>
      </w:r>
      <w:r w:rsidR="0093494D" w:rsidRPr="00221596">
        <w:rPr>
          <w:rFonts w:ascii="Cambria" w:hAnsi="Cambria"/>
        </w:rPr>
        <w:t>).</w:t>
      </w:r>
      <w:r w:rsidR="00EB2E04" w:rsidRPr="00221596">
        <w:rPr>
          <w:rFonts w:ascii="Cambria" w:hAnsi="Cambria"/>
        </w:rPr>
        <w:t xml:space="preserve"> </w:t>
      </w:r>
      <w:r w:rsidR="00496DDC" w:rsidRPr="00221596">
        <w:rPr>
          <w:rFonts w:ascii="Cambria" w:hAnsi="Cambria"/>
        </w:rPr>
        <w:t>Stu</w:t>
      </w:r>
      <w:r w:rsidR="00E72D0C" w:rsidRPr="00221596">
        <w:rPr>
          <w:rFonts w:ascii="Cambria" w:hAnsi="Cambria"/>
        </w:rPr>
        <w:t xml:space="preserve">dies into the early teaching </w:t>
      </w:r>
      <w:r w:rsidR="00CF6203" w:rsidRPr="00221596">
        <w:rPr>
          <w:rFonts w:ascii="Cambria" w:hAnsi="Cambria"/>
        </w:rPr>
        <w:t>of prosocial</w:t>
      </w:r>
      <w:r w:rsidR="00A67141" w:rsidRPr="00221596">
        <w:rPr>
          <w:rFonts w:ascii="Cambria" w:hAnsi="Cambria"/>
        </w:rPr>
        <w:t xml:space="preserve"> skills</w:t>
      </w:r>
      <w:r w:rsidR="00CF6203" w:rsidRPr="00221596">
        <w:rPr>
          <w:rFonts w:ascii="Cambria" w:hAnsi="Cambria"/>
        </w:rPr>
        <w:t xml:space="preserve"> </w:t>
      </w:r>
      <w:r w:rsidR="00E72D0C" w:rsidRPr="00221596">
        <w:rPr>
          <w:rFonts w:ascii="Cambria" w:hAnsi="Cambria"/>
        </w:rPr>
        <w:t xml:space="preserve">have </w:t>
      </w:r>
      <w:r w:rsidR="00E72D0C" w:rsidRPr="00221596">
        <w:rPr>
          <w:rFonts w:ascii="Cambria" w:hAnsi="Cambria"/>
        </w:rPr>
        <w:lastRenderedPageBreak/>
        <w:t>yielded positive findings, such as</w:t>
      </w:r>
      <w:r w:rsidR="00CF6203" w:rsidRPr="00221596">
        <w:rPr>
          <w:rFonts w:ascii="Cambria" w:hAnsi="Cambria"/>
        </w:rPr>
        <w:t xml:space="preserve"> </w:t>
      </w:r>
      <w:r w:rsidR="00496DDC" w:rsidRPr="00221596">
        <w:rPr>
          <w:rFonts w:ascii="Cambria" w:hAnsi="Cambria"/>
        </w:rPr>
        <w:t xml:space="preserve">nurture groups for young children with social, emotional, behavioural, and learning difficulties </w:t>
      </w:r>
      <w:r w:rsidR="00E72D0C" w:rsidRPr="00221596">
        <w:rPr>
          <w:rFonts w:ascii="Cambria" w:hAnsi="Cambria"/>
        </w:rPr>
        <w:t>(</w:t>
      </w:r>
      <w:r w:rsidR="00496DDC" w:rsidRPr="00221596">
        <w:rPr>
          <w:rFonts w:ascii="Cambria" w:hAnsi="Cambria"/>
        </w:rPr>
        <w:t>Cooper &amp; Whitebread, 2007</w:t>
      </w:r>
      <w:r w:rsidR="00E72D0C" w:rsidRPr="00221596">
        <w:rPr>
          <w:rFonts w:ascii="Cambria" w:hAnsi="Cambria"/>
        </w:rPr>
        <w:t>), and</w:t>
      </w:r>
      <w:r w:rsidR="00496DDC" w:rsidRPr="00221596">
        <w:rPr>
          <w:rFonts w:ascii="Cambria" w:hAnsi="Cambria"/>
        </w:rPr>
        <w:t xml:space="preserve"> </w:t>
      </w:r>
      <w:r w:rsidR="00E72D0C" w:rsidRPr="00221596">
        <w:rPr>
          <w:rFonts w:ascii="Cambria" w:hAnsi="Cambria"/>
        </w:rPr>
        <w:t>‘Circle of Friends’</w:t>
      </w:r>
      <w:r w:rsidR="00496DDC" w:rsidRPr="00221596">
        <w:rPr>
          <w:rFonts w:ascii="Cambria" w:hAnsi="Cambria"/>
        </w:rPr>
        <w:t xml:space="preserve"> for children with special educatio</w:t>
      </w:r>
      <w:r w:rsidR="00E72D0C" w:rsidRPr="00221596">
        <w:rPr>
          <w:rFonts w:ascii="Cambria" w:hAnsi="Cambria"/>
        </w:rPr>
        <w:t>nal needs or disabilities (</w:t>
      </w:r>
      <w:r w:rsidR="00496DDC" w:rsidRPr="00221596">
        <w:rPr>
          <w:rFonts w:ascii="Cambria" w:hAnsi="Cambria"/>
        </w:rPr>
        <w:t>Frederickson &amp; Turner, 2003)</w:t>
      </w:r>
      <w:r w:rsidR="00E72D0C" w:rsidRPr="00221596">
        <w:rPr>
          <w:rFonts w:ascii="Cambria" w:hAnsi="Cambria"/>
        </w:rPr>
        <w:t>. Therefore,</w:t>
      </w:r>
      <w:r w:rsidR="00496DDC" w:rsidRPr="00221596">
        <w:rPr>
          <w:rFonts w:ascii="Cambria" w:hAnsi="Cambria"/>
        </w:rPr>
        <w:t xml:space="preserve"> </w:t>
      </w:r>
      <w:r w:rsidR="00CF6203" w:rsidRPr="00221596">
        <w:rPr>
          <w:rFonts w:ascii="Cambria" w:hAnsi="Cambria"/>
        </w:rPr>
        <w:t>it is worth considering the role that prosocial digital games could play in this context too.</w:t>
      </w:r>
      <w:r w:rsidR="00924AF9" w:rsidRPr="00221596">
        <w:rPr>
          <w:rFonts w:ascii="Cambria" w:hAnsi="Cambria"/>
        </w:rPr>
        <w:t xml:space="preserve"> </w:t>
      </w:r>
    </w:p>
    <w:p w14:paraId="0F3F95D2" w14:textId="476F738D" w:rsidR="00B570DE" w:rsidRPr="00221596" w:rsidRDefault="00142045" w:rsidP="00240F75">
      <w:pPr>
        <w:spacing w:line="480" w:lineRule="auto"/>
        <w:rPr>
          <w:rFonts w:ascii="Cambria" w:hAnsi="Cambria"/>
        </w:rPr>
      </w:pPr>
      <w:r w:rsidRPr="00221596">
        <w:rPr>
          <w:rFonts w:ascii="Cambria" w:hAnsi="Cambria"/>
        </w:rPr>
        <w:t>With this aim in mind, t</w:t>
      </w:r>
      <w:r w:rsidR="00E64346" w:rsidRPr="00221596">
        <w:rPr>
          <w:rFonts w:ascii="Cambria" w:hAnsi="Cambria"/>
        </w:rPr>
        <w:t xml:space="preserve">he </w:t>
      </w:r>
      <w:r w:rsidR="00E64346" w:rsidRPr="00221596">
        <w:rPr>
          <w:rFonts w:ascii="Cambria" w:hAnsi="Cambria"/>
          <w:i/>
        </w:rPr>
        <w:t>ProsocialLearn</w:t>
      </w:r>
      <w:r w:rsidR="00E64346" w:rsidRPr="00221596">
        <w:rPr>
          <w:rFonts w:ascii="Cambria" w:hAnsi="Cambria"/>
        </w:rPr>
        <w:t xml:space="preserve"> project</w:t>
      </w:r>
      <w:r w:rsidR="002F6973" w:rsidRPr="00221596">
        <w:rPr>
          <w:rFonts w:ascii="Cambria" w:hAnsi="Cambria"/>
        </w:rPr>
        <w:t>, funded by the European Commission’s Horizon2020 programme,</w:t>
      </w:r>
      <w:r w:rsidR="0068448B" w:rsidRPr="00221596">
        <w:rPr>
          <w:rFonts w:ascii="Cambria" w:hAnsi="Cambria"/>
        </w:rPr>
        <w:t xml:space="preserve"> </w:t>
      </w:r>
      <w:r w:rsidR="00E64346" w:rsidRPr="00221596">
        <w:rPr>
          <w:rFonts w:ascii="Cambria" w:hAnsi="Cambria"/>
        </w:rPr>
        <w:t>create</w:t>
      </w:r>
      <w:r w:rsidR="0068448B" w:rsidRPr="00221596">
        <w:rPr>
          <w:rFonts w:ascii="Cambria" w:hAnsi="Cambria"/>
        </w:rPr>
        <w:t>d</w:t>
      </w:r>
      <w:r w:rsidR="00A82CFE" w:rsidRPr="00221596">
        <w:rPr>
          <w:rFonts w:ascii="Cambria" w:hAnsi="Cambria"/>
        </w:rPr>
        <w:t xml:space="preserve"> a series of digital games for primary-aged</w:t>
      </w:r>
      <w:r w:rsidR="00E64346" w:rsidRPr="00221596">
        <w:rPr>
          <w:rFonts w:ascii="Cambria" w:hAnsi="Cambria"/>
        </w:rPr>
        <w:t xml:space="preserve"> children to support their learning and e</w:t>
      </w:r>
      <w:r w:rsidR="00A76460" w:rsidRPr="00221596">
        <w:rPr>
          <w:rFonts w:ascii="Cambria" w:hAnsi="Cambria"/>
        </w:rPr>
        <w:t xml:space="preserve">xperiences of prosocial skills. </w:t>
      </w:r>
      <w:r w:rsidR="00F07F65" w:rsidRPr="00221596">
        <w:rPr>
          <w:rFonts w:ascii="Cambria" w:hAnsi="Cambria"/>
        </w:rPr>
        <w:t>T</w:t>
      </w:r>
      <w:r w:rsidR="00A06C1B" w:rsidRPr="00221596">
        <w:rPr>
          <w:rFonts w:ascii="Cambria" w:hAnsi="Cambria"/>
        </w:rPr>
        <w:t xml:space="preserve">he games were intended to be available for all children and designed </w:t>
      </w:r>
      <w:r w:rsidR="00A76460" w:rsidRPr="00221596">
        <w:rPr>
          <w:rFonts w:ascii="Cambria" w:hAnsi="Cambria"/>
        </w:rPr>
        <w:t>to ensure they were easy to access and use</w:t>
      </w:r>
      <w:r w:rsidR="004750D5" w:rsidRPr="00221596">
        <w:rPr>
          <w:rFonts w:ascii="Cambria" w:hAnsi="Cambria"/>
        </w:rPr>
        <w:t xml:space="preserve">. Evaluations of the games </w:t>
      </w:r>
      <w:r w:rsidR="00A76460" w:rsidRPr="00221596">
        <w:rPr>
          <w:rFonts w:ascii="Cambria" w:hAnsi="Cambria"/>
        </w:rPr>
        <w:t>took place in real classrooms so that find</w:t>
      </w:r>
      <w:r w:rsidR="004750D5" w:rsidRPr="00221596">
        <w:rPr>
          <w:rFonts w:ascii="Cambria" w:hAnsi="Cambria"/>
        </w:rPr>
        <w:t xml:space="preserve">ings are </w:t>
      </w:r>
      <w:r w:rsidR="00A76460" w:rsidRPr="00221596">
        <w:rPr>
          <w:rFonts w:ascii="Cambria" w:hAnsi="Cambria"/>
        </w:rPr>
        <w:t>appropriate and relevant for schools and practitioners.</w:t>
      </w:r>
      <w:r w:rsidR="00C127AA" w:rsidRPr="00221596">
        <w:rPr>
          <w:rFonts w:ascii="Cambria" w:hAnsi="Cambria"/>
        </w:rPr>
        <w:t xml:space="preserve"> More information about the project can be found here: </w:t>
      </w:r>
      <w:hyperlink r:id="rId8" w:history="1">
        <w:r w:rsidR="00C127AA" w:rsidRPr="00221596">
          <w:rPr>
            <w:rStyle w:val="Hyperlink"/>
            <w:rFonts w:ascii="Cambria" w:hAnsi="Cambria"/>
          </w:rPr>
          <w:t>http://prosociallearn.eu/</w:t>
        </w:r>
      </w:hyperlink>
    </w:p>
    <w:p w14:paraId="15635B27" w14:textId="5230C66A" w:rsidR="00B570DE" w:rsidRPr="00221596" w:rsidRDefault="00C127AA" w:rsidP="00240F75">
      <w:pPr>
        <w:spacing w:line="480" w:lineRule="auto"/>
        <w:rPr>
          <w:rFonts w:ascii="Cambria" w:hAnsi="Cambria"/>
          <w:b/>
        </w:rPr>
      </w:pPr>
      <w:r w:rsidRPr="00221596">
        <w:rPr>
          <w:rFonts w:ascii="Cambria" w:hAnsi="Cambria"/>
          <w:b/>
        </w:rPr>
        <w:t>The schools and children involved</w:t>
      </w:r>
    </w:p>
    <w:p w14:paraId="43DF025C" w14:textId="7AB33BAB" w:rsidR="00DC06E3" w:rsidRPr="00221596" w:rsidRDefault="00EB2E04" w:rsidP="00196CEB">
      <w:pPr>
        <w:spacing w:line="480" w:lineRule="auto"/>
        <w:rPr>
          <w:rFonts w:ascii="Cambria" w:hAnsi="Cambria"/>
        </w:rPr>
      </w:pPr>
      <w:r w:rsidRPr="00221596">
        <w:rPr>
          <w:rFonts w:ascii="Cambria" w:hAnsi="Cambria"/>
        </w:rPr>
        <w:t xml:space="preserve"> </w:t>
      </w:r>
      <w:r w:rsidR="00DC06E3" w:rsidRPr="00221596">
        <w:rPr>
          <w:rFonts w:ascii="Cambria" w:hAnsi="Cambria"/>
        </w:rPr>
        <w:t>T</w:t>
      </w:r>
      <w:r w:rsidR="00924AF9" w:rsidRPr="00221596">
        <w:rPr>
          <w:rFonts w:ascii="Cambria" w:hAnsi="Cambria"/>
        </w:rPr>
        <w:t>he project evaluated</w:t>
      </w:r>
      <w:r w:rsidR="00B748EC" w:rsidRPr="00221596">
        <w:rPr>
          <w:rFonts w:ascii="Cambria" w:hAnsi="Cambria"/>
        </w:rPr>
        <w:t xml:space="preserve"> the</w:t>
      </w:r>
      <w:r w:rsidR="00DC06E3" w:rsidRPr="00221596">
        <w:rPr>
          <w:rFonts w:ascii="Cambria" w:hAnsi="Cambria"/>
        </w:rPr>
        <w:t xml:space="preserve"> new digital prosocial games</w:t>
      </w:r>
      <w:r w:rsidR="00C127AA" w:rsidRPr="00221596">
        <w:rPr>
          <w:rFonts w:ascii="Cambria" w:hAnsi="Cambria"/>
        </w:rPr>
        <w:t xml:space="preserve"> </w:t>
      </w:r>
      <w:r w:rsidR="00DC06E3" w:rsidRPr="00221596">
        <w:rPr>
          <w:rFonts w:ascii="Cambria" w:hAnsi="Cambria"/>
        </w:rPr>
        <w:t>in schools in the UK, Greece, Italy and Spain.  374 children aged 8 to 12 years were involved in a range of different evaluation a</w:t>
      </w:r>
      <w:r w:rsidR="00924AF9" w:rsidRPr="00221596">
        <w:rPr>
          <w:rFonts w:ascii="Cambria" w:hAnsi="Cambria"/>
        </w:rPr>
        <w:t xml:space="preserve">ctivities </w:t>
      </w:r>
      <w:r w:rsidR="009C7D4B" w:rsidRPr="00221596">
        <w:rPr>
          <w:rFonts w:ascii="Cambria" w:hAnsi="Cambria"/>
        </w:rPr>
        <w:t>at five different mainstream primary schools</w:t>
      </w:r>
      <w:r w:rsidR="008617A1" w:rsidRPr="00221596">
        <w:rPr>
          <w:rFonts w:ascii="Cambria" w:hAnsi="Cambria"/>
        </w:rPr>
        <w:t>, and 20 teachers or teaching assistants</w:t>
      </w:r>
      <w:r w:rsidR="00A82CFE" w:rsidRPr="00221596">
        <w:rPr>
          <w:rFonts w:ascii="Cambria" w:hAnsi="Cambria"/>
        </w:rPr>
        <w:t xml:space="preserve"> </w:t>
      </w:r>
      <w:r w:rsidR="008617A1" w:rsidRPr="00221596">
        <w:rPr>
          <w:rFonts w:ascii="Cambria" w:hAnsi="Cambria"/>
        </w:rPr>
        <w:t xml:space="preserve">provided feedback. </w:t>
      </w:r>
      <w:r w:rsidR="00DC06E3" w:rsidRPr="00221596">
        <w:rPr>
          <w:rFonts w:ascii="Cambria" w:hAnsi="Cambria"/>
        </w:rPr>
        <w:t>A carefully controlled evaluation design was implemented in the UK, Greece, and Italy, whereas Spanish teachers and children gave more general feedback on their use of the games.</w:t>
      </w:r>
      <w:r w:rsidR="00C127AA" w:rsidRPr="00221596">
        <w:rPr>
          <w:rFonts w:ascii="Cambria" w:hAnsi="Cambria"/>
        </w:rPr>
        <w:t xml:space="preserve"> In all cases, there was no targeting of specific groups of children, or exclusion of any participants; our approach was an inclusive one such that any child (whose parents provided</w:t>
      </w:r>
      <w:r w:rsidR="00A82CFE" w:rsidRPr="00221596">
        <w:rPr>
          <w:rFonts w:ascii="Cambria" w:hAnsi="Cambria"/>
        </w:rPr>
        <w:t xml:space="preserve"> consent</w:t>
      </w:r>
      <w:r w:rsidR="00C127AA" w:rsidRPr="00221596">
        <w:rPr>
          <w:rFonts w:ascii="Cambria" w:hAnsi="Cambria"/>
        </w:rPr>
        <w:t xml:space="preserve">) could take part. </w:t>
      </w:r>
    </w:p>
    <w:p w14:paraId="5D6A5D8F" w14:textId="77777777" w:rsidR="00DC06E3" w:rsidRPr="00221596" w:rsidRDefault="00DC06E3" w:rsidP="00196CEB">
      <w:pPr>
        <w:spacing w:line="480" w:lineRule="auto"/>
        <w:rPr>
          <w:rFonts w:ascii="Cambria" w:hAnsi="Cambria"/>
          <w:b/>
        </w:rPr>
      </w:pPr>
      <w:r w:rsidRPr="00221596">
        <w:rPr>
          <w:rFonts w:ascii="Cambria" w:hAnsi="Cambria"/>
          <w:b/>
        </w:rPr>
        <w:t>Design and measures</w:t>
      </w:r>
    </w:p>
    <w:p w14:paraId="0DE7463B" w14:textId="3A038FE0" w:rsidR="00685022" w:rsidRPr="00221596" w:rsidRDefault="00DC06E3" w:rsidP="00196CEB">
      <w:pPr>
        <w:spacing w:line="480" w:lineRule="auto"/>
        <w:rPr>
          <w:rFonts w:ascii="Cambria" w:hAnsi="Cambria"/>
        </w:rPr>
      </w:pPr>
      <w:r w:rsidRPr="00221596">
        <w:rPr>
          <w:rFonts w:ascii="Cambria" w:hAnsi="Cambria"/>
        </w:rPr>
        <w:t xml:space="preserve">Details of the exact study designs differed slightly between each country to take into account local </w:t>
      </w:r>
      <w:r w:rsidR="00FD0B12" w:rsidRPr="00221596">
        <w:rPr>
          <w:rFonts w:ascii="Cambria" w:hAnsi="Cambria"/>
        </w:rPr>
        <w:t>factors and needs</w:t>
      </w:r>
      <w:r w:rsidR="000E3BDF" w:rsidRPr="00221596">
        <w:rPr>
          <w:rFonts w:ascii="Cambria" w:hAnsi="Cambria"/>
        </w:rPr>
        <w:t>, such as timetabling and the ‘fit’ of the research design within term-time plans</w:t>
      </w:r>
      <w:r w:rsidR="00FD0B12" w:rsidRPr="00221596">
        <w:rPr>
          <w:rFonts w:ascii="Cambria" w:hAnsi="Cambria"/>
        </w:rPr>
        <w:t>. I</w:t>
      </w:r>
      <w:r w:rsidRPr="00221596">
        <w:rPr>
          <w:rFonts w:ascii="Cambria" w:hAnsi="Cambria"/>
        </w:rPr>
        <w:t>n Greece and Italy children were split into two group</w:t>
      </w:r>
      <w:r w:rsidR="009D1BD8" w:rsidRPr="00221596">
        <w:rPr>
          <w:rFonts w:ascii="Cambria" w:hAnsi="Cambria"/>
        </w:rPr>
        <w:t>s</w:t>
      </w:r>
      <w:r w:rsidRPr="00221596">
        <w:rPr>
          <w:rFonts w:ascii="Cambria" w:hAnsi="Cambria"/>
        </w:rPr>
        <w:t xml:space="preserve"> with one group continuing with ‘business as usual’ and the second group having some dedicated time to play the prosocial games over a period of 2-3 weeks. The groups then swapped around. In the UK this was slightly </w:t>
      </w:r>
      <w:r w:rsidRPr="00221596">
        <w:rPr>
          <w:rFonts w:ascii="Cambria" w:hAnsi="Cambria"/>
        </w:rPr>
        <w:lastRenderedPageBreak/>
        <w:t>different, with both groups playing the prosocial games, but one group playing for longer than the other (4 weeks, compared to 2 weeks).</w:t>
      </w:r>
      <w:r w:rsidR="000E3BDF" w:rsidRPr="00221596">
        <w:rPr>
          <w:rFonts w:ascii="Cambria" w:hAnsi="Cambria"/>
        </w:rPr>
        <w:t xml:space="preserve"> Despite these slight differences in project design, the same</w:t>
      </w:r>
      <w:r w:rsidRPr="00221596">
        <w:rPr>
          <w:rFonts w:ascii="Cambria" w:hAnsi="Cambria"/>
        </w:rPr>
        <w:t xml:space="preserve"> measures w</w:t>
      </w:r>
      <w:r w:rsidR="000E3BDF" w:rsidRPr="00221596">
        <w:rPr>
          <w:rFonts w:ascii="Cambria" w:hAnsi="Cambria"/>
        </w:rPr>
        <w:t>ere</w:t>
      </w:r>
      <w:r w:rsidRPr="00221596">
        <w:rPr>
          <w:rFonts w:ascii="Cambria" w:hAnsi="Cambria"/>
        </w:rPr>
        <w:t xml:space="preserve"> </w:t>
      </w:r>
      <w:r w:rsidR="00A26EC2" w:rsidRPr="00221596">
        <w:rPr>
          <w:rFonts w:ascii="Cambria" w:hAnsi="Cambria"/>
        </w:rPr>
        <w:t>used</w:t>
      </w:r>
      <w:r w:rsidR="0003607B" w:rsidRPr="00221596">
        <w:rPr>
          <w:rFonts w:ascii="Cambria" w:hAnsi="Cambria"/>
        </w:rPr>
        <w:t xml:space="preserve"> for</w:t>
      </w:r>
      <w:r w:rsidR="00A26EC2" w:rsidRPr="00221596">
        <w:rPr>
          <w:rFonts w:ascii="Cambria" w:hAnsi="Cambria"/>
        </w:rPr>
        <w:t>: (1) teachers to assess</w:t>
      </w:r>
      <w:r w:rsidRPr="00221596">
        <w:rPr>
          <w:rFonts w:ascii="Cambria" w:hAnsi="Cambria"/>
        </w:rPr>
        <w:t xml:space="preserve"> whether children’s prosocial skills changed during the evaluation, and</w:t>
      </w:r>
      <w:r w:rsidR="00A26EC2" w:rsidRPr="00221596">
        <w:rPr>
          <w:rFonts w:ascii="Cambria" w:hAnsi="Cambria"/>
        </w:rPr>
        <w:t xml:space="preserve"> (2)</w:t>
      </w:r>
      <w:r w:rsidR="0003607B" w:rsidRPr="00221596">
        <w:rPr>
          <w:rFonts w:ascii="Cambria" w:hAnsi="Cambria"/>
        </w:rPr>
        <w:t xml:space="preserve"> children to judge whether </w:t>
      </w:r>
      <w:r w:rsidRPr="00221596">
        <w:rPr>
          <w:rFonts w:ascii="Cambria" w:hAnsi="Cambria"/>
        </w:rPr>
        <w:t xml:space="preserve">their own and classmates’ prosocial skills had </w:t>
      </w:r>
      <w:r w:rsidR="009D1BD8" w:rsidRPr="00221596">
        <w:rPr>
          <w:rFonts w:ascii="Cambria" w:hAnsi="Cambria"/>
        </w:rPr>
        <w:t>changed</w:t>
      </w:r>
      <w:r w:rsidRPr="00221596">
        <w:rPr>
          <w:rFonts w:ascii="Cambria" w:hAnsi="Cambria"/>
        </w:rPr>
        <w:t xml:space="preserve">. </w:t>
      </w:r>
      <w:r w:rsidR="00FD0B12" w:rsidRPr="00221596">
        <w:rPr>
          <w:rFonts w:ascii="Cambria" w:hAnsi="Cambria"/>
        </w:rPr>
        <w:t>These measures included</w:t>
      </w:r>
      <w:r w:rsidR="00685022" w:rsidRPr="00221596">
        <w:rPr>
          <w:rFonts w:ascii="Cambria" w:hAnsi="Cambria"/>
        </w:rPr>
        <w:t>:</w:t>
      </w:r>
      <w:r w:rsidR="009926EB" w:rsidRPr="00221596">
        <w:rPr>
          <w:rFonts w:ascii="Cambria" w:hAnsi="Cambria"/>
        </w:rPr>
        <w:t xml:space="preserve"> </w:t>
      </w:r>
    </w:p>
    <w:p w14:paraId="4BBA43E2" w14:textId="3AF20822" w:rsidR="00685022" w:rsidRPr="00221596" w:rsidRDefault="009926EB" w:rsidP="00A67141">
      <w:pPr>
        <w:pStyle w:val="ListParagraph"/>
        <w:numPr>
          <w:ilvl w:val="0"/>
          <w:numId w:val="3"/>
        </w:numPr>
        <w:spacing w:line="480" w:lineRule="auto"/>
        <w:rPr>
          <w:rFonts w:ascii="Cambria" w:hAnsi="Cambria"/>
        </w:rPr>
      </w:pPr>
      <w:r w:rsidRPr="00221596">
        <w:rPr>
          <w:rFonts w:ascii="Cambria" w:hAnsi="Cambria"/>
        </w:rPr>
        <w:t>the</w:t>
      </w:r>
      <w:r w:rsidR="005C00FE" w:rsidRPr="00221596">
        <w:rPr>
          <w:rFonts w:ascii="Cambria" w:hAnsi="Cambria"/>
        </w:rPr>
        <w:t xml:space="preserve"> five</w:t>
      </w:r>
      <w:r w:rsidRPr="00221596">
        <w:rPr>
          <w:rFonts w:ascii="Cambria" w:hAnsi="Cambria"/>
        </w:rPr>
        <w:t>-item</w:t>
      </w:r>
      <w:r w:rsidRPr="00221596">
        <w:t xml:space="preserve"> </w:t>
      </w:r>
      <w:r w:rsidRPr="00221596">
        <w:rPr>
          <w:rFonts w:ascii="Cambria" w:hAnsi="Cambria"/>
        </w:rPr>
        <w:t>prosocial behaviour scale of</w:t>
      </w:r>
      <w:r w:rsidR="00FD0B12" w:rsidRPr="00221596">
        <w:rPr>
          <w:rFonts w:ascii="Cambria" w:hAnsi="Cambria"/>
        </w:rPr>
        <w:t xml:space="preserve"> </w:t>
      </w:r>
      <w:r w:rsidRPr="00221596">
        <w:rPr>
          <w:rFonts w:ascii="Cambria" w:hAnsi="Cambria"/>
          <w:lang w:val="en-US"/>
        </w:rPr>
        <w:t>the Strengths and Difficulties Questionnaire (SDQ) (Goodman, 1997</w:t>
      </w:r>
      <w:r w:rsidR="007C401A" w:rsidRPr="00221596">
        <w:rPr>
          <w:rFonts w:ascii="Cambria" w:hAnsi="Cambria"/>
          <w:lang w:val="en-US"/>
        </w:rPr>
        <w:t xml:space="preserve">; </w:t>
      </w:r>
      <w:r w:rsidR="005C00FE" w:rsidRPr="00221596">
        <w:rPr>
          <w:rFonts w:ascii="Cambria" w:hAnsi="Cambria"/>
          <w:lang w:val="en-US"/>
        </w:rPr>
        <w:t>e.g. ‘considerate of other people’s feelings’, ‘shares readily with other children’</w:t>
      </w:r>
      <w:r w:rsidR="007C401A" w:rsidRPr="00221596">
        <w:rPr>
          <w:rFonts w:ascii="Cambria" w:hAnsi="Cambria"/>
          <w:lang w:val="en-US"/>
        </w:rPr>
        <w:t>)</w:t>
      </w:r>
      <w:r w:rsidR="005C00FE" w:rsidRPr="00221596">
        <w:rPr>
          <w:rFonts w:ascii="Cambria" w:hAnsi="Cambria"/>
          <w:lang w:val="en-US"/>
        </w:rPr>
        <w:t xml:space="preserve">, </w:t>
      </w:r>
      <w:r w:rsidR="00F44FE7" w:rsidRPr="00221596">
        <w:rPr>
          <w:rFonts w:ascii="Cambria" w:hAnsi="Cambria"/>
          <w:lang w:val="en-US"/>
        </w:rPr>
        <w:t xml:space="preserve">which was </w:t>
      </w:r>
      <w:r w:rsidR="005C00FE" w:rsidRPr="00221596">
        <w:rPr>
          <w:rFonts w:ascii="Cambria" w:hAnsi="Cambria"/>
          <w:lang w:val="en-US"/>
        </w:rPr>
        <w:t>completed by teachers;</w:t>
      </w:r>
    </w:p>
    <w:p w14:paraId="5E3A3A0B" w14:textId="3B792813" w:rsidR="00685022" w:rsidRPr="00221596" w:rsidRDefault="009926EB" w:rsidP="00A67141">
      <w:pPr>
        <w:pStyle w:val="ListParagraph"/>
        <w:numPr>
          <w:ilvl w:val="0"/>
          <w:numId w:val="3"/>
        </w:numPr>
        <w:spacing w:line="480" w:lineRule="auto"/>
        <w:rPr>
          <w:rFonts w:ascii="Cambria" w:hAnsi="Cambria"/>
        </w:rPr>
      </w:pPr>
      <w:r w:rsidRPr="00221596">
        <w:rPr>
          <w:rFonts w:ascii="Cambria" w:hAnsi="Cambria"/>
          <w:lang w:val="en-US"/>
        </w:rPr>
        <w:t>a peer assessment form (Farmer &amp; Rodkin, 1996) where children were asked to</w:t>
      </w:r>
      <w:r w:rsidRPr="00221596">
        <w:t xml:space="preserve"> </w:t>
      </w:r>
      <w:r w:rsidRPr="00221596">
        <w:rPr>
          <w:rFonts w:ascii="Cambria" w:hAnsi="Cambria"/>
          <w:lang w:val="en-US"/>
        </w:rPr>
        <w:t xml:space="preserve">nominate on paper up to three peers who best fit descriptors for </w:t>
      </w:r>
      <w:r w:rsidR="005C00FE" w:rsidRPr="00221596">
        <w:rPr>
          <w:rFonts w:ascii="Cambria" w:hAnsi="Cambria"/>
          <w:lang w:val="en-US"/>
        </w:rPr>
        <w:t>eight</w:t>
      </w:r>
      <w:r w:rsidR="00293EDD" w:rsidRPr="00221596">
        <w:rPr>
          <w:rFonts w:ascii="Cambria" w:hAnsi="Cambria"/>
          <w:lang w:val="en-US"/>
        </w:rPr>
        <w:t xml:space="preserve"> items (e.g. ‘cooperative’, ‘popular’, ‘disruptive’, ‘leader’</w:t>
      </w:r>
      <w:r w:rsidRPr="00221596">
        <w:rPr>
          <w:rFonts w:ascii="Cambria" w:hAnsi="Cambria"/>
          <w:lang w:val="en-US"/>
        </w:rPr>
        <w:t xml:space="preserve">); and </w:t>
      </w:r>
    </w:p>
    <w:p w14:paraId="0BBAA5B4" w14:textId="5E0C98FE" w:rsidR="00FD0B12" w:rsidRPr="00221596" w:rsidRDefault="009926EB" w:rsidP="00A67141">
      <w:pPr>
        <w:pStyle w:val="ListParagraph"/>
        <w:numPr>
          <w:ilvl w:val="0"/>
          <w:numId w:val="3"/>
        </w:numPr>
        <w:spacing w:line="480" w:lineRule="auto"/>
        <w:rPr>
          <w:rFonts w:ascii="Cambria" w:hAnsi="Cambria"/>
        </w:rPr>
      </w:pPr>
      <w:r w:rsidRPr="00221596">
        <w:rPr>
          <w:rFonts w:ascii="Cambria" w:hAnsi="Cambria"/>
          <w:lang w:val="en-US"/>
        </w:rPr>
        <w:t xml:space="preserve">the </w:t>
      </w:r>
      <w:r w:rsidR="005C00FE" w:rsidRPr="00221596">
        <w:rPr>
          <w:rFonts w:ascii="Cambria" w:hAnsi="Cambria"/>
          <w:lang w:val="en-US"/>
        </w:rPr>
        <w:t xml:space="preserve">six-item </w:t>
      </w:r>
      <w:r w:rsidRPr="00221596">
        <w:rPr>
          <w:rFonts w:ascii="Cambria" w:hAnsi="Cambria"/>
          <w:lang w:val="en-US"/>
        </w:rPr>
        <w:t>social competence sub-scale of the Self-Perception Profile for Children (Harter,</w:t>
      </w:r>
      <w:r w:rsidR="007C401A" w:rsidRPr="00221596">
        <w:rPr>
          <w:rFonts w:ascii="Cambria" w:hAnsi="Cambria"/>
          <w:lang w:val="en-US"/>
        </w:rPr>
        <w:t xml:space="preserve"> 2012; </w:t>
      </w:r>
      <w:r w:rsidR="005C00FE" w:rsidRPr="00221596">
        <w:rPr>
          <w:rFonts w:ascii="Cambria" w:hAnsi="Cambria"/>
          <w:lang w:val="en-US"/>
        </w:rPr>
        <w:t xml:space="preserve">e.g. </w:t>
      </w:r>
      <w:r w:rsidR="00D21C39" w:rsidRPr="00221596">
        <w:rPr>
          <w:rFonts w:ascii="Cambria" w:hAnsi="Cambria"/>
          <w:lang w:val="en-US"/>
        </w:rPr>
        <w:t xml:space="preserve"> </w:t>
      </w:r>
      <w:r w:rsidR="005C00FE" w:rsidRPr="00221596">
        <w:rPr>
          <w:rFonts w:ascii="Cambria" w:hAnsi="Cambria"/>
          <w:lang w:val="en-US"/>
        </w:rPr>
        <w:t>‘some kids find it hard to make friends’, ‘some kids know how to ma</w:t>
      </w:r>
      <w:r w:rsidR="00E946EE" w:rsidRPr="00221596">
        <w:rPr>
          <w:rFonts w:ascii="Cambria" w:hAnsi="Cambria"/>
          <w:lang w:val="en-US"/>
        </w:rPr>
        <w:t>ke classmates like them’), where</w:t>
      </w:r>
      <w:r w:rsidR="005C00FE" w:rsidRPr="00221596">
        <w:rPr>
          <w:rFonts w:ascii="Cambria" w:hAnsi="Cambria"/>
          <w:lang w:val="en-US"/>
        </w:rPr>
        <w:t xml:space="preserve"> each child had to</w:t>
      </w:r>
      <w:r w:rsidR="007C401A" w:rsidRPr="00221596">
        <w:rPr>
          <w:rFonts w:ascii="Cambria" w:hAnsi="Cambria"/>
          <w:lang w:val="en-US"/>
        </w:rPr>
        <w:t xml:space="preserve"> decide on the statement that</w:t>
      </w:r>
      <w:r w:rsidR="00E946EE" w:rsidRPr="00221596">
        <w:rPr>
          <w:rFonts w:ascii="Cambria" w:hAnsi="Cambria"/>
          <w:lang w:val="en-US"/>
        </w:rPr>
        <w:t xml:space="preserve"> was</w:t>
      </w:r>
      <w:r w:rsidR="005C00FE" w:rsidRPr="00221596">
        <w:rPr>
          <w:rFonts w:ascii="Cambria" w:hAnsi="Cambria"/>
          <w:lang w:val="en-US"/>
        </w:rPr>
        <w:t xml:space="preserve"> most like him/her, and then rate each statement as to whether it was ‘not true’, ‘somewhat true’ or ‘certainly true’ about themselves. </w:t>
      </w:r>
    </w:p>
    <w:p w14:paraId="5494247E" w14:textId="1FE14762" w:rsidR="00DC06E3" w:rsidRPr="00221596" w:rsidRDefault="00DC06E3" w:rsidP="00196CEB">
      <w:pPr>
        <w:spacing w:line="480" w:lineRule="auto"/>
        <w:rPr>
          <w:rFonts w:ascii="Cambria" w:hAnsi="Cambria"/>
        </w:rPr>
      </w:pPr>
      <w:r w:rsidRPr="00221596">
        <w:rPr>
          <w:rFonts w:ascii="Cambria" w:hAnsi="Cambria"/>
        </w:rPr>
        <w:t>Teachers and children also gave feedback on the games, via interviews and short questionnaires respectively.  In Spain, children and teachers gave feedback on their use and experiences of playing the games via short questionnaires</w:t>
      </w:r>
      <w:r w:rsidR="00FD0B12" w:rsidRPr="00221596">
        <w:rPr>
          <w:rFonts w:ascii="Cambria" w:hAnsi="Cambria"/>
        </w:rPr>
        <w:t xml:space="preserve"> only</w:t>
      </w:r>
      <w:r w:rsidRPr="00221596">
        <w:rPr>
          <w:rFonts w:ascii="Cambria" w:hAnsi="Cambria"/>
        </w:rPr>
        <w:t>.</w:t>
      </w:r>
      <w:r w:rsidR="000E3BDF" w:rsidRPr="00221596">
        <w:rPr>
          <w:rFonts w:ascii="Cambria" w:hAnsi="Cambria"/>
        </w:rPr>
        <w:t xml:space="preserve"> This was a planned part of the project design, whereby we undertook more in-depth data collection in the UK, Italy and Greece due to having established research teams in those countries. In Spain, we deliberately took a more ‘hands off’ approach to see what schools would do with the games without us playing a direct role.</w:t>
      </w:r>
    </w:p>
    <w:p w14:paraId="5248E50B" w14:textId="77777777" w:rsidR="00DC06E3" w:rsidRPr="00221596" w:rsidRDefault="00DC06E3" w:rsidP="00196CEB">
      <w:pPr>
        <w:spacing w:line="480" w:lineRule="auto"/>
        <w:rPr>
          <w:rFonts w:ascii="Cambria" w:hAnsi="Cambria"/>
          <w:b/>
        </w:rPr>
      </w:pPr>
      <w:r w:rsidRPr="00221596">
        <w:rPr>
          <w:rFonts w:ascii="Cambria" w:hAnsi="Cambria"/>
          <w:b/>
        </w:rPr>
        <w:t>Example games</w:t>
      </w:r>
    </w:p>
    <w:p w14:paraId="40DED13E" w14:textId="1B6A9A9A" w:rsidR="003F3D3E" w:rsidRPr="00221596" w:rsidRDefault="00DC06E3" w:rsidP="003F3D3E">
      <w:pPr>
        <w:spacing w:line="480" w:lineRule="auto"/>
        <w:rPr>
          <w:rFonts w:ascii="Cambria" w:hAnsi="Cambria"/>
        </w:rPr>
      </w:pPr>
      <w:r w:rsidRPr="00221596">
        <w:rPr>
          <w:rFonts w:ascii="Cambria" w:hAnsi="Cambria"/>
        </w:rPr>
        <w:t>The</w:t>
      </w:r>
      <w:r w:rsidR="00F07F65" w:rsidRPr="00221596">
        <w:rPr>
          <w:rFonts w:ascii="Cambria" w:hAnsi="Cambria"/>
        </w:rPr>
        <w:t xml:space="preserve"> two main</w:t>
      </w:r>
      <w:r w:rsidRPr="00221596">
        <w:rPr>
          <w:rFonts w:ascii="Cambria" w:hAnsi="Cambria"/>
        </w:rPr>
        <w:t xml:space="preserve"> prosocial digita</w:t>
      </w:r>
      <w:r w:rsidR="006822B5" w:rsidRPr="00221596">
        <w:rPr>
          <w:rFonts w:ascii="Cambria" w:hAnsi="Cambria"/>
        </w:rPr>
        <w:t>l games</w:t>
      </w:r>
      <w:r w:rsidR="00F07F65" w:rsidRPr="00221596">
        <w:rPr>
          <w:rFonts w:ascii="Cambria" w:hAnsi="Cambria"/>
        </w:rPr>
        <w:t xml:space="preserve"> </w:t>
      </w:r>
      <w:r w:rsidR="006822B5" w:rsidRPr="00221596">
        <w:rPr>
          <w:rFonts w:ascii="Cambria" w:hAnsi="Cambria"/>
        </w:rPr>
        <w:t>used</w:t>
      </w:r>
      <w:r w:rsidRPr="00221596">
        <w:rPr>
          <w:rFonts w:ascii="Cambria" w:hAnsi="Cambria"/>
        </w:rPr>
        <w:t xml:space="preserve"> w</w:t>
      </w:r>
      <w:r w:rsidR="00F06DCA" w:rsidRPr="00221596">
        <w:rPr>
          <w:rFonts w:ascii="Cambria" w:hAnsi="Cambria"/>
        </w:rPr>
        <w:t xml:space="preserve">ere </w:t>
      </w:r>
      <w:r w:rsidR="00F06DCA" w:rsidRPr="00221596">
        <w:rPr>
          <w:rFonts w:ascii="Cambria" w:hAnsi="Cambria"/>
          <w:i/>
        </w:rPr>
        <w:t>‘Laika’</w:t>
      </w:r>
      <w:r w:rsidR="00F06DCA" w:rsidRPr="00221596">
        <w:rPr>
          <w:rFonts w:ascii="Cambria" w:hAnsi="Cambria"/>
        </w:rPr>
        <w:t xml:space="preserve"> and </w:t>
      </w:r>
      <w:r w:rsidR="00F06DCA" w:rsidRPr="00221596">
        <w:rPr>
          <w:rFonts w:ascii="Cambria" w:hAnsi="Cambria"/>
          <w:i/>
        </w:rPr>
        <w:t>‘Pushy Paddles’</w:t>
      </w:r>
      <w:r w:rsidR="00C419B0" w:rsidRPr="00221596">
        <w:rPr>
          <w:rFonts w:ascii="Cambria" w:hAnsi="Cambria"/>
        </w:rPr>
        <w:t>:</w:t>
      </w:r>
    </w:p>
    <w:p w14:paraId="7D748BA8" w14:textId="35B34736" w:rsidR="00DC06E3" w:rsidRPr="00221596" w:rsidRDefault="003F3D3E" w:rsidP="003F3D3E">
      <w:pPr>
        <w:spacing w:line="480" w:lineRule="auto"/>
        <w:rPr>
          <w:rFonts w:ascii="Cambria" w:hAnsi="Cambria"/>
        </w:rPr>
      </w:pPr>
      <w:r w:rsidRPr="00221596">
        <w:rPr>
          <w:rFonts w:ascii="Cambria" w:hAnsi="Cambria"/>
          <w:i/>
        </w:rPr>
        <w:lastRenderedPageBreak/>
        <w:t>‘Laika’</w:t>
      </w:r>
      <w:r w:rsidRPr="00221596">
        <w:rPr>
          <w:rFonts w:ascii="Cambria" w:hAnsi="Cambria"/>
        </w:rPr>
        <w:t xml:space="preserve"> is a game </w:t>
      </w:r>
      <w:r w:rsidR="00F07F65" w:rsidRPr="00221596">
        <w:rPr>
          <w:rFonts w:ascii="Cambria" w:hAnsi="Cambria"/>
        </w:rPr>
        <w:t>for</w:t>
      </w:r>
      <w:r w:rsidRPr="00221596">
        <w:rPr>
          <w:rFonts w:ascii="Cambria" w:hAnsi="Cambria"/>
        </w:rPr>
        <w:t xml:space="preserve"> support</w:t>
      </w:r>
      <w:r w:rsidR="00F07F65" w:rsidRPr="00221596">
        <w:rPr>
          <w:rFonts w:ascii="Cambria" w:hAnsi="Cambria"/>
        </w:rPr>
        <w:t>ing</w:t>
      </w:r>
      <w:r w:rsidRPr="00221596">
        <w:rPr>
          <w:rFonts w:ascii="Cambria" w:hAnsi="Cambria"/>
        </w:rPr>
        <w:t xml:space="preserve"> children’s skills for cooperation (e.g. helping and learning about others), friendship (e.g. learning about others, sharing about oneself and joining in a conversation) and feelings (understanding social cues). It is a single-player game (although children played in pairs and small groups in the present study) with</w:t>
      </w:r>
      <w:r w:rsidR="00DC06E3" w:rsidRPr="00221596">
        <w:rPr>
          <w:rFonts w:ascii="Cambria" w:hAnsi="Cambria"/>
        </w:rPr>
        <w:t xml:space="preserve"> four episodes</w:t>
      </w:r>
      <w:r w:rsidR="0003607B" w:rsidRPr="00221596">
        <w:rPr>
          <w:rFonts w:ascii="Cambria" w:hAnsi="Cambria"/>
        </w:rPr>
        <w:t>,</w:t>
      </w:r>
      <w:r w:rsidR="00593566" w:rsidRPr="00221596">
        <w:rPr>
          <w:rFonts w:ascii="Cambria" w:hAnsi="Cambria"/>
        </w:rPr>
        <w:t xml:space="preserve"> which can take 20-40</w:t>
      </w:r>
      <w:r w:rsidRPr="00221596">
        <w:rPr>
          <w:rFonts w:ascii="Cambria" w:hAnsi="Cambria"/>
        </w:rPr>
        <w:t xml:space="preserve"> minutes each to play</w:t>
      </w:r>
      <w:r w:rsidR="00DC06E3" w:rsidRPr="00221596">
        <w:rPr>
          <w:rFonts w:ascii="Cambria" w:hAnsi="Cambria"/>
        </w:rPr>
        <w:t>. A dog detective investigates the theft of the Golden Bone from the dog park by interviewing the d</w:t>
      </w:r>
      <w:r w:rsidRPr="00221596">
        <w:rPr>
          <w:rFonts w:ascii="Cambria" w:hAnsi="Cambria"/>
        </w:rPr>
        <w:t xml:space="preserve">og-residents and gaining clues.  </w:t>
      </w:r>
    </w:p>
    <w:p w14:paraId="20150D9A" w14:textId="5262F08B" w:rsidR="003F3D3E" w:rsidRPr="00221596" w:rsidRDefault="003F3D3E" w:rsidP="003F3D3E">
      <w:pPr>
        <w:spacing w:line="480" w:lineRule="auto"/>
        <w:rPr>
          <w:rFonts w:ascii="Cambria" w:hAnsi="Cambria"/>
        </w:rPr>
      </w:pPr>
      <w:r w:rsidRPr="00221596">
        <w:rPr>
          <w:rFonts w:ascii="Cambria" w:hAnsi="Cambria"/>
          <w:i/>
        </w:rPr>
        <w:t>‘Pushy Paddles’</w:t>
      </w:r>
      <w:r w:rsidRPr="00221596">
        <w:rPr>
          <w:rFonts w:ascii="Cambria" w:hAnsi="Cambria"/>
        </w:rPr>
        <w:t xml:space="preserve"> </w:t>
      </w:r>
      <w:r w:rsidR="009274FD" w:rsidRPr="00221596">
        <w:rPr>
          <w:rFonts w:ascii="Cambria" w:hAnsi="Cambria"/>
        </w:rPr>
        <w:t xml:space="preserve">is a numeracy </w:t>
      </w:r>
      <w:r w:rsidRPr="00221596">
        <w:rPr>
          <w:rFonts w:ascii="Cambria" w:hAnsi="Cambria"/>
        </w:rPr>
        <w:t>game</w:t>
      </w:r>
      <w:r w:rsidR="009274FD" w:rsidRPr="00221596">
        <w:rPr>
          <w:rFonts w:ascii="Cambria" w:hAnsi="Cambria"/>
        </w:rPr>
        <w:t xml:space="preserve"> that</w:t>
      </w:r>
      <w:r w:rsidRPr="00221596">
        <w:rPr>
          <w:rFonts w:ascii="Cambria" w:hAnsi="Cambria"/>
        </w:rPr>
        <w:t xml:space="preserve"> incorporates skills for cooperation (e.g. solving a problem as a group, paying attention to others, asking for help, helping others, taking turns), friendship (not interrupting others</w:t>
      </w:r>
      <w:r w:rsidR="00F07F65" w:rsidRPr="00221596">
        <w:rPr>
          <w:rFonts w:ascii="Cambria" w:hAnsi="Cambria"/>
        </w:rPr>
        <w:t>,</w:t>
      </w:r>
      <w:r w:rsidRPr="00221596">
        <w:rPr>
          <w:rFonts w:ascii="Cambria" w:hAnsi="Cambria"/>
        </w:rPr>
        <w:t xml:space="preserve"> being an active listener) and feelings (dealing with boredom, stress or self-control). The game requires three players, each with their own role, and they can select </w:t>
      </w:r>
      <w:r w:rsidR="00F07F65" w:rsidRPr="00221596">
        <w:rPr>
          <w:rFonts w:ascii="Cambria" w:hAnsi="Cambria"/>
        </w:rPr>
        <w:t>their</w:t>
      </w:r>
      <w:r w:rsidRPr="00221596">
        <w:rPr>
          <w:rFonts w:ascii="Cambria" w:hAnsi="Cambria"/>
        </w:rPr>
        <w:t xml:space="preserve"> avatar from </w:t>
      </w:r>
      <w:r w:rsidR="003F14A8" w:rsidRPr="00221596">
        <w:rPr>
          <w:rFonts w:ascii="Cambria" w:hAnsi="Cambria"/>
        </w:rPr>
        <w:t xml:space="preserve">a number of different </w:t>
      </w:r>
      <w:r w:rsidR="00F07F65" w:rsidRPr="00221596">
        <w:rPr>
          <w:rFonts w:ascii="Cambria" w:hAnsi="Cambria"/>
        </w:rPr>
        <w:t>choices</w:t>
      </w:r>
      <w:r w:rsidR="003F14A8" w:rsidRPr="00221596">
        <w:rPr>
          <w:rFonts w:ascii="Cambria" w:hAnsi="Cambria"/>
        </w:rPr>
        <w:t>.</w:t>
      </w:r>
      <w:r w:rsidRPr="00221596">
        <w:rPr>
          <w:rFonts w:ascii="Cambria" w:hAnsi="Cambria"/>
        </w:rPr>
        <w:t xml:space="preserve"> </w:t>
      </w:r>
      <w:r w:rsidR="007742AC" w:rsidRPr="00221596">
        <w:rPr>
          <w:rFonts w:ascii="Cambria" w:hAnsi="Cambria"/>
        </w:rPr>
        <w:t>One player</w:t>
      </w:r>
      <w:r w:rsidRPr="00221596">
        <w:rPr>
          <w:rFonts w:ascii="Cambria" w:hAnsi="Cambria"/>
        </w:rPr>
        <w:t xml:space="preserve"> must ride the platform from the bridge to the chest at the end of the water without hitting any obstacles. This is achieved with the help of the other two</w:t>
      </w:r>
      <w:r w:rsidR="007742AC" w:rsidRPr="00221596">
        <w:rPr>
          <w:rFonts w:ascii="Cambria" w:hAnsi="Cambria"/>
        </w:rPr>
        <w:t xml:space="preserve"> players</w:t>
      </w:r>
      <w:r w:rsidRPr="00221596">
        <w:rPr>
          <w:rFonts w:ascii="Cambria" w:hAnsi="Cambria"/>
        </w:rPr>
        <w:t xml:space="preserve"> who must use their paddles to steer the floater around the obstacles and to the chest.</w:t>
      </w:r>
      <w:r w:rsidR="003F14A8" w:rsidRPr="00221596">
        <w:rPr>
          <w:rFonts w:ascii="Cambria" w:hAnsi="Cambria"/>
        </w:rPr>
        <w:t xml:space="preserve"> Together, the players have to solve maths-based problems to find the best route.</w:t>
      </w:r>
      <w:r w:rsidRPr="00221596">
        <w:rPr>
          <w:rFonts w:ascii="Cambria" w:hAnsi="Cambria"/>
        </w:rPr>
        <w:t xml:space="preserve"> Once a player reaches the chest, that player will be given a series of rewards that he must distribute amongst all players. </w:t>
      </w:r>
    </w:p>
    <w:p w14:paraId="5F3034AB" w14:textId="77777777" w:rsidR="00DC06E3" w:rsidRPr="00221596" w:rsidRDefault="00DC06E3" w:rsidP="00196CEB">
      <w:pPr>
        <w:spacing w:line="480" w:lineRule="auto"/>
        <w:rPr>
          <w:rFonts w:ascii="Cambria" w:hAnsi="Cambria"/>
          <w:b/>
        </w:rPr>
      </w:pPr>
      <w:r w:rsidRPr="00221596">
        <w:rPr>
          <w:rFonts w:ascii="Cambria" w:hAnsi="Cambria"/>
          <w:b/>
        </w:rPr>
        <w:t>Key Findings</w:t>
      </w:r>
    </w:p>
    <w:p w14:paraId="57616AB2" w14:textId="38B2D738" w:rsidR="00DC06E3" w:rsidRPr="00221596" w:rsidRDefault="00DC06E3" w:rsidP="00924AF9">
      <w:pPr>
        <w:pStyle w:val="ListParagraph"/>
        <w:numPr>
          <w:ilvl w:val="0"/>
          <w:numId w:val="2"/>
        </w:numPr>
        <w:spacing w:line="480" w:lineRule="auto"/>
        <w:rPr>
          <w:rFonts w:ascii="Cambria" w:hAnsi="Cambria"/>
        </w:rPr>
      </w:pPr>
      <w:r w:rsidRPr="00221596">
        <w:rPr>
          <w:rFonts w:ascii="Cambria" w:hAnsi="Cambria"/>
        </w:rPr>
        <w:t>In the UK, 25 children took part from a mainstream primary school. The children who played the game</w:t>
      </w:r>
      <w:r w:rsidR="00E17510" w:rsidRPr="00221596">
        <w:rPr>
          <w:rFonts w:ascii="Cambria" w:hAnsi="Cambria"/>
        </w:rPr>
        <w:t>s for a longer period of time (four</w:t>
      </w:r>
      <w:r w:rsidRPr="00221596">
        <w:rPr>
          <w:rFonts w:ascii="Cambria" w:hAnsi="Cambria"/>
        </w:rPr>
        <w:t xml:space="preserve"> weeks) judged themselves to be more socially competent at the end of the study compar</w:t>
      </w:r>
      <w:r w:rsidR="00E17510" w:rsidRPr="00221596">
        <w:rPr>
          <w:rFonts w:ascii="Cambria" w:hAnsi="Cambria"/>
        </w:rPr>
        <w:t>ed to the group who played for two</w:t>
      </w:r>
      <w:r w:rsidRPr="00221596">
        <w:rPr>
          <w:rFonts w:ascii="Cambria" w:hAnsi="Cambria"/>
        </w:rPr>
        <w:t xml:space="preserve"> weeks. Children also gave higher scores to the prosocial characteristics of other children (‘Cooperative’, ‘Popular’ or ‘Good at school work’) at the end of the study. This suggests that they became more aware of the way that other children behaved. </w:t>
      </w:r>
    </w:p>
    <w:p w14:paraId="4F47220E" w14:textId="79247BC8" w:rsidR="00DC06E3" w:rsidRPr="00221596" w:rsidRDefault="00DC06E3" w:rsidP="00924AF9">
      <w:pPr>
        <w:pStyle w:val="ListParagraph"/>
        <w:numPr>
          <w:ilvl w:val="0"/>
          <w:numId w:val="2"/>
        </w:numPr>
        <w:spacing w:line="480" w:lineRule="auto"/>
        <w:rPr>
          <w:rFonts w:ascii="Cambria" w:hAnsi="Cambria"/>
        </w:rPr>
      </w:pPr>
      <w:r w:rsidRPr="00221596">
        <w:rPr>
          <w:rFonts w:ascii="Cambria" w:hAnsi="Cambria"/>
        </w:rPr>
        <w:t xml:space="preserve">In Greece, 185 children took part from a mainstream primary school. </w:t>
      </w:r>
      <w:r w:rsidR="00A26EC2" w:rsidRPr="00221596">
        <w:rPr>
          <w:rFonts w:ascii="Cambria" w:hAnsi="Cambria"/>
        </w:rPr>
        <w:t>Children gave higher prosocial scores to other children (‘Cooperative’ or ‘Athletic’), and teachers judged children to show significant increases in their prosocial behaviours</w:t>
      </w:r>
      <w:r w:rsidR="00F61BC5" w:rsidRPr="00221596">
        <w:rPr>
          <w:rFonts w:ascii="Cambria" w:hAnsi="Cambria"/>
        </w:rPr>
        <w:t>,</w:t>
      </w:r>
      <w:r w:rsidR="00A26EC2" w:rsidRPr="00221596">
        <w:rPr>
          <w:rFonts w:ascii="Cambria" w:hAnsi="Cambria"/>
        </w:rPr>
        <w:t xml:space="preserve"> at the end of the study</w:t>
      </w:r>
      <w:r w:rsidRPr="00221596">
        <w:rPr>
          <w:rFonts w:ascii="Cambria" w:hAnsi="Cambria"/>
        </w:rPr>
        <w:t xml:space="preserve">.  </w:t>
      </w:r>
    </w:p>
    <w:p w14:paraId="76F2426F" w14:textId="3022CDFC" w:rsidR="00DC06E3" w:rsidRPr="00221596" w:rsidRDefault="00DC06E3" w:rsidP="00924AF9">
      <w:pPr>
        <w:pStyle w:val="ListParagraph"/>
        <w:numPr>
          <w:ilvl w:val="0"/>
          <w:numId w:val="2"/>
        </w:numPr>
        <w:spacing w:line="480" w:lineRule="auto"/>
        <w:rPr>
          <w:rFonts w:ascii="Cambria" w:hAnsi="Cambria"/>
        </w:rPr>
      </w:pPr>
      <w:r w:rsidRPr="00221596">
        <w:rPr>
          <w:rFonts w:ascii="Cambria" w:hAnsi="Cambria"/>
        </w:rPr>
        <w:t>In Italy, 91 children took part from two mainstream primary schools. Children’s judgements about their own social competence increased at one of the school</w:t>
      </w:r>
      <w:r w:rsidR="00E17510" w:rsidRPr="00221596">
        <w:rPr>
          <w:rFonts w:ascii="Cambria" w:hAnsi="Cambria"/>
        </w:rPr>
        <w:t xml:space="preserve">s during the period of gameplay, </w:t>
      </w:r>
      <w:r w:rsidR="00924AF9" w:rsidRPr="00221596">
        <w:rPr>
          <w:rFonts w:ascii="Cambria" w:hAnsi="Cambria"/>
        </w:rPr>
        <w:t>but not at the second school.</w:t>
      </w:r>
    </w:p>
    <w:p w14:paraId="4BDF3299" w14:textId="77777777" w:rsidR="0040778F" w:rsidRPr="00221596" w:rsidRDefault="00DC06E3" w:rsidP="00596A52">
      <w:pPr>
        <w:pStyle w:val="ListParagraph"/>
        <w:numPr>
          <w:ilvl w:val="0"/>
          <w:numId w:val="2"/>
        </w:numPr>
        <w:spacing w:line="480" w:lineRule="auto"/>
        <w:rPr>
          <w:rFonts w:ascii="Cambria" w:hAnsi="Cambria"/>
        </w:rPr>
      </w:pPr>
      <w:r w:rsidRPr="00221596">
        <w:rPr>
          <w:rFonts w:ascii="Cambria" w:hAnsi="Cambria"/>
        </w:rPr>
        <w:t xml:space="preserve">In Spain, 73 children took part from a mainstream primary school and gave feedback on how much they liked the games and how easy and understandable the games were to play. Children were very positive about the games and keen to play them again. </w:t>
      </w:r>
    </w:p>
    <w:p w14:paraId="14138725" w14:textId="595D3998" w:rsidR="0040778F" w:rsidRPr="00221596" w:rsidRDefault="0040778F" w:rsidP="00596A52">
      <w:pPr>
        <w:pStyle w:val="ListParagraph"/>
        <w:numPr>
          <w:ilvl w:val="0"/>
          <w:numId w:val="2"/>
        </w:numPr>
        <w:spacing w:line="480" w:lineRule="auto"/>
        <w:rPr>
          <w:rFonts w:ascii="Cambria" w:hAnsi="Cambria"/>
        </w:rPr>
      </w:pPr>
      <w:r w:rsidRPr="00221596">
        <w:rPr>
          <w:rFonts w:ascii="Cambria" w:hAnsi="Cambria"/>
        </w:rPr>
        <w:t>T</w:t>
      </w:r>
      <w:r w:rsidR="00DC06E3" w:rsidRPr="00221596">
        <w:rPr>
          <w:rFonts w:ascii="Cambria" w:hAnsi="Cambria"/>
        </w:rPr>
        <w:t>eachers and teaching assistants from the UK, Greece, and Italy were very positive about children’s experiences in playing the games, and about the potential of the games for supporting children’s learning and understanding of prosocial skills</w:t>
      </w:r>
      <w:r w:rsidR="00A26EC2" w:rsidRPr="00221596">
        <w:rPr>
          <w:rFonts w:ascii="Cambria" w:hAnsi="Cambria"/>
        </w:rPr>
        <w:t>.</w:t>
      </w:r>
      <w:r w:rsidR="00DD47E2" w:rsidRPr="00221596">
        <w:rPr>
          <w:rFonts w:ascii="Cambria" w:hAnsi="Cambria"/>
        </w:rPr>
        <w:t xml:space="preserve"> Spanish teachers were less enthusiastic, mainly due to some technical difficulties experienced when playing the games.</w:t>
      </w:r>
      <w:r w:rsidR="00596A52" w:rsidRPr="00221596">
        <w:rPr>
          <w:rFonts w:ascii="Cambria" w:hAnsi="Cambria"/>
        </w:rPr>
        <w:t xml:space="preserve"> </w:t>
      </w:r>
    </w:p>
    <w:p w14:paraId="144965F3" w14:textId="5ED8D3EC" w:rsidR="0040778F" w:rsidRPr="00221596" w:rsidRDefault="0040778F" w:rsidP="0040778F">
      <w:pPr>
        <w:spacing w:line="480" w:lineRule="auto"/>
        <w:rPr>
          <w:rFonts w:ascii="Cambria" w:hAnsi="Cambria"/>
          <w:b/>
        </w:rPr>
      </w:pPr>
      <w:r w:rsidRPr="00221596">
        <w:rPr>
          <w:rFonts w:ascii="Cambria" w:hAnsi="Cambria"/>
          <w:b/>
        </w:rPr>
        <w:t>Conclusions</w:t>
      </w:r>
    </w:p>
    <w:p w14:paraId="3F37E3CA" w14:textId="7F1CBAE8" w:rsidR="00596A52" w:rsidRPr="00221596" w:rsidRDefault="00596A52" w:rsidP="0040778F">
      <w:pPr>
        <w:spacing w:line="480" w:lineRule="auto"/>
        <w:rPr>
          <w:rFonts w:ascii="Cambria" w:hAnsi="Cambria"/>
        </w:rPr>
      </w:pPr>
      <w:r w:rsidRPr="00221596">
        <w:rPr>
          <w:rFonts w:ascii="Cambria" w:hAnsi="Cambria"/>
        </w:rPr>
        <w:t>These findings present a very encouraging basis for continuing to explore the use of prosocial games in the primary classroom, and investigating children’s responses and learning. The majority of children and teachers accepted the games as enjoyable and valid tools for supporting prosocial learning in the classroom context. Considering that teachers’ scepticism regarding the value of educational technologies in the classroom is still relatively high (e.g. Teo, 2015), demonstrating such acceptability in a cross-cultural sample is noteworthy, even though the sample of teachers was small</w:t>
      </w:r>
      <w:r w:rsidR="00143E69" w:rsidRPr="00221596">
        <w:rPr>
          <w:rFonts w:ascii="Cambria" w:hAnsi="Cambria"/>
        </w:rPr>
        <w:t xml:space="preserve"> overall</w:t>
      </w:r>
      <w:r w:rsidRPr="00221596">
        <w:rPr>
          <w:rFonts w:ascii="Cambria" w:hAnsi="Cambria"/>
        </w:rPr>
        <w:t>.</w:t>
      </w:r>
    </w:p>
    <w:p w14:paraId="2E56C9D4" w14:textId="78DB1610" w:rsidR="00924AF9" w:rsidRPr="00221596" w:rsidRDefault="00924AF9" w:rsidP="00196CEB">
      <w:pPr>
        <w:spacing w:line="480" w:lineRule="auto"/>
        <w:rPr>
          <w:rFonts w:ascii="Cambria" w:hAnsi="Cambria"/>
          <w:b/>
        </w:rPr>
      </w:pPr>
      <w:r w:rsidRPr="00221596">
        <w:rPr>
          <w:rFonts w:ascii="Cambria" w:hAnsi="Cambria"/>
          <w:b/>
        </w:rPr>
        <w:t>Implications for practice</w:t>
      </w:r>
    </w:p>
    <w:p w14:paraId="4F36898E" w14:textId="25BA0CD8" w:rsidR="006B344B" w:rsidRPr="00221596" w:rsidRDefault="006B344B" w:rsidP="006F4DC4">
      <w:pPr>
        <w:pStyle w:val="ListParagraph"/>
        <w:numPr>
          <w:ilvl w:val="0"/>
          <w:numId w:val="5"/>
        </w:numPr>
        <w:spacing w:line="480" w:lineRule="auto"/>
        <w:rPr>
          <w:rFonts w:ascii="Cambria" w:hAnsi="Cambria"/>
        </w:rPr>
      </w:pPr>
      <w:r w:rsidRPr="00221596">
        <w:rPr>
          <w:rFonts w:ascii="Cambria" w:hAnsi="Cambria"/>
        </w:rPr>
        <w:t>The prosocial digital games can be played</w:t>
      </w:r>
      <w:r w:rsidR="0040778F" w:rsidRPr="00221596">
        <w:rPr>
          <w:rFonts w:ascii="Cambria" w:hAnsi="Cambria"/>
        </w:rPr>
        <w:t xml:space="preserve"> in different ways e.g. by targeting p</w:t>
      </w:r>
      <w:r w:rsidR="00B748EC" w:rsidRPr="00221596">
        <w:rPr>
          <w:rFonts w:ascii="Cambria" w:hAnsi="Cambria"/>
        </w:rPr>
        <w:t>articular groups of children, or by</w:t>
      </w:r>
      <w:r w:rsidR="0040778F" w:rsidRPr="00221596">
        <w:rPr>
          <w:rFonts w:ascii="Cambria" w:hAnsi="Cambria"/>
        </w:rPr>
        <w:t xml:space="preserve"> dividing the class so that some children play the games while others work on related task</w:t>
      </w:r>
      <w:r w:rsidR="00B748EC" w:rsidRPr="00221596">
        <w:rPr>
          <w:rFonts w:ascii="Cambria" w:hAnsi="Cambria"/>
        </w:rPr>
        <w:t>s,</w:t>
      </w:r>
      <w:r w:rsidR="0040778F" w:rsidRPr="00221596">
        <w:rPr>
          <w:rFonts w:ascii="Cambria" w:hAnsi="Cambria"/>
        </w:rPr>
        <w:t xml:space="preserve"> or as a whole class activity;</w:t>
      </w:r>
    </w:p>
    <w:p w14:paraId="196A4679" w14:textId="2846B63C" w:rsidR="006B344B" w:rsidRPr="00221596" w:rsidRDefault="006B344B" w:rsidP="006822B5">
      <w:pPr>
        <w:pStyle w:val="ListParagraph"/>
        <w:numPr>
          <w:ilvl w:val="0"/>
          <w:numId w:val="5"/>
        </w:numPr>
        <w:spacing w:line="480" w:lineRule="auto"/>
        <w:jc w:val="both"/>
        <w:rPr>
          <w:rFonts w:ascii="Cambria" w:hAnsi="Cambria"/>
        </w:rPr>
      </w:pPr>
      <w:r w:rsidRPr="00221596">
        <w:rPr>
          <w:rFonts w:ascii="Cambria" w:hAnsi="Cambria"/>
        </w:rPr>
        <w:t>The games can be embedded within different aspects of the curriculum to support</w:t>
      </w:r>
      <w:r w:rsidR="0040778F" w:rsidRPr="00221596">
        <w:rPr>
          <w:rFonts w:ascii="Cambria" w:hAnsi="Cambria"/>
        </w:rPr>
        <w:t xml:space="preserve"> or emphasise</w:t>
      </w:r>
      <w:r w:rsidRPr="00221596">
        <w:rPr>
          <w:rFonts w:ascii="Cambria" w:hAnsi="Cambria"/>
        </w:rPr>
        <w:t xml:space="preserve"> different learning outcomes</w:t>
      </w:r>
      <w:r w:rsidR="009F5E39" w:rsidRPr="00221596">
        <w:rPr>
          <w:rFonts w:ascii="Cambria" w:hAnsi="Cambria"/>
        </w:rPr>
        <w:t xml:space="preserve"> e.g.</w:t>
      </w:r>
      <w:r w:rsidR="006822B5" w:rsidRPr="00221596">
        <w:rPr>
          <w:rFonts w:ascii="Cambria" w:hAnsi="Cambria"/>
        </w:rPr>
        <w:t xml:space="preserve"> </w:t>
      </w:r>
      <w:r w:rsidR="006822B5" w:rsidRPr="00221596">
        <w:rPr>
          <w:rFonts w:ascii="Cambria" w:hAnsi="Cambria"/>
          <w:i/>
        </w:rPr>
        <w:t>Laika</w:t>
      </w:r>
      <w:r w:rsidR="006822B5" w:rsidRPr="00221596">
        <w:rPr>
          <w:rFonts w:ascii="Cambria" w:hAnsi="Cambria"/>
        </w:rPr>
        <w:t xml:space="preserve"> was useful for prompting discussions about peer pressure in class;</w:t>
      </w:r>
      <w:r w:rsidR="009F5E39" w:rsidRPr="00221596">
        <w:rPr>
          <w:rFonts w:ascii="Cambria" w:hAnsi="Cambria"/>
        </w:rPr>
        <w:t xml:space="preserve"> </w:t>
      </w:r>
      <w:r w:rsidR="009F5E39" w:rsidRPr="00221596">
        <w:rPr>
          <w:rFonts w:ascii="Cambria" w:hAnsi="Cambria"/>
          <w:i/>
        </w:rPr>
        <w:t>Pushy Paddles</w:t>
      </w:r>
      <w:r w:rsidR="009F5E39" w:rsidRPr="00221596">
        <w:rPr>
          <w:rFonts w:ascii="Cambria" w:hAnsi="Cambria"/>
        </w:rPr>
        <w:t xml:space="preserve"> requires prosocial skills to complete successfully and also incorporates maths problems from the Key Stage 2 curriculum;</w:t>
      </w:r>
    </w:p>
    <w:p w14:paraId="1F94D3D8" w14:textId="6BA21502" w:rsidR="009F5E39" w:rsidRPr="00221596" w:rsidRDefault="009F5E39" w:rsidP="006F4DC4">
      <w:pPr>
        <w:pStyle w:val="ListParagraph"/>
        <w:numPr>
          <w:ilvl w:val="0"/>
          <w:numId w:val="5"/>
        </w:numPr>
        <w:spacing w:line="480" w:lineRule="auto"/>
        <w:rPr>
          <w:rFonts w:ascii="Cambria" w:hAnsi="Cambria"/>
        </w:rPr>
      </w:pPr>
      <w:r w:rsidRPr="00221596">
        <w:rPr>
          <w:rFonts w:ascii="Cambria" w:hAnsi="Cambria"/>
        </w:rPr>
        <w:t>Children generally enjoyed working together to discuss and solve problems</w:t>
      </w:r>
      <w:r w:rsidR="006F4DC4" w:rsidRPr="00221596">
        <w:rPr>
          <w:rFonts w:ascii="Cambria" w:hAnsi="Cambria"/>
        </w:rPr>
        <w:t>, and recognised that this was an important aspect of the game</w:t>
      </w:r>
      <w:r w:rsidR="0040778F" w:rsidRPr="00221596">
        <w:rPr>
          <w:rFonts w:ascii="Cambria" w:hAnsi="Cambria"/>
        </w:rPr>
        <w:t>s</w:t>
      </w:r>
      <w:r w:rsidRPr="00221596">
        <w:rPr>
          <w:rFonts w:ascii="Cambria" w:hAnsi="Cambria"/>
        </w:rPr>
        <w:t>;</w:t>
      </w:r>
    </w:p>
    <w:p w14:paraId="455D7A93" w14:textId="6A37BCB9" w:rsidR="009F5E39" w:rsidRPr="00221596" w:rsidRDefault="006F4DC4" w:rsidP="006F4DC4">
      <w:pPr>
        <w:pStyle w:val="ListParagraph"/>
        <w:numPr>
          <w:ilvl w:val="0"/>
          <w:numId w:val="5"/>
        </w:numPr>
        <w:spacing w:line="480" w:lineRule="auto"/>
        <w:rPr>
          <w:rFonts w:ascii="Cambria" w:hAnsi="Cambria"/>
        </w:rPr>
      </w:pPr>
      <w:r w:rsidRPr="00221596">
        <w:rPr>
          <w:rFonts w:ascii="Cambria" w:hAnsi="Cambria"/>
        </w:rPr>
        <w:t>The games generate interest, discussion and excitement, all of which need to be carefully managed;</w:t>
      </w:r>
    </w:p>
    <w:p w14:paraId="50A204ED" w14:textId="4404CA83" w:rsidR="003F14A8" w:rsidRPr="00221596" w:rsidRDefault="00143E69" w:rsidP="006F4DC4">
      <w:pPr>
        <w:pStyle w:val="ListParagraph"/>
        <w:numPr>
          <w:ilvl w:val="0"/>
          <w:numId w:val="5"/>
        </w:numPr>
        <w:spacing w:line="480" w:lineRule="auto"/>
        <w:rPr>
          <w:rFonts w:ascii="Cambria" w:hAnsi="Cambria"/>
        </w:rPr>
      </w:pPr>
      <w:r w:rsidRPr="00221596">
        <w:rPr>
          <w:rFonts w:ascii="Cambria" w:hAnsi="Cambria"/>
        </w:rPr>
        <w:t>The games were operated</w:t>
      </w:r>
      <w:r w:rsidR="006F4DC4" w:rsidRPr="00221596">
        <w:rPr>
          <w:rFonts w:ascii="Cambria" w:hAnsi="Cambria"/>
        </w:rPr>
        <w:t xml:space="preserve"> through a</w:t>
      </w:r>
      <w:r w:rsidR="0093647E" w:rsidRPr="00221596">
        <w:rPr>
          <w:rFonts w:ascii="Cambria" w:hAnsi="Cambria"/>
        </w:rPr>
        <w:t>n online</w:t>
      </w:r>
      <w:r w:rsidR="006F4DC4" w:rsidRPr="00221596">
        <w:rPr>
          <w:rFonts w:ascii="Cambria" w:hAnsi="Cambria"/>
        </w:rPr>
        <w:t xml:space="preserve"> platform that automatically logs data. This was used to create a</w:t>
      </w:r>
      <w:r w:rsidR="00596A52" w:rsidRPr="00221596">
        <w:rPr>
          <w:rFonts w:ascii="Cambria" w:hAnsi="Cambria"/>
          <w:lang w:val="en-US"/>
        </w:rPr>
        <w:t xml:space="preserve"> Student Performance Dashboard </w:t>
      </w:r>
      <w:r w:rsidR="006F4DC4" w:rsidRPr="00221596">
        <w:rPr>
          <w:rFonts w:ascii="Cambria" w:hAnsi="Cambria"/>
          <w:lang w:val="en-US"/>
        </w:rPr>
        <w:t xml:space="preserve">which </w:t>
      </w:r>
      <w:r w:rsidR="0093647E" w:rsidRPr="00221596">
        <w:rPr>
          <w:rFonts w:ascii="Cambria" w:hAnsi="Cambria"/>
          <w:lang w:val="en-US"/>
        </w:rPr>
        <w:t>shows</w:t>
      </w:r>
      <w:r w:rsidR="00596A52" w:rsidRPr="00221596">
        <w:rPr>
          <w:rFonts w:ascii="Cambria" w:hAnsi="Cambria"/>
        </w:rPr>
        <w:t xml:space="preserve"> how many </w:t>
      </w:r>
      <w:r w:rsidR="006F4DC4" w:rsidRPr="00221596">
        <w:rPr>
          <w:rFonts w:ascii="Cambria" w:hAnsi="Cambria"/>
        </w:rPr>
        <w:t>children</w:t>
      </w:r>
      <w:r w:rsidR="00596A52" w:rsidRPr="00221596">
        <w:rPr>
          <w:rFonts w:ascii="Cambria" w:hAnsi="Cambria"/>
        </w:rPr>
        <w:t xml:space="preserve"> demonstrated the skill(s) the game</w:t>
      </w:r>
      <w:r w:rsidR="006F4DC4" w:rsidRPr="00221596">
        <w:rPr>
          <w:rFonts w:ascii="Cambria" w:hAnsi="Cambria"/>
        </w:rPr>
        <w:t>s support, as well as t</w:t>
      </w:r>
      <w:r w:rsidR="00596A52" w:rsidRPr="00221596">
        <w:rPr>
          <w:rFonts w:ascii="Cambria" w:hAnsi="Cambria"/>
          <w:lang w:val="en-US"/>
        </w:rPr>
        <w:t>he skills each child showed during gameplay</w:t>
      </w:r>
      <w:r w:rsidR="006F4DC4" w:rsidRPr="00221596">
        <w:rPr>
          <w:rFonts w:ascii="Cambria" w:hAnsi="Cambria"/>
          <w:lang w:val="en-US"/>
        </w:rPr>
        <w:t xml:space="preserve">. This feature could be very useful for teachers in providing real-time formative feedback, though was not part of the formal evaluation of the study. </w:t>
      </w:r>
    </w:p>
    <w:p w14:paraId="2269373C" w14:textId="77777777" w:rsidR="00EA184E" w:rsidRPr="00221596" w:rsidRDefault="00EA184E" w:rsidP="00EA184E">
      <w:pPr>
        <w:rPr>
          <w:rFonts w:ascii="Cambria" w:hAnsi="Cambria"/>
          <w:b/>
        </w:rPr>
      </w:pPr>
    </w:p>
    <w:p w14:paraId="50ED41EB" w14:textId="04D60ACE" w:rsidR="00DC06E3" w:rsidRPr="00221596" w:rsidRDefault="00DC06E3" w:rsidP="00EA184E">
      <w:pPr>
        <w:rPr>
          <w:rFonts w:ascii="Cambria" w:hAnsi="Cambria"/>
          <w:b/>
        </w:rPr>
      </w:pPr>
      <w:r w:rsidRPr="00221596">
        <w:rPr>
          <w:rFonts w:ascii="Cambria" w:hAnsi="Cambria"/>
          <w:b/>
        </w:rPr>
        <w:t>References</w:t>
      </w:r>
    </w:p>
    <w:p w14:paraId="1A5B6C47" w14:textId="77777777" w:rsidR="00142045" w:rsidRPr="00221596" w:rsidRDefault="00142045" w:rsidP="00142045">
      <w:pPr>
        <w:spacing w:line="480" w:lineRule="auto"/>
        <w:ind w:hanging="284"/>
        <w:rPr>
          <w:rFonts w:ascii="Cambria" w:hAnsi="Cambria"/>
        </w:rPr>
      </w:pPr>
      <w:r w:rsidRPr="00221596">
        <w:rPr>
          <w:rFonts w:ascii="Cambria" w:hAnsi="Cambria"/>
        </w:rPr>
        <w:t xml:space="preserve">Cooper, P., &amp; Whitebread, D. (2007). The effectiveness of nurture groups on student progress: Evidence from a national research study. </w:t>
      </w:r>
      <w:r w:rsidRPr="00221596">
        <w:rPr>
          <w:rFonts w:ascii="Cambria" w:hAnsi="Cambria"/>
          <w:i/>
          <w:iCs/>
        </w:rPr>
        <w:t>Emotional and Behavioural Difficulties</w:t>
      </w:r>
      <w:r w:rsidRPr="00221596">
        <w:rPr>
          <w:rFonts w:ascii="Cambria" w:hAnsi="Cambria"/>
        </w:rPr>
        <w:t xml:space="preserve">, </w:t>
      </w:r>
      <w:r w:rsidRPr="00221596">
        <w:rPr>
          <w:rFonts w:ascii="Cambria" w:hAnsi="Cambria"/>
          <w:i/>
          <w:iCs/>
        </w:rPr>
        <w:t>12</w:t>
      </w:r>
      <w:r w:rsidRPr="00221596">
        <w:rPr>
          <w:rFonts w:ascii="Cambria" w:hAnsi="Cambria"/>
        </w:rPr>
        <w:t>(3), 171-190.</w:t>
      </w:r>
    </w:p>
    <w:p w14:paraId="6E66D096" w14:textId="77777777" w:rsidR="00C86272" w:rsidRPr="00221596" w:rsidRDefault="00C86272" w:rsidP="00C86272">
      <w:pPr>
        <w:spacing w:line="480" w:lineRule="auto"/>
        <w:ind w:hanging="284"/>
        <w:rPr>
          <w:rFonts w:ascii="Cambria" w:hAnsi="Cambria"/>
          <w:lang w:val="en-US"/>
        </w:rPr>
      </w:pPr>
      <w:r w:rsidRPr="00221596">
        <w:rPr>
          <w:rFonts w:ascii="Cambria" w:hAnsi="Cambria"/>
          <w:lang w:val="en-US"/>
        </w:rPr>
        <w:t xml:space="preserve">Farmer, T. W., &amp; Rodkin, P. C. (1996). Antisocial and Prosocial Correlates of Classroom Social Positions: The Social Network Centrality Perspective. </w:t>
      </w:r>
      <w:r w:rsidRPr="00221596">
        <w:rPr>
          <w:rFonts w:ascii="Cambria" w:hAnsi="Cambria"/>
          <w:i/>
          <w:lang w:val="en-US"/>
        </w:rPr>
        <w:t>Social Development</w:t>
      </w:r>
      <w:r w:rsidRPr="00221596">
        <w:rPr>
          <w:rFonts w:ascii="Cambria" w:hAnsi="Cambria"/>
          <w:lang w:val="en-US"/>
        </w:rPr>
        <w:t>, 5(2), 174–188.</w:t>
      </w:r>
    </w:p>
    <w:p w14:paraId="69CDBE43" w14:textId="77777777" w:rsidR="00142045" w:rsidRPr="00221596" w:rsidRDefault="00142045" w:rsidP="00142045">
      <w:pPr>
        <w:spacing w:line="480" w:lineRule="auto"/>
        <w:ind w:hanging="284"/>
        <w:rPr>
          <w:rFonts w:ascii="Cambria" w:hAnsi="Cambria"/>
        </w:rPr>
      </w:pPr>
      <w:r w:rsidRPr="00221596">
        <w:rPr>
          <w:rFonts w:ascii="Cambria" w:hAnsi="Cambria"/>
        </w:rPr>
        <w:t xml:space="preserve">Frederickson, N., &amp; Turner, J. (2003). Utilizing the Classroom Peer Group to Address Children's Social Needs An Evaluation of the Circle of Friends Intervention Approach. </w:t>
      </w:r>
      <w:r w:rsidRPr="00221596">
        <w:rPr>
          <w:rFonts w:ascii="Cambria" w:hAnsi="Cambria"/>
          <w:i/>
          <w:iCs/>
        </w:rPr>
        <w:t>The Journal of Special Education</w:t>
      </w:r>
      <w:r w:rsidRPr="00221596">
        <w:rPr>
          <w:rFonts w:ascii="Cambria" w:hAnsi="Cambria"/>
        </w:rPr>
        <w:t xml:space="preserve">, </w:t>
      </w:r>
      <w:r w:rsidRPr="00221596">
        <w:rPr>
          <w:rFonts w:ascii="Cambria" w:hAnsi="Cambria"/>
          <w:i/>
          <w:iCs/>
        </w:rPr>
        <w:t>36</w:t>
      </w:r>
      <w:r w:rsidRPr="00221596">
        <w:rPr>
          <w:rFonts w:ascii="Cambria" w:hAnsi="Cambria"/>
        </w:rPr>
        <w:t>(4), 234-245.</w:t>
      </w:r>
    </w:p>
    <w:p w14:paraId="3EC2D544" w14:textId="15090CF3" w:rsidR="00C86272" w:rsidRPr="00221596" w:rsidRDefault="00C86272" w:rsidP="00142045">
      <w:pPr>
        <w:spacing w:line="480" w:lineRule="auto"/>
        <w:ind w:hanging="284"/>
        <w:rPr>
          <w:rFonts w:ascii="Cambria" w:hAnsi="Cambria"/>
        </w:rPr>
      </w:pPr>
      <w:r w:rsidRPr="00221596">
        <w:rPr>
          <w:rFonts w:ascii="Cambria" w:hAnsi="Cambria"/>
          <w:lang w:val="en-US"/>
        </w:rPr>
        <w:t xml:space="preserve">Goodman, R. (1997). The Strengths and Difficulties Questionnaire: a research note. </w:t>
      </w:r>
      <w:r w:rsidRPr="00221596">
        <w:rPr>
          <w:rFonts w:ascii="Cambria" w:hAnsi="Cambria"/>
          <w:i/>
          <w:lang w:val="en-US"/>
        </w:rPr>
        <w:t>Journal of Child Psychology and Psychiatry</w:t>
      </w:r>
      <w:r w:rsidRPr="00221596">
        <w:rPr>
          <w:rFonts w:ascii="Cambria" w:hAnsi="Cambria"/>
          <w:lang w:val="en-US"/>
        </w:rPr>
        <w:t>, 38(5), 581–586.</w:t>
      </w:r>
    </w:p>
    <w:p w14:paraId="78CEE68F" w14:textId="537C66AC" w:rsidR="00C86272" w:rsidRPr="00221596" w:rsidRDefault="00CF6203" w:rsidP="00C86272">
      <w:pPr>
        <w:spacing w:line="480" w:lineRule="auto"/>
        <w:ind w:hanging="284"/>
        <w:rPr>
          <w:rFonts w:ascii="Cambria" w:hAnsi="Cambria"/>
          <w:lang w:val="en-US"/>
        </w:rPr>
      </w:pPr>
      <w:r w:rsidRPr="00221596">
        <w:rPr>
          <w:rFonts w:ascii="Cambria" w:hAnsi="Cambria"/>
        </w:rPr>
        <w:t xml:space="preserve">Harrington, B., &amp; O’Connell, M. (2016). Video games as virtual teachers: Prosocial video game use by children and adolescents from different socioeconomic groups is associated with increased empathy and prosocial behaviour. </w:t>
      </w:r>
      <w:r w:rsidRPr="00221596">
        <w:rPr>
          <w:rFonts w:ascii="Cambria" w:hAnsi="Cambria"/>
          <w:i/>
        </w:rPr>
        <w:t>Computers in Human Behavior</w:t>
      </w:r>
      <w:r w:rsidRPr="00221596">
        <w:rPr>
          <w:rFonts w:ascii="Cambria" w:hAnsi="Cambria"/>
        </w:rPr>
        <w:t>, 63, 650-658.</w:t>
      </w:r>
    </w:p>
    <w:p w14:paraId="7116D23B" w14:textId="346FEE97" w:rsidR="00C86272" w:rsidRPr="00221596" w:rsidRDefault="00C86272" w:rsidP="00C86272">
      <w:pPr>
        <w:spacing w:line="480" w:lineRule="auto"/>
        <w:ind w:hanging="284"/>
        <w:rPr>
          <w:rFonts w:ascii="Cambria" w:hAnsi="Cambria"/>
        </w:rPr>
      </w:pPr>
      <w:r w:rsidRPr="00221596">
        <w:rPr>
          <w:rFonts w:ascii="Cambria" w:hAnsi="Cambria"/>
          <w:lang w:val="en-US"/>
        </w:rPr>
        <w:t xml:space="preserve">Harter, S. (2012). </w:t>
      </w:r>
      <w:r w:rsidRPr="00221596">
        <w:rPr>
          <w:rFonts w:ascii="Cambria" w:hAnsi="Cambria"/>
          <w:i/>
          <w:lang w:val="en-US"/>
        </w:rPr>
        <w:t>Self-Perception Profile for Children: Manual and Questionnaires (Grades 3-8)</w:t>
      </w:r>
      <w:r w:rsidRPr="00221596">
        <w:rPr>
          <w:rFonts w:ascii="Cambria" w:hAnsi="Cambria"/>
          <w:lang w:val="en-US"/>
        </w:rPr>
        <w:t xml:space="preserve"> (Revision of the Self-Perception Profile for Children, 1985). Denver: University of Denver.</w:t>
      </w:r>
    </w:p>
    <w:p w14:paraId="17B66526" w14:textId="77777777" w:rsidR="00C86272" w:rsidRPr="00221596" w:rsidRDefault="00DC06E3" w:rsidP="00C86272">
      <w:pPr>
        <w:spacing w:line="480" w:lineRule="auto"/>
        <w:ind w:hanging="284"/>
        <w:rPr>
          <w:rFonts w:ascii="Cambria" w:hAnsi="Cambria"/>
        </w:rPr>
      </w:pPr>
      <w:r w:rsidRPr="00221596">
        <w:rPr>
          <w:rFonts w:ascii="Cambria" w:hAnsi="Cambria"/>
        </w:rPr>
        <w:t xml:space="preserve">Jones, D.E., Greenberg, M., &amp; Crowley, M. (2015). Early Social-Emotional Functioning and Public Health: The Relationship Between Kindergarten Social Competence and Future Wellness. </w:t>
      </w:r>
      <w:r w:rsidRPr="00221596">
        <w:rPr>
          <w:rFonts w:ascii="Cambria" w:hAnsi="Cambria"/>
          <w:i/>
        </w:rPr>
        <w:t>American Journal of Public Health</w:t>
      </w:r>
      <w:r w:rsidRPr="00221596">
        <w:rPr>
          <w:rFonts w:ascii="Cambria" w:hAnsi="Cambria"/>
        </w:rPr>
        <w:t>, 105(11), 2283-2290.</w:t>
      </w:r>
    </w:p>
    <w:p w14:paraId="17CC4CF3" w14:textId="77777777" w:rsidR="00C86272" w:rsidRPr="00221596" w:rsidRDefault="00EB2E04" w:rsidP="00C86272">
      <w:pPr>
        <w:spacing w:line="480" w:lineRule="auto"/>
        <w:ind w:hanging="284"/>
        <w:rPr>
          <w:rFonts w:ascii="Cambria" w:hAnsi="Cambria"/>
        </w:rPr>
      </w:pPr>
      <w:r w:rsidRPr="00221596">
        <w:rPr>
          <w:rFonts w:ascii="Cambria" w:hAnsi="Cambria"/>
        </w:rPr>
        <w:t xml:space="preserve">Padilla-Walker, L. M. (2016). Moral development during emerging adulthood. Chapter in J.J. Arnett (Ed.) </w:t>
      </w:r>
      <w:r w:rsidRPr="00221596">
        <w:rPr>
          <w:rFonts w:ascii="Cambria" w:hAnsi="Cambria"/>
          <w:i/>
        </w:rPr>
        <w:t>The Oxford Handbook of Emerging Adulthood</w:t>
      </w:r>
      <w:r w:rsidRPr="00221596">
        <w:rPr>
          <w:rFonts w:ascii="Cambria" w:hAnsi="Cambria"/>
        </w:rPr>
        <w:t>. Oxford, UK: Oxford University Press, pp. 449-461.</w:t>
      </w:r>
    </w:p>
    <w:p w14:paraId="7B3FB504" w14:textId="5F798E67" w:rsidR="00C86272" w:rsidRPr="00221596" w:rsidRDefault="00EB2E04" w:rsidP="00C86272">
      <w:pPr>
        <w:spacing w:line="480" w:lineRule="auto"/>
        <w:ind w:hanging="284"/>
        <w:rPr>
          <w:rFonts w:ascii="Cambria" w:hAnsi="Cambria"/>
        </w:rPr>
      </w:pPr>
      <w:r w:rsidRPr="00221596">
        <w:rPr>
          <w:rFonts w:ascii="Cambria" w:hAnsi="Cambria"/>
        </w:rPr>
        <w:t xml:space="preserve">Public Health England (2015). </w:t>
      </w:r>
      <w:r w:rsidRPr="00221596">
        <w:rPr>
          <w:rFonts w:ascii="Cambria" w:hAnsi="Cambria"/>
          <w:i/>
        </w:rPr>
        <w:t>Improving young people’s health and wellbeing: a framework for public health</w:t>
      </w:r>
      <w:r w:rsidRPr="00221596">
        <w:rPr>
          <w:rFonts w:ascii="Cambria" w:hAnsi="Cambria"/>
        </w:rPr>
        <w:t xml:space="preserve">. PHE publications gateway number: 2014687. Available at: </w:t>
      </w:r>
      <w:hyperlink r:id="rId9" w:history="1">
        <w:r w:rsidRPr="00221596">
          <w:rPr>
            <w:rStyle w:val="Hyperlink"/>
            <w:rFonts w:ascii="Cambria" w:hAnsi="Cambria"/>
          </w:rPr>
          <w:t>https://www.gov.uk/government/publications/improving-young-peoples-health-and-wellbeing-a-framework-for-public-health</w:t>
        </w:r>
      </w:hyperlink>
      <w:r w:rsidRPr="00221596">
        <w:rPr>
          <w:rFonts w:ascii="Cambria" w:hAnsi="Cambria"/>
        </w:rPr>
        <w:t xml:space="preserve"> </w:t>
      </w:r>
      <w:r w:rsidR="00142045" w:rsidRPr="00221596">
        <w:rPr>
          <w:rFonts w:ascii="Cambria" w:hAnsi="Cambria"/>
        </w:rPr>
        <w:t xml:space="preserve"> </w:t>
      </w:r>
    </w:p>
    <w:p w14:paraId="66F4A2A6" w14:textId="1080C4D4" w:rsidR="00C86272" w:rsidRPr="00221596" w:rsidRDefault="00DC06E3" w:rsidP="00C86272">
      <w:pPr>
        <w:spacing w:line="480" w:lineRule="auto"/>
        <w:ind w:hanging="284"/>
        <w:rPr>
          <w:rFonts w:ascii="Cambria" w:hAnsi="Cambria"/>
        </w:rPr>
      </w:pPr>
      <w:r w:rsidRPr="00221596">
        <w:rPr>
          <w:rFonts w:ascii="Cambria" w:hAnsi="Cambria"/>
        </w:rPr>
        <w:t xml:space="preserve">Stewart, J., Bleumers, L., Van Looy, J., Mariën, I., All, A., Schurmans, D., ... &amp; Misuraca, G. (2013). </w:t>
      </w:r>
      <w:r w:rsidRPr="00221596">
        <w:rPr>
          <w:rFonts w:ascii="Cambria" w:hAnsi="Cambria"/>
          <w:i/>
        </w:rPr>
        <w:t>The potential of digital games for empowerment and social inclusion of groups at risk of social and economic exclusion: evidence and opportunity for policy.</w:t>
      </w:r>
      <w:r w:rsidRPr="00221596">
        <w:rPr>
          <w:rFonts w:ascii="Cambria" w:hAnsi="Cambria"/>
        </w:rPr>
        <w:t xml:space="preserve"> Joint Research Centre, European Commission. Available at: </w:t>
      </w:r>
      <w:hyperlink r:id="rId10" w:history="1">
        <w:r w:rsidR="00C86272" w:rsidRPr="00221596">
          <w:rPr>
            <w:rStyle w:val="Hyperlink"/>
            <w:rFonts w:ascii="Cambria" w:hAnsi="Cambria"/>
          </w:rPr>
          <w:t>http://ftp.jrc.es/EURdoc/JRC78777.pdf</w:t>
        </w:r>
      </w:hyperlink>
    </w:p>
    <w:p w14:paraId="3CCCA265" w14:textId="77777777" w:rsidR="00C86272" w:rsidRPr="00221596" w:rsidRDefault="00DC06E3" w:rsidP="00C86272">
      <w:pPr>
        <w:spacing w:line="480" w:lineRule="auto"/>
        <w:ind w:hanging="284"/>
        <w:rPr>
          <w:rFonts w:ascii="Cambria" w:hAnsi="Cambria"/>
        </w:rPr>
      </w:pPr>
      <w:r w:rsidRPr="00221596">
        <w:rPr>
          <w:rFonts w:ascii="Cambria" w:hAnsi="Cambria"/>
        </w:rPr>
        <w:t xml:space="preserve">Teo, T. (2015). Comparing pre-service and in-service teachers' acceptance of technology: Assessment of measurement invariance and latent mean differences. </w:t>
      </w:r>
      <w:r w:rsidRPr="00221596">
        <w:rPr>
          <w:rFonts w:ascii="Cambria" w:hAnsi="Cambria"/>
          <w:i/>
        </w:rPr>
        <w:t>Computers &amp; Education</w:t>
      </w:r>
      <w:r w:rsidR="00C86272" w:rsidRPr="00221596">
        <w:rPr>
          <w:rFonts w:ascii="Cambria" w:hAnsi="Cambria"/>
        </w:rPr>
        <w:t>, 83, 22-31.</w:t>
      </w:r>
    </w:p>
    <w:p w14:paraId="61A1976C" w14:textId="117EE18C" w:rsidR="00AC5DCE" w:rsidRPr="00A71388" w:rsidRDefault="00AC5DCE" w:rsidP="00C86272">
      <w:pPr>
        <w:spacing w:line="480" w:lineRule="auto"/>
        <w:ind w:hanging="284"/>
        <w:rPr>
          <w:rFonts w:ascii="Cambria" w:hAnsi="Cambria"/>
        </w:rPr>
      </w:pPr>
      <w:r w:rsidRPr="00221596">
        <w:rPr>
          <w:rFonts w:ascii="Cambria" w:hAnsi="Cambria"/>
        </w:rPr>
        <w:t xml:space="preserve">Warburton, W, (2018) </w:t>
      </w:r>
      <w:r w:rsidRPr="00221596">
        <w:rPr>
          <w:rFonts w:ascii="Cambria" w:hAnsi="Cambria"/>
          <w:i/>
        </w:rPr>
        <w:t>Violent video games and their impact</w:t>
      </w:r>
      <w:r w:rsidRPr="00221596">
        <w:rPr>
          <w:rFonts w:ascii="Cambria" w:hAnsi="Cambria"/>
        </w:rPr>
        <w:t xml:space="preserve">. Expert Monograph, Issue 24. Available at: </w:t>
      </w:r>
      <w:hyperlink r:id="rId11" w:history="1">
        <w:r w:rsidRPr="00221596">
          <w:rPr>
            <w:rStyle w:val="Hyperlink"/>
            <w:rFonts w:ascii="Cambria" w:hAnsi="Cambria"/>
          </w:rPr>
          <w:t>https://www.healthed.com.au/wp-content/uploads/2018/07/Monograph-24-Wayne-Warburton-Final-1.pdf</w:t>
        </w:r>
      </w:hyperlink>
      <w:r>
        <w:rPr>
          <w:rFonts w:ascii="Cambria" w:hAnsi="Cambria"/>
        </w:rPr>
        <w:t xml:space="preserve"> </w:t>
      </w:r>
    </w:p>
    <w:sectPr w:rsidR="00AC5DCE" w:rsidRPr="00A7138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03EA2" w14:textId="77777777" w:rsidR="00DF1101" w:rsidRDefault="00DF1101" w:rsidP="00DF1101">
      <w:pPr>
        <w:spacing w:after="0" w:line="240" w:lineRule="auto"/>
      </w:pPr>
      <w:r>
        <w:separator/>
      </w:r>
    </w:p>
  </w:endnote>
  <w:endnote w:type="continuationSeparator" w:id="0">
    <w:p w14:paraId="7E92C41B" w14:textId="77777777" w:rsidR="00DF1101" w:rsidRDefault="00DF1101" w:rsidP="00DF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Neue-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305875"/>
      <w:docPartObj>
        <w:docPartGallery w:val="Page Numbers (Bottom of Page)"/>
        <w:docPartUnique/>
      </w:docPartObj>
    </w:sdtPr>
    <w:sdtEndPr>
      <w:rPr>
        <w:noProof/>
      </w:rPr>
    </w:sdtEndPr>
    <w:sdtContent>
      <w:p w14:paraId="4369D54A" w14:textId="7A8686E1" w:rsidR="00DF1101" w:rsidRDefault="00DF1101">
        <w:pPr>
          <w:pStyle w:val="Footer"/>
          <w:jc w:val="center"/>
        </w:pPr>
        <w:r>
          <w:fldChar w:fldCharType="begin"/>
        </w:r>
        <w:r>
          <w:instrText xml:space="preserve"> PAGE   \* MERGEFORMAT </w:instrText>
        </w:r>
        <w:r>
          <w:fldChar w:fldCharType="separate"/>
        </w:r>
        <w:r w:rsidR="00576B4E">
          <w:rPr>
            <w:noProof/>
          </w:rPr>
          <w:t>1</w:t>
        </w:r>
        <w:r>
          <w:rPr>
            <w:noProof/>
          </w:rPr>
          <w:fldChar w:fldCharType="end"/>
        </w:r>
      </w:p>
    </w:sdtContent>
  </w:sdt>
  <w:p w14:paraId="243B6EEE" w14:textId="77777777" w:rsidR="00DF1101" w:rsidRDefault="00DF1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FCDCB" w14:textId="77777777" w:rsidR="00DF1101" w:rsidRDefault="00DF1101" w:rsidP="00DF1101">
      <w:pPr>
        <w:spacing w:after="0" w:line="240" w:lineRule="auto"/>
      </w:pPr>
      <w:r>
        <w:separator/>
      </w:r>
    </w:p>
  </w:footnote>
  <w:footnote w:type="continuationSeparator" w:id="0">
    <w:p w14:paraId="2DF2F730" w14:textId="77777777" w:rsidR="00DF1101" w:rsidRDefault="00DF1101" w:rsidP="00DF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A22D8"/>
    <w:multiLevelType w:val="hybridMultilevel"/>
    <w:tmpl w:val="C4522EB4"/>
    <w:lvl w:ilvl="0" w:tplc="25904C7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03F29"/>
    <w:multiLevelType w:val="hybridMultilevel"/>
    <w:tmpl w:val="82BA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E0A2D"/>
    <w:multiLevelType w:val="hybridMultilevel"/>
    <w:tmpl w:val="C074B43C"/>
    <w:lvl w:ilvl="0" w:tplc="6A048A0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04347"/>
    <w:multiLevelType w:val="hybridMultilevel"/>
    <w:tmpl w:val="7D7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2686B"/>
    <w:multiLevelType w:val="hybridMultilevel"/>
    <w:tmpl w:val="3434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74"/>
    <w:rsid w:val="0003607B"/>
    <w:rsid w:val="000E3BDF"/>
    <w:rsid w:val="00142045"/>
    <w:rsid w:val="00143E69"/>
    <w:rsid w:val="001566F3"/>
    <w:rsid w:val="00195F62"/>
    <w:rsid w:val="00196CEB"/>
    <w:rsid w:val="001C440D"/>
    <w:rsid w:val="001E2CCF"/>
    <w:rsid w:val="00221596"/>
    <w:rsid w:val="00227417"/>
    <w:rsid w:val="00240F75"/>
    <w:rsid w:val="00265AC1"/>
    <w:rsid w:val="00293EDD"/>
    <w:rsid w:val="002F6973"/>
    <w:rsid w:val="0032181B"/>
    <w:rsid w:val="003F14A8"/>
    <w:rsid w:val="003F3D3E"/>
    <w:rsid w:val="0040778F"/>
    <w:rsid w:val="004750D5"/>
    <w:rsid w:val="00496DDC"/>
    <w:rsid w:val="004F3B1A"/>
    <w:rsid w:val="00576B4E"/>
    <w:rsid w:val="00593566"/>
    <w:rsid w:val="00596A52"/>
    <w:rsid w:val="005C00FE"/>
    <w:rsid w:val="006822B5"/>
    <w:rsid w:val="0068448B"/>
    <w:rsid w:val="00685022"/>
    <w:rsid w:val="006B344B"/>
    <w:rsid w:val="006F4DC4"/>
    <w:rsid w:val="00731441"/>
    <w:rsid w:val="0073734D"/>
    <w:rsid w:val="007742AC"/>
    <w:rsid w:val="00777FC9"/>
    <w:rsid w:val="007A68A6"/>
    <w:rsid w:val="007C401A"/>
    <w:rsid w:val="008617A1"/>
    <w:rsid w:val="009210AD"/>
    <w:rsid w:val="00924AF9"/>
    <w:rsid w:val="009274FD"/>
    <w:rsid w:val="0093494D"/>
    <w:rsid w:val="0093647E"/>
    <w:rsid w:val="009854E6"/>
    <w:rsid w:val="009926EB"/>
    <w:rsid w:val="009C7D4B"/>
    <w:rsid w:val="009D1BD8"/>
    <w:rsid w:val="009E07E9"/>
    <w:rsid w:val="009F5E39"/>
    <w:rsid w:val="00A06C1B"/>
    <w:rsid w:val="00A22D2C"/>
    <w:rsid w:val="00A26EC2"/>
    <w:rsid w:val="00A67141"/>
    <w:rsid w:val="00A71388"/>
    <w:rsid w:val="00A76460"/>
    <w:rsid w:val="00A82CFE"/>
    <w:rsid w:val="00A940C4"/>
    <w:rsid w:val="00AB303A"/>
    <w:rsid w:val="00AC5DCE"/>
    <w:rsid w:val="00B570DE"/>
    <w:rsid w:val="00B748EC"/>
    <w:rsid w:val="00B85B94"/>
    <w:rsid w:val="00C01274"/>
    <w:rsid w:val="00C127AA"/>
    <w:rsid w:val="00C419B0"/>
    <w:rsid w:val="00C86272"/>
    <w:rsid w:val="00CF6203"/>
    <w:rsid w:val="00D21C39"/>
    <w:rsid w:val="00DC06E3"/>
    <w:rsid w:val="00DD47E2"/>
    <w:rsid w:val="00DF1101"/>
    <w:rsid w:val="00E17510"/>
    <w:rsid w:val="00E53BCD"/>
    <w:rsid w:val="00E64346"/>
    <w:rsid w:val="00E72D0C"/>
    <w:rsid w:val="00E946EE"/>
    <w:rsid w:val="00EA184E"/>
    <w:rsid w:val="00EB2E04"/>
    <w:rsid w:val="00ED713A"/>
    <w:rsid w:val="00F06DCA"/>
    <w:rsid w:val="00F07F65"/>
    <w:rsid w:val="00F33AB4"/>
    <w:rsid w:val="00F44FE7"/>
    <w:rsid w:val="00F61BC5"/>
    <w:rsid w:val="00FD0B12"/>
    <w:rsid w:val="00FF73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B161"/>
  <w15:chartTrackingRefBased/>
  <w15:docId w15:val="{084A7162-04AD-4FB1-A6E3-22407DBF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DCE"/>
    <w:rPr>
      <w:color w:val="0563C1" w:themeColor="hyperlink"/>
      <w:u w:val="single"/>
    </w:rPr>
  </w:style>
  <w:style w:type="character" w:styleId="FollowedHyperlink">
    <w:name w:val="FollowedHyperlink"/>
    <w:basedOn w:val="DefaultParagraphFont"/>
    <w:uiPriority w:val="99"/>
    <w:semiHidden/>
    <w:unhideWhenUsed/>
    <w:rsid w:val="00EB2E04"/>
    <w:rPr>
      <w:color w:val="954F72" w:themeColor="followedHyperlink"/>
      <w:u w:val="single"/>
    </w:rPr>
  </w:style>
  <w:style w:type="character" w:styleId="CommentReference">
    <w:name w:val="annotation reference"/>
    <w:basedOn w:val="DefaultParagraphFont"/>
    <w:uiPriority w:val="99"/>
    <w:semiHidden/>
    <w:unhideWhenUsed/>
    <w:rsid w:val="002F6973"/>
    <w:rPr>
      <w:sz w:val="16"/>
      <w:szCs w:val="16"/>
    </w:rPr>
  </w:style>
  <w:style w:type="paragraph" w:styleId="CommentText">
    <w:name w:val="annotation text"/>
    <w:basedOn w:val="Normal"/>
    <w:link w:val="CommentTextChar"/>
    <w:uiPriority w:val="99"/>
    <w:semiHidden/>
    <w:unhideWhenUsed/>
    <w:rsid w:val="002F6973"/>
    <w:pPr>
      <w:spacing w:line="240" w:lineRule="auto"/>
    </w:pPr>
    <w:rPr>
      <w:sz w:val="20"/>
      <w:szCs w:val="20"/>
    </w:rPr>
  </w:style>
  <w:style w:type="character" w:customStyle="1" w:styleId="CommentTextChar">
    <w:name w:val="Comment Text Char"/>
    <w:basedOn w:val="DefaultParagraphFont"/>
    <w:link w:val="CommentText"/>
    <w:uiPriority w:val="99"/>
    <w:semiHidden/>
    <w:rsid w:val="002F6973"/>
    <w:rPr>
      <w:sz w:val="20"/>
      <w:szCs w:val="20"/>
    </w:rPr>
  </w:style>
  <w:style w:type="paragraph" w:styleId="CommentSubject">
    <w:name w:val="annotation subject"/>
    <w:basedOn w:val="CommentText"/>
    <w:next w:val="CommentText"/>
    <w:link w:val="CommentSubjectChar"/>
    <w:uiPriority w:val="99"/>
    <w:semiHidden/>
    <w:unhideWhenUsed/>
    <w:rsid w:val="002F6973"/>
    <w:rPr>
      <w:b/>
      <w:bCs/>
    </w:rPr>
  </w:style>
  <w:style w:type="character" w:customStyle="1" w:styleId="CommentSubjectChar">
    <w:name w:val="Comment Subject Char"/>
    <w:basedOn w:val="CommentTextChar"/>
    <w:link w:val="CommentSubject"/>
    <w:uiPriority w:val="99"/>
    <w:semiHidden/>
    <w:rsid w:val="002F6973"/>
    <w:rPr>
      <w:b/>
      <w:bCs/>
      <w:sz w:val="20"/>
      <w:szCs w:val="20"/>
    </w:rPr>
  </w:style>
  <w:style w:type="paragraph" w:styleId="BalloonText">
    <w:name w:val="Balloon Text"/>
    <w:basedOn w:val="Normal"/>
    <w:link w:val="BalloonTextChar"/>
    <w:uiPriority w:val="99"/>
    <w:semiHidden/>
    <w:unhideWhenUsed/>
    <w:rsid w:val="002F6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973"/>
    <w:rPr>
      <w:rFonts w:ascii="Segoe UI" w:hAnsi="Segoe UI" w:cs="Segoe UI"/>
      <w:sz w:val="18"/>
      <w:szCs w:val="18"/>
    </w:rPr>
  </w:style>
  <w:style w:type="paragraph" w:styleId="ListParagraph">
    <w:name w:val="List Paragraph"/>
    <w:basedOn w:val="Normal"/>
    <w:uiPriority w:val="34"/>
    <w:qFormat/>
    <w:rsid w:val="00685022"/>
    <w:pPr>
      <w:ind w:left="720"/>
      <w:contextualSpacing/>
    </w:pPr>
  </w:style>
  <w:style w:type="paragraph" w:styleId="Header">
    <w:name w:val="header"/>
    <w:basedOn w:val="Normal"/>
    <w:link w:val="HeaderChar"/>
    <w:uiPriority w:val="99"/>
    <w:unhideWhenUsed/>
    <w:rsid w:val="00DF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01"/>
  </w:style>
  <w:style w:type="paragraph" w:styleId="Footer">
    <w:name w:val="footer"/>
    <w:basedOn w:val="Normal"/>
    <w:link w:val="FooterChar"/>
    <w:uiPriority w:val="99"/>
    <w:unhideWhenUsed/>
    <w:rsid w:val="00DF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95090">
      <w:bodyDiv w:val="1"/>
      <w:marLeft w:val="0"/>
      <w:marRight w:val="0"/>
      <w:marTop w:val="0"/>
      <w:marBottom w:val="0"/>
      <w:divBdr>
        <w:top w:val="none" w:sz="0" w:space="0" w:color="auto"/>
        <w:left w:val="none" w:sz="0" w:space="0" w:color="auto"/>
        <w:bottom w:val="none" w:sz="0" w:space="0" w:color="auto"/>
        <w:right w:val="none" w:sz="0" w:space="0" w:color="auto"/>
      </w:divBdr>
      <w:divsChild>
        <w:div w:id="89142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sociallearn.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pact.chartered.college/article/prosocial-digital-games-inclusion-primary-classro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ed.com.au/wp-content/uploads/2018/07/Monograph-24-Wayne-Warburton-Final-1.pdf" TargetMode="External"/><Relationship Id="rId5" Type="http://schemas.openxmlformats.org/officeDocument/2006/relationships/footnotes" Target="footnotes.xml"/><Relationship Id="rId10" Type="http://schemas.openxmlformats.org/officeDocument/2006/relationships/hyperlink" Target="http://ftp.jrc.es/EURdoc/JRC78777.pdf" TargetMode="External"/><Relationship Id="rId4" Type="http://schemas.openxmlformats.org/officeDocument/2006/relationships/webSettings" Target="webSettings.xml"/><Relationship Id="rId9" Type="http://schemas.openxmlformats.org/officeDocument/2006/relationships/hyperlink" Target="https://www.gov.uk/government/publications/improving-young-peoples-health-and-wellbeing-a-framework-for-public-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S.J.</dc:creator>
  <cp:keywords/>
  <dc:description/>
  <cp:lastModifiedBy>Edwards L.</cp:lastModifiedBy>
  <cp:revision>2</cp:revision>
  <dcterms:created xsi:type="dcterms:W3CDTF">2019-02-06T11:20:00Z</dcterms:created>
  <dcterms:modified xsi:type="dcterms:W3CDTF">2019-02-06T11:20:00Z</dcterms:modified>
</cp:coreProperties>
</file>