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rPr>
        <w:id w:val="-880004032"/>
        <w:docPartObj>
          <w:docPartGallery w:val="Cover Pages"/>
          <w:docPartUnique/>
        </w:docPartObj>
      </w:sdtPr>
      <w:sdtEndPr>
        <w:rPr>
          <w:sz w:val="32"/>
          <w:szCs w:val="32"/>
        </w:rPr>
      </w:sdtEndPr>
      <w:sdtContent>
        <w:p w14:paraId="7C7110C9" w14:textId="038A2555" w:rsidR="00A34EC4" w:rsidRPr="00CF6F48" w:rsidRDefault="00A34EC4">
          <w:pPr>
            <w:rPr>
              <w:b/>
            </w:rPr>
          </w:pPr>
        </w:p>
        <w:p w14:paraId="069C3B93" w14:textId="23332DDB" w:rsidR="00A34EC4" w:rsidRPr="00CF6F48" w:rsidRDefault="00A34EC4">
          <w:pPr>
            <w:widowControl/>
            <w:jc w:val="left"/>
            <w:rPr>
              <w:b/>
              <w:sz w:val="32"/>
              <w:szCs w:val="32"/>
            </w:rPr>
          </w:pPr>
          <w:r w:rsidRPr="00CF6F48">
            <w:rPr>
              <w:b/>
              <w:noProof/>
            </w:rPr>
            <mc:AlternateContent>
              <mc:Choice Requires="wps">
                <w:drawing>
                  <wp:anchor distT="0" distB="0" distL="182880" distR="182880" simplePos="0" relativeHeight="251673600" behindDoc="0" locked="0" layoutInCell="1" allowOverlap="1" wp14:anchorId="7AE152A1" wp14:editId="312BD33D">
                    <wp:simplePos x="0" y="0"/>
                    <mc:AlternateContent>
                      <mc:Choice Requires="wp14">
                        <wp:positionH relativeFrom="margin">
                          <wp14:pctPosHOffset>7700</wp14:pctPosHOffset>
                        </wp:positionH>
                      </mc:Choice>
                      <mc:Fallback>
                        <wp:positionH relativeFrom="page">
                          <wp:posOffset>1343660</wp:posOffset>
                        </wp:positionH>
                      </mc:Fallback>
                    </mc:AlternateContent>
                    <mc:AlternateContent>
                      <mc:Choice Requires="wp14">
                        <wp:positionV relativeFrom="page">
                          <wp14:pctPosVOffset>54000</wp14:pctPosVOffset>
                        </wp:positionV>
                      </mc:Choice>
                      <mc:Fallback>
                        <wp:positionV relativeFrom="page">
                          <wp:posOffset>5541010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14693D" w14:textId="36BBC401" w:rsidR="00C91AA4" w:rsidRDefault="002841D2">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91AA4">
                                      <w:rPr>
                                        <w:color w:val="5B9BD5" w:themeColor="accent1"/>
                                        <w:sz w:val="72"/>
                                        <w:szCs w:val="72"/>
                                      </w:rPr>
                                      <w:t xml:space="preserve">IJCSES 2019 </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616172A" w14:textId="750EA290" w:rsidR="00C91AA4" w:rsidRDefault="00C91AA4">
                                    <w:pPr>
                                      <w:pStyle w:val="NoSpacing"/>
                                      <w:spacing w:before="40" w:after="40"/>
                                      <w:rPr>
                                        <w:caps/>
                                        <w:color w:val="1F3864" w:themeColor="accent5" w:themeShade="80"/>
                                        <w:sz w:val="28"/>
                                        <w:szCs w:val="28"/>
                                      </w:rPr>
                                    </w:pPr>
                                    <w:r>
                                      <w:rPr>
                                        <w:caps/>
                                        <w:color w:val="1F3864" w:themeColor="accent5" w:themeShade="80"/>
                                        <w:sz w:val="28"/>
                                        <w:szCs w:val="28"/>
                                      </w:rPr>
                                      <w:t>for the working group</w:t>
                                    </w:r>
                                  </w:p>
                                </w:sdtContent>
                              </w:sdt>
                              <w:sdt>
                                <w:sdtPr>
                                  <w:rPr>
                                    <w:caps/>
                                    <w:color w:val="4472C4" w:themeColor="accent5"/>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38835D1B" w14:textId="24B4FF27" w:rsidR="00C91AA4" w:rsidRDefault="0041108A">
                                    <w:pPr>
                                      <w:pStyle w:val="NoSpacing"/>
                                      <w:spacing w:before="80" w:after="40"/>
                                      <w:rPr>
                                        <w:caps/>
                                        <w:color w:val="4472C4" w:themeColor="accent5"/>
                                        <w:sz w:val="24"/>
                                        <w:szCs w:val="24"/>
                                      </w:rPr>
                                    </w:pPr>
                                    <w:r>
                                      <w:rPr>
                                        <w:caps/>
                                        <w:color w:val="4472C4"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5="http://schemas.microsoft.com/office/word/2012/wordml">
                <w:pict>
                  <v:shapetype w14:anchorId="7AE152A1" id="_x0000_t202" coordsize="21600,21600" o:spt="202" path="m,l,21600r21600,l21600,xe">
                    <v:stroke joinstyle="miter"/>
                    <v:path gradientshapeok="t" o:connecttype="rect"/>
                  </v:shapetype>
                  <v:shape id="Text Box 131" o:spid="_x0000_s1026" type="#_x0000_t202" style="position:absolute;margin-left:0;margin-top:0;width:369pt;height:529.2pt;z-index:251673600;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2C14693D" w14:textId="36BBC401" w:rsidR="00C91AA4" w:rsidRDefault="00BA0F2D">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91AA4">
                                <w:rPr>
                                  <w:color w:val="5B9BD5" w:themeColor="accent1"/>
                                  <w:sz w:val="72"/>
                                  <w:szCs w:val="72"/>
                                </w:rPr>
                                <w:t xml:space="preserve">IJCSES 2019 </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616172A" w14:textId="750EA290" w:rsidR="00C91AA4" w:rsidRDefault="00C91AA4">
                              <w:pPr>
                                <w:pStyle w:val="NoSpacing"/>
                                <w:spacing w:before="40" w:after="40"/>
                                <w:rPr>
                                  <w:caps/>
                                  <w:color w:val="1F3864" w:themeColor="accent5" w:themeShade="80"/>
                                  <w:sz w:val="28"/>
                                  <w:szCs w:val="28"/>
                                </w:rPr>
                              </w:pPr>
                              <w:r>
                                <w:rPr>
                                  <w:caps/>
                                  <w:color w:val="1F3864" w:themeColor="accent5" w:themeShade="80"/>
                                  <w:sz w:val="28"/>
                                  <w:szCs w:val="28"/>
                                </w:rPr>
                                <w:t>for the working group</w:t>
                              </w:r>
                            </w:p>
                          </w:sdtContent>
                        </w:sdt>
                        <w:sdt>
                          <w:sdtPr>
                            <w:rPr>
                              <w:caps/>
                              <w:color w:val="4472C4" w:themeColor="accent5"/>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38835D1B" w14:textId="24B4FF27" w:rsidR="00C91AA4" w:rsidRDefault="0041108A">
                              <w:pPr>
                                <w:pStyle w:val="NoSpacing"/>
                                <w:spacing w:before="80" w:after="40"/>
                                <w:rPr>
                                  <w:caps/>
                                  <w:color w:val="4472C4" w:themeColor="accent5"/>
                                  <w:sz w:val="24"/>
                                  <w:szCs w:val="24"/>
                                </w:rPr>
                              </w:pPr>
                              <w:r>
                                <w:rPr>
                                  <w:caps/>
                                  <w:color w:val="4472C4" w:themeColor="accent5"/>
                                  <w:sz w:val="24"/>
                                  <w:szCs w:val="24"/>
                                </w:rPr>
                                <w:t xml:space="preserve">     </w:t>
                              </w:r>
                            </w:p>
                          </w:sdtContent>
                        </w:sdt>
                      </w:txbxContent>
                    </v:textbox>
                    <w10:wrap type="square" anchorx="margin" anchory="page"/>
                  </v:shape>
                </w:pict>
              </mc:Fallback>
            </mc:AlternateContent>
          </w:r>
          <w:r w:rsidRPr="00CF6F48">
            <w:rPr>
              <w:b/>
              <w:noProof/>
            </w:rPr>
            <mc:AlternateContent>
              <mc:Choice Requires="wps">
                <w:drawing>
                  <wp:anchor distT="0" distB="0" distL="114300" distR="114300" simplePos="0" relativeHeight="251672576" behindDoc="0" locked="0" layoutInCell="1" allowOverlap="1" wp14:anchorId="7953A299" wp14:editId="1891C6D0">
                    <wp:simplePos x="0" y="0"/>
                    <wp:positionH relativeFrom="margin">
                      <wp:align>right</wp:align>
                    </wp:positionH>
                    <mc:AlternateContent>
                      <mc:Choice Requires="wp14">
                        <wp:positionV relativeFrom="page">
                          <wp14:pctPosVOffset>2300</wp14:pctPosVOffset>
                        </wp:positionV>
                      </mc:Choice>
                      <mc:Fallback>
                        <wp:positionV relativeFrom="page">
                          <wp:posOffset>235585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7T00:00:00Z">
                                    <w:dateFormat w:val="yyyy"/>
                                    <w:lid w:val="en-US"/>
                                    <w:storeMappedDataAs w:val="dateTime"/>
                                    <w:calendar w:val="gregorian"/>
                                  </w:date>
                                </w:sdtPr>
                                <w:sdtEndPr/>
                                <w:sdtContent>
                                  <w:p w14:paraId="2FDA6A90" w14:textId="1524D02D" w:rsidR="00C91AA4" w:rsidRDefault="00C91AA4">
                                    <w:pPr>
                                      <w:pStyle w:val="NoSpacing"/>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5="http://schemas.microsoft.com/office/word/2012/wordml">
                <w:pict>
                  <v:rect w14:anchorId="7953A299" id="Rectangle 132" o:spid="_x0000_s1027" style="position:absolute;margin-left:-4.4pt;margin-top:0;width:46.8pt;height:77.75pt;z-index:25167257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7T00:00:00Z">
                              <w:dateFormat w:val="yyyy"/>
                              <w:lid w:val="en-US"/>
                              <w:storeMappedDataAs w:val="dateTime"/>
                              <w:calendar w:val="gregorian"/>
                            </w:date>
                          </w:sdtPr>
                          <w:sdtContent>
                            <w:p w14:paraId="2FDA6A90" w14:textId="1524D02D" w:rsidR="00C91AA4" w:rsidRDefault="00C91AA4">
                              <w:pPr>
                                <w:pStyle w:val="NoSpacing"/>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sidRPr="00CF6F48">
            <w:rPr>
              <w:b/>
              <w:sz w:val="32"/>
              <w:szCs w:val="32"/>
            </w:rPr>
            <w:br w:type="page"/>
          </w:r>
        </w:p>
      </w:sdtContent>
    </w:sdt>
    <w:p w14:paraId="7880A80A" w14:textId="5B96EA4C" w:rsidR="0055154E" w:rsidRPr="00CF6F48" w:rsidRDefault="0055154E" w:rsidP="0055154E">
      <w:pPr>
        <w:spacing w:line="400" w:lineRule="exact"/>
        <w:rPr>
          <w:kern w:val="0"/>
          <w:sz w:val="32"/>
          <w:szCs w:val="40"/>
        </w:rPr>
      </w:pPr>
      <w:r w:rsidRPr="00CF6F48">
        <w:rPr>
          <w:sz w:val="32"/>
          <w:szCs w:val="32"/>
        </w:rPr>
        <w:lastRenderedPageBreak/>
        <w:t>What is the relationship between students’ computational thinking performance and school achievement?</w:t>
      </w:r>
    </w:p>
    <w:p w14:paraId="7ABB77CC" w14:textId="77777777" w:rsidR="0055154E" w:rsidRPr="00CF6F48" w:rsidRDefault="0055154E" w:rsidP="0055154E">
      <w:pPr>
        <w:spacing w:after="80" w:line="240" w:lineRule="exact"/>
        <w:rPr>
          <w:sz w:val="20"/>
          <w:szCs w:val="22"/>
        </w:rPr>
      </w:pPr>
    </w:p>
    <w:p w14:paraId="04EFCA2B" w14:textId="77777777" w:rsidR="0055154E" w:rsidRPr="00CF6F48" w:rsidRDefault="0055154E" w:rsidP="0055154E">
      <w:pPr>
        <w:spacing w:after="80" w:line="240" w:lineRule="exact"/>
        <w:outlineLvl w:val="0"/>
        <w:rPr>
          <w:b/>
          <w:bCs/>
          <w:sz w:val="20"/>
          <w:szCs w:val="22"/>
        </w:rPr>
      </w:pPr>
      <w:r w:rsidRPr="00CF6F48">
        <w:rPr>
          <w:b/>
          <w:bCs/>
          <w:sz w:val="20"/>
          <w:szCs w:val="22"/>
        </w:rPr>
        <w:t>Abstract</w:t>
      </w:r>
    </w:p>
    <w:p w14:paraId="67D65126" w14:textId="353212DD" w:rsidR="0055154E" w:rsidRPr="00CF6F48" w:rsidRDefault="0055154E" w:rsidP="0055154E">
      <w:pPr>
        <w:spacing w:after="80" w:line="240" w:lineRule="exact"/>
        <w:rPr>
          <w:b/>
          <w:sz w:val="20"/>
          <w:szCs w:val="22"/>
        </w:rPr>
      </w:pPr>
      <w:r w:rsidRPr="00CF6F48">
        <w:rPr>
          <w:sz w:val="20"/>
          <w:szCs w:val="22"/>
        </w:rPr>
        <w:t>This study investigates the relationship between computational thinking performance and general school achievement and explores if computational thinking performance can be predicted by algebra and informatics achievement.</w:t>
      </w:r>
      <w:r w:rsidR="008C1596" w:rsidRPr="00CF6F48">
        <w:rPr>
          <w:sz w:val="20"/>
          <w:szCs w:val="22"/>
        </w:rPr>
        <w:t xml:space="preserve"> </w:t>
      </w:r>
      <w:r w:rsidRPr="00CF6F48">
        <w:rPr>
          <w:sz w:val="20"/>
          <w:szCs w:val="22"/>
        </w:rPr>
        <w:t>The sample group of 775 grade 8 students are drawn from 28 secondary schools across</w:t>
      </w:r>
      <w:r w:rsidR="006810E1" w:rsidRPr="00CF6F48">
        <w:rPr>
          <w:sz w:val="20"/>
          <w:szCs w:val="22"/>
        </w:rPr>
        <w:t xml:space="preserve"> Kazakhstan</w:t>
      </w:r>
      <w:r w:rsidRPr="00CF6F48">
        <w:rPr>
          <w:sz w:val="20"/>
          <w:szCs w:val="22"/>
        </w:rPr>
        <w:t xml:space="preserve">. Students responded to a Computational Thinking Performance test </w:t>
      </w:r>
      <w:r w:rsidR="006810E1" w:rsidRPr="00CF6F48">
        <w:rPr>
          <w:sz w:val="20"/>
          <w:szCs w:val="22"/>
        </w:rPr>
        <w:t xml:space="preserve">of 50 multiple-choice questions </w:t>
      </w:r>
      <w:r w:rsidRPr="00CF6F48">
        <w:rPr>
          <w:sz w:val="20"/>
          <w:szCs w:val="22"/>
        </w:rPr>
        <w:t>and Computational Thinking</w:t>
      </w:r>
      <w:r w:rsidR="008C1596" w:rsidRPr="00CF6F48">
        <w:rPr>
          <w:sz w:val="20"/>
          <w:szCs w:val="22"/>
        </w:rPr>
        <w:t xml:space="preserve"> Scale questionnaire. The test </w:t>
      </w:r>
      <w:r w:rsidRPr="00CF6F48">
        <w:rPr>
          <w:sz w:val="20"/>
          <w:szCs w:val="22"/>
        </w:rPr>
        <w:t>covers the concepts: logical thinking, generalisation and abstraction.</w:t>
      </w:r>
      <w:r w:rsidR="00985A4D" w:rsidRPr="00CF6F48">
        <w:rPr>
          <w:sz w:val="20"/>
          <w:szCs w:val="22"/>
        </w:rPr>
        <w:t xml:space="preserve"> </w:t>
      </w:r>
      <w:r w:rsidR="00985A4D" w:rsidRPr="00CF6F48">
        <w:rPr>
          <w:iCs/>
          <w:sz w:val="20"/>
        </w:rPr>
        <w:t>The validity and reliability of the multiple-choice questions are tested using Item Response Theory.</w:t>
      </w:r>
      <w:r w:rsidRPr="00CF6F48">
        <w:rPr>
          <w:sz w:val="20"/>
          <w:szCs w:val="22"/>
        </w:rPr>
        <w:t xml:space="preserve"> The </w:t>
      </w:r>
      <w:r w:rsidR="006810E1" w:rsidRPr="00CF6F48">
        <w:rPr>
          <w:sz w:val="20"/>
          <w:szCs w:val="22"/>
        </w:rPr>
        <w:t xml:space="preserve">Likert type </w:t>
      </w:r>
      <w:r w:rsidRPr="00CF6F48">
        <w:rPr>
          <w:sz w:val="20"/>
          <w:szCs w:val="22"/>
        </w:rPr>
        <w:t>questionnaire</w:t>
      </w:r>
      <w:r w:rsidR="006810E1" w:rsidRPr="00CF6F48">
        <w:rPr>
          <w:sz w:val="20"/>
          <w:szCs w:val="22"/>
        </w:rPr>
        <w:t xml:space="preserve"> covers</w:t>
      </w:r>
      <w:r w:rsidRPr="00CF6F48">
        <w:rPr>
          <w:sz w:val="20"/>
          <w:szCs w:val="22"/>
        </w:rPr>
        <w:t xml:space="preserve"> five factors: creativity, algorithmic thinking, cooperation, critical thinking and problem solving. School achievement r</w:t>
      </w:r>
      <w:r w:rsidR="00D85042" w:rsidRPr="00CF6F48">
        <w:rPr>
          <w:sz w:val="20"/>
          <w:szCs w:val="22"/>
        </w:rPr>
        <w:t>esults (secondary data) include</w:t>
      </w:r>
      <w:r w:rsidRPr="00CF6F48">
        <w:rPr>
          <w:sz w:val="20"/>
          <w:szCs w:val="22"/>
        </w:rPr>
        <w:t xml:space="preserve"> scores for </w:t>
      </w:r>
      <w:r w:rsidR="006810E1" w:rsidRPr="00CF6F48">
        <w:rPr>
          <w:sz w:val="20"/>
          <w:szCs w:val="22"/>
        </w:rPr>
        <w:t>a number of</w:t>
      </w:r>
      <w:r w:rsidRPr="00CF6F48">
        <w:rPr>
          <w:sz w:val="20"/>
          <w:szCs w:val="22"/>
        </w:rPr>
        <w:t xml:space="preserve"> school subjects.</w:t>
      </w:r>
      <w:r w:rsidR="00985A4D" w:rsidRPr="00CF6F48">
        <w:rPr>
          <w:sz w:val="20"/>
          <w:szCs w:val="22"/>
        </w:rPr>
        <w:t xml:space="preserve"> </w:t>
      </w:r>
      <w:r w:rsidRPr="00CF6F48">
        <w:rPr>
          <w:sz w:val="20"/>
          <w:szCs w:val="22"/>
        </w:rPr>
        <w:t xml:space="preserve">The results of the study showed that </w:t>
      </w:r>
      <w:r w:rsidR="004B797F" w:rsidRPr="00CF6F48">
        <w:rPr>
          <w:sz w:val="20"/>
          <w:szCs w:val="22"/>
        </w:rPr>
        <w:t xml:space="preserve">the multiple-choice questions are valid and reliable tool to measure computational thinking performance of students, </w:t>
      </w:r>
      <w:r w:rsidRPr="00CF6F48">
        <w:rPr>
          <w:sz w:val="20"/>
          <w:szCs w:val="22"/>
        </w:rPr>
        <w:t>algebra, general school achievement and students’ perception of their computational thinking skills were significant predictors of computational thinking performance. The results revealed no gender difference in computational thinking performance and perceptions of computational thinking. The findings regarding the relationship between computational thinking performance of the students’ general school achievement and perceptions of computational thinking skills are compared and discussed.</w:t>
      </w:r>
    </w:p>
    <w:p w14:paraId="4D6860E7" w14:textId="11F18D3D" w:rsidR="008C1596" w:rsidRPr="00CF6F48" w:rsidRDefault="0055154E" w:rsidP="008C1596">
      <w:pPr>
        <w:spacing w:after="80" w:line="240" w:lineRule="exact"/>
      </w:pPr>
      <w:r w:rsidRPr="00CF6F48">
        <w:rPr>
          <w:b/>
          <w:sz w:val="20"/>
          <w:szCs w:val="22"/>
        </w:rPr>
        <w:t>Keywords:</w:t>
      </w:r>
      <w:r w:rsidRPr="00CF6F48">
        <w:rPr>
          <w:sz w:val="20"/>
          <w:szCs w:val="22"/>
        </w:rPr>
        <w:t xml:space="preserve"> </w:t>
      </w:r>
      <w:r w:rsidR="008C1596" w:rsidRPr="00CF6F48">
        <w:t xml:space="preserve">computational thinking, student achievement, testing, </w:t>
      </w:r>
      <w:r w:rsidR="00CD6627" w:rsidRPr="00CF6F48">
        <w:t>predictors, multiple-</w:t>
      </w:r>
      <w:r w:rsidR="008C1596" w:rsidRPr="00CF6F48">
        <w:t>choice questions, item response theory</w:t>
      </w:r>
    </w:p>
    <w:p w14:paraId="6C427E2E" w14:textId="0DB69258" w:rsidR="00644FDD" w:rsidRPr="00CF6F48" w:rsidRDefault="00AC5567" w:rsidP="008C1596">
      <w:pPr>
        <w:pStyle w:val="Heading1"/>
      </w:pPr>
      <w:r w:rsidRPr="00CF6F48">
        <w:t xml:space="preserve">1. </w:t>
      </w:r>
      <w:r w:rsidR="00687F67" w:rsidRPr="00CF6F48">
        <w:t>Introduc</w:t>
      </w:r>
      <w:r w:rsidR="0095054A" w:rsidRPr="00CF6F48">
        <w:t>tion</w:t>
      </w:r>
    </w:p>
    <w:p w14:paraId="15606A3A" w14:textId="62CF8594" w:rsidR="00993E6B" w:rsidRPr="00CF6F48" w:rsidRDefault="00644FDD" w:rsidP="00DD034E">
      <w:pPr>
        <w:spacing w:after="80" w:line="240" w:lineRule="exact"/>
        <w:rPr>
          <w:iCs/>
          <w:sz w:val="20"/>
        </w:rPr>
      </w:pPr>
      <w:r w:rsidRPr="00CF6F48">
        <w:rPr>
          <w:sz w:val="20"/>
          <w:szCs w:val="22"/>
        </w:rPr>
        <w:t xml:space="preserve">The idea of integrating computational thinking into </w:t>
      </w:r>
      <w:r w:rsidR="009613F5" w:rsidRPr="00CF6F48">
        <w:rPr>
          <w:sz w:val="20"/>
          <w:szCs w:val="22"/>
        </w:rPr>
        <w:t xml:space="preserve">the </w:t>
      </w:r>
      <w:r w:rsidRPr="00CF6F48">
        <w:rPr>
          <w:sz w:val="20"/>
          <w:szCs w:val="22"/>
        </w:rPr>
        <w:t xml:space="preserve">school </w:t>
      </w:r>
      <w:r w:rsidR="009613F5" w:rsidRPr="00CF6F48">
        <w:rPr>
          <w:sz w:val="20"/>
          <w:szCs w:val="22"/>
        </w:rPr>
        <w:t>curriculum</w:t>
      </w:r>
      <w:r w:rsidRPr="00CF6F48">
        <w:rPr>
          <w:sz w:val="20"/>
          <w:szCs w:val="22"/>
        </w:rPr>
        <w:t xml:space="preserve"> as one of essential abilities of children </w:t>
      </w:r>
      <w:r w:rsidR="009613F5" w:rsidRPr="00CF6F48">
        <w:rPr>
          <w:sz w:val="20"/>
          <w:szCs w:val="22"/>
        </w:rPr>
        <w:t>was first</w:t>
      </w:r>
      <w:r w:rsidRPr="00CF6F48">
        <w:rPr>
          <w:sz w:val="20"/>
          <w:szCs w:val="22"/>
        </w:rPr>
        <w:t xml:space="preserve"> introduced in </w:t>
      </w:r>
      <w:r w:rsidR="009613F5" w:rsidRPr="00CF6F48">
        <w:rPr>
          <w:sz w:val="20"/>
          <w:szCs w:val="22"/>
        </w:rPr>
        <w:t xml:space="preserve">the </w:t>
      </w:r>
      <w:r w:rsidRPr="00CF6F48">
        <w:rPr>
          <w:sz w:val="20"/>
          <w:szCs w:val="22"/>
        </w:rPr>
        <w:t>1980s</w:t>
      </w:r>
      <w:r w:rsidR="009D1B45" w:rsidRPr="00CF6F48">
        <w:rPr>
          <w:sz w:val="20"/>
          <w:szCs w:val="22"/>
        </w:rPr>
        <w:t xml:space="preserve"> by</w:t>
      </w:r>
      <w:r w:rsidRPr="00CF6F48">
        <w:rPr>
          <w:sz w:val="20"/>
          <w:szCs w:val="22"/>
        </w:rPr>
        <w:t xml:space="preserve"> </w:t>
      </w:r>
      <w:r w:rsidR="009613F5" w:rsidRPr="00CF6F48">
        <w:rPr>
          <w:sz w:val="20"/>
          <w:szCs w:val="22"/>
        </w:rPr>
        <w:t xml:space="preserve">Seymour </w:t>
      </w:r>
      <w:r w:rsidRPr="00CF6F48">
        <w:rPr>
          <w:sz w:val="20"/>
          <w:szCs w:val="22"/>
        </w:rPr>
        <w:fldChar w:fldCharType="begin" w:fldLock="1"/>
      </w:r>
      <w:r w:rsidR="009D1B45" w:rsidRPr="00CF6F48">
        <w:rPr>
          <w:sz w:val="20"/>
          <w:szCs w:val="22"/>
        </w:rPr>
        <w:instrText>ADDIN CSL_CITATION { "citationItems" : [ { "id" : "ITEM-1", "itemData" : { "DOI" : "10.1017/CBO9781107415324.004", "ISBN" : "9788578110796", "ISSN" : "1098-6596", "PMID" : "25246403", "author" : [ { "dropping-particle" : "", "family" : "Papert", "given" : "Seymour", "non-dropping-particle" : "", "parse-names" : false, "suffix" : "" } ], "container-title" : "Journal of Chemical Information and Modeling", "id" : "ITEM-1", "issued" : { "date-parts" : [ [ "1980" ] ] }, "title" : "Mindstorm", "type" : "book" }, "uris" : [ "http://www.mendeley.com/documents/?uuid=38788821-a02c-4e07-9c12-95ce197d4b50" ] } ], "mendeley" : { "formattedCitation" : "(Papert, 1980)", "manualFormatting" : "Papert (1980)", "plainTextFormattedCitation" : "(Papert, 1980)", "previouslyFormattedCitation" : "(Papert, 1980)" }, "properties" : { "noteIndex" : 0 }, "schema" : "https://github.com/citation-style-language/schema/raw/master/csl-citation.json" }</w:instrText>
      </w:r>
      <w:r w:rsidRPr="00CF6F48">
        <w:rPr>
          <w:sz w:val="20"/>
          <w:szCs w:val="22"/>
        </w:rPr>
        <w:fldChar w:fldCharType="separate"/>
      </w:r>
      <w:r w:rsidR="009D1B45" w:rsidRPr="00CF6F48">
        <w:rPr>
          <w:noProof/>
          <w:sz w:val="20"/>
          <w:szCs w:val="22"/>
        </w:rPr>
        <w:t>Papert</w:t>
      </w:r>
      <w:r w:rsidRPr="00CF6F48">
        <w:rPr>
          <w:noProof/>
          <w:sz w:val="20"/>
          <w:szCs w:val="22"/>
        </w:rPr>
        <w:t xml:space="preserve"> </w:t>
      </w:r>
      <w:r w:rsidR="009D1B45" w:rsidRPr="00CF6F48">
        <w:rPr>
          <w:noProof/>
          <w:sz w:val="20"/>
          <w:szCs w:val="22"/>
        </w:rPr>
        <w:t>(</w:t>
      </w:r>
      <w:r w:rsidRPr="00CF6F48">
        <w:rPr>
          <w:noProof/>
          <w:sz w:val="20"/>
          <w:szCs w:val="22"/>
        </w:rPr>
        <w:t>1980)</w:t>
      </w:r>
      <w:r w:rsidRPr="00CF6F48">
        <w:rPr>
          <w:sz w:val="20"/>
          <w:szCs w:val="22"/>
        </w:rPr>
        <w:fldChar w:fldCharType="end"/>
      </w:r>
      <w:r w:rsidRPr="00CF6F48">
        <w:rPr>
          <w:sz w:val="20"/>
          <w:szCs w:val="22"/>
        </w:rPr>
        <w:t xml:space="preserve">, </w:t>
      </w:r>
      <w:r w:rsidR="009613F5" w:rsidRPr="00CF6F48">
        <w:rPr>
          <w:sz w:val="20"/>
          <w:szCs w:val="22"/>
        </w:rPr>
        <w:t xml:space="preserve">and has now </w:t>
      </w:r>
      <w:r w:rsidRPr="00CF6F48">
        <w:rPr>
          <w:sz w:val="20"/>
          <w:szCs w:val="22"/>
        </w:rPr>
        <w:t>bec</w:t>
      </w:r>
      <w:r w:rsidR="009613F5" w:rsidRPr="00CF6F48">
        <w:rPr>
          <w:sz w:val="20"/>
          <w:szCs w:val="22"/>
        </w:rPr>
        <w:t>o</w:t>
      </w:r>
      <w:r w:rsidRPr="00CF6F48">
        <w:rPr>
          <w:sz w:val="20"/>
          <w:szCs w:val="22"/>
        </w:rPr>
        <w:t>me popular with</w:t>
      </w:r>
      <w:r w:rsidR="009613F5" w:rsidRPr="00CF6F48">
        <w:rPr>
          <w:sz w:val="20"/>
          <w:szCs w:val="22"/>
        </w:rPr>
        <w:t xml:space="preserve"> the</w:t>
      </w:r>
      <w:r w:rsidRPr="00CF6F48">
        <w:rPr>
          <w:sz w:val="20"/>
          <w:szCs w:val="22"/>
        </w:rPr>
        <w:t xml:space="preserve"> </w:t>
      </w:r>
      <w:r w:rsidR="00FA3EB0" w:rsidRPr="00CF6F48">
        <w:rPr>
          <w:sz w:val="20"/>
          <w:szCs w:val="22"/>
        </w:rPr>
        <w:t>widespread</w:t>
      </w:r>
      <w:r w:rsidR="009613F5" w:rsidRPr="00CF6F48">
        <w:rPr>
          <w:sz w:val="20"/>
          <w:szCs w:val="22"/>
        </w:rPr>
        <w:t xml:space="preserve"> development</w:t>
      </w:r>
      <w:r w:rsidR="00FA3EB0" w:rsidRPr="00CF6F48">
        <w:rPr>
          <w:sz w:val="20"/>
          <w:szCs w:val="22"/>
        </w:rPr>
        <w:t xml:space="preserve"> of </w:t>
      </w:r>
      <w:r w:rsidRPr="00CF6F48">
        <w:rPr>
          <w:sz w:val="20"/>
          <w:szCs w:val="22"/>
        </w:rPr>
        <w:t xml:space="preserve">STEM </w:t>
      </w:r>
      <w:r w:rsidR="00FA3EB0" w:rsidRPr="00CF6F48">
        <w:rPr>
          <w:sz w:val="20"/>
          <w:szCs w:val="22"/>
        </w:rPr>
        <w:t xml:space="preserve">education </w:t>
      </w:r>
      <w:r w:rsidRPr="00CF6F48">
        <w:rPr>
          <w:sz w:val="20"/>
          <w:szCs w:val="22"/>
        </w:rPr>
        <w:t>and 21</w:t>
      </w:r>
      <w:r w:rsidRPr="00CF6F48">
        <w:rPr>
          <w:sz w:val="20"/>
          <w:szCs w:val="22"/>
          <w:vertAlign w:val="superscript"/>
        </w:rPr>
        <w:t>st</w:t>
      </w:r>
      <w:r w:rsidRPr="00CF6F48">
        <w:rPr>
          <w:sz w:val="20"/>
          <w:szCs w:val="22"/>
        </w:rPr>
        <w:t xml:space="preserve"> century skill sets.</w:t>
      </w:r>
      <w:r w:rsidR="009D1B45" w:rsidRPr="00CF6F48">
        <w:rPr>
          <w:sz w:val="20"/>
          <w:szCs w:val="22"/>
        </w:rPr>
        <w:t xml:space="preserve"> </w:t>
      </w:r>
      <w:r w:rsidR="009613F5" w:rsidRPr="00CF6F48">
        <w:rPr>
          <w:sz w:val="20"/>
          <w:szCs w:val="22"/>
        </w:rPr>
        <w:t xml:space="preserve">There is much debate regarding the nature of the teaching of computational thinking; </w:t>
      </w:r>
      <w:r w:rsidR="009D1B45" w:rsidRPr="00CF6F48">
        <w:rPr>
          <w:sz w:val="20"/>
          <w:szCs w:val="22"/>
        </w:rPr>
        <w:t xml:space="preserve">questions include definition, </w:t>
      </w:r>
      <w:r w:rsidR="00417791" w:rsidRPr="00CF6F48">
        <w:rPr>
          <w:sz w:val="20"/>
          <w:szCs w:val="22"/>
        </w:rPr>
        <w:t>teaching</w:t>
      </w:r>
      <w:r w:rsidR="009D1B45" w:rsidRPr="00CF6F48">
        <w:rPr>
          <w:sz w:val="20"/>
          <w:szCs w:val="22"/>
        </w:rPr>
        <w:t xml:space="preserve"> and measur</w:t>
      </w:r>
      <w:r w:rsidR="00417791" w:rsidRPr="00CF6F48">
        <w:rPr>
          <w:sz w:val="20"/>
          <w:szCs w:val="22"/>
        </w:rPr>
        <w:t>ing</w:t>
      </w:r>
      <w:r w:rsidR="009D1B45" w:rsidRPr="00CF6F48">
        <w:rPr>
          <w:sz w:val="20"/>
          <w:szCs w:val="22"/>
        </w:rPr>
        <w:t>, universal values and transformation of skills of computational thinking to other areas</w:t>
      </w:r>
      <w:r w:rsidR="009613F5" w:rsidRPr="00CF6F48">
        <w:rPr>
          <w:sz w:val="20"/>
          <w:szCs w:val="22"/>
        </w:rPr>
        <w:t xml:space="preserve"> of learning</w:t>
      </w:r>
      <w:r w:rsidR="009D1B45" w:rsidRPr="00CF6F48">
        <w:rPr>
          <w:sz w:val="20"/>
          <w:szCs w:val="22"/>
        </w:rPr>
        <w:t xml:space="preserve">. </w:t>
      </w:r>
      <w:r w:rsidR="00EA7C54" w:rsidRPr="00CF6F48">
        <w:rPr>
          <w:iCs/>
          <w:sz w:val="20"/>
        </w:rPr>
        <w:t xml:space="preserve">As </w:t>
      </w:r>
      <w:r w:rsidR="009613F5" w:rsidRPr="00CF6F48">
        <w:rPr>
          <w:iCs/>
          <w:sz w:val="20"/>
        </w:rPr>
        <w:t xml:space="preserve">computer </w:t>
      </w:r>
      <w:r w:rsidR="00EA7C54" w:rsidRPr="00CF6F48">
        <w:rPr>
          <w:iCs/>
          <w:sz w:val="20"/>
        </w:rPr>
        <w:t xml:space="preserve">programming enhances computational thinking </w:t>
      </w:r>
      <w:r w:rsidR="00EA7C54" w:rsidRPr="00CF6F48">
        <w:rPr>
          <w:iCs/>
          <w:sz w:val="20"/>
        </w:rPr>
        <w:fldChar w:fldCharType="begin" w:fldLock="1"/>
      </w:r>
      <w:r w:rsidR="00EA7C54" w:rsidRPr="00CF6F48">
        <w:rPr>
          <w:iCs/>
          <w:sz w:val="20"/>
        </w:rPr>
        <w:instrText>ADDIN CSL_CITATION { "citationItems" : [ { "id" : "ITEM-1", "itemData" : { "DOI" : "10.1.1.296.6602", "ISBN" : "9788469334164", "abstract" : "Computational thinking is a phrase that has received considerable attention over the past several years \u2013 but there is little agreement about what computational thinking encompasses, and even less agreement about strategies for assessing the development of computational thinking in young people. We are interested in the ways that design-based learning activities \u2013 in particular, programming interactive media \u2013 support the development of computational thinking in young people. Over the past several years, we have developed a computational thinking framework that emerged from our studies of the activities of interactive media designers. Our context is Scratch \u2013 a programming environment that enables young people to create their own interactive stories, games, and simulations, and then share those creations in an online community with other young programmers from around the world. The first part of the paper describes the key dimensions of our computational thinking framework: computational concepts (the concepts designers engage with as they program, such as iteration, parallelism, etc.), computational practices (the practices designers develop as they engage with the concepts, such as debugging projects or remixing others\u2019 work), and computational perspectives (the perspectives designers form about the world around them and about themselves). The second part of the paper describes our evolving approach to assessing these dimensions, including project portfolio analysis, artifact-based interviews, and design scenarios. We end with a set of suggestions for assessing the learning that takes place when young people engage in programming.", "author" : [ { "dropping-particle" : "", "family" : "Brennan", "given" : "Karen", "non-dropping-particle" : "", "parse-names" : false, "suffix" : "" }, { "dropping-particle" : "", "family" : "Resnick", "given" : "Mitchel", "non-dropping-particle" : "", "parse-names" : false, "suffix" : "" } ], "container-title" : "American Educational Research Association", "id" : "ITEM-1", "issued" : { "date-parts" : [ [ "2012" ] ] }, "page" : "1-25", "publisher-place" : "Vancouver", "title" : "New frameworks for studying and assessing the development of computational thinking", "type" : "article" }, "uris" : [ "http://www.mendeley.com/documents/?uuid=c308e73e-b8f7-382a-a5d5-2e6a2d7ffe2d" ] }, { "id" : "ITEM-2", "itemData" : { "DOI" : "10.1145/2677091", "ISSN" : "1946-6226", "abstract" : "This article reports the results of a study of the relationship of computer game programming to computational learning (CL). The results contribute to the growing body of knowledge about how to define and measure CL among children by proposing a new concept, Game Computational Sophistication (GCS). We analyzed 231 games programmed by 325 11 and 12 year olds with a range of prior computer experience who attended a voluntary technology class during or after school. Findings suggest that students\u2019 games exhibited a range of GCS: programs composed of sequences of simple programming constructs; programs composed of programming constructs, some of which are used to implement higher-order patterns; and programs composed of game mechanics built from combinations of patterns \u201cglued\u201d together with simple programming constructs. We use case studies of students\u2019 games to illustrate how variation in the use and integration of programming constructs, patterns, and game mechanics can be used to demonstrate evidence of CL. The study contributes to an understanding of what CL looks like in middle school, how to assess it, and how game-programming activities might promote CL.", "author" : [ { "dropping-particle" : "", "family" : "Werner", "given" : "Linda", "non-dropping-particle" : "", "parse-names" : false, "suffix" : "" }, { "dropping-particle" : "", "family" : "Denner", "given" : "Jill", "non-dropping-particle" : "", "parse-names" : false, "suffix" : "" }, { "dropping-particle" : "", "family" : "Campe", "given" : "Shannon", "non-dropping-particle" : "", "parse-names" : false, "suffix" : "" } ], "container-title" : "Trans. Comput. Educ.", "id" : "ITEM-2", "issue" : "4", "issued" : { "date-parts" : [ [ "2015" ] ] }, "page" : "24:1--24:22", "title" : "Children Programming Games: A Strategy for Measuring Computational Learning", "type" : "article-journal", "volume" : "14" }, "uris" : [ "http://www.mendeley.com/documents/?uuid=17fb8518-e515-419e-95df-0a4998c99c40" ] }, { "id" : "ITEM-3", "itemData" : { "abstract" : "The use of the term computational thinking, introduced in 2006 by Jeanette Wing, is having repercussions in the field of education. The term brings into sharp focus the concept of thinking about problems in a way that can lead to solutions that may be implemented in a computing device. Implementation of these solutions may involve the use of programming languages. This study explores ways in which programming can be employed as a tool to teach computational thinking and problem solving. Data is collected from teachers, academics, and professionals, purposively selected because of their knowledge of the topics of problem solving, computational thinking, or the teaching of programming. This data is analysed following a grounded theory approach. A Computational Thinking Taxonomy is developed. The relationships between cognitive processes, the pedagogy of programming, and the perceived levels of difficulty of computational thinking skills are illustrated by a model. Specifically, a definition for computational thinking is presented. The skills identified are mapped to Bloom\u2019s Taxonomy: Cognitive Domain. This mapping concentrates computational skills at the application, analysis, synthesis, and evaluation levels. Analysis of the data indicates that the less difficult computational thinking skills for beginner programmers are generalisation, evaluation, and algorithm design. Abstraction of functionality is less difficult than abstraction of data, but both are perceived as difficult. The most difficult computational thinking skill is reported as decomposition. This ordering of difficulty for learners is a reversal of the cognitive complexity predicted by Bloom\u2019s model. The plausibility of this inconsistency is explored. The taxonomy, model, and the other results of this study may be used by educators to focus learning onto the computational thinking skills acquired by the learners, while using programming as a tool. They may also be employed in the design of curriculum subjects, such as ICT, computing, or computer science.", "author" : [ { "dropping-particle" : "", "family" : "Selby", "given" : "Cynthia", "non-dropping-particle" : "", "parse-names" : false, "suffix" : "" } ], "id" : "ITEM-3", "issued" : { "date-parts" : [ [ "2014" ] ] }, "number-of-pages" : "301", "publisher" : "University of Southampton", "title" : "How can the teaching of programming be used to enhance computational thinking skills?", "type" : "thesis" }, "uris" : [ "http://www.mendeley.com/documents/?uuid=760113dc-fa83-3f6a-99f4-3a4af030f6ea" ] } ], "mendeley" : { "formattedCitation" : "(Brennan &amp; Resnick, 2012; Selby, 2014; Werner, Denner, &amp; Campe, 2015)", "plainTextFormattedCitation" : "(Brennan &amp; Resnick, 2012; Selby, 2014; Werner, Denner, &amp; Campe, 2015)", "previouslyFormattedCitation" : "(Brennan &amp; Resnick, 2012; Selby, 2014; Werner, Denner, &amp; Campe, 2015)" }, "properties" : { "noteIndex" : 0 }, "schema" : "https://github.com/citation-style-language/schema/raw/master/csl-citation.json" }</w:instrText>
      </w:r>
      <w:r w:rsidR="00EA7C54" w:rsidRPr="00CF6F48">
        <w:rPr>
          <w:iCs/>
          <w:sz w:val="20"/>
        </w:rPr>
        <w:fldChar w:fldCharType="separate"/>
      </w:r>
      <w:r w:rsidR="00EA7C54" w:rsidRPr="00CF6F48">
        <w:rPr>
          <w:iCs/>
          <w:noProof/>
          <w:sz w:val="20"/>
        </w:rPr>
        <w:t>(Brennan &amp; Resnick, 2012; Selby, 2014; Werner, Denner, &amp; Campe, 2015)</w:t>
      </w:r>
      <w:r w:rsidR="00EA7C54" w:rsidRPr="00CF6F48">
        <w:rPr>
          <w:iCs/>
          <w:sz w:val="20"/>
        </w:rPr>
        <w:fldChar w:fldCharType="end"/>
      </w:r>
      <w:r w:rsidR="00DD034E" w:rsidRPr="00CF6F48">
        <w:rPr>
          <w:iCs/>
          <w:sz w:val="20"/>
        </w:rPr>
        <w:t xml:space="preserve"> and since 8</w:t>
      </w:r>
      <w:r w:rsidR="00DD034E" w:rsidRPr="00CF6F48">
        <w:rPr>
          <w:iCs/>
          <w:sz w:val="20"/>
          <w:vertAlign w:val="superscript"/>
        </w:rPr>
        <w:t>th</w:t>
      </w:r>
      <w:r w:rsidR="00DD034E" w:rsidRPr="00CF6F48">
        <w:rPr>
          <w:iCs/>
          <w:sz w:val="20"/>
        </w:rPr>
        <w:t xml:space="preserve"> grade students</w:t>
      </w:r>
      <w:r w:rsidR="009613F5" w:rsidRPr="00CF6F48">
        <w:rPr>
          <w:iCs/>
          <w:sz w:val="20"/>
        </w:rPr>
        <w:t xml:space="preserve"> (aged 12 to 14 years) </w:t>
      </w:r>
      <w:r w:rsidR="00DD034E" w:rsidRPr="00CF6F48">
        <w:rPr>
          <w:iCs/>
          <w:sz w:val="20"/>
        </w:rPr>
        <w:t>are familiar with basic programming skills such as variables, conditional statements, logical operators and loops in informatics lessons</w:t>
      </w:r>
      <w:r w:rsidR="00EA7C54" w:rsidRPr="00CF6F48">
        <w:rPr>
          <w:iCs/>
          <w:sz w:val="20"/>
        </w:rPr>
        <w:t xml:space="preserve"> it might be expected that informatics score</w:t>
      </w:r>
      <w:r w:rsidR="009613F5" w:rsidRPr="00CF6F48">
        <w:rPr>
          <w:iCs/>
          <w:sz w:val="20"/>
        </w:rPr>
        <w:t>s</w:t>
      </w:r>
      <w:r w:rsidR="00EA7C54" w:rsidRPr="00CF6F48">
        <w:rPr>
          <w:iCs/>
          <w:sz w:val="20"/>
        </w:rPr>
        <w:t xml:space="preserve"> could be a predictor of computational thinking performance. </w:t>
      </w:r>
      <w:r w:rsidR="00E05EE9" w:rsidRPr="00CF6F48">
        <w:rPr>
          <w:iCs/>
          <w:sz w:val="20"/>
        </w:rPr>
        <w:t xml:space="preserve">Likewise, as computational thinking is related to problem solving skills </w:t>
      </w:r>
      <w:r w:rsidR="00E05EE9" w:rsidRPr="00CF6F48">
        <w:rPr>
          <w:iCs/>
          <w:sz w:val="20"/>
        </w:rPr>
        <w:fldChar w:fldCharType="begin" w:fldLock="1"/>
      </w:r>
      <w:r w:rsidR="00517150" w:rsidRPr="00CF6F48">
        <w:rPr>
          <w:iCs/>
          <w:sz w:val="20"/>
        </w:rPr>
        <w:instrText>ADDIN CSL_CITATION { "citationItems" : [ { "id" : "ITEM-1", "itemData" : { "DOI" : "10.1016/j.chb.2016.08.047", "ISSN" : "07475632", "abstract" : "Computational thinking (CT) is being located at the focus of educational innovation, as a set of problem-solving skills that must be acquired by the new generations of students to thrive in a digital world full of objects driven by software. However, there is still no consensus on a CT definition or how to measure it. In response, we attempt to address both issues from a psychometric approach. On the one hand, a Computational Thinking Test (CTt) is administered on a sample of 1,251 Spanish students from 5th to 10th grade, so its descriptive statistics and reliability are reported in this paper. On the second hand, the criterion validity of the CTt is studied with respect to other standardized psychological tests: the Primary Mental Abilities (PMA) battery, and the RP30 problem-solving test. Thus, it is intended to provide a new instrument for CT measurement and additionally give evidence of the nature of CT through its associations with key related psychological constructs. Results show statistically significant correlations at least moderately intense between CT and: spatial ability (r\u00a0=\u00a00.44), reasoning ability (r\u00a0=\u00a00.44), and problem-solving ability (r\u00a0=\u00a00.67). These results are consistent with recent theoretical proposals linking CT to some components of the Cattel-Horn-Carroll (CHC) model of intelligence, and corroborate the conceptualization of CT as a problem-solving ability.", "author" : [ { "dropping-particle" : "", "family" : "Rom\u00e1n-Gonz\u00e1lez", "given" : "Marcos", "non-dropping-particle" : "", "parse-names" : false, "suffix" : "" }, { "dropping-particle" : "", "family" : "P\u00e9rez-Gonz\u00e1lez", "given" : "Juan-Carlos", "non-dropping-particle" : "", "parse-names" : false, "suffix" : "" }, { "dropping-particle" : "", "family" : "Jim\u00e9nez-Fern\u00e1ndez", "given" : "Carmen", "non-dropping-particle" : "", "parse-names" : false, "suffix" : "" } ], "container-title" : "Computers in Human Behavior", "id" : "ITEM-1", "issued" : { "date-parts" : [ [ "2016" ] ] }, "title" : "Which cognitive abilities underlie computational thinking? Criterion validity of the Computational Thinking Test", "type" : "article-journal" }, "uris" : [ "http://www.mendeley.com/documents/?uuid=9e1baf51-3fc9-3700-a413-d43511c651f1" ] } ], "mendeley" : { "formattedCitation" : "(Rom\u00e1n-Gonz\u00e1lez, P\u00e9rez-Gonz\u00e1lez, &amp; Jim\u00e9nez-Fern\u00e1ndez, 2016)", "plainTextFormattedCitation" : "(Rom\u00e1n-Gonz\u00e1lez, P\u00e9rez-Gonz\u00e1lez, &amp; Jim\u00e9nez-Fern\u00e1ndez, 2016)", "previouslyFormattedCitation" : "(Rom\u00e1n-Gonz\u00e1lez, P\u00e9rez-Gonz\u00e1lez, &amp; Jim\u00e9nez-Fern\u00e1ndez, 2016)" }, "properties" : { "noteIndex" : 0 }, "schema" : "https://github.com/citation-style-language/schema/raw/master/csl-citation.json" }</w:instrText>
      </w:r>
      <w:r w:rsidR="00E05EE9" w:rsidRPr="00CF6F48">
        <w:rPr>
          <w:iCs/>
          <w:sz w:val="20"/>
        </w:rPr>
        <w:fldChar w:fldCharType="separate"/>
      </w:r>
      <w:r w:rsidR="00E05EE9" w:rsidRPr="00CF6F48">
        <w:rPr>
          <w:iCs/>
          <w:noProof/>
          <w:sz w:val="20"/>
        </w:rPr>
        <w:t>(Román-González, Pérez-González, &amp; Jiménez-Fernández, 2016)</w:t>
      </w:r>
      <w:r w:rsidR="00E05EE9" w:rsidRPr="00CF6F48">
        <w:rPr>
          <w:iCs/>
          <w:sz w:val="20"/>
        </w:rPr>
        <w:fldChar w:fldCharType="end"/>
      </w:r>
      <w:r w:rsidR="00E05EE9" w:rsidRPr="00CF6F48">
        <w:rPr>
          <w:iCs/>
          <w:sz w:val="20"/>
        </w:rPr>
        <w:t xml:space="preserve"> and academic success </w:t>
      </w:r>
      <w:r w:rsidR="00E05EE9" w:rsidRPr="00CF6F48">
        <w:rPr>
          <w:iCs/>
          <w:sz w:val="20"/>
        </w:rPr>
        <w:fldChar w:fldCharType="begin" w:fldLock="1"/>
      </w:r>
      <w:r w:rsidR="00E05EE9" w:rsidRPr="00CF6F48">
        <w:rPr>
          <w:iCs/>
          <w:sz w:val="20"/>
        </w:rPr>
        <w:instrText>ADDIN CSL_CITATION { "citationItems" : [ { "id" : "ITEM-1", "itemData" : { "DOI" : "10.1145/2513456.2513484", "abstract" : "Computational thinking, a form of thinking and problem solving within computer science, has become a popular focus of research on computer science education. In this paper, we attempt to investigate the role that computational thinking plays in the experience of introductory computer science students at a South African university. To this end, we have designed and administered a test for computational thinking ability, and contrasted the results of this test with the class marks for the students involved. The results of this test give us an initial view of the abilities that students possess when entering the computer science course. The results indicate that students who performed well in the assessment have a favourable pass rate for their class tests, and specific areas of weakness have been identified. Finally, we describe the plan for a follow-up test to take place at the end of the course to determine how students' abilities have changed over a semester of studies.", "author" : [ { "dropping-particle" : "", "family" : "Gouws", "given" : "Lindsey", "non-dropping-particle" : "", "parse-names" : false, "suffix" : "" }, { "dropping-particle" : "", "family" : "Bradshaw", "given" : "Karen", "non-dropping-particle" : "", "parse-names" : false, "suffix" : "" }, { "dropping-particle" : "", "family" : "Wentworth", "given" : "Peter", "non-dropping-particle" : "", "parse-names" : false, "suffix" : "" } ], "container-title" : "ACM International Conference Proceeding Series", "id" : "ITEM-1", "issued" : { "date-parts" : [ [ "2013" ] ] }, "page" : "271 - 277", "title" : "First year student performance in a test for computational thinking", "type" : "article-journal" }, "uris" : [ "http://www.mendeley.com/documents/?uuid=095df0c1-5d2d-40dd-8b67-a805d233817a" ] }, { "id" : "ITEM-2", "itemData" : { "ISBN" : "9781618042972", "ISSN" : "1098-6596", "PMID" : "25246403", "author" : [ { "dropping-particle" : "", "family" : "Ambrosio", "given" : "Ana Paula", "non-dropping-particle" : "", "parse-names" : false, "suffix" : "" }, { "dropping-particle" : "", "family" : "Almeida", "given" : "Leandro da Silva", "non-dropping-particle" : "", "parse-names" : false, "suffix" : "" }, { "dropping-particle" : "", "family" : "Franco", "given" : "Amanda", "non-dropping-particle" : "", "parse-names" : false, "suffix" : "" }, { "dropping-particle" : "", "family" : "Macedo", "given" : "Joaquim", "non-dropping-particle" : "", "parse-names" : false, "suffix" : "" } ], "container-title" : "PPIG 2014 - 25th Annual Workshop", "id" : "ITEM-2", "issued" : { "date-parts" : [ [ "2014" ] ] }, "publisher" : "University of Sussex", "publisher-place" : "Sussex", "title" : "Exploring Core Cognitive Skills of Computational Thinking", "type" : "paper-conference" }, "uris" : [ "http://www.mendeley.com/documents/?uuid=fa22ed14-0622-4d6f-8e4f-9eed07e41c29" ] }, { "id" : "ITEM-3", "itemData" : { "DOI" : "10.1016/j.compedu.2017.09.004", "ISSN" : "03601315", "author" : [ { "dropping-particle" : "", "family" : "Durak", "given" : "Hatice Yildiz", "non-dropping-particle" : "", "parse-names" : false, "suffix" : "" }, { "dropping-particle" : "", "family" : "Saritepeci", "given" : "Mustafa", "non-dropping-particle" : "", "parse-names" : false, "suffix" : "" } ], "container-title" : "Computers &amp; Education", "id" : "ITEM-3", "issued" : { "date-parts" : [ [ "2017" ] ] }, "page" : "191-202", "publisher" : "Elsevier Ltd", "title" : "Analysis of the relation between computational thinking skills and various variables with the structural equation model", "type" : "article-journal", "volume" : "116" }, "uris" : [ "http://www.mendeley.com/documents/?uuid=39389eb8-9ad0-4b73-8332-adddc346f4d1" ] } ], "mendeley" : { "formattedCitation" : "(Ambrosio, Almeida, Franco, &amp; Macedo, 2014; Durak &amp; Saritepeci, 2017; Gouws, Bradshaw, &amp; Wentworth, 2013)", "plainTextFormattedCitation" : "(Ambrosio, Almeida, Franco, &amp; Macedo, 2014; Durak &amp; Saritepeci, 2017; Gouws, Bradshaw, &amp; Wentworth, 2013)", "previouslyFormattedCitation" : "(Ambrosio, Almeida, Franco, &amp; Macedo, 2014; Durak &amp; Saritepeci, 2017; Gouws, Bradshaw, &amp; Wentworth, 2013)" }, "properties" : { "noteIndex" : 0 }, "schema" : "https://github.com/citation-style-language/schema/raw/master/csl-citation.json" }</w:instrText>
      </w:r>
      <w:r w:rsidR="00E05EE9" w:rsidRPr="00CF6F48">
        <w:rPr>
          <w:iCs/>
          <w:sz w:val="20"/>
        </w:rPr>
        <w:fldChar w:fldCharType="separate"/>
      </w:r>
      <w:r w:rsidR="00E05EE9" w:rsidRPr="00CF6F48">
        <w:rPr>
          <w:iCs/>
          <w:noProof/>
          <w:sz w:val="20"/>
        </w:rPr>
        <w:t>(Ambrosio, Almeida, Franco, &amp; Macedo, 2014; Durak &amp; Saritepeci, 2017; Gouws, Bradshaw, &amp; Wentworth, 2013)</w:t>
      </w:r>
      <w:r w:rsidR="00E05EE9" w:rsidRPr="00CF6F48">
        <w:rPr>
          <w:iCs/>
          <w:sz w:val="20"/>
        </w:rPr>
        <w:fldChar w:fldCharType="end"/>
      </w:r>
      <w:r w:rsidR="00E05EE9" w:rsidRPr="00CF6F48">
        <w:rPr>
          <w:iCs/>
          <w:sz w:val="20"/>
        </w:rPr>
        <w:t xml:space="preserve">, students’ general school achievement and especially algebra performance could be predictors. </w:t>
      </w:r>
      <w:proofErr w:type="spellStart"/>
      <w:r w:rsidR="00993E6B" w:rsidRPr="00CF6F48">
        <w:rPr>
          <w:iCs/>
          <w:sz w:val="20"/>
        </w:rPr>
        <w:t>Korkmaz</w:t>
      </w:r>
      <w:proofErr w:type="spellEnd"/>
      <w:r w:rsidR="00993E6B" w:rsidRPr="00CF6F48">
        <w:rPr>
          <w:iCs/>
          <w:sz w:val="20"/>
        </w:rPr>
        <w:t xml:space="preserve"> et al. (2015) developed the Computational Thinking Scale, a self-reported questionnaire as a measurement of computational thinking skills, which is used to measure the perception of computational thinking in this study.</w:t>
      </w:r>
    </w:p>
    <w:p w14:paraId="799737B8" w14:textId="1D1093AF" w:rsidR="008C1596" w:rsidRPr="00CF6F48" w:rsidRDefault="008C1596" w:rsidP="008C1596">
      <w:pPr>
        <w:spacing w:after="80" w:line="240" w:lineRule="exact"/>
        <w:rPr>
          <w:iCs/>
          <w:sz w:val="20"/>
        </w:rPr>
      </w:pPr>
      <w:r w:rsidRPr="00CF6F48">
        <w:rPr>
          <w:iCs/>
          <w:sz w:val="20"/>
        </w:rPr>
        <w:t>The main aims of this study are to validate a computat</w:t>
      </w:r>
      <w:r w:rsidR="004523A6" w:rsidRPr="00CF6F48">
        <w:rPr>
          <w:iCs/>
          <w:sz w:val="20"/>
        </w:rPr>
        <w:t>ional thinking performance test</w:t>
      </w:r>
      <w:r w:rsidRPr="00CF6F48">
        <w:rPr>
          <w:iCs/>
          <w:sz w:val="20"/>
        </w:rPr>
        <w:t>, measure the computational thinking performance of the 8th grade students and thus to determine whether general school achievement, algebra achievement, informatics achievement and perception of computational thinking are predictors of computational thinking. The following questions are addressed by this research:</w:t>
      </w:r>
    </w:p>
    <w:p w14:paraId="3941964A" w14:textId="38BE92C1" w:rsidR="008C1596" w:rsidRPr="00CF6F48" w:rsidRDefault="00A44642" w:rsidP="00A44642">
      <w:pPr>
        <w:spacing w:after="80" w:line="240" w:lineRule="exact"/>
        <w:ind w:left="360"/>
        <w:jc w:val="left"/>
        <w:rPr>
          <w:iCs/>
          <w:sz w:val="20"/>
        </w:rPr>
      </w:pPr>
      <w:r w:rsidRPr="00CF6F48">
        <w:rPr>
          <w:iCs/>
          <w:sz w:val="20"/>
        </w:rPr>
        <w:t xml:space="preserve">RQ1: </w:t>
      </w:r>
      <w:r w:rsidR="008C1596" w:rsidRPr="00CF6F48">
        <w:rPr>
          <w:iCs/>
          <w:sz w:val="20"/>
        </w:rPr>
        <w:t>Is the computational thinking performance test valid and reliable?</w:t>
      </w:r>
    </w:p>
    <w:p w14:paraId="242F65E2" w14:textId="33229039" w:rsidR="008C1596" w:rsidRPr="00CF6F48" w:rsidRDefault="00A44642" w:rsidP="00A44642">
      <w:pPr>
        <w:spacing w:after="80" w:line="240" w:lineRule="exact"/>
        <w:ind w:left="360"/>
        <w:jc w:val="left"/>
        <w:rPr>
          <w:iCs/>
          <w:sz w:val="20"/>
        </w:rPr>
      </w:pPr>
      <w:r w:rsidRPr="00CF6F48">
        <w:rPr>
          <w:iCs/>
          <w:sz w:val="20"/>
        </w:rPr>
        <w:t xml:space="preserve">RQ2: </w:t>
      </w:r>
      <w:r w:rsidR="008C1596" w:rsidRPr="00CF6F48">
        <w:rPr>
          <w:iCs/>
          <w:sz w:val="20"/>
        </w:rPr>
        <w:t>Is algebra performance a predictor of students’ computational thinking performance?</w:t>
      </w:r>
    </w:p>
    <w:p w14:paraId="49645024" w14:textId="170A4183" w:rsidR="008C1596" w:rsidRPr="00CF6F48" w:rsidRDefault="00A44642" w:rsidP="00A44642">
      <w:pPr>
        <w:spacing w:after="80" w:line="240" w:lineRule="exact"/>
        <w:ind w:left="360"/>
        <w:jc w:val="left"/>
        <w:rPr>
          <w:iCs/>
          <w:sz w:val="20"/>
        </w:rPr>
      </w:pPr>
      <w:r w:rsidRPr="00CF6F48">
        <w:rPr>
          <w:iCs/>
          <w:sz w:val="20"/>
        </w:rPr>
        <w:t xml:space="preserve">RQ3: </w:t>
      </w:r>
      <w:r w:rsidR="008C1596" w:rsidRPr="00CF6F48">
        <w:rPr>
          <w:iCs/>
          <w:sz w:val="20"/>
        </w:rPr>
        <w:t>Is informatics performance a predictor of students’ computational thinking performance?</w:t>
      </w:r>
    </w:p>
    <w:p w14:paraId="28634208" w14:textId="65B09BD9" w:rsidR="008C1596" w:rsidRPr="00CF6F48" w:rsidRDefault="00A44642" w:rsidP="00A44642">
      <w:pPr>
        <w:spacing w:after="80" w:line="240" w:lineRule="exact"/>
        <w:ind w:left="360"/>
        <w:jc w:val="left"/>
        <w:rPr>
          <w:iCs/>
          <w:sz w:val="20"/>
        </w:rPr>
      </w:pPr>
      <w:r w:rsidRPr="00CF6F48">
        <w:rPr>
          <w:iCs/>
          <w:sz w:val="20"/>
        </w:rPr>
        <w:t xml:space="preserve">RQ4: </w:t>
      </w:r>
      <w:r w:rsidR="008C1596" w:rsidRPr="00CF6F48">
        <w:rPr>
          <w:iCs/>
          <w:sz w:val="20"/>
        </w:rPr>
        <w:t>Is perception of computational thinking skills a predictor of students’ computational thinking performance?</w:t>
      </w:r>
    </w:p>
    <w:p w14:paraId="7F7E776C" w14:textId="764FF0B4" w:rsidR="00BA72E8" w:rsidRPr="00CF6F48" w:rsidRDefault="008C1596" w:rsidP="008C1596">
      <w:pPr>
        <w:pStyle w:val="Heading1"/>
      </w:pPr>
      <w:r w:rsidRPr="00CF6F48">
        <w:t xml:space="preserve">2. </w:t>
      </w:r>
      <w:r w:rsidR="00B0750B" w:rsidRPr="00CF6F48">
        <w:t>Computational thinking</w:t>
      </w:r>
    </w:p>
    <w:p w14:paraId="17332A84" w14:textId="107DA062" w:rsidR="00C77177" w:rsidRPr="00CF6F48" w:rsidRDefault="00B0750B" w:rsidP="00B0750B">
      <w:pPr>
        <w:spacing w:after="80" w:line="240" w:lineRule="exact"/>
        <w:rPr>
          <w:iCs/>
          <w:sz w:val="20"/>
        </w:rPr>
      </w:pPr>
      <w:r w:rsidRPr="00CF6F48">
        <w:rPr>
          <w:iCs/>
          <w:sz w:val="20"/>
        </w:rPr>
        <w:t xml:space="preserve">The idea of computational thinking is not novel but a </w:t>
      </w:r>
      <w:r w:rsidR="00116BEA" w:rsidRPr="00CF6F48">
        <w:rPr>
          <w:iCs/>
          <w:sz w:val="20"/>
        </w:rPr>
        <w:t>current</w:t>
      </w:r>
      <w:r w:rsidRPr="00CF6F48">
        <w:rPr>
          <w:iCs/>
          <w:sz w:val="20"/>
        </w:rPr>
        <w:t xml:space="preserve"> trend in education. Computational thinking is a cognitive process, which reflects the ability to think in abstractions, algorithmically and in terms of decomposition, generalisation and evaluation </w:t>
      </w:r>
      <w:r w:rsidRPr="00CF6F48">
        <w:rPr>
          <w:iCs/>
          <w:sz w:val="20"/>
        </w:rPr>
        <w:fldChar w:fldCharType="begin" w:fldLock="1"/>
      </w:r>
      <w:r w:rsidRPr="00CF6F48">
        <w:rPr>
          <w:iCs/>
          <w:sz w:val="20"/>
        </w:rPr>
        <w:instrText>ADDIN CSL_CITATION { "citationItems" : [ { "id" : "ITEM-1", "itemData" : { "abstract" : "The use of the term computational thinking, introduced in 2006 by Jeanette Wing, is having repercussions in the field of education. The term brings into sharp focus the concept of thinking about problems in a way that can lead to solutions that may be implemented in a computing device. Implementation of these solutions may involve the use of programming languages. This study explores ways in which programming can be employed as a tool to teach computational thinking and problem solving. Data is collected from teachers, academics, and professionals, purposively selected because of their knowledge of the topics of problem solving, computational thinking, or the teaching of programming. This data is analysed following a grounded theory approach. A Computational Thinking Taxonomy is developed. The relationships between cognitive processes, the pedagogy of programming, and the perceived levels of difficulty of computational thinking skills are illustrated by a model. Specifically, a definition for computational thinking is presented. The skills identified are mapped to Bloom\u2019s Taxonomy: Cognitive Domain. This mapping concentrates computational skills at the application, analysis, synthesis, and evaluation levels. Analysis of the data indicates that the less difficult computational thinking skills for beginner programmers are generalisation, evaluation, and algorithm design. Abstraction of functionality is less difficult than abstraction of data, but both are perceived as difficult. The most difficult computational thinking skill is reported as decomposition. This ordering of difficulty for learners is a reversal of the cognitive complexity predicted by Bloom\u2019s model. The plausibility of this inconsistency is explored. The taxonomy, model, and the other results of this study may be used by educators to focus learning onto the computational thinking skills acquired by the learners, while using programming as a tool. They may also be employed in the design of curriculum subjects, such as ICT, computing, or computer science.", "author" : [ { "dropping-particle" : "", "family" : "Selby", "given" : "Cynthia", "non-dropping-particle" : "", "parse-names" : false, "suffix" : "" } ], "id" : "ITEM-1", "issued" : { "date-parts" : [ [ "2014" ] ] }, "number-of-pages" : "301", "publisher" : "University of Southampton", "title" : "How can the teaching of programming be used to enhance computational thinking skills?", "type" : "thesis" }, "uris" : [ "http://www.mendeley.com/documents/?uuid=760113dc-fa83-3f6a-99f4-3a4af030f6ea" ] } ], "mendeley" : { "formattedCitation" : "(Selby, 2014)", "manualFormatting" : "(Selby, 2014, p.38)", "plainTextFormattedCitation" : "(Selby, 2014)", "previouslyFormattedCitation" : "(Selby, 2014)" }, "properties" : { "noteIndex" : 0 }, "schema" : "https://github.com/citation-style-language/schema/raw/master/csl-citation.json" }</w:instrText>
      </w:r>
      <w:r w:rsidRPr="00CF6F48">
        <w:rPr>
          <w:iCs/>
          <w:sz w:val="20"/>
        </w:rPr>
        <w:fldChar w:fldCharType="separate"/>
      </w:r>
      <w:r w:rsidRPr="00CF6F48">
        <w:rPr>
          <w:iCs/>
          <w:noProof/>
          <w:sz w:val="20"/>
        </w:rPr>
        <w:t>(Selby, 2014, p.38)</w:t>
      </w:r>
      <w:r w:rsidRPr="00CF6F48">
        <w:rPr>
          <w:iCs/>
          <w:sz w:val="20"/>
        </w:rPr>
        <w:fldChar w:fldCharType="end"/>
      </w:r>
      <w:r w:rsidRPr="00CF6F48">
        <w:rPr>
          <w:iCs/>
          <w:sz w:val="20"/>
        </w:rPr>
        <w:t xml:space="preserve">. Algorithmic thinking, logical reasoning, decomposition and abstraction are, if taken separately, individually established and have a long history. However, </w:t>
      </w:r>
      <w:r w:rsidRPr="00CF6F48">
        <w:rPr>
          <w:iCs/>
          <w:sz w:val="20"/>
        </w:rPr>
        <w:lastRenderedPageBreak/>
        <w:t>when combined to construct computational thinking, it is not yet agreed what to expect from mastering it.  The multi-definition of computational thinking, the lack of evidence supporting the transfer of computational thinking skills to other fields and difficulty of measuring computational thinking level bring a complication in description and hardship in teaching (</w:t>
      </w:r>
      <w:proofErr w:type="spellStart"/>
      <w:r w:rsidRPr="00CF6F48">
        <w:rPr>
          <w:iCs/>
          <w:sz w:val="20"/>
        </w:rPr>
        <w:t>Guzdial</w:t>
      </w:r>
      <w:proofErr w:type="spellEnd"/>
      <w:r w:rsidRPr="00CF6F48">
        <w:rPr>
          <w:iCs/>
          <w:sz w:val="20"/>
        </w:rPr>
        <w:t xml:space="preserve">, 2015; Denning, 2017). Big claims on the universal value of computational thinking are exaggerated and they should be softened </w:t>
      </w:r>
      <w:r w:rsidRPr="00CF6F48">
        <w:rPr>
          <w:iCs/>
          <w:sz w:val="20"/>
        </w:rPr>
        <w:fldChar w:fldCharType="begin" w:fldLock="1"/>
      </w:r>
      <w:r w:rsidRPr="00CF6F48">
        <w:rPr>
          <w:iCs/>
          <w:sz w:val="20"/>
        </w:rPr>
        <w:instrText>ADDIN CSL_CITATION { "citationItems" : [ { "id" : "ITEM-1", "itemData" : { "DOI" : "10.1145/2998438", "ISSN" : "00010782", "abstract" : "Computational thinking has been a hallmark of computer science since the 1950s. So also was the notion that people in many fields could benefit from computing knowledge. Around 2006 the promoters of the CS-for-all K-12 education movement claimed all people could benefit from thinking like computer scientists. Unfortunately, in attempts to appeal to other fields besides CS, they offered vague and confusing definitions of computational thinking. As a result today's teachers and education researchers struggle with three main questions: What is computational thinking? How can it be assessed? Is it good for everyone? There is no need for vagueness: the meaning of computational thinking, evolved since the 1950s, is clear and supports measurement of student progress. The claims that it benefits everyone beyond computational designers are as yet unsubstantiated. This examination of computational thinking sharpens our definition of algorithm itself: an algorithm is not any sequence of steps, but a series of steps that control some abstract machine or computational model without requiring human judgment. Computational thinking includes designing the model, not just the steps to control it.", "author" : [ { "dropping-particle" : "", "family" : "Denning", "given" : "Peter J.", "non-dropping-particle" : "", "parse-names" : false, "suffix" : "" } ], "container-title" : "Communications of the ACM", "id" : "ITEM-1", "issue" : "6", "issued" : { "date-parts" : [ [ "2017" ] ] }, "page" : "33-39", "title" : "Remaining trouble spots with computational thinking", "type" : "article-journal", "volume" : "60" }, "uris" : [ "http://www.mendeley.com/documents/?uuid=26b6e4af-e56b-4eaa-b631-2796006eabb4" ] } ], "mendeley" : { "formattedCitation" : "(Denning, 2017)", "plainTextFormattedCitation" : "(Denning, 2017)", "previouslyFormattedCitation" : "(Denning, 2017)" }, "properties" : { "noteIndex" : 0 }, "schema" : "https://github.com/citation-style-language/schema/raw/master/csl-citation.json" }</w:instrText>
      </w:r>
      <w:r w:rsidRPr="00CF6F48">
        <w:rPr>
          <w:iCs/>
          <w:sz w:val="20"/>
        </w:rPr>
        <w:fldChar w:fldCharType="separate"/>
      </w:r>
      <w:r w:rsidRPr="00CF6F48">
        <w:rPr>
          <w:iCs/>
          <w:noProof/>
          <w:sz w:val="20"/>
        </w:rPr>
        <w:t>(Denning, 2017)</w:t>
      </w:r>
      <w:r w:rsidRPr="00CF6F48">
        <w:rPr>
          <w:iCs/>
          <w:sz w:val="20"/>
        </w:rPr>
        <w:fldChar w:fldCharType="end"/>
      </w:r>
      <w:r w:rsidRPr="00CF6F48">
        <w:rPr>
          <w:iCs/>
          <w:sz w:val="20"/>
        </w:rPr>
        <w:t xml:space="preserve">, as there is no evidence of transfer of knowledge from computer science to daily lives </w:t>
      </w:r>
      <w:r w:rsidRPr="00CF6F48">
        <w:rPr>
          <w:iCs/>
          <w:sz w:val="20"/>
        </w:rPr>
        <w:fldChar w:fldCharType="begin" w:fldLock="1"/>
      </w:r>
      <w:r w:rsidRPr="00CF6F48">
        <w:rPr>
          <w:iCs/>
          <w:sz w:val="20"/>
        </w:rPr>
        <w:instrText>ADDIN CSL_CITATION { "citationItems" : [ { "id" : "ITEM-1", "itemData" : { "DOI" : "10.2200/S00684ED1V01Y201511HCI033", "ISBN" : "9781627053518", "ISSN" : "1946-7680", "abstract" : "Abstract Computing education is in enormous demand. Many students (both children and adult) are realizing that they will need programming in the future. This book presents the argument that they are not all going to use programming in the same way and for the same purposes. What do we mean when we talk about teaching everyone to program? When we target a broad audience, should we have the same goals as computer science education for professional software developers? How do we design computing education that works for everyone? This book proposes use of a learner-centered design approach to create computing education for a broad audience. It considers several reasons for teaching computing to everyone and how the different reasons lead to different choices about learning goals and teaching methods. The book reviews the history of the idea that programming isn't just for the professional software developer. It uses research studies on teaching computing in liberal arts programs, to graphic designers, to hig...", "author" : [ { "dropping-particle" : "", "family" : "Guzdial", "given" : "Mark", "non-dropping-particle" : "", "parse-names" : false, "suffix" : "" } ], "container-title" : "Synthesis Lectures on Human-Centered Informatics", "id" : "ITEM-1", "issue" : "6", "issued" : { "date-parts" : [ [ "2015" ] ] }, "page" : "1-165", "title" : "Learner-Centered Design of Computing Education: Research on Computing for Everyone", "type" : "article-journal", "volume" : "8" }, "uris" : [ "http://www.mendeley.com/documents/?uuid=f01b175e-9a2d-4e4f-97fc-e4d7be173bcc" ] } ], "mendeley" : { "formattedCitation" : "(Guzdial, 2015)", "manualFormatting" : "(Guzdial, 2015)", "plainTextFormattedCitation" : "(Guzdial, 2015)", "previouslyFormattedCitation" : "(Guzdial, 2015)" }, "properties" : { "noteIndex" : 0 }, "schema" : "https://github.com/citation-style-language/schema/raw/master/csl-citation.json" }</w:instrText>
      </w:r>
      <w:r w:rsidRPr="00CF6F48">
        <w:rPr>
          <w:iCs/>
          <w:sz w:val="20"/>
        </w:rPr>
        <w:fldChar w:fldCharType="separate"/>
      </w:r>
      <w:r w:rsidRPr="00CF6F48">
        <w:rPr>
          <w:iCs/>
          <w:noProof/>
          <w:sz w:val="20"/>
        </w:rPr>
        <w:t>(Guzdial, 2015)</w:t>
      </w:r>
      <w:r w:rsidRPr="00CF6F48">
        <w:rPr>
          <w:iCs/>
          <w:sz w:val="20"/>
        </w:rPr>
        <w:fldChar w:fldCharType="end"/>
      </w:r>
      <w:r w:rsidRPr="00CF6F48">
        <w:rPr>
          <w:iCs/>
          <w:sz w:val="20"/>
        </w:rPr>
        <w:t>.</w:t>
      </w:r>
      <w:r w:rsidR="00E72B00" w:rsidRPr="00CF6F48">
        <w:rPr>
          <w:iCs/>
          <w:sz w:val="20"/>
        </w:rPr>
        <w:t xml:space="preserve"> </w:t>
      </w:r>
      <w:r w:rsidR="007B3EE7" w:rsidRPr="00CF6F48">
        <w:rPr>
          <w:iCs/>
          <w:sz w:val="20"/>
        </w:rPr>
        <w:t xml:space="preserve">The following concepts of computational thinking are introduced by </w:t>
      </w:r>
      <w:r w:rsidR="00E72B00" w:rsidRPr="00CF6F48">
        <w:rPr>
          <w:iCs/>
          <w:sz w:val="20"/>
        </w:rPr>
        <w:t>several</w:t>
      </w:r>
      <w:r w:rsidR="007B3EE7" w:rsidRPr="00CF6F48">
        <w:rPr>
          <w:iCs/>
          <w:sz w:val="20"/>
        </w:rPr>
        <w:t xml:space="preserve"> organisations: algorithmic thinking, logic, abstraction, decomposition, generalisation and evaluation </w:t>
      </w:r>
      <w:r w:rsidR="00631746" w:rsidRPr="00CF6F48">
        <w:rPr>
          <w:iCs/>
          <w:sz w:val="20"/>
        </w:rPr>
        <w:fldChar w:fldCharType="begin" w:fldLock="1"/>
      </w:r>
      <w:r w:rsidR="008D0523" w:rsidRPr="00CF6F48">
        <w:rPr>
          <w:iCs/>
          <w:sz w:val="20"/>
        </w:rPr>
        <w:instrText>ADDIN CSL_CITATION { "citationItems" : [ { "id" : "ITEM-1", "itemData" : { "URL" : "https://edu.google.com/resources/programs/exploring-computational-thinking/#!home", "accessed" : { "date-parts" : [ [ "2017", "4", "3" ] ] }, "author" : [ { "dropping-particle" : "", "family" : "Google for Education", "given" : "", "non-dropping-particle" : "", "parse-names" : false, "suffix" : "" } ], "id" : "ITEM-1", "issued" : { "date-parts" : [ [ "2015" ] ] }, "title" : "Exploring Computational Thinking", "type" : "webpage" }, "uris" : [ "http://www.mendeley.com/documents/?uuid=f69ea796-5b2e-4c07-9299-f4ab7d3fb374" ] }, { "id" : "ITEM-2", "itemData" : { "author" : [ { "dropping-particle" : "", "family" : "Barefoot", "given" : "", "non-dropping-particle" : "", "parse-names" : false, "suffix" : "" } ], "id" : "ITEM-2", "issued" : { "date-parts" : [ [ "2014" ] ] }, "publisher" : "Crown copyright", "title" : "Computational thinking", "type" : "article" }, "uris" : [ "http://www.mendeley.com/documents/?uuid=02bbf3e7-7b9e-4e23-aefb-f1d801735814" ] }, { "id" : "ITEM-3", "itemData" : { "URL" : "https://cs-unplugged.appspot.com/en/computational-thinking/", "accessed" : { "date-parts" : [ [ "2018", "1", "29" ] ] }, "author" : [ { "dropping-particle" : "", "family" : "CS Unplugged", "given" : "", "non-dropping-particle" : "", "parse-names" : false, "suffix" : "" } ], "container-title" : "Computational Thinking and CS Unplugged", "id" : "ITEM-3", "issued" : { "date-parts" : [ [ "2016" ] ] }, "title" : "What is Computational Thinking", "type" : "webpage" }, "uris" : [ "http://www.mendeley.com/documents/?uuid=594a9aba-71d2-4251-bdcd-850fd18c5356" ] } ], "mendeley" : { "formattedCitation" : "(Barefoot, 2014; CS Unplugged, 2016; Google for Education, 2015)", "plainTextFormattedCitation" : "(Barefoot, 2014; CS Unplugged, 2016; Google for Education, 2015)", "previouslyFormattedCitation" : "(Barefoot, 2014; CS Unplugged, 2016; Google for Education, 2015)" }, "properties" : { "noteIndex" : 0 }, "schema" : "https://github.com/citation-style-language/schema/raw/master/csl-citation.json" }</w:instrText>
      </w:r>
      <w:r w:rsidR="00631746" w:rsidRPr="00CF6F48">
        <w:rPr>
          <w:iCs/>
          <w:sz w:val="20"/>
        </w:rPr>
        <w:fldChar w:fldCharType="separate"/>
      </w:r>
      <w:r w:rsidR="00E72B00" w:rsidRPr="00CF6F48">
        <w:rPr>
          <w:iCs/>
          <w:noProof/>
          <w:sz w:val="20"/>
        </w:rPr>
        <w:t>(Barefoot, 2014; CS Unplugged, 2016; Google for Education, 2015)</w:t>
      </w:r>
      <w:r w:rsidR="00631746" w:rsidRPr="00CF6F48">
        <w:rPr>
          <w:iCs/>
          <w:sz w:val="20"/>
        </w:rPr>
        <w:fldChar w:fldCharType="end"/>
      </w:r>
      <w:r w:rsidR="007B3EE7" w:rsidRPr="00CF6F48">
        <w:rPr>
          <w:iCs/>
          <w:sz w:val="20"/>
        </w:rPr>
        <w:t>.</w:t>
      </w:r>
      <w:r w:rsidR="00E72B00" w:rsidRPr="00CF6F48">
        <w:rPr>
          <w:iCs/>
          <w:sz w:val="20"/>
        </w:rPr>
        <w:t xml:space="preserve"> </w:t>
      </w:r>
      <w:r w:rsidR="007B3EE7" w:rsidRPr="00CF6F48">
        <w:rPr>
          <w:iCs/>
          <w:sz w:val="20"/>
        </w:rPr>
        <w:t>Computational thinking can be found in a semi-resident state, which can only be effectively used when it is taught and developed.</w:t>
      </w:r>
      <w:r w:rsidR="00E72B00" w:rsidRPr="00CF6F48">
        <w:rPr>
          <w:iCs/>
          <w:sz w:val="20"/>
        </w:rPr>
        <w:t xml:space="preserve"> </w:t>
      </w:r>
      <w:r w:rsidRPr="00CF6F48">
        <w:rPr>
          <w:iCs/>
          <w:sz w:val="20"/>
        </w:rPr>
        <w:t>Computational thinking can be described as a focused approach to real-life problems that is applied by transforming these problems into computable chunks and applying solutions in an efficient way</w:t>
      </w:r>
      <w:r w:rsidR="0055154E" w:rsidRPr="00CF6F48">
        <w:rPr>
          <w:iCs/>
          <w:sz w:val="20"/>
        </w:rPr>
        <w:t xml:space="preserve"> </w:t>
      </w:r>
      <w:r w:rsidR="0055154E" w:rsidRPr="00CF6F48">
        <w:rPr>
          <w:iCs/>
          <w:sz w:val="20"/>
        </w:rPr>
        <w:fldChar w:fldCharType="begin" w:fldLock="1"/>
      </w:r>
      <w:r w:rsidR="0055154E" w:rsidRPr="00CF6F48">
        <w:rPr>
          <w:iCs/>
          <w:sz w:val="20"/>
        </w:rPr>
        <w:instrText>ADDIN CSL_CITATION { "citationItems" : [ { "id" : "ITEM-1", "itemData" : { "author" : [ { "dropping-particle" : "", "family" : "Barefoot", "given" : "", "non-dropping-particle" : "", "parse-names" : false, "suffix" : "" } ], "id" : "ITEM-1", "issued" : { "date-parts" : [ [ "2014" ] ] }, "publisher" : "Crown copyright", "title" : "Computational thinking", "type" : "article" }, "uris" : [ "http://www.mendeley.com/documents/?uuid=02bbf3e7-7b9e-4e23-aefb-f1d801735814" ] }, { "id" : "ITEM-2", "itemData" : { "author" : [ { "dropping-particle" : "", "family" : "International Society for Technology in Education (ISTE)", "given" : "", "non-dropping-particle" : "", "parse-names" : false, "suffix" : "" }, { "dropping-particle" : "", "family" : "Computer Science Teachers Association (CSTA)", "given" : "", "non-dropping-particle" : "", "parse-names" : false, "suffix" : "" } ], "id" : "ITEM-2", "issued" : { "date-parts" : [ [ "2011" ] ] }, "title" : "Operational Definition of Computational Thinking", "type" : "webpage" }, "uris" : [ "http://www.mendeley.com/documents/?uuid=050746b1-9522-489b-bc3f-3f43acb68d92" ] } ], "mendeley" : { "formattedCitation" : "(Barefoot, 2014; International Society for Technology in Education (ISTE) &amp; Computer Science Teachers Association (CSTA), 2011)", "manualFormatting" : "(Barefoot, 2014; ISTE &amp; CSTA, 2011)", "plainTextFormattedCitation" : "(Barefoot, 2014; International Society for Technology in Education (ISTE) &amp; Computer Science Teachers Association (CSTA), 2011)", "previouslyFormattedCitation" : "(Barefoot, 2014; International Society for Technology in Education (ISTE) &amp; Computer Science Teachers Association (CSTA), 2011)" }, "properties" : { "noteIndex" : 0 }, "schema" : "https://github.com/citation-style-language/schema/raw/master/csl-citation.json" }</w:instrText>
      </w:r>
      <w:r w:rsidR="0055154E" w:rsidRPr="00CF6F48">
        <w:rPr>
          <w:iCs/>
          <w:sz w:val="20"/>
        </w:rPr>
        <w:fldChar w:fldCharType="separate"/>
      </w:r>
      <w:r w:rsidR="0055154E" w:rsidRPr="00CF6F48">
        <w:rPr>
          <w:iCs/>
          <w:noProof/>
          <w:sz w:val="20"/>
        </w:rPr>
        <w:t>(Barefoot, 2014; ISTE &amp; CSTA, 2011)</w:t>
      </w:r>
      <w:r w:rsidR="0055154E" w:rsidRPr="00CF6F48">
        <w:rPr>
          <w:iCs/>
          <w:sz w:val="20"/>
        </w:rPr>
        <w:fldChar w:fldCharType="end"/>
      </w:r>
      <w:r w:rsidRPr="00CF6F48">
        <w:rPr>
          <w:iCs/>
          <w:sz w:val="20"/>
        </w:rPr>
        <w:t>. Although there is no single accepted definition to computational thinking, there are common concepts, such as, logic, abstraction, generalisation, decomposition and evaluation. Any person, not just computer scientists, can utilise one of these concepts or the set of computational thinking skills. Since computational thinking is a thought process</w:t>
      </w:r>
      <w:r w:rsidR="0055154E" w:rsidRPr="00CF6F48">
        <w:rPr>
          <w:iCs/>
          <w:sz w:val="20"/>
        </w:rPr>
        <w:t xml:space="preserve"> </w:t>
      </w:r>
      <w:r w:rsidR="00644FDD" w:rsidRPr="00CF6F48">
        <w:rPr>
          <w:iCs/>
          <w:sz w:val="20"/>
        </w:rPr>
        <w:fldChar w:fldCharType="begin" w:fldLock="1"/>
      </w:r>
      <w:r w:rsidR="00644FDD" w:rsidRPr="00CF6F48">
        <w:rPr>
          <w:iCs/>
          <w:sz w:val="20"/>
        </w:rPr>
        <w:instrText>ADDIN CSL_CITATION { "citationItems" : [ { "id" : "ITEM-1", "itemData" : { "author" : [ { "dropping-particle" : "", "family" : "Wing", "given" : "Jeannette", "non-dropping-particle" : "", "parse-names" : false, "suffix" : "" } ], "container-title" : "The Link Magazine", "id" : "ITEM-1", "issued" : { "date-parts" : [ [ "2011" ] ] }, "title" : "Research notebook: Computational thinking\u2014What and why?", "type" : "article-journal" }, "uris" : [ "http://www.mendeley.com/documents/?uuid=caf370a4-4da7-3d46-9c22-0f67eba20b3b" ] } ], "mendeley" : { "formattedCitation" : "(Wing, 2011)", "plainTextFormattedCitation" : "(Wing, 2011)", "previouslyFormattedCitation" : "(Wing, 2011)" }, "properties" : { "noteIndex" : 0 }, "schema" : "https://github.com/citation-style-language/schema/raw/master/csl-citation.json" }</w:instrText>
      </w:r>
      <w:r w:rsidR="00644FDD" w:rsidRPr="00CF6F48">
        <w:rPr>
          <w:iCs/>
          <w:sz w:val="20"/>
        </w:rPr>
        <w:fldChar w:fldCharType="separate"/>
      </w:r>
      <w:r w:rsidR="00644FDD" w:rsidRPr="00CF6F48">
        <w:rPr>
          <w:iCs/>
          <w:noProof/>
          <w:sz w:val="20"/>
        </w:rPr>
        <w:t>(Wing, 2011)</w:t>
      </w:r>
      <w:r w:rsidR="00644FDD" w:rsidRPr="00CF6F48">
        <w:rPr>
          <w:iCs/>
          <w:sz w:val="20"/>
        </w:rPr>
        <w:fldChar w:fldCharType="end"/>
      </w:r>
      <w:r w:rsidRPr="00CF6F48">
        <w:rPr>
          <w:iCs/>
          <w:sz w:val="20"/>
        </w:rPr>
        <w:t>, it can be found in a semi-resident state in people, which can be activated and effectively used w</w:t>
      </w:r>
      <w:r w:rsidR="00C77177" w:rsidRPr="00CF6F48">
        <w:rPr>
          <w:iCs/>
          <w:sz w:val="20"/>
        </w:rPr>
        <w:t>hen it is taught and developed.</w:t>
      </w:r>
    </w:p>
    <w:p w14:paraId="0CCF25E1" w14:textId="20F2B5F0" w:rsidR="00BA72E8" w:rsidRPr="00CF6F48" w:rsidRDefault="00B0750B" w:rsidP="00B0750B">
      <w:pPr>
        <w:spacing w:after="80" w:line="240" w:lineRule="exact"/>
        <w:rPr>
          <w:iCs/>
          <w:sz w:val="20"/>
        </w:rPr>
      </w:pPr>
      <w:r w:rsidRPr="00CF6F48">
        <w:rPr>
          <w:iCs/>
          <w:sz w:val="20"/>
        </w:rPr>
        <w:t xml:space="preserve">The idea of teaching computational thinking and ways of delivering it are still in the early stage of development. The educational reform in Kazakhstan along with shifting from 11-year to 12-year school and three-language education also integrated the computational thinking into </w:t>
      </w:r>
      <w:r w:rsidR="003A1DDC" w:rsidRPr="00CF6F48">
        <w:rPr>
          <w:iCs/>
          <w:sz w:val="20"/>
        </w:rPr>
        <w:t xml:space="preserve">the </w:t>
      </w:r>
      <w:r w:rsidRPr="00CF6F48">
        <w:rPr>
          <w:iCs/>
          <w:sz w:val="20"/>
        </w:rPr>
        <w:t xml:space="preserve">updated informatics curriculum. </w:t>
      </w:r>
      <w:r w:rsidR="00FC3A95" w:rsidRPr="00CF6F48">
        <w:rPr>
          <w:iCs/>
          <w:sz w:val="20"/>
        </w:rPr>
        <w:t xml:space="preserve">In the </w:t>
      </w:r>
      <w:r w:rsidR="00671099" w:rsidRPr="00CF6F48">
        <w:rPr>
          <w:iCs/>
          <w:sz w:val="20"/>
        </w:rPr>
        <w:t xml:space="preserve">Kazakhstani </w:t>
      </w:r>
      <w:r w:rsidR="00FC3A95" w:rsidRPr="00CF6F48">
        <w:rPr>
          <w:iCs/>
          <w:sz w:val="20"/>
        </w:rPr>
        <w:t>updated informatics curriculum</w:t>
      </w:r>
      <w:r w:rsidR="00671099" w:rsidRPr="00CF6F48">
        <w:rPr>
          <w:iCs/>
          <w:sz w:val="20"/>
        </w:rPr>
        <w:t xml:space="preserve"> for 5</w:t>
      </w:r>
      <w:r w:rsidR="00671099" w:rsidRPr="00CF6F48">
        <w:rPr>
          <w:iCs/>
          <w:sz w:val="20"/>
          <w:vertAlign w:val="superscript"/>
        </w:rPr>
        <w:t>th</w:t>
      </w:r>
      <w:r w:rsidR="00671099" w:rsidRPr="00CF6F48">
        <w:rPr>
          <w:iCs/>
          <w:sz w:val="20"/>
        </w:rPr>
        <w:t>-9</w:t>
      </w:r>
      <w:r w:rsidR="00671099" w:rsidRPr="00CF6F48">
        <w:rPr>
          <w:iCs/>
          <w:sz w:val="20"/>
          <w:vertAlign w:val="superscript"/>
        </w:rPr>
        <w:t>th</w:t>
      </w:r>
      <w:r w:rsidR="00671099" w:rsidRPr="00CF6F48">
        <w:rPr>
          <w:iCs/>
          <w:sz w:val="20"/>
        </w:rPr>
        <w:t xml:space="preserve"> graders</w:t>
      </w:r>
      <w:r w:rsidR="00FC3A95" w:rsidRPr="00CF6F48">
        <w:rPr>
          <w:iCs/>
          <w:sz w:val="20"/>
        </w:rPr>
        <w:t xml:space="preserve">, computational thinking is presented as a separate section among computer systems, information processes and health &amp; safety with the following subsets: modelling, algorithms, and programming </w:t>
      </w:r>
      <w:r w:rsidR="00FC3A95" w:rsidRPr="00CF6F48">
        <w:rPr>
          <w:iCs/>
          <w:sz w:val="20"/>
        </w:rPr>
        <w:fldChar w:fldCharType="begin" w:fldLock="1"/>
      </w:r>
      <w:r w:rsidR="00FC3A95" w:rsidRPr="00CF6F48">
        <w:rPr>
          <w:iCs/>
          <w:sz w:val="20"/>
        </w:rPr>
        <w:instrText>ADDIN CSL_CITATION { "citationItems" : [ { "id" : "ITEM-1", "itemData" : { "URL" : "http://nao.kz/loader/load/260", "accessed" : { "date-parts" : [ [ "2016", "12", "12" ] ] }, "author" : [ { "dropping-particle" : "", "family" : "National Academy of Education", "given" : "", "non-dropping-particle" : "", "parse-names" : false, "suffix" : "" } ], "id" : "ITEM-1", "issued" : { "date-parts" : [ [ "2016" ] ] }, "publisher" : "National Academy of Education named after Y.Altynsarin", "publisher-place" : "Astana", "title" : "Updated curriculum by the National Academy of Education", "type" : "webpage" }, "uris" : [ "http://www.mendeley.com/documents/?uuid=b42e4f1f-6832-4fdd-9b45-b8359f1410ba" ] } ], "mendeley" : { "formattedCitation" : "(National Academy of Education, 2016)", "plainTextFormattedCitation" : "(National Academy of Education, 2016)", "previouslyFormattedCitation" : "(National Academy of Education, 2016)" }, "properties" : { "noteIndex" : 0 }, "schema" : "https://github.com/citation-style-language/schema/raw/master/csl-citation.json" }</w:instrText>
      </w:r>
      <w:r w:rsidR="00FC3A95" w:rsidRPr="00CF6F48">
        <w:rPr>
          <w:iCs/>
          <w:sz w:val="20"/>
        </w:rPr>
        <w:fldChar w:fldCharType="separate"/>
      </w:r>
      <w:r w:rsidR="00FC3A95" w:rsidRPr="00CF6F48">
        <w:rPr>
          <w:iCs/>
          <w:noProof/>
          <w:sz w:val="20"/>
        </w:rPr>
        <w:t>(National Academy of Education, 2016)</w:t>
      </w:r>
      <w:r w:rsidR="00FC3A95" w:rsidRPr="00CF6F48">
        <w:rPr>
          <w:iCs/>
          <w:sz w:val="20"/>
        </w:rPr>
        <w:fldChar w:fldCharType="end"/>
      </w:r>
      <w:r w:rsidR="00FC3A95" w:rsidRPr="00CF6F48">
        <w:rPr>
          <w:iCs/>
          <w:sz w:val="20"/>
        </w:rPr>
        <w:t>.</w:t>
      </w:r>
    </w:p>
    <w:p w14:paraId="01ECF16C" w14:textId="3A31C376" w:rsidR="00B0750B" w:rsidRPr="00CF6F48" w:rsidRDefault="00B0750B" w:rsidP="00B0750B">
      <w:pPr>
        <w:spacing w:after="80" w:line="240" w:lineRule="exact"/>
        <w:rPr>
          <w:iCs/>
          <w:sz w:val="20"/>
        </w:rPr>
      </w:pPr>
      <w:r w:rsidRPr="00CF6F48">
        <w:rPr>
          <w:iCs/>
          <w:sz w:val="20"/>
        </w:rPr>
        <w:t xml:space="preserve">Among the main objectives of this updated curriculum two points are closely related to computational thinking </w:t>
      </w:r>
      <w:r w:rsidRPr="00CF6F48">
        <w:rPr>
          <w:iCs/>
          <w:sz w:val="20"/>
        </w:rPr>
        <w:fldChar w:fldCharType="begin" w:fldLock="1"/>
      </w:r>
      <w:r w:rsidRPr="00CF6F48">
        <w:rPr>
          <w:iCs/>
          <w:sz w:val="20"/>
        </w:rPr>
        <w:instrText>ADDIN CSL_CITATION { "citationItems" : [ { "id" : "ITEM-1", "itemData" : { "URL" : "http://nao.kz/loader/load/260", "accessed" : { "date-parts" : [ [ "2016", "12", "12" ] ] }, "author" : [ { "dropping-particle" : "", "family" : "National Academy of Education", "given" : "", "non-dropping-particle" : "", "parse-names" : false, "suffix" : "" } ], "id" : "ITEM-1", "issued" : { "date-parts" : [ [ "2016" ] ] }, "publisher" : "National Academy of Education named after Y.Altynsarin", "publisher-place" : "Astana", "title" : "Updated curriculum by the National Academy of Education", "type" : "webpage" }, "uris" : [ "http://www.mendeley.com/documents/?uuid=b42e4f1f-6832-4fdd-9b45-b8359f1410ba" ] } ], "mendeley" : { "formattedCitation" : "(National Academy of Education, 2016)", "plainTextFormattedCitation" : "(National Academy of Education, 2016)", "previouslyFormattedCitation" : "(National Academy of Education, 2016)" }, "properties" : { "noteIndex" : 0 }, "schema" : "https://github.com/citation-style-language/schema/raw/master/csl-citation.json" }</w:instrText>
      </w:r>
      <w:r w:rsidRPr="00CF6F48">
        <w:rPr>
          <w:iCs/>
          <w:sz w:val="20"/>
        </w:rPr>
        <w:fldChar w:fldCharType="separate"/>
      </w:r>
      <w:r w:rsidRPr="00CF6F48">
        <w:rPr>
          <w:iCs/>
          <w:noProof/>
          <w:sz w:val="20"/>
        </w:rPr>
        <w:t>(National Academy of Education, 2016)</w:t>
      </w:r>
      <w:r w:rsidRPr="00CF6F48">
        <w:rPr>
          <w:iCs/>
          <w:sz w:val="20"/>
        </w:rPr>
        <w:fldChar w:fldCharType="end"/>
      </w:r>
      <w:r w:rsidRPr="00CF6F48">
        <w:rPr>
          <w:iCs/>
          <w:sz w:val="20"/>
        </w:rPr>
        <w:t>:</w:t>
      </w:r>
    </w:p>
    <w:p w14:paraId="79F6770D" w14:textId="1677E992" w:rsidR="00B0750B" w:rsidRPr="00CF6F48" w:rsidRDefault="00B0750B" w:rsidP="00B0750B">
      <w:pPr>
        <w:numPr>
          <w:ilvl w:val="0"/>
          <w:numId w:val="6"/>
        </w:numPr>
        <w:spacing w:after="80" w:line="240" w:lineRule="exact"/>
        <w:rPr>
          <w:iCs/>
          <w:sz w:val="20"/>
        </w:rPr>
      </w:pPr>
      <w:r w:rsidRPr="00CF6F48">
        <w:rPr>
          <w:iCs/>
          <w:sz w:val="20"/>
        </w:rPr>
        <w:t xml:space="preserve">Teaching students to tackle </w:t>
      </w:r>
      <w:r w:rsidR="00116BEA" w:rsidRPr="00CF6F48">
        <w:rPr>
          <w:iCs/>
          <w:sz w:val="20"/>
        </w:rPr>
        <w:t xml:space="preserve">a </w:t>
      </w:r>
      <w:r w:rsidRPr="00CF6F48">
        <w:rPr>
          <w:iCs/>
          <w:sz w:val="20"/>
        </w:rPr>
        <w:t>variety of tasks by means of analysis, abstraction, modelling, and programming.</w:t>
      </w:r>
    </w:p>
    <w:p w14:paraId="7F421E1D" w14:textId="77777777" w:rsidR="00B0750B" w:rsidRPr="00CF6F48" w:rsidRDefault="00B0750B" w:rsidP="00B0750B">
      <w:pPr>
        <w:numPr>
          <w:ilvl w:val="0"/>
          <w:numId w:val="7"/>
        </w:numPr>
        <w:spacing w:after="80" w:line="240" w:lineRule="exact"/>
        <w:rPr>
          <w:iCs/>
          <w:sz w:val="20"/>
        </w:rPr>
      </w:pPr>
      <w:r w:rsidRPr="00CF6F48">
        <w:rPr>
          <w:iCs/>
          <w:sz w:val="20"/>
        </w:rPr>
        <w:t xml:space="preserve"> Enabling students to gain the abilities, such as, thinking logically and algorithmically, finding patterns, thinking in terms of generalisation, decomposition and evaluation.</w:t>
      </w:r>
    </w:p>
    <w:p w14:paraId="7ACB2851" w14:textId="11483B2B" w:rsidR="00671099" w:rsidRPr="00CF6F48" w:rsidRDefault="00B0750B" w:rsidP="00671099">
      <w:pPr>
        <w:spacing w:after="80" w:line="240" w:lineRule="exact"/>
        <w:rPr>
          <w:iCs/>
          <w:sz w:val="20"/>
        </w:rPr>
      </w:pPr>
      <w:r w:rsidRPr="00CF6F48">
        <w:rPr>
          <w:iCs/>
          <w:sz w:val="20"/>
        </w:rPr>
        <w:t>Comparing the items a and b above with the UK programme</w:t>
      </w:r>
      <w:r w:rsidR="00116BEA" w:rsidRPr="00CF6F48">
        <w:rPr>
          <w:iCs/>
          <w:sz w:val="20"/>
        </w:rPr>
        <w:t xml:space="preserve"> of study</w:t>
      </w:r>
      <w:r w:rsidRPr="00CF6F48">
        <w:rPr>
          <w:iCs/>
          <w:sz w:val="20"/>
        </w:rPr>
        <w:t xml:space="preserve"> </w:t>
      </w:r>
      <w:r w:rsidRPr="00CF6F48">
        <w:rPr>
          <w:iCs/>
          <w:sz w:val="20"/>
        </w:rPr>
        <w:fldChar w:fldCharType="begin" w:fldLock="1"/>
      </w:r>
      <w:r w:rsidRPr="00CF6F48">
        <w:rPr>
          <w:iCs/>
          <w:sz w:val="20"/>
        </w:rPr>
        <w:instrText>ADDIN CSL_CITATION { "citationItems" : [ { "id" : "ITEM-1", "itemData" : { "abstract" : "Computational Thinking has become the buzz term for many teachers in England with the advent of the new Computing National Curriculum in September 2014. Computing At School has been at the forefront of advising on this change and providing much needed support to both primary and secondary teachers faced with the challenge of bringing into being a new subject in our schools. No-one underestimates that challenge and I have deep respect for the professionalism of the teachers I meet as they take their first steps in meeting this challenge. It is not easy. New vocabulary needs to be learnt, new skills acquired and new ways of teaching adopted. At the heart of the new curriculum is computational thinking and the role it has to play for our 21st century learners. This document sets out a conceptual framework for understanding computational thinking in the new Programme of Study. I trust it will be useful for all teachers, wherever they may be on their journey with the new Computing curriculum.", "author" : [ { "dropping-particle" : "", "family" : "Csizmadia", "given" : "Andrew", "non-dropping-particle" : "", "parse-names" : false, "suffix" : "" }, { "dropping-particle" : "", "family" : "Curzon", "given" : "Paul", "non-dropping-particle" : "", "parse-names" : false, "suffix" : "" }, { "dropping-particle" : "", "family" : "Dorling", "given" : "Mark", "non-dropping-particle" : "", "parse-names" : false, "suffix" : "" }, { "dropping-particle" : "", "family" : "Humphreys", "given" : "Simon", "non-dropping-particle" : "", "parse-names" : false, "suffix" : "" }, { "dropping-particle" : "", "family" : "Ng", "given" : "Thomas", "non-dropping-particle" : "", "parse-names" : false, "suffix" : "" }, { "dropping-particle" : "", "family" : "Selby", "given" : "Cynthia", "non-dropping-particle" : "", "parse-names" : false, "suffix" : "" }, { "dropping-particle" : "", "family" : "Woollard", "given" : "John", "non-dropping-particle" : "", "parse-names" : false, "suffix" : "" } ], "id" : "ITEM-1", "issued" : { "date-parts" : [ [ "2015" ] ] }, "page" : "18", "publisher" : "Computing At School", "title" : "Computational thinking A guide for teachers", "type" : "article" }, "uris" : [ "http://www.mendeley.com/documents/?uuid=bfb4a628-41ed-3fc9-b0e4-9d105d868e2e" ] } ], "mendeley" : { "formattedCitation" : "(Csizmadia et al., 2015)", "plainTextFormattedCitation" : "(Csizmadia et al., 2015)", "previouslyFormattedCitation" : "(Csizmadia et al., 2015)" }, "properties" : { "noteIndex" : 0 }, "schema" : "https://github.com/citation-style-language/schema/raw/master/csl-citation.json" }</w:instrText>
      </w:r>
      <w:r w:rsidRPr="00CF6F48">
        <w:rPr>
          <w:iCs/>
          <w:sz w:val="20"/>
        </w:rPr>
        <w:fldChar w:fldCharType="separate"/>
      </w:r>
      <w:r w:rsidRPr="00CF6F48">
        <w:rPr>
          <w:iCs/>
          <w:noProof/>
          <w:sz w:val="20"/>
        </w:rPr>
        <w:t>(Csizmadia et al., 2015)</w:t>
      </w:r>
      <w:r w:rsidRPr="00CF6F48">
        <w:rPr>
          <w:iCs/>
          <w:sz w:val="20"/>
        </w:rPr>
        <w:fldChar w:fldCharType="end"/>
      </w:r>
      <w:r w:rsidRPr="00CF6F48">
        <w:rPr>
          <w:iCs/>
          <w:sz w:val="20"/>
        </w:rPr>
        <w:t>, it is possible to see the similarities between the UK and Kazakhstani computational thinking concepts.</w:t>
      </w:r>
      <w:r w:rsidR="00671099" w:rsidRPr="00CF6F48">
        <w:rPr>
          <w:iCs/>
          <w:sz w:val="20"/>
        </w:rPr>
        <w:t xml:space="preserve"> Having analysed this updated curriculum </w:t>
      </w:r>
      <w:r w:rsidR="00671099" w:rsidRPr="00CF6F48">
        <w:rPr>
          <w:iCs/>
          <w:sz w:val="20"/>
        </w:rPr>
        <w:fldChar w:fldCharType="begin" w:fldLock="1"/>
      </w:r>
      <w:r w:rsidR="00671099" w:rsidRPr="00CF6F48">
        <w:rPr>
          <w:iCs/>
          <w:sz w:val="20"/>
        </w:rPr>
        <w:instrText>ADDIN CSL_CITATION { "citationItems" : [ { "id" : "ITEM-1", "itemData" : { "URL" : "http://nao.kz/loader/load/260", "accessed" : { "date-parts" : [ [ "2016", "12", "12" ] ] }, "author" : [ { "dropping-particle" : "", "family" : "National Academy of Education", "given" : "", "non-dropping-particle" : "", "parse-names" : false, "suffix" : "" } ], "id" : "ITEM-1", "issued" : { "date-parts" : [ [ "2016" ] ] }, "publisher" : "National Academy of Education named after Y.Altynsarin", "publisher-place" : "Astana", "title" : "Updated curriculum by the National Academy of Education", "type" : "webpage" }, "uris" : [ "http://www.mendeley.com/documents/?uuid=b42e4f1f-6832-4fdd-9b45-b8359f1410ba" ] } ], "mendeley" : { "formattedCitation" : "(National Academy of Education, 2016)", "plainTextFormattedCitation" : "(National Academy of Education, 2016)", "previouslyFormattedCitation" : "(National Academy of Education, 2016)" }, "properties" : { "noteIndex" : 0 }, "schema" : "https://github.com/citation-style-language/schema/raw/master/csl-citation.json" }</w:instrText>
      </w:r>
      <w:r w:rsidR="00671099" w:rsidRPr="00CF6F48">
        <w:rPr>
          <w:iCs/>
          <w:sz w:val="20"/>
        </w:rPr>
        <w:fldChar w:fldCharType="separate"/>
      </w:r>
      <w:r w:rsidR="00671099" w:rsidRPr="00CF6F48">
        <w:rPr>
          <w:iCs/>
          <w:noProof/>
          <w:sz w:val="20"/>
        </w:rPr>
        <w:t>(National Academy of Education, 2016)</w:t>
      </w:r>
      <w:r w:rsidR="00671099" w:rsidRPr="00CF6F48">
        <w:rPr>
          <w:iCs/>
          <w:sz w:val="20"/>
        </w:rPr>
        <w:fldChar w:fldCharType="end"/>
      </w:r>
      <w:r w:rsidR="00671099" w:rsidRPr="00CF6F48">
        <w:rPr>
          <w:iCs/>
          <w:sz w:val="20"/>
        </w:rPr>
        <w:t xml:space="preserve">, annual plans and the new informatics textbook </w:t>
      </w:r>
      <w:r w:rsidR="00671099" w:rsidRPr="00CF6F48">
        <w:rPr>
          <w:iCs/>
          <w:sz w:val="20"/>
        </w:rPr>
        <w:fldChar w:fldCharType="begin" w:fldLock="1"/>
      </w:r>
      <w:r w:rsidR="00671099" w:rsidRPr="00CF6F48">
        <w:rPr>
          <w:iCs/>
          <w:sz w:val="20"/>
        </w:rPr>
        <w:instrText>ADDIN CSL_CITATION { "citationItems" : [ { "id" : "ITEM-1", "itemData" : { "author" : [ { "dropping-particle" : "", "family" : "Shaniyev", "given" : "Yerzhan", "non-dropping-particle" : "", "parse-names" : false, "suffix" : "" }, { "dropping-particle" : "", "family" : "Gesen", "given" : "Ismail", "non-dropping-particle" : "", "parse-names" : false, "suffix" : "" }, { "dropping-particle" : "", "family" : "Aidarbayev", "given" : "Nurbol", "non-dropping-particle" : "", "parse-names" : false, "suffix" : "" }, { "dropping-particle" : "", "family" : "Akhmetov", "given" : "Nursultan", "non-dropping-particle" : "", "parse-names" : false, "suffix" : "" }, { "dropping-particle" : "", "family" : "Yerzhanov", "given" : "Eldar", "non-dropping-particle" : "", "parse-names" : false, "suffix" : "" } ], "edition" : "1", "id" : "ITEM-1", "issued" : { "date-parts" : [ [ "2017" ] ] }, "number-of-pages" : "80", "publisher" : "Astana Kitap", "publisher-place" : "Astana", "title" : "Informatics - A bilingual textbook - Grade 8", "type" : "book" }, "uris" : [ "http://www.mendeley.com/documents/?uuid=bb3f8180-477e-4fe5-a423-08acdb058bab" ] } ], "mendeley" : { "formattedCitation" : "(Shaniyev, Gesen, Aidarbayev, Akhmetov, &amp; Yerzhanov, 2017)", "manualFormatting" : "(Shaniyev et al., 2017", "plainTextFormattedCitation" : "(Shaniyev, Gesen, Aidarbayev, Akhmetov, &amp; Yerzhanov, 2017)", "previouslyFormattedCitation" : "(Shaniyev, Gesen, Aidarbayev, Akhmetov, &amp; Yerzhanov, 2017)" }, "properties" : { "noteIndex" : 0 }, "schema" : "https://github.com/citation-style-language/schema/raw/master/csl-citation.json" }</w:instrText>
      </w:r>
      <w:r w:rsidR="00671099" w:rsidRPr="00CF6F48">
        <w:rPr>
          <w:iCs/>
          <w:sz w:val="20"/>
        </w:rPr>
        <w:fldChar w:fldCharType="separate"/>
      </w:r>
      <w:r w:rsidR="00671099" w:rsidRPr="00CF6F48">
        <w:rPr>
          <w:iCs/>
          <w:noProof/>
          <w:sz w:val="20"/>
        </w:rPr>
        <w:t>(Shaniyev et al., 2017</w:t>
      </w:r>
      <w:r w:rsidR="00671099" w:rsidRPr="00CF6F48">
        <w:rPr>
          <w:iCs/>
          <w:sz w:val="20"/>
        </w:rPr>
        <w:fldChar w:fldCharType="end"/>
      </w:r>
      <w:r w:rsidR="00671099" w:rsidRPr="00CF6F48">
        <w:rPr>
          <w:iCs/>
          <w:sz w:val="20"/>
        </w:rPr>
        <w:t>), it was concluded that 8</w:t>
      </w:r>
      <w:r w:rsidR="00671099" w:rsidRPr="00CF6F48">
        <w:rPr>
          <w:iCs/>
          <w:sz w:val="20"/>
          <w:vertAlign w:val="superscript"/>
        </w:rPr>
        <w:t>th</w:t>
      </w:r>
      <w:r w:rsidR="00671099" w:rsidRPr="00CF6F48">
        <w:rPr>
          <w:iCs/>
          <w:sz w:val="20"/>
        </w:rPr>
        <w:t xml:space="preserve"> grade students in Kazakhstan are familiar with concepts, such as, algorithm, generalisation, logics, and abstraction, as expected by </w:t>
      </w:r>
      <w:r w:rsidR="00671099" w:rsidRPr="00CF6F48">
        <w:rPr>
          <w:iCs/>
          <w:sz w:val="20"/>
        </w:rPr>
        <w:fldChar w:fldCharType="begin" w:fldLock="1"/>
      </w:r>
      <w:r w:rsidR="00671099" w:rsidRPr="00CF6F48">
        <w:rPr>
          <w:iCs/>
          <w:sz w:val="20"/>
        </w:rPr>
        <w:instrText>ADDIN CSL_CITATION { "citationItems" : [ { "id" : "ITEM-1", "itemData" : { "DOI" : "10.1109/LaTiCE.2015.44", "ISBN" : "9781479999675", "ISSN" : "2377-0309", "abstract" : "The purpose of this study is to design a computational thinking curriculum standard for K-12 education. The Delphi technique was employed to collect different views and derive consensus from a panel of thirteen experts, including computer scientists, computer science educators, K-12 computer teachers, and industry experts. The first draft of Delphi survey questionnaire, consisting of nine themes (problem solving, problem decomposition, algorithms, data representation, data analysis, modeling and simulation, abstraction, automation, and others) and 60 competence indicators, was developed based on our investigation of the nature of computational thinking. After three rounds of survey and a final round-table discussion, the expert panel derived 49 essential competence indicators (13 for grades K to 6, nine for grades 7 to 9 and 27 of grades 10 to 12) and eight optional competence indicators (one for grades 7 to 9 and seven for grades 10 to 12). According to the results, the core ability and training of computational thinking are different in grades. In grades K to 6, students develop logical thinking and problem solving skills in personal and family life. In grades 7 to 9, students must understand the basic concepts of programming and write basic programs. Finally, in grades 10 to 12, they will use high-level skills to apply the concepts of abstraction, modeling, and structured problem decomposition to solve problems in different fields. The results serve as useful references for developing Taiwan's new K-12 computing curriculum.", "author" : [ { "dropping-particle" : "", "family" : "Chuang", "given" : "Hui Chi", "non-dropping-particle" : "", "parse-names" : false, "suffix" : "" }, { "dropping-particle" : "", "family" : "Hu", "given" : "Chiu Fan", "non-dropping-particle" : "", "parse-names" : false, "suffix" : "" }, { "dropping-particle" : "", "family" : "Wu", "given" : "Cheng Chih", "non-dropping-particle" : "", "parse-names" : false, "suffix" : "" }, { "dropping-particle" : "", "family" : "Lin", "given" : "Yu Tzu", "non-dropping-particle" : "", "parse-names" : false, "suffix" : "" } ], "container-title" : "Proceedings - 2015 International Conference on Learning and Teaching in Computing and Engineering, LaTiCE 2015", "id" : "ITEM-1", "issued" : { "date-parts" : [ [ "2015" ] ] }, "page" : "213-214", "publisher-place" : "Taipei", "title" : "Computational thinking curriculum for K-12 education - A Delphi survey", "type" : "paper-conference" }, "uris" : [ "http://www.mendeley.com/documents/?uuid=8619cdb3-a3d5-4bed-8007-45c41db1e459" ] } ], "mendeley" : { "formattedCitation" : "(Chuang, Hu, Wu, &amp; Lin, 2015)", "manualFormatting" : "Chuang et al. (2015)", "plainTextFormattedCitation" : "(Chuang, Hu, Wu, &amp; Lin, 2015)", "previouslyFormattedCitation" : "(Chuang, Hu, Wu, &amp; Lin, 2015)" }, "properties" : { "noteIndex" : 0 }, "schema" : "https://github.com/citation-style-language/schema/raw/master/csl-citation.json" }</w:instrText>
      </w:r>
      <w:r w:rsidR="00671099" w:rsidRPr="00CF6F48">
        <w:rPr>
          <w:iCs/>
          <w:sz w:val="20"/>
        </w:rPr>
        <w:fldChar w:fldCharType="separate"/>
      </w:r>
      <w:r w:rsidR="00671099" w:rsidRPr="00CF6F48">
        <w:rPr>
          <w:iCs/>
          <w:noProof/>
          <w:sz w:val="20"/>
        </w:rPr>
        <w:t>Chuang et al. (2015)</w:t>
      </w:r>
      <w:r w:rsidR="00671099" w:rsidRPr="00CF6F48">
        <w:rPr>
          <w:iCs/>
          <w:sz w:val="20"/>
        </w:rPr>
        <w:fldChar w:fldCharType="end"/>
      </w:r>
      <w:r w:rsidR="00671099" w:rsidRPr="00CF6F48">
        <w:rPr>
          <w:iCs/>
          <w:sz w:val="20"/>
        </w:rPr>
        <w:t xml:space="preserve">. For this reason, the study narrowed its focus to the following concepts of computational thinking: logical thinking, abstraction and generalisation. </w:t>
      </w:r>
    </w:p>
    <w:p w14:paraId="1A3A8391" w14:textId="43417053" w:rsidR="00C77177" w:rsidRPr="00CF6F48" w:rsidRDefault="004116FE" w:rsidP="004116FE">
      <w:pPr>
        <w:spacing w:after="80" w:line="240" w:lineRule="exact"/>
        <w:outlineLvl w:val="0"/>
        <w:rPr>
          <w:i/>
          <w:iCs/>
          <w:sz w:val="20"/>
        </w:rPr>
      </w:pPr>
      <w:r w:rsidRPr="00CF6F48">
        <w:rPr>
          <w:i/>
          <w:iCs/>
          <w:sz w:val="20"/>
        </w:rPr>
        <w:t xml:space="preserve">2.1 </w:t>
      </w:r>
      <w:r w:rsidR="004807D5" w:rsidRPr="00CF6F48">
        <w:rPr>
          <w:i/>
          <w:iCs/>
          <w:sz w:val="20"/>
        </w:rPr>
        <w:t>Evaluation studies of computational thinking</w:t>
      </w:r>
    </w:p>
    <w:p w14:paraId="20F1A645" w14:textId="78C50A18" w:rsidR="00B0750B" w:rsidRPr="00CF6F48" w:rsidRDefault="004807D5" w:rsidP="00B0750B">
      <w:pPr>
        <w:spacing w:after="80" w:line="240" w:lineRule="exact"/>
        <w:rPr>
          <w:iCs/>
          <w:sz w:val="20"/>
        </w:rPr>
      </w:pPr>
      <w:r w:rsidRPr="00CF6F48">
        <w:rPr>
          <w:iCs/>
          <w:sz w:val="20"/>
        </w:rPr>
        <w:t xml:space="preserve">Without considering the evaluation and assessment, computational thinking is unlikely to successfully advance in any curriculum. In addition, in order to judge the effectiveness of any curriculum integrating computational thinking, measures must be approved that would allow teachers to assess what children learn </w:t>
      </w:r>
      <w:r w:rsidRPr="00CF6F48">
        <w:rPr>
          <w:iCs/>
          <w:sz w:val="20"/>
        </w:rPr>
        <w:fldChar w:fldCharType="begin" w:fldLock="1"/>
      </w:r>
      <w:r w:rsidR="00631746" w:rsidRPr="00CF6F48">
        <w:rPr>
          <w:iCs/>
          <w:sz w:val="20"/>
        </w:rPr>
        <w:instrText>ADDIN CSL_CITATION { "citationItems" : [ { "id" : "ITEM-1", "itemData" : { "DOI" : "10.3102/0013189X12463051", "author" : [ { "dropping-particle" : "", "family" : "Grover", "given" : "Shuchi", "non-dropping-particle" : "", "parse-names" : false, "suffix" : "" }, { "dropping-particle" : "", "family" : "Pea", "given" : "Roy", "non-dropping-particle" : "", "parse-names" : false, "suffix" : "" } ], "container-title" : "Educational Researcher", "id" : "ITEM-1", "issue" : "1", "issued" : { "date-parts" : [ [ "2013" ] ] }, "page" : "38\u201343", "title" : "Computational Thinking in K\u201312: A Review of the State of the Field", "type" : "article-journal", "volume" : "42" }, "uris" : [ "http://www.mendeley.com/documents/?uuid=2c1e3652-e64b-3472-a874-2e46a05f1a9f" ] } ], "mendeley" : { "formattedCitation" : "(Grover &amp; Pea, 2013)", "plainTextFormattedCitation" : "(Grover &amp; Pea, 2013)", "previouslyFormattedCitation" : "(Grover &amp; Pea, 2013)" }, "properties" : { "noteIndex" : 0 }, "schema" : "https://github.com/citation-style-language/schema/raw/master/csl-citation.json" }</w:instrText>
      </w:r>
      <w:r w:rsidRPr="00CF6F48">
        <w:rPr>
          <w:iCs/>
          <w:sz w:val="20"/>
        </w:rPr>
        <w:fldChar w:fldCharType="separate"/>
      </w:r>
      <w:r w:rsidRPr="00CF6F48">
        <w:rPr>
          <w:iCs/>
          <w:noProof/>
          <w:sz w:val="20"/>
        </w:rPr>
        <w:t>(Grover &amp; Pea, 2013)</w:t>
      </w:r>
      <w:r w:rsidRPr="00CF6F48">
        <w:rPr>
          <w:iCs/>
          <w:sz w:val="20"/>
        </w:rPr>
        <w:fldChar w:fldCharType="end"/>
      </w:r>
      <w:r w:rsidRPr="00CF6F48">
        <w:rPr>
          <w:iCs/>
          <w:sz w:val="20"/>
        </w:rPr>
        <w:t xml:space="preserve">. </w:t>
      </w:r>
      <w:r w:rsidR="00B0750B" w:rsidRPr="00CF6F48">
        <w:rPr>
          <w:iCs/>
          <w:sz w:val="20"/>
        </w:rPr>
        <w:t>Many studies on computational thinking have a small sample size between 7-30 participants</w:t>
      </w:r>
      <w:r w:rsidR="00CB0CB0" w:rsidRPr="00CF6F48">
        <w:rPr>
          <w:iCs/>
          <w:sz w:val="20"/>
        </w:rPr>
        <w:t xml:space="preserve"> </w:t>
      </w:r>
      <w:r w:rsidR="00CB0CB0" w:rsidRPr="00CF6F48">
        <w:rPr>
          <w:iCs/>
          <w:sz w:val="20"/>
        </w:rPr>
        <w:fldChar w:fldCharType="begin" w:fldLock="1"/>
      </w:r>
      <w:r w:rsidR="00FA3F02" w:rsidRPr="00CF6F48">
        <w:rPr>
          <w:iCs/>
          <w:sz w:val="20"/>
        </w:rPr>
        <w:instrText>ADDIN CSL_CITATION { "citationItems" : [ { "id" : "ITEM-1", "itemData" : { "author" : [ { "dropping-particle" : "", "family" : "Grover", "given" : "Shuchi", "non-dropping-particle" : "", "parse-names" : false, "suffix" : "" } ], "id" : "ITEM-1", "issue" : "650", "issued" : { "date-parts" : [ [ "2011" ] ] }, "page" : "1-15", "title" : "Robotics and Engineering for Middle and High School Students to Develop Computational Thinking Robotics and Engineering for Middle and High School Students to Develop Computational Thinking", "type" : "article-journal" }, "uris" : [ "http://www.mendeley.com/documents/?uuid=1c6857b8-9a1a-49ff-a4fa-57497ff6e075" ] }, { "id" : "ITEM-2", "itemData" : { "DOI" : "10.1145/2157136.2157200", "ISBN" : "9781450310987", "ISSN" : "978-1-4503-1098-7", "PMID" : "12613670", "abstract" : "Computational thinking (CT) has been described as an essential capacity to prepare students for computer science, as well as to be productive members of society. But efforts to engage K-12 students in CT are hampered by a lack of definition and assessment", "author" : [ { "dropping-particle" : "", "family" : "Werner", "given" : "Linda", "non-dropping-particle" : "", "parse-names" : false, "suffix" : "" }, { "dropping-particle" : "", "family" : "Denner", "given" : "Jill", "non-dropping-particle" : "", "parse-names" : false, "suffix" : "" }, { "dropping-particle" : "", "family" : "Campe", "given" : "Shannon", "non-dropping-particle" : "", "parse-names" : false, "suffix" : "" }, { "dropping-particle" : "", "family" : "Kawamoto", "given" : "Damon C.", "non-dropping-particle" : "", "parse-names" : false, "suffix" : "" } ], "container-title" : "Proceedings of the 43rd ACM Technical Symposium on Computer Science Education - SIGCSE '12", "id" : "ITEM-2", "issued" : { "date-parts" : [ [ "2012" ] ] }, "page" : "215-220", "title" : "The Fairy Performance Assessment : Measuring Computational Thinking in Middle School", "type" : "article-journal" }, "uris" : [ "http://www.mendeley.com/documents/?uuid=a927009b-deef-4e01-8ca4-8591f2cf82ee" ] }, { "id" : "ITEM-3", "itemData" : { "DOI" : "10.5815/ijmecs.2016.11.01", "ISSN" : "20750161", "author" : [ { "dropping-particle" : "", "family" : "Oluk", "given" : "Ali", "non-dropping-particle" : "", "parse-names" : false, "suffix" : "" }, { "dropping-particle" : "", "family" : "Korkmaz", "given" : "\u00d6zgen", "non-dropping-particle" : "", "parse-names" : false, "suffix" : "" } ], "container-title" : "International Journal of Modern Education and Computer Science", "id" : "ITEM-3", "issue" : "11", "issued" : { "date-parts" : [ [ "2016" ] ] }, "page" : "1-7", "title" : "Comparing Students\u2019 Scratch Skills with Their Computational Thinking Skills in Terms of Different Variables", "type" : "article-journal", "volume" : "8" }, "uris" : [ "http://www.mendeley.com/documents/?uuid=2c0aa927-f42b-46b5-97ec-be60b0da50db" ] }, { "id" : "ITEM-4", "itemData" : { "ISBN" : "9781618042972", "ISSN" : "1098-6596", "PMID" : "25246403", "author" : [ { "dropping-particle" : "", "family" : "Ambrosio", "given" : "Ana Paula", "non-dropping-particle" : "", "parse-names" : false, "suffix" : "" }, { "dropping-particle" : "", "family" : "Almeida", "given" : "Leandro da Silva", "non-dropping-particle" : "", "parse-names" : false, "suffix" : "" }, { "dropping-particle" : "", "family" : "Franco", "given" : "Amanda", "non-dropping-particle" : "", "parse-names" : false, "suffix" : "" }, { "dropping-particle" : "", "family" : "Macedo", "given" : "Joaquim", "non-dropping-particle" : "", "parse-names" : false, "suffix" : "" } ], "container-title" : "PPIG 2014 - 25th Annual Workshop", "id" : "ITEM-4", "issued" : { "date-parts" : [ [ "2014" ] ] }, "publisher" : "University of Sussex", "publisher-place" : "Sussex", "title" : "Exploring Core Cognitive Skills of Computational Thinking", "type" : "paper-conference" }, "uris" : [ "http://www.mendeley.com/documents/?uuid=fa22ed14-0622-4d6f-8e4f-9eed07e41c29" ] }, { "id" : "ITEM-5", "itemData" : { "author" : [ { "dropping-particle" : "", "family" : "Grover", "given" : "Shuchi", "non-dropping-particle" : "", "parse-names" : false, "suffix" : "" } ], "container-title" : "Annual Meeting of the American Educational Research Association", "id" : "ITEM-5", "issue" : "650", "issued" : { "date-parts" : [ [ "2015" ] ] }, "title" : "\u201cSystems of Assessments\u201d for Deeper Learning of Computational Thinking in K-12", "type" : "article-journal" }, "uris" : [ "http://www.mendeley.com/documents/?uuid=83be134a-f55d-45b1-9c7a-440175b78117" ] }, { "id" : "ITEM-6", "itemData" : { "DOI" : "10.1109/EDUCON.2016.7474681", "abstract" : "\u2014The development of computational thinking skills through computer programming is a major topic in education, as governments around the world are introducing these skills in the school curriculum. In consequence, educators and students are facing this discipline for the first time. Although there are many technologies that assist teachers and learners in the learning of this competence, there is a lack of tools that support them in the assessment tasks. This paper compares the computational thinking score provided by Dr. Scratch, a free/libre/open source software assessment tool for Scratch, with McCabe\u2019s Cyclomatic Complexity and Halstead\u2019s metrics, two classic software engineering metrics that are globally recognized as a valid measurement for the complexity of a software system. The findings, which prove positive, significant, moderate to strong correlations between them, could be therefore considered as a validation of the complexity assessment process of Dr. Scratch. Keywords\u2014computational", "author" : [ { "dropping-particle" : "", "family" : "Moreno-Leon", "given" : "Jesus", "non-dropping-particle" : "", "parse-names" : false, "suffix" : "" }, { "dropping-particle" : "", "family" : "Robles", "given" : "Gregorio", "non-dropping-particle" : "", "parse-names" : false, "suffix" : "" }, { "dropping-particle" : "", "family" : "Rom\u00e1n-Gonz\u00e1lez", "given" : "Marcos", "non-dropping-particle" : "", "parse-names" : false, "suffix" : "" } ], "container-title" : "2016 IEEE Global Engineering Education Conference (EDUCON)", "id" : "ITEM-6", "issued" : { "date-parts" : [ [ "2016" ] ] }, "page" : "1040-1045", "publisher-place" : "Abu Dhabi", "title" : "Comparing Computational Thinking Development Assessment Scores with Software Complexity Metrics", "type" : "paper-conference" }, "uris" : [ "http://www.mendeley.com/documents/?uuid=26389896-91d1-425f-88d3-3d8099ee54c4" ] } ], "mendeley" : { "formattedCitation" : "(Ambrosio et al., 2014; Grover, 2011, 2015; Moreno-Leon, Robles, &amp; Rom\u00e1n-Gonz\u00e1lez, 2016; Oluk &amp; Korkmaz, 2016; Werner, Denner, Campe, &amp; Kawamoto, 2012)", "plainTextFormattedCitation" : "(Ambrosio et al., 2014; Grover, 2011, 2015; Moreno-Leon, Robles, &amp; Rom\u00e1n-Gonz\u00e1lez, 2016; Oluk &amp; Korkmaz, 2016; Werner, Denner, Campe, &amp; Kawamoto, 2012)", "previouslyFormattedCitation" : "(Ambrosio et al., 2014; Grover, 2011, 2015; Moreno-Leon, Robles, &amp; Rom\u00e1n-Gonz\u00e1lez, 2016; Oluk &amp; Korkmaz, 2016; Werner, Denner, Campe, &amp; Kawamoto, 2012)" }, "properties" : { "noteIndex" : 0 }, "schema" : "https://github.com/citation-style-language/schema/raw/master/csl-citation.json" }</w:instrText>
      </w:r>
      <w:r w:rsidR="00CB0CB0" w:rsidRPr="00CF6F48">
        <w:rPr>
          <w:iCs/>
          <w:sz w:val="20"/>
        </w:rPr>
        <w:fldChar w:fldCharType="separate"/>
      </w:r>
      <w:r w:rsidR="001E1C23" w:rsidRPr="00CF6F48">
        <w:rPr>
          <w:iCs/>
          <w:noProof/>
          <w:sz w:val="20"/>
        </w:rPr>
        <w:t>(Ambrosio et al., 2014; Grover, 2011, 2015; Moreno-Leon, Robles, &amp; Román-González, 2016; Oluk &amp; Korkmaz, 2016; Werner, Denner, Campe, &amp; Kawamoto, 2012)</w:t>
      </w:r>
      <w:r w:rsidR="00CB0CB0" w:rsidRPr="00CF6F48">
        <w:rPr>
          <w:iCs/>
          <w:sz w:val="20"/>
        </w:rPr>
        <w:fldChar w:fldCharType="end"/>
      </w:r>
      <w:r w:rsidR="00CB0CB0" w:rsidRPr="00CF6F48">
        <w:rPr>
          <w:iCs/>
          <w:sz w:val="20"/>
        </w:rPr>
        <w:t xml:space="preserve"> </w:t>
      </w:r>
      <w:r w:rsidR="00B0750B" w:rsidRPr="00CF6F48">
        <w:rPr>
          <w:iCs/>
          <w:sz w:val="20"/>
        </w:rPr>
        <w:t xml:space="preserve">that cannot be generalised or </w:t>
      </w:r>
      <w:r w:rsidR="00116BEA" w:rsidRPr="00CF6F48">
        <w:rPr>
          <w:iCs/>
          <w:sz w:val="20"/>
        </w:rPr>
        <w:t xml:space="preserve">they are </w:t>
      </w:r>
      <w:r w:rsidR="00B0750B" w:rsidRPr="00CF6F48">
        <w:rPr>
          <w:iCs/>
          <w:sz w:val="20"/>
        </w:rPr>
        <w:t>self-reported studies</w:t>
      </w:r>
      <w:r w:rsidR="00A355EE" w:rsidRPr="00CF6F48">
        <w:rPr>
          <w:iCs/>
          <w:sz w:val="20"/>
        </w:rPr>
        <w:t xml:space="preserve"> </w:t>
      </w:r>
      <w:r w:rsidR="00A355EE" w:rsidRPr="00CF6F48">
        <w:rPr>
          <w:iCs/>
          <w:sz w:val="20"/>
        </w:rPr>
        <w:fldChar w:fldCharType="begin" w:fldLock="1"/>
      </w:r>
      <w:r w:rsidR="002E74FD" w:rsidRPr="00CF6F48">
        <w:rPr>
          <w:iCs/>
          <w:sz w:val="20"/>
        </w:rPr>
        <w:instrText>ADDIN CSL_CITATION { "citationItems" : [ { "id" : "ITEM-1", "itemData" : { "author" : [ { "dropping-particle" : "", "family" : "Korkmaz", "given" : "\u00d6zgen", "non-dropping-particle" : "", "parse-names" : false, "suffix" : "" }, { "dropping-particle" : "", "family" : "\u00c7ak\u0131r", "given" : "Recep", "non-dropping-particle" : "", "parse-names" : false, "suffix" : "" }, { "dropping-particle" : "", "family" : "\u00d6zden", "given" : "Ya\u015far", "non-dropping-particle" : "", "parse-names" : false, "suffix" : "" } ], "container-title" : "Gazi Journal of Education Sciences", "id" : "ITEM-1", "issued" : { "date-parts" : [ [ "2015" ] ] }, "page" : "143-162", "title" : "Computational Thinking Levels Scale (CTLS) Adaptation for Secondary School Level", "type" : "article-journal" }, "uris" : [ "http://www.mendeley.com/documents/?uuid=058cb80c-3b86-49cb-81e3-6ade583f5b26" ] }, { "id" : "ITEM-2", "itemData" : { "DOI" : "10.1016/j.chb.2017.01.005", "ISBN" : "0747-5632", "ISSN" : "07475632", "abstract" : "It is possible to define Computational Thinking briefly as having the knowledge, skill and attitudes necessary to be able to use the computers in the solution of the life problems for production purposes. In this study, a scale has been developed for the purpose of determining the levels of computational thinking skills (CTS) of the students. CTS is a five-point likert type scale and consists of 29 items that could be collected under five factors. The study group of this work consists of 726 students educated at the levels of associate degree and undergraduate degree with formal education in Amasya University for the first application. For the second application 580 students who were educated in pedagogical formation education via distance education in Amasya University. The validity and reliability of the scale have been studied by conducting exploratory factor analysis, confirmatory factor analysis, item distinctiveness analyses, internal consistency coefficients and constancy analyses. As a result of the conducted analyses, it has been concluded that the scale is a valid and reliable measurement tool that could measure the computational thinking skills of the students. In addition; the digital age individuals are expected to have the computational thinking skill, and at what degree they have these skills, the revelation of whether the levels they have are sufficient or not are a requirement. Within this frame, it could be said that the scale could make significant contributions to the literature.", "author" : [ { "dropping-particle" : "", "family" : "Korkmaz", "given" : "\u00d6zgen", "non-dropping-particle" : "", "parse-names" : false, "suffix" : "" }, { "dropping-particle" : "", "family" : "\u00c7akir", "given" : "Recep", "non-dropping-particle" : "", "parse-names" : false, "suffix" : "" }, { "dropping-particle" : "", "family" : "\u00d6zden", "given" : "M. Ya\u015far", "non-dropping-particle" : "", "parse-names" : false, "suffix" : "" } ], "container-title" : "Computers in Human Behavior", "id" : "ITEM-2", "issued" : { "date-parts" : [ [ "2017" ] ] }, "page" : "558-569", "title" : "A validity and reliability study of the computational thinking scales (CTS)", "type" : "article-journal", "volume" : "72" }, "uris" : [ "http://www.mendeley.com/documents/?uuid=fa90a9da-0e73-4d18-ab95-29bf9b4554b7" ] }, { "id" : "ITEM-3", "itemData" : { "DOI" : "10.1016/j.compedu.2017.09.004", "ISSN" : "03601315", "author" : [ { "dropping-particle" : "", "family" : "Durak", "given" : "Hatice Yildiz", "non-dropping-particle" : "", "parse-names" : false, "suffix" : "" }, { "dropping-particle" : "", "family" : "Saritepeci", "given" : "Mustafa", "non-dropping-particle" : "", "parse-names" : false, "suffix" : "" } ], "container-title" : "Computers &amp; Education", "id" : "ITEM-3", "issued" : { "date-parts" : [ [ "2017" ] ] }, "page" : "191-202", "publisher" : "Elsevier Ltd", "title" : "Analysis of the relation between computational thinking skills and various variables with the structural equation model", "type" : "article-journal", "volume" : "116" }, "uris" : [ "http://www.mendeley.com/documents/?uuid=39389eb8-9ad0-4b73-8332-adddc346f4d1" ] }, { "id" : "ITEM-4", "itemData" : { "abstract" : "Computational thinking is generally considered as a kind of analytical way of thinking. According to Wings (2008) it shares with mathematical thinking, engineering thinking and scientific thinking in the general ways in which we may use for solving a problem, designing and evaluating complex systems or understanding computability and intelligence as well as the mind and human behaviour. It is generally accepted important that like high order thinking skills the analytical way of thinking should be taught to the children at very early ages. The aim of this study is to investigate the computational thinking skills of secondary school students in terms of different variables. The study group of the research is 160 secondary school students who continue their education at different levels in Konya. The \" Computational Thinking Skills Scale \" which has been developed by Korkmaz, \u00c7ak\u0131r and \u00d6zden (2015) used for data collection. The scale includes 22 items and it is a 5 point likert type scale. The Cronbach Alpha reliability of the scale has been calculated as 0.80 and it has been found to be valid to measure the computational skills levels of the secondary school students as a result of the analysis. As a result of this research, the computational thinking skill levels of participants differ meaningfully in terms of their class levels, do not differ meaningfully in terms of their genders, do not differ meaningfully in terms of their weekly internet usage durations, do not differ meaningfully in terms of their mobile device usage competence situations, differ meaningfully in terms of their mobile Technologies possession durations.", "author" : [ { "dropping-particle" : "", "family" : "Korucu", "given" : "Agah Tugrul", "non-dropping-particle" : "", "parse-names" : false, "suffix" : "" }, { "dropping-particle" : "", "family" : "Gencturk", "given" : "Abdullah Tar\u0131k", "non-dropping-particle" : "", "parse-names" : false, "suffix" : "" }, { "dropping-particle" : "", "family" : "Gundogdu", "given" : "Mustafa Mucahit", "non-dropping-particle" : "", "parse-names" : false, "suffix" : "" } ], "container-title" : "Journal of Learning and Teaching in Digital Age", "id" : "ITEM-4", "issue" : "1", "issued" : { "date-parts" : [ [ "2017" ] ] }, "page" : "11-19", "title" : "Examination of the Computational Thinking Skills of Students", "type" : "article-journal", "volume" : "2" }, "uris" : [ "http://www.mendeley.com/documents/?uuid=fda3272b-abda-46c7-9020-14b1250a8e8c" ] } ], "mendeley" : { "formattedCitation" : "(Durak &amp; Saritepeci, 2017; Korkmaz, \u00c7akir, &amp; \u00d6zden, 2017; Korkmaz, \u00c7ak\u0131r, &amp; \u00d6zden, 2015; Korucu, Gencturk, &amp; Gundogdu, 2017)", "plainTextFormattedCitation" : "(Durak &amp; Saritepeci, 2017; Korkmaz, \u00c7akir, &amp; \u00d6zden, 2017; Korkmaz, \u00c7ak\u0131r, &amp; \u00d6zden, 2015; Korucu, Gencturk, &amp; Gundogdu, 2017)", "previouslyFormattedCitation" : "(Durak &amp; Saritepeci, 2017; Korkmaz, \u00c7akir, &amp; \u00d6zden, 2017; Korkmaz, \u00c7ak\u0131r, &amp; \u00d6zden, 2015; Korucu, Gencturk, &amp; Gundogdu, 2017)" }, "properties" : { "noteIndex" : 0 }, "schema" : "https://github.com/citation-style-language/schema/raw/master/csl-citation.json" }</w:instrText>
      </w:r>
      <w:r w:rsidR="00A355EE" w:rsidRPr="00CF6F48">
        <w:rPr>
          <w:iCs/>
          <w:sz w:val="20"/>
        </w:rPr>
        <w:fldChar w:fldCharType="separate"/>
      </w:r>
      <w:r w:rsidR="00FA3F02" w:rsidRPr="00CF6F48">
        <w:rPr>
          <w:iCs/>
          <w:noProof/>
          <w:sz w:val="20"/>
        </w:rPr>
        <w:t>(Durak &amp; Saritepeci, 2017; Korkmaz, Çakir, &amp; Özden, 2017; Korkmaz, Çakır, &amp; Özden, 2015; Korucu, Gencturk, &amp; Gundogdu, 2017)</w:t>
      </w:r>
      <w:r w:rsidR="00A355EE" w:rsidRPr="00CF6F48">
        <w:rPr>
          <w:iCs/>
          <w:sz w:val="20"/>
        </w:rPr>
        <w:fldChar w:fldCharType="end"/>
      </w:r>
      <w:r w:rsidR="00B0750B" w:rsidRPr="00CF6F48">
        <w:rPr>
          <w:iCs/>
          <w:sz w:val="20"/>
        </w:rPr>
        <w:t>, which do not measure performance. There is a lack of large-scale studies</w:t>
      </w:r>
      <w:r w:rsidR="002E74FD" w:rsidRPr="00CF6F48">
        <w:rPr>
          <w:iCs/>
          <w:sz w:val="20"/>
        </w:rPr>
        <w:t xml:space="preserve"> </w:t>
      </w:r>
      <w:r w:rsidR="002E74FD" w:rsidRPr="00CF6F48">
        <w:rPr>
          <w:iCs/>
          <w:sz w:val="20"/>
        </w:rPr>
        <w:fldChar w:fldCharType="begin" w:fldLock="1"/>
      </w:r>
      <w:r w:rsidR="00531C05" w:rsidRPr="00CF6F48">
        <w:rPr>
          <w:iCs/>
          <w:sz w:val="20"/>
        </w:rPr>
        <w:instrText>ADDIN CSL_CITATION { "citationItems" : [ { "id" : "ITEM-1", "itemData" : { "author" : [ { "dropping-particle" : "", "family" : "Kallia", "given" : "Maria", "non-dropping-particle" : "", "parse-names" : false, "suffix" : "" } ], "id" : "ITEM-1", "issued" : { "date-parts" : [ [ "2017" ] ] }, "publisher-place" : "London", "title" : "Assessment in Computer Science courses : A Literature Review", "type" : "report" }, "uris" : [ "http://www.mendeley.com/documents/?uuid=acb8241a-54cf-4ac2-a5e0-a292ac044d07" ] } ], "mendeley" : { "formattedCitation" : "(Kallia, 2017)", "plainTextFormattedCitation" : "(Kallia, 2017)", "previouslyFormattedCitation" : "(Kallia, 2017)" }, "properties" : { "noteIndex" : 0 }, "schema" : "https://github.com/citation-style-language/schema/raw/master/csl-citation.json" }</w:instrText>
      </w:r>
      <w:r w:rsidR="002E74FD" w:rsidRPr="00CF6F48">
        <w:rPr>
          <w:iCs/>
          <w:sz w:val="20"/>
        </w:rPr>
        <w:fldChar w:fldCharType="separate"/>
      </w:r>
      <w:r w:rsidR="002E74FD" w:rsidRPr="00CF6F48">
        <w:rPr>
          <w:iCs/>
          <w:noProof/>
          <w:sz w:val="20"/>
        </w:rPr>
        <w:t>(Kallia, 2017)</w:t>
      </w:r>
      <w:r w:rsidR="002E74FD" w:rsidRPr="00CF6F48">
        <w:rPr>
          <w:iCs/>
          <w:sz w:val="20"/>
        </w:rPr>
        <w:fldChar w:fldCharType="end"/>
      </w:r>
      <w:r w:rsidR="00B0750B" w:rsidRPr="00CF6F48">
        <w:rPr>
          <w:iCs/>
          <w:sz w:val="20"/>
        </w:rPr>
        <w:t xml:space="preserve"> that could uncover the questions around how computational thinking skills are related to other disciplines and academic achievement. </w:t>
      </w:r>
      <w:r w:rsidR="0043692E" w:rsidRPr="00CF6F48">
        <w:rPr>
          <w:iCs/>
          <w:sz w:val="20"/>
        </w:rPr>
        <w:t>Studies on computational thinking differ on their findi</w:t>
      </w:r>
      <w:r w:rsidR="00443FB8" w:rsidRPr="00CF6F48">
        <w:rPr>
          <w:iCs/>
          <w:sz w:val="20"/>
        </w:rPr>
        <w:t xml:space="preserve">ngs regarding the gender factor. Therefore, </w:t>
      </w:r>
      <w:r w:rsidR="00485770" w:rsidRPr="00CF6F48">
        <w:rPr>
          <w:iCs/>
          <w:sz w:val="20"/>
        </w:rPr>
        <w:t>gender variable is included this study</w:t>
      </w:r>
      <w:r w:rsidR="00443FB8" w:rsidRPr="00CF6F48">
        <w:rPr>
          <w:iCs/>
          <w:sz w:val="20"/>
        </w:rPr>
        <w:t>.</w:t>
      </w:r>
      <w:r w:rsidR="0043692E" w:rsidRPr="00CF6F48">
        <w:rPr>
          <w:iCs/>
          <w:sz w:val="20"/>
        </w:rPr>
        <w:t xml:space="preserve"> </w:t>
      </w:r>
      <w:r w:rsidR="00B0750B" w:rsidRPr="00CF6F48">
        <w:rPr>
          <w:iCs/>
          <w:sz w:val="20"/>
        </w:rPr>
        <w:t xml:space="preserve">Since computational thinking is a multi-dimensional and complex </w:t>
      </w:r>
      <w:r w:rsidR="00E53A0C" w:rsidRPr="00CF6F48">
        <w:rPr>
          <w:iCs/>
          <w:sz w:val="20"/>
        </w:rPr>
        <w:t>phenomenon</w:t>
      </w:r>
      <w:r w:rsidR="00B0750B" w:rsidRPr="00CF6F48">
        <w:rPr>
          <w:iCs/>
          <w:sz w:val="20"/>
        </w:rPr>
        <w:t xml:space="preserve">, it is hard to measure. Multiple-choice items are considered the most suitable format for assessment of higher order cognitive skills and abilities, such as problem solving, synthesis, and evaluation </w:t>
      </w:r>
      <w:r w:rsidR="00B0750B" w:rsidRPr="00CF6F48">
        <w:rPr>
          <w:iCs/>
          <w:sz w:val="20"/>
        </w:rPr>
        <w:fldChar w:fldCharType="begin" w:fldLock="1"/>
      </w:r>
      <w:r w:rsidR="00B0750B" w:rsidRPr="00CF6F48">
        <w:rPr>
          <w:iCs/>
          <w:sz w:val="20"/>
        </w:rPr>
        <w:instrText>ADDIN CSL_CITATION { "citationItems" : [ { "id" : "ITEM-1", "itemData" : { "ISBN" : "0805852646", "author" : [ { "dropping-particle" : "", "family" : "Downing", "given" : "Steven M.", "non-dropping-particle" : "", "parse-names" : false, "suffix" : "" }, { "dropping-particle" : "", "family" : "Haladyna", "given" : "Thomas M.", "non-dropping-particle" : "", "parse-names" : false, "suffix" : "" } ], "edition" : "1", "id" : "ITEM-1", "issued" : { "date-parts" : [ [ "2006" ] ] }, "publisher" : "Lawrence Erlbaum Associates", "publisher-place" : "Mahwah, New Jersey", "title" : "Handbook of test development", "type" : "book" }, "uris" : [ "http://www.mendeley.com/documents/?uuid=d6713b26-5802-493f-a1de-810cf88dff42" ] } ], "mendeley" : { "formattedCitation" : "(Downing &amp; Haladyna, 2006)", "manualFormatting" : "(Downing &amp; Haladyna, 2006)", "plainTextFormattedCitation" : "(Downing &amp; Haladyna, 2006)", "previouslyFormattedCitation" : "(Downing &amp; Haladyna, 2006)" }, "properties" : { "noteIndex" : 0 }, "schema" : "https://github.com/citation-style-language/schema/raw/master/csl-citation.json" }</w:instrText>
      </w:r>
      <w:r w:rsidR="00B0750B" w:rsidRPr="00CF6F48">
        <w:rPr>
          <w:iCs/>
          <w:sz w:val="20"/>
        </w:rPr>
        <w:fldChar w:fldCharType="separate"/>
      </w:r>
      <w:r w:rsidR="00B0750B" w:rsidRPr="00CF6F48">
        <w:rPr>
          <w:iCs/>
          <w:noProof/>
          <w:sz w:val="20"/>
        </w:rPr>
        <w:t>(Downing &amp; Haladyna, 2006)</w:t>
      </w:r>
      <w:r w:rsidR="00B0750B" w:rsidRPr="00CF6F48">
        <w:rPr>
          <w:iCs/>
          <w:sz w:val="20"/>
        </w:rPr>
        <w:fldChar w:fldCharType="end"/>
      </w:r>
      <w:r w:rsidR="00B0750B" w:rsidRPr="00CF6F48">
        <w:rPr>
          <w:iCs/>
          <w:sz w:val="20"/>
        </w:rPr>
        <w:t xml:space="preserve"> and more efficient for the big sample size </w:t>
      </w:r>
      <w:r w:rsidR="00B0750B" w:rsidRPr="00CF6F48">
        <w:rPr>
          <w:iCs/>
          <w:sz w:val="20"/>
        </w:rPr>
        <w:fldChar w:fldCharType="begin" w:fldLock="1"/>
      </w:r>
      <w:r w:rsidR="00B0750B" w:rsidRPr="00CF6F48">
        <w:rPr>
          <w:iCs/>
          <w:sz w:val="20"/>
        </w:rPr>
        <w:instrText>ADDIN CSL_CITATION { "citationItems" : [ { "id" : "ITEM-1", "itemData" : { "DOI" : "10.1119/1.1466554", "ISBN" : "0031-921X", "ISSN" : "0031-921X", "abstract" : "A detailed example is used to illustrate the difficulties making sense of students' answers to multiple-choice questions. We explore how correct answers can be false indicators of student knowledge and understanding. We caution against excessive reliance on multiple-choice questions for instructional decisions.", "author" : [ { "dropping-particle" : "", "family" : "Dufresne", "given" : "Robert J.", "non-dropping-particle" : "", "parse-names" : false, "suffix" : "" }, { "dropping-particle" : "", "family" : "Leonard", "given" : "William J.", "non-dropping-particle" : "", "parse-names" : false, "suffix" : "" }, { "dropping-particle" : "", "family" : "Gerace", "given" : "William J.", "non-dropping-particle" : "", "parse-names" : false, "suffix" : "" } ], "container-title" : "The Physics Teacher", "id" : "ITEM-1", "issue" : "3", "issued" : { "date-parts" : [ [ "2002" ] ] }, "page" : "174-180", "title" : "Marking sense of students' answers to multiple-choice questions", "type" : "article-journal", "volume" : "40" }, "uris" : [ "http://www.mendeley.com/documents/?uuid=cf0f9a06-3307-4461-bffb-bf1447ce5af4" ] }, { "id" : "ITEM-2", "itemData" : { "DOI" : "10.1111/j.1475-4932.1999.tb02571.x", "ISBN" : "0013-0249", "ISSN" : "0013-0249", "abstract" : "Efficiency considerations have led to increased use of multiple-choice questions to assess economics understanding at the secondary and tertiary levels throughout Australia. A multiple-choice test would suffice if multiple-choice and essay questions measure the same dimensions of knowledge, as suggested by least squares estimation of the relationship between these two forms of testing. We show a simultaneous equation bias inherent in least squares estimation of the relationship between these two forms. A two-stage least squares estimation reveals no relationship, implying that these testing forms measure different dimensions of knowledge. Thus, a single form of testing economics knowledge must be avoided.", "author" : [ { "dropping-particle" : "", "family" : "Becker", "given" : "William E.", "non-dropping-particle" : "", "parse-names" : false, "suffix" : "" }, { "dropping-particle" : "", "family" : "Johnston", "given" : "Carol G.", "non-dropping-particle" : "", "parse-names" : false, "suffix" : "" } ], "container-title" : "Economic Record", "id" : "ITEM-2", "issue" : "231", "issued" : { "date-parts" : [ [ "1999" ] ] }, "page" : "348-357", "title" : "The Relationship between Multiple Choice and Essay Response Questions in Assessing Economics Understanding", "type" : "article-journal", "volume" : "75" }, "uris" : [ "http://www.mendeley.com/documents/?uuid=1fe5d8b7-a320-4498-a306-408c3b5f94d7" ] } ], "mendeley" : { "formattedCitation" : "(Becker &amp; Johnston, 1999; Dufresne, Leonard, &amp; Gerace, 2002)", "plainTextFormattedCitation" : "(Becker &amp; Johnston, 1999; Dufresne, Leonard, &amp; Gerace, 2002)", "previouslyFormattedCitation" : "(Becker &amp; Johnston, 1999; Dufresne, Leonard, &amp; Gerace, 2002)" }, "properties" : { "noteIndex" : 0 }, "schema" : "https://github.com/citation-style-language/schema/raw/master/csl-citation.json" }</w:instrText>
      </w:r>
      <w:r w:rsidR="00B0750B" w:rsidRPr="00CF6F48">
        <w:rPr>
          <w:iCs/>
          <w:sz w:val="20"/>
        </w:rPr>
        <w:fldChar w:fldCharType="separate"/>
      </w:r>
      <w:r w:rsidR="00B0750B" w:rsidRPr="00CF6F48">
        <w:rPr>
          <w:iCs/>
          <w:noProof/>
          <w:sz w:val="20"/>
        </w:rPr>
        <w:t>(Becker &amp; Johnston, 1999; Dufresne, Leonard, &amp; Gerace, 2002)</w:t>
      </w:r>
      <w:r w:rsidR="00B0750B" w:rsidRPr="00CF6F48">
        <w:rPr>
          <w:iCs/>
          <w:sz w:val="20"/>
        </w:rPr>
        <w:fldChar w:fldCharType="end"/>
      </w:r>
      <w:r w:rsidR="00B0750B" w:rsidRPr="00CF6F48">
        <w:rPr>
          <w:iCs/>
          <w:sz w:val="20"/>
        </w:rPr>
        <w:t>.</w:t>
      </w:r>
    </w:p>
    <w:p w14:paraId="718474A3" w14:textId="24449D71" w:rsidR="00BA72E8" w:rsidRPr="00CF6F48" w:rsidRDefault="008C1596" w:rsidP="00B94108">
      <w:pPr>
        <w:spacing w:after="80" w:line="240" w:lineRule="exact"/>
        <w:outlineLvl w:val="0"/>
        <w:rPr>
          <w:b/>
          <w:iCs/>
          <w:sz w:val="22"/>
          <w:szCs w:val="22"/>
        </w:rPr>
      </w:pPr>
      <w:r w:rsidRPr="00CF6F48">
        <w:rPr>
          <w:b/>
          <w:iCs/>
          <w:sz w:val="22"/>
          <w:szCs w:val="22"/>
        </w:rPr>
        <w:t>3</w:t>
      </w:r>
      <w:r w:rsidR="00BA72E8" w:rsidRPr="00CF6F48">
        <w:rPr>
          <w:b/>
          <w:iCs/>
          <w:sz w:val="22"/>
          <w:szCs w:val="22"/>
        </w:rPr>
        <w:t>. Method</w:t>
      </w:r>
      <w:r w:rsidR="00B0750B" w:rsidRPr="00CF6F48">
        <w:rPr>
          <w:b/>
          <w:iCs/>
          <w:sz w:val="22"/>
          <w:szCs w:val="22"/>
        </w:rPr>
        <w:t>ology</w:t>
      </w:r>
    </w:p>
    <w:p w14:paraId="017B8DAD" w14:textId="24AFB28E" w:rsidR="003571CB" w:rsidRPr="00CF6F48" w:rsidRDefault="008C1596" w:rsidP="00B94108">
      <w:pPr>
        <w:spacing w:after="80" w:line="240" w:lineRule="exact"/>
        <w:outlineLvl w:val="0"/>
        <w:rPr>
          <w:i/>
          <w:iCs/>
          <w:sz w:val="20"/>
        </w:rPr>
      </w:pPr>
      <w:r w:rsidRPr="00CF6F48">
        <w:rPr>
          <w:i/>
          <w:iCs/>
          <w:sz w:val="20"/>
        </w:rPr>
        <w:t>3</w:t>
      </w:r>
      <w:r w:rsidR="003571CB" w:rsidRPr="00CF6F48">
        <w:rPr>
          <w:i/>
          <w:iCs/>
          <w:sz w:val="20"/>
        </w:rPr>
        <w:t xml:space="preserve">.1 </w:t>
      </w:r>
      <w:r w:rsidR="00B0750B" w:rsidRPr="00CF6F48">
        <w:rPr>
          <w:i/>
          <w:iCs/>
          <w:sz w:val="20"/>
        </w:rPr>
        <w:t>Research Design</w:t>
      </w:r>
    </w:p>
    <w:p w14:paraId="2642B503" w14:textId="023AD718" w:rsidR="006F4A2E" w:rsidRPr="00CF6F48" w:rsidRDefault="00B0750B" w:rsidP="003571CB">
      <w:pPr>
        <w:spacing w:after="80" w:line="240" w:lineRule="exact"/>
        <w:rPr>
          <w:iCs/>
          <w:sz w:val="20"/>
        </w:rPr>
      </w:pPr>
      <w:r w:rsidRPr="00CF6F48">
        <w:rPr>
          <w:iCs/>
          <w:sz w:val="20"/>
        </w:rPr>
        <w:lastRenderedPageBreak/>
        <w:t xml:space="preserve">This study has a quantitative research design. For the primary data collection, the multiple-choice </w:t>
      </w:r>
      <w:r w:rsidR="004523A6" w:rsidRPr="00CF6F48">
        <w:rPr>
          <w:iCs/>
          <w:sz w:val="20"/>
        </w:rPr>
        <w:t>questions</w:t>
      </w:r>
      <w:r w:rsidRPr="00CF6F48">
        <w:rPr>
          <w:iCs/>
          <w:sz w:val="20"/>
        </w:rPr>
        <w:t xml:space="preserve"> were designed to measure the computational thinking performance of the secondary school students. In addition to multiple-choice questions, the computational thinking scale questionnaire </w:t>
      </w:r>
      <w:r w:rsidRPr="00CF6F48">
        <w:rPr>
          <w:iCs/>
          <w:sz w:val="20"/>
        </w:rPr>
        <w:fldChar w:fldCharType="begin" w:fldLock="1"/>
      </w:r>
      <w:r w:rsidR="00A355EE" w:rsidRPr="00CF6F48">
        <w:rPr>
          <w:iCs/>
          <w:sz w:val="20"/>
        </w:rPr>
        <w:instrText>ADDIN CSL_CITATION { "citationItems" : [ { "id" : "ITEM-1", "itemData" : { "author" : [ { "dropping-particle" : "", "family" : "Korkmaz", "given" : "\u00d6zgen", "non-dropping-particle" : "", "parse-names" : false, "suffix" : "" }, { "dropping-particle" : "", "family" : "\u00c7ak\u0131r", "given" : "Recep", "non-dropping-particle" : "", "parse-names" : false, "suffix" : "" }, { "dropping-particle" : "", "family" : "\u00d6zden", "given" : "Ya\u015far", "non-dropping-particle" : "", "parse-names" : false, "suffix" : "" } ], "container-title" : "Gazi Journal of Education Sciences", "id" : "ITEM-1", "issued" : { "date-parts" : [ [ "2015" ] ] }, "page" : "143-162", "title" : "Computational Thinking Levels Scale (CTLS) Adaptation for Secondary School Level", "type" : "article-journal" }, "uris" : [ "http://www.mendeley.com/documents/?uuid=058cb80c-3b86-49cb-81e3-6ade583f5b26" ] }, { "id" : "ITEM-2", "itemData" : { "DOI" : "10.1016/j.chb.2017.01.005", "ISBN" : "0747-5632", "ISSN" : "07475632", "abstract" : "It is possible to define Computational Thinking briefly as having the knowledge, skill and attitudes necessary to be able to use the computers in the solution of the life problems for production purposes. In this study, a scale has been developed for the purpose of determining the levels of computational thinking skills (CTS) of the students. CTS is a five-point likert type scale and consists of 29 items that could be collected under five factors. The study group of this work consists of 726 students educated at the levels of associate degree and undergraduate degree with formal education in Amasya University for the first application. For the second application 580 students who were educated in pedagogical formation education via distance education in Amasya University. The validity and reliability of the scale have been studied by conducting exploratory factor analysis, confirmatory factor analysis, item distinctiveness analyses, internal consistency coefficients and constancy analyses. As a result of the conducted analyses, it has been concluded that the scale is a valid and reliable measurement tool that could measure the computational thinking skills of the students. In addition; the digital age individuals are expected to have the computational thinking skill, and at what degree they have these skills, the revelation of whether the levels they have are sufficient or not are a requirement. Within this frame, it could be said that the scale could make significant contributions to the literature.", "author" : [ { "dropping-particle" : "", "family" : "Korkmaz", "given" : "\u00d6zgen", "non-dropping-particle" : "", "parse-names" : false, "suffix" : "" }, { "dropping-particle" : "", "family" : "\u00c7akir", "given" : "Recep", "non-dropping-particle" : "", "parse-names" : false, "suffix" : "" }, { "dropping-particle" : "", "family" : "\u00d6zden", "given" : "M. Ya\u015far", "non-dropping-particle" : "", "parse-names" : false, "suffix" : "" } ], "container-title" : "Computers in Human Behavior", "id" : "ITEM-2", "issued" : { "date-parts" : [ [ "2017" ] ] }, "page" : "558-569", "title" : "A validity and reliability study of the computational thinking scales (CTS)", "type" : "article-journal", "volume" : "72" }, "uris" : [ "http://www.mendeley.com/documents/?uuid=fa90a9da-0e73-4d18-ab95-29bf9b4554b7" ] } ], "mendeley" : { "formattedCitation" : "(Korkmaz et al., 2017; Korkmaz, \u00c7ak\u0131r, &amp; \u00d6zden, 2015)", "plainTextFormattedCitation" : "(Korkmaz et al., 2017; Korkmaz, \u00c7ak\u0131r, &amp; \u00d6zden, 2015)", "previouslyFormattedCitation" : "(Korkmaz et al., 2017; Korkmaz, \u00c7ak\u0131r, &amp; \u00d6zden, 2015)" }, "properties" : { "noteIndex" : 0 }, "schema" : "https://github.com/citation-style-language/schema/raw/master/csl-citation.json" }</w:instrText>
      </w:r>
      <w:r w:rsidRPr="00CF6F48">
        <w:rPr>
          <w:iCs/>
          <w:sz w:val="20"/>
        </w:rPr>
        <w:fldChar w:fldCharType="separate"/>
      </w:r>
      <w:r w:rsidR="00A355EE" w:rsidRPr="00CF6F48">
        <w:rPr>
          <w:iCs/>
          <w:noProof/>
          <w:sz w:val="20"/>
        </w:rPr>
        <w:t>(Korkmaz et al., 2017; Korkmaz, Çakır, &amp; Özden, 2015)</w:t>
      </w:r>
      <w:r w:rsidRPr="00CF6F48">
        <w:rPr>
          <w:iCs/>
          <w:sz w:val="20"/>
        </w:rPr>
        <w:fldChar w:fldCharType="end"/>
      </w:r>
      <w:r w:rsidRPr="00CF6F48">
        <w:rPr>
          <w:iCs/>
          <w:sz w:val="20"/>
        </w:rPr>
        <w:t xml:space="preserve"> </w:t>
      </w:r>
      <w:r w:rsidR="006F4A2E" w:rsidRPr="00CF6F48">
        <w:rPr>
          <w:iCs/>
          <w:sz w:val="20"/>
        </w:rPr>
        <w:t>is</w:t>
      </w:r>
      <w:r w:rsidRPr="00CF6F48">
        <w:rPr>
          <w:iCs/>
          <w:sz w:val="20"/>
        </w:rPr>
        <w:t xml:space="preserve"> used to measure perceptions of computational thinking skills in standardised online form. As for the secondary data, the results of the </w:t>
      </w:r>
      <w:r w:rsidR="00C52094" w:rsidRPr="00CF6F48">
        <w:rPr>
          <w:iCs/>
          <w:sz w:val="20"/>
        </w:rPr>
        <w:t>General Achievement Test</w:t>
      </w:r>
      <w:r w:rsidRPr="00CF6F48">
        <w:rPr>
          <w:iCs/>
          <w:sz w:val="20"/>
        </w:rPr>
        <w:t xml:space="preserve"> were taken.</w:t>
      </w:r>
      <w:r w:rsidR="006F4A2E" w:rsidRPr="00CF6F48">
        <w:rPr>
          <w:iCs/>
          <w:sz w:val="20"/>
        </w:rPr>
        <w:t xml:space="preserve"> The secondary data relating to the individual respondent’s general ability is drawn from the General Achievement Test results taken by all students of the </w:t>
      </w:r>
      <w:proofErr w:type="spellStart"/>
      <w:r w:rsidR="006F4A2E" w:rsidRPr="00CF6F48">
        <w:rPr>
          <w:iCs/>
          <w:sz w:val="20"/>
        </w:rPr>
        <w:t>Bilim</w:t>
      </w:r>
      <w:proofErr w:type="spellEnd"/>
      <w:r w:rsidR="006F4A2E" w:rsidRPr="00CF6F48">
        <w:rPr>
          <w:iCs/>
          <w:sz w:val="20"/>
        </w:rPr>
        <w:t xml:space="preserve"> Innovation Lyceums in Kazakhstan. The schools have integrated curricula of the natural-mathematical subjects and the test is taken termly.</w:t>
      </w:r>
    </w:p>
    <w:p w14:paraId="5AF66D19" w14:textId="2A2BA69C" w:rsidR="00ED7264" w:rsidRPr="00CF6F48" w:rsidRDefault="004523A6" w:rsidP="003571CB">
      <w:pPr>
        <w:spacing w:after="80" w:line="240" w:lineRule="exact"/>
        <w:rPr>
          <w:iCs/>
          <w:sz w:val="20"/>
        </w:rPr>
      </w:pPr>
      <w:r w:rsidRPr="00CF6F48">
        <w:rPr>
          <w:iCs/>
          <w:sz w:val="20"/>
        </w:rPr>
        <w:t>The validity and reliability of the multiple-choice questions are tested using Item Response Theory (IRT). The item difficulty and discrimination coef</w:t>
      </w:r>
      <w:r w:rsidR="00810C48" w:rsidRPr="00CF6F48">
        <w:rPr>
          <w:iCs/>
          <w:sz w:val="20"/>
        </w:rPr>
        <w:t>f</w:t>
      </w:r>
      <w:r w:rsidRPr="00CF6F48">
        <w:rPr>
          <w:iCs/>
          <w:sz w:val="20"/>
        </w:rPr>
        <w:t>icients are calculated. In addition, item characteristic curves for each question and test information functions for each quiz are generated.</w:t>
      </w:r>
    </w:p>
    <w:p w14:paraId="521F8802" w14:textId="28D5B918" w:rsidR="00C91AA4" w:rsidRPr="00CF6F48" w:rsidRDefault="00B0750B" w:rsidP="003571CB">
      <w:pPr>
        <w:spacing w:after="80" w:line="240" w:lineRule="exact"/>
        <w:rPr>
          <w:iCs/>
          <w:sz w:val="20"/>
        </w:rPr>
      </w:pPr>
      <w:r w:rsidRPr="00CF6F48">
        <w:rPr>
          <w:iCs/>
          <w:sz w:val="20"/>
        </w:rPr>
        <w:t xml:space="preserve">These data are analysed to </w:t>
      </w:r>
      <w:r w:rsidR="00C52094" w:rsidRPr="00CF6F48">
        <w:rPr>
          <w:iCs/>
          <w:sz w:val="20"/>
        </w:rPr>
        <w:t>determine</w:t>
      </w:r>
      <w:r w:rsidRPr="00CF6F48">
        <w:rPr>
          <w:iCs/>
          <w:sz w:val="20"/>
        </w:rPr>
        <w:t xml:space="preserve"> the relationship between the variables. The research seeks to identify if there exists </w:t>
      </w:r>
      <w:r w:rsidR="006F4A2E" w:rsidRPr="00CF6F48">
        <w:rPr>
          <w:iCs/>
          <w:sz w:val="20"/>
        </w:rPr>
        <w:t>a</w:t>
      </w:r>
      <w:r w:rsidRPr="00CF6F48">
        <w:rPr>
          <w:iCs/>
          <w:sz w:val="20"/>
        </w:rPr>
        <w:t xml:space="preserve"> relationship between the prior measures and the computational thinking levels of 8</w:t>
      </w:r>
      <w:r w:rsidRPr="00CF6F48">
        <w:rPr>
          <w:iCs/>
          <w:sz w:val="20"/>
          <w:vertAlign w:val="superscript"/>
        </w:rPr>
        <w:t>th</w:t>
      </w:r>
      <w:r w:rsidRPr="00CF6F48">
        <w:rPr>
          <w:iCs/>
          <w:sz w:val="20"/>
        </w:rPr>
        <w:t xml:space="preserve"> grade students. </w:t>
      </w:r>
      <w:r w:rsidR="005B7430" w:rsidRPr="00CF6F48">
        <w:rPr>
          <w:iCs/>
          <w:sz w:val="20"/>
        </w:rPr>
        <w:t xml:space="preserve">A regression analysis </w:t>
      </w:r>
      <w:r w:rsidR="006F4A2E" w:rsidRPr="00CF6F48">
        <w:rPr>
          <w:iCs/>
          <w:sz w:val="20"/>
        </w:rPr>
        <w:t>used</w:t>
      </w:r>
      <w:r w:rsidR="005B7430" w:rsidRPr="00CF6F48">
        <w:rPr>
          <w:iCs/>
          <w:sz w:val="20"/>
        </w:rPr>
        <w:t xml:space="preserve"> to predict computational thi</w:t>
      </w:r>
      <w:r w:rsidR="006F4A2E" w:rsidRPr="00CF6F48">
        <w:rPr>
          <w:iCs/>
          <w:sz w:val="20"/>
        </w:rPr>
        <w:t>n</w:t>
      </w:r>
      <w:r w:rsidR="005B7430" w:rsidRPr="00CF6F48">
        <w:rPr>
          <w:iCs/>
          <w:sz w:val="20"/>
        </w:rPr>
        <w:t xml:space="preserve">king performance based on the predictor variables </w:t>
      </w:r>
      <w:r w:rsidR="005B7430" w:rsidRPr="00CF6F48">
        <w:rPr>
          <w:iCs/>
          <w:sz w:val="20"/>
        </w:rPr>
        <w:fldChar w:fldCharType="begin" w:fldLock="1"/>
      </w:r>
      <w:r w:rsidR="00E04658" w:rsidRPr="00CF6F48">
        <w:rPr>
          <w:iCs/>
          <w:sz w:val="20"/>
        </w:rPr>
        <w:instrText>ADDIN CSL_CITATION { "citationItems" : [ { "id" : "ITEM-1", "itemData" : { "ISBN" : "9781847879066", "author" : [ { "dropping-particle" : "", "family" : "Field", "given" : "Andy", "non-dropping-particle" : "", "parse-names" : false, "suffix" : "" } ], "container-title" : "SAGE Publications Ltd", "edition" : "3", "id" : "ITEM-1", "issued" : { "date-parts" : [ [ "2013" ] ] }, "publisher-place" : "London", "title" : "Discovering Statistics Using IBM SPSS Statistics", "type" : "book" }, "uris" : [ "http://www.mendeley.com/documents/?uuid=4976441d-bc42-442e-b40c-5a7956f3e896" ] } ], "mendeley" : { "formattedCitation" : "(Field, 2013)", "plainTextFormattedCitation" : "(Field, 2013)", "previouslyFormattedCitation" : "(Field, 2013)" }, "properties" : { "noteIndex" : 0 }, "schema" : "https://github.com/citation-style-language/schema/raw/master/csl-citation.json" }</w:instrText>
      </w:r>
      <w:r w:rsidR="005B7430" w:rsidRPr="00CF6F48">
        <w:rPr>
          <w:iCs/>
          <w:sz w:val="20"/>
        </w:rPr>
        <w:fldChar w:fldCharType="separate"/>
      </w:r>
      <w:r w:rsidR="005B7430" w:rsidRPr="00CF6F48">
        <w:rPr>
          <w:iCs/>
          <w:noProof/>
          <w:sz w:val="20"/>
        </w:rPr>
        <w:t>(Field, 2013)</w:t>
      </w:r>
      <w:r w:rsidR="005B7430" w:rsidRPr="00CF6F48">
        <w:rPr>
          <w:iCs/>
          <w:sz w:val="20"/>
        </w:rPr>
        <w:fldChar w:fldCharType="end"/>
      </w:r>
      <w:r w:rsidR="005B7430" w:rsidRPr="00CF6F48">
        <w:rPr>
          <w:iCs/>
          <w:sz w:val="20"/>
        </w:rPr>
        <w:t xml:space="preserve">. </w:t>
      </w:r>
      <w:r w:rsidRPr="00CF6F48">
        <w:rPr>
          <w:iCs/>
          <w:sz w:val="20"/>
        </w:rPr>
        <w:t xml:space="preserve">50 </w:t>
      </w:r>
      <w:r w:rsidR="00C52094" w:rsidRPr="00CF6F48">
        <w:rPr>
          <w:iCs/>
          <w:sz w:val="20"/>
        </w:rPr>
        <w:t>multiple-choice items were care</w:t>
      </w:r>
      <w:r w:rsidRPr="00CF6F48">
        <w:rPr>
          <w:iCs/>
          <w:sz w:val="20"/>
        </w:rPr>
        <w:t xml:space="preserve">fully constructed </w:t>
      </w:r>
      <w:r w:rsidR="00C52094" w:rsidRPr="00CF6F48">
        <w:rPr>
          <w:iCs/>
          <w:sz w:val="20"/>
        </w:rPr>
        <w:t xml:space="preserve">and validated </w:t>
      </w:r>
      <w:r w:rsidRPr="00CF6F48">
        <w:rPr>
          <w:iCs/>
          <w:sz w:val="20"/>
        </w:rPr>
        <w:t xml:space="preserve">to measure computational thinking </w:t>
      </w:r>
      <w:r w:rsidR="00C52094" w:rsidRPr="00CF6F48">
        <w:rPr>
          <w:iCs/>
          <w:sz w:val="20"/>
        </w:rPr>
        <w:t>pe</w:t>
      </w:r>
      <w:r w:rsidRPr="00CF6F48">
        <w:rPr>
          <w:iCs/>
          <w:sz w:val="20"/>
        </w:rPr>
        <w:t xml:space="preserve">rformance of the participants. </w:t>
      </w:r>
      <w:proofErr w:type="gramStart"/>
      <w:r w:rsidRPr="00CF6F48">
        <w:rPr>
          <w:bCs/>
          <w:iCs/>
          <w:sz w:val="20"/>
        </w:rPr>
        <w:t>775</w:t>
      </w:r>
      <w:r w:rsidR="00C91AA4" w:rsidRPr="00CF6F48">
        <w:rPr>
          <w:bCs/>
          <w:iCs/>
          <w:sz w:val="20"/>
        </w:rPr>
        <w:t xml:space="preserve"> (549 boys, 226 girls)</w:t>
      </w:r>
      <w:r w:rsidRPr="00CF6F48">
        <w:rPr>
          <w:bCs/>
          <w:iCs/>
          <w:sz w:val="20"/>
        </w:rPr>
        <w:t xml:space="preserve"> 8</w:t>
      </w:r>
      <w:r w:rsidRPr="00CF6F48">
        <w:rPr>
          <w:bCs/>
          <w:iCs/>
          <w:sz w:val="20"/>
          <w:vertAlign w:val="superscript"/>
        </w:rPr>
        <w:t>th</w:t>
      </w:r>
      <w:r w:rsidRPr="00CF6F48">
        <w:rPr>
          <w:bCs/>
          <w:iCs/>
          <w:sz w:val="20"/>
        </w:rPr>
        <w:t xml:space="preserve"> grade students </w:t>
      </w:r>
      <w:r w:rsidR="00C91AA4" w:rsidRPr="00CF6F48">
        <w:rPr>
          <w:bCs/>
          <w:iCs/>
          <w:sz w:val="20"/>
        </w:rPr>
        <w:t xml:space="preserve">who are 13-14 year old </w:t>
      </w:r>
      <w:r w:rsidRPr="00CF6F48">
        <w:rPr>
          <w:bCs/>
          <w:iCs/>
          <w:sz w:val="20"/>
        </w:rPr>
        <w:t xml:space="preserve">from 28 </w:t>
      </w:r>
      <w:r w:rsidR="00C91AA4" w:rsidRPr="00CF6F48">
        <w:rPr>
          <w:bCs/>
          <w:iCs/>
          <w:sz w:val="20"/>
        </w:rPr>
        <w:t xml:space="preserve">selective </w:t>
      </w:r>
      <w:proofErr w:type="spellStart"/>
      <w:r w:rsidR="00DA6CF8" w:rsidRPr="00CF6F48">
        <w:rPr>
          <w:bCs/>
          <w:iCs/>
          <w:sz w:val="20"/>
        </w:rPr>
        <w:t>Bilim</w:t>
      </w:r>
      <w:proofErr w:type="spellEnd"/>
      <w:r w:rsidR="00DA6CF8" w:rsidRPr="00CF6F48">
        <w:rPr>
          <w:bCs/>
          <w:iCs/>
          <w:sz w:val="20"/>
        </w:rPr>
        <w:t xml:space="preserve"> Innovation</w:t>
      </w:r>
      <w:r w:rsidRPr="00CF6F48">
        <w:rPr>
          <w:bCs/>
          <w:iCs/>
          <w:sz w:val="20"/>
        </w:rPr>
        <w:t xml:space="preserve"> schools from different parts </w:t>
      </w:r>
      <w:r w:rsidR="006F4A2E" w:rsidRPr="00CF6F48">
        <w:rPr>
          <w:bCs/>
          <w:iCs/>
          <w:sz w:val="20"/>
        </w:rPr>
        <w:t>of Kazakhstan</w:t>
      </w:r>
      <w:r w:rsidRPr="00CF6F48">
        <w:rPr>
          <w:bCs/>
          <w:iCs/>
          <w:sz w:val="20"/>
        </w:rPr>
        <w:t>.</w:t>
      </w:r>
      <w:proofErr w:type="gramEnd"/>
      <w:r w:rsidR="00C91AA4" w:rsidRPr="00CF6F48">
        <w:rPr>
          <w:bCs/>
          <w:iCs/>
          <w:sz w:val="20"/>
        </w:rPr>
        <w:t xml:space="preserve"> The national curriculum, Informatics textbooks </w:t>
      </w:r>
      <w:r w:rsidR="00C91AA4" w:rsidRPr="00CF6F48">
        <w:rPr>
          <w:bCs/>
          <w:iCs/>
          <w:sz w:val="20"/>
        </w:rPr>
        <w:fldChar w:fldCharType="begin" w:fldLock="1"/>
      </w:r>
      <w:r w:rsidR="00C91AA4" w:rsidRPr="00CF6F48">
        <w:rPr>
          <w:bCs/>
          <w:iCs/>
          <w:sz w:val="20"/>
        </w:rPr>
        <w:instrText>ADDIN CSL_CITATION { "citationItems" : [ { "id" : "ITEM-1", "itemData" : { "author" : [ { "dropping-particle" : "", "family" : "Shaniyev", "given" : "Yerzhan", "non-dropping-particle" : "", "parse-names" : false, "suffix" : "" }, { "dropping-particle" : "", "family" : "Gesen", "given" : "Ismail", "non-dropping-particle" : "", "parse-names" : false, "suffix" : "" }, { "dropping-particle" : "", "family" : "Aidarbayev", "given" : "Nurbol", "non-dropping-particle" : "", "parse-names" : false, "suffix" : "" }, { "dropping-particle" : "", "family" : "Akhmetov", "given" : "Nursultan", "non-dropping-particle" : "", "parse-names" : false, "suffix" : "" }, { "dropping-particle" : "", "family" : "Yerzhanov", "given" : "Eldar", "non-dropping-particle" : "", "parse-names" : false, "suffix" : "" } ], "edition" : "1", "id" : "ITEM-1", "issued" : { "date-parts" : [ [ "2017" ] ] }, "number-of-pages" : "80", "publisher" : "Astana Kitap", "publisher-place" : "Astana", "title" : "Informatics - A bilingual textbook - Grade 8", "type" : "book" }, "uris" : [ "http://www.mendeley.com/documents/?uuid=bb3f8180-477e-4fe5-a423-08acdb058bab" ] } ], "mendeley" : { "formattedCitation" : "(Shaniyev et al., 2017)", "manualFormatting" : "(Shaniyev et al. 2017)", "plainTextFormattedCitation" : "(Shaniyev et al., 2017)", "previouslyFormattedCitation" : "(Shaniyev et al., 2017)" }, "properties" : { "noteIndex" : 0 }, "schema" : "https://github.com/citation-style-language/schema/raw/master/csl-citation.json" }</w:instrText>
      </w:r>
      <w:r w:rsidR="00C91AA4" w:rsidRPr="00CF6F48">
        <w:rPr>
          <w:bCs/>
          <w:iCs/>
          <w:sz w:val="20"/>
        </w:rPr>
        <w:fldChar w:fldCharType="separate"/>
      </w:r>
      <w:r w:rsidR="00C91AA4" w:rsidRPr="00CF6F48">
        <w:rPr>
          <w:bCs/>
          <w:iCs/>
          <w:noProof/>
          <w:sz w:val="20"/>
        </w:rPr>
        <w:t>(Shaniyev et al. 2017)</w:t>
      </w:r>
      <w:r w:rsidR="00C91AA4" w:rsidRPr="00CF6F48">
        <w:rPr>
          <w:iCs/>
          <w:sz w:val="20"/>
        </w:rPr>
        <w:fldChar w:fldCharType="end"/>
      </w:r>
      <w:r w:rsidR="00C91AA4" w:rsidRPr="00CF6F48">
        <w:rPr>
          <w:iCs/>
          <w:sz w:val="20"/>
        </w:rPr>
        <w:t xml:space="preserve">, </w:t>
      </w:r>
      <w:r w:rsidR="00C91AA4" w:rsidRPr="00CF6F48">
        <w:rPr>
          <w:bCs/>
          <w:iCs/>
          <w:sz w:val="20"/>
        </w:rPr>
        <w:t>annual lesson plans of informatics for 7</w:t>
      </w:r>
      <w:r w:rsidR="00C91AA4" w:rsidRPr="00CF6F48">
        <w:rPr>
          <w:bCs/>
          <w:iCs/>
          <w:sz w:val="20"/>
          <w:vertAlign w:val="superscript"/>
        </w:rPr>
        <w:t>th</w:t>
      </w:r>
      <w:r w:rsidR="00C91AA4" w:rsidRPr="00CF6F48">
        <w:rPr>
          <w:bCs/>
          <w:iCs/>
          <w:sz w:val="20"/>
        </w:rPr>
        <w:t xml:space="preserve"> and 8</w:t>
      </w:r>
      <w:r w:rsidR="00C91AA4" w:rsidRPr="00CF6F48">
        <w:rPr>
          <w:bCs/>
          <w:iCs/>
          <w:sz w:val="20"/>
          <w:vertAlign w:val="superscript"/>
        </w:rPr>
        <w:t>th</w:t>
      </w:r>
      <w:r w:rsidR="00C91AA4" w:rsidRPr="00CF6F48">
        <w:rPr>
          <w:bCs/>
          <w:iCs/>
          <w:sz w:val="20"/>
        </w:rPr>
        <w:t xml:space="preserve"> grades of </w:t>
      </w:r>
      <w:proofErr w:type="spellStart"/>
      <w:r w:rsidR="00C91AA4" w:rsidRPr="00CF6F48">
        <w:rPr>
          <w:bCs/>
          <w:iCs/>
          <w:sz w:val="20"/>
        </w:rPr>
        <w:t>Bilim</w:t>
      </w:r>
      <w:proofErr w:type="spellEnd"/>
      <w:r w:rsidR="00C91AA4" w:rsidRPr="00CF6F48">
        <w:rPr>
          <w:bCs/>
          <w:iCs/>
          <w:sz w:val="20"/>
        </w:rPr>
        <w:t xml:space="preserve"> Innovation schools have been reviewed and the following topics related to computational thinking were discovered: logics, algorithm, abstraction and generalisation</w:t>
      </w:r>
      <w:r w:rsidR="00C51778" w:rsidRPr="00CF6F48">
        <w:rPr>
          <w:bCs/>
          <w:iCs/>
          <w:sz w:val="20"/>
        </w:rPr>
        <w:t>.</w:t>
      </w:r>
    </w:p>
    <w:p w14:paraId="464CEA39" w14:textId="56F186DC" w:rsidR="003571CB" w:rsidRPr="00CF6F48" w:rsidRDefault="008C1596" w:rsidP="00B94108">
      <w:pPr>
        <w:spacing w:after="80" w:line="240" w:lineRule="exact"/>
        <w:outlineLvl w:val="0"/>
        <w:rPr>
          <w:i/>
          <w:iCs/>
          <w:sz w:val="20"/>
        </w:rPr>
      </w:pPr>
      <w:r w:rsidRPr="00CF6F48">
        <w:rPr>
          <w:i/>
          <w:iCs/>
          <w:sz w:val="20"/>
        </w:rPr>
        <w:t>3</w:t>
      </w:r>
      <w:r w:rsidR="003571CB" w:rsidRPr="00CF6F48">
        <w:rPr>
          <w:i/>
          <w:iCs/>
          <w:sz w:val="20"/>
        </w:rPr>
        <w:t xml:space="preserve">.2 </w:t>
      </w:r>
      <w:r w:rsidR="00B0750B" w:rsidRPr="00CF6F48">
        <w:rPr>
          <w:i/>
          <w:iCs/>
          <w:sz w:val="20"/>
        </w:rPr>
        <w:t>Instruments</w:t>
      </w:r>
    </w:p>
    <w:p w14:paraId="6B8F2A04" w14:textId="24537A46" w:rsidR="00462552" w:rsidRPr="00CF6F48" w:rsidRDefault="00B0750B" w:rsidP="00462552">
      <w:pPr>
        <w:spacing w:after="80" w:line="240" w:lineRule="exact"/>
        <w:rPr>
          <w:bCs/>
          <w:iCs/>
          <w:sz w:val="20"/>
        </w:rPr>
      </w:pPr>
      <w:r w:rsidRPr="00CF6F48">
        <w:rPr>
          <w:bCs/>
          <w:iCs/>
          <w:sz w:val="20"/>
        </w:rPr>
        <w:t xml:space="preserve">The first instrument is a multiple-choice test for measuring the computational thinking performance of the participants. The multiple-choice questions have been carefully developed in line with the context relevant recommendations on writing good multiple-choice items provided by the authors </w:t>
      </w:r>
      <w:r w:rsidRPr="00CF6F48">
        <w:rPr>
          <w:bCs/>
          <w:iCs/>
          <w:sz w:val="20"/>
        </w:rPr>
        <w:fldChar w:fldCharType="begin" w:fldLock="1"/>
      </w:r>
      <w:r w:rsidR="00CB0CB0" w:rsidRPr="00CF6F48">
        <w:rPr>
          <w:bCs/>
          <w:iCs/>
          <w:sz w:val="20"/>
        </w:rPr>
        <w:instrText>ADDIN CSL_CITATION { "citationItems" : [ { "id" : "ITEM-1", "itemData" : { "DOI" : "10.1016/j.tate.2005.01.008", "ISSN" : "0742051X", "abstract" : "In student assessment, teachers place the greatest weight on tests they have constructed themselves and have an equally great interest in the quality of those tests. To increase the validity of teacher-made tests, many item-writing rules-of-thumb are available in the literature, but few rules have been tested experimentally. In light of the paucity of empirical studies, the validity of any given guideline might best be established by relying on experts. This study analyzed twenty classroom assessment textbooks to identify a consensus list of item-writing rules. Forty rules for which there was agreement among textbook authors are presented. The rules address four different validity concerns - potentially confusing wording or ambiguous requirements, the problem of guessing, test-taking efficiency, and controlling for testwiseness. \u00a9 2005 Elsevier Ltd. All rights reserved.", "author" : [ { "dropping-particle" : "", "family" : "Frey", "given" : "Bruce B.", "non-dropping-particle" : "", "parse-names" : false, "suffix" : "" }, { "dropping-particle" : "", "family" : "Petersen", "given" : "Stephanie", "non-dropping-particle" : "", "parse-names" : false, "suffix" : "" }, { "dropping-particle" : "", "family" : "Edwards", "given" : "Lisa M.", "non-dropping-particle" : "", "parse-names" : false, "suffix" : "" }, { "dropping-particle" : "", "family" : "Pedrotti", "given" : "Jennifer Teramoto", "non-dropping-particle" : "", "parse-names" : false, "suffix" : "" }, { "dropping-particle" : "", "family" : "Peyton", "given" : "Vicki", "non-dropping-particle" : "", "parse-names" : false, "suffix" : "" } ], "container-title" : "Teaching and Teacher Education", "id" : "ITEM-1", "issue" : "4", "issued" : { "date-parts" : [ [ "2005" ] ] }, "page" : "357-364", "title" : "Item-writing rules: Collective wisdom", "type" : "article-journal", "volume" : "21" }, "uris" : [ "http://www.mendeley.com/documents/?uuid=8ece5c3b-9fe0-43fe-bf3a-8e8aa86fcafd" ] }, { "id" : "ITEM-2", "itemData" : { "ISBN" : "978-0-205-57934-1", "author" : [ { "dropping-particle" : "", "family" : "Reynolds", "given" : "Cecil R.", "non-dropping-particle" : "", "parse-names" : false, "suffix" : "" }, { "dropping-particle" : "", "family" : "Livingston", "given" : "Ronald B.", "non-dropping-particle" : "", "parse-names" : false, "suffix" : "" }, { "dropping-particle" : "", "family" : "Willson", "given" : "Victor", "non-dropping-particle" : "", "parse-names" : false, "suffix" : "" } ], "edition" : "2", "id" : "ITEM-2", "issued" : { "date-parts" : [ [ "2009" ] ] }, "publisher" : "Pearson", "publisher-place" : "New Jersey", "title" : "Measurement and assessment in education", "type" : "book" }, "uris" : [ "http://www.mendeley.com/documents/?uuid=a0254c13-5803-4460-8b90-988b627f5e64" ] }, { "id" : "ITEM-3", "itemData" : { "ISBN" : "0805852646", "author" : [ { "dropping-particle" : "", "family" : "Downing", "given" : "Steven M.", "non-dropping-particle" : "", "parse-names" : false, "suffix" : "" }, { "dropping-particle" : "", "family" : "Haladyna", "given" : "Thomas M.", "non-dropping-particle" : "", "parse-names" : false, "suffix" : "" } ], "edition" : "1", "id" : "ITEM-3", "issued" : { "date-parts" : [ [ "2006" ] ] }, "publisher" : "Lawrence Erlbaum Associates", "publisher-place" : "Mahwah, New Jersey", "title" : "Handbook of test development", "type" : "book" }, "uris" : [ "http://www.mendeley.com/documents/?uuid=d6713b26-5802-493f-a1de-810cf88dff42" ] }, { "id" : "ITEM-4", "itemData" : { "DOI" : "10.3102/0034654317726529", "abstract" : "Multiple-choice testing is considered one of the most effective and enduring forms of educational assessment that remains in practice today. This study presents a comprehensive review of the literature on multiple-choice testing in education focused, specifically, on the development, analysis, and use of the incorrect options, which are also called the distractors. Despite a vast body of literature on multiple-choice testing, the task of creating distractors has received much less attention. In this study, we provide an overview of what is known about developing distractors for multiple-choice items and evaluating their quality. Next, we synthesize the existing guidelines on how to use distractors and summarize earlier research on the optimal number of distractors and the optimal ordering of distractors. Finally, we use this com-prehensive review to provide the most up-to-date recommendations regarding distractor development, analysis, and use, and in the process, we highlight important areas where further research is needed.", "author" : [ { "dropping-particle" : "", "family" : "Gierl", "given" : "Mark J", "non-dropping-particle" : "", "parse-names" : false, "suffix" : "" }, { "dropping-particle" : "", "family" : "Bulut", "given" : "Okan", "non-dropping-particle" : "", "parse-names" : false, "suffix" : "" }, { "dropping-particle" : "", "family" : "Guo", "given" : "Qi", "non-dropping-particle" : "", "parse-names" : false, "suffix" : "" }, { "dropping-particle" : "", "family" : "Zhang", "given" : "Xinxin", "non-dropping-particle" : "", "parse-names" : false, "suffix" : "" } ], "container-title" : "Review of Educational Research", "id" : "ITEM-4", "issue" : "6", "issued" : { "date-parts" : [ [ "2017" ] ] }, "page" : "1082-1116", "title" : "Developing, Analyzing, and Using Distractors for Multiple-Choice Tests in Education: A Comprehensive Review", "type" : "article-journal", "volume" : "86" }, "uris" : [ "http://www.mendeley.com/documents/?uuid=585bf1c6-d6d6-3d7a-93fd-92ddf222e7c8" ] } ], "mendeley" : { "formattedCitation" : "(Downing &amp; Haladyna, 2006; Frey, Petersen, Edwards, Pedrotti, &amp; Peyton, 2005; Gierl, Bulut, Guo, &amp; Zhang, 2017; Reynolds, Livingston, &amp; Willson, 2009)", "manualFormatting" : "Downing &amp; Haladyna (2006), Frey et al. (2005), Gierl et al. (2017) and Reynolds et al. (2009)", "plainTextFormattedCitation" : "(Downing &amp; Haladyna, 2006; Frey, Petersen, Edwards, Pedrotti, &amp; Peyton, 2005; Gierl, Bulut, Guo, &amp; Zhang, 2017; Reynolds, Livingston, &amp; Willson, 2009)", "previouslyFormattedCitation" : "(Downing &amp; Haladyna, 2006; Frey, Petersen, Edwards, Pedrotti, &amp; Peyton, 2005; Gierl, Bulut, Guo, &amp; Zhang, 2017; Reynolds, Livingston, &amp; Willson, 2009)" }, "properties" : { "noteIndex" : 0 }, "schema" : "https://github.com/citation-style-language/schema/raw/master/csl-citation.json" }</w:instrText>
      </w:r>
      <w:r w:rsidRPr="00CF6F48">
        <w:rPr>
          <w:bCs/>
          <w:iCs/>
          <w:sz w:val="20"/>
        </w:rPr>
        <w:fldChar w:fldCharType="separate"/>
      </w:r>
      <w:r w:rsidRPr="00CF6F48">
        <w:rPr>
          <w:bCs/>
          <w:iCs/>
          <w:noProof/>
          <w:sz w:val="20"/>
        </w:rPr>
        <w:t>Downing &amp; Haladyna (2006), Frey et al. (2005), Gierl et al. (2017) and Reynolds et al. (2009)</w:t>
      </w:r>
      <w:r w:rsidRPr="00CF6F48">
        <w:rPr>
          <w:iCs/>
          <w:sz w:val="20"/>
        </w:rPr>
        <w:fldChar w:fldCharType="end"/>
      </w:r>
      <w:r w:rsidRPr="00CF6F48">
        <w:rPr>
          <w:bCs/>
          <w:iCs/>
          <w:sz w:val="20"/>
        </w:rPr>
        <w:t xml:space="preserve">. Then, these test questions were approved by two reviewers with experience in assessing computational thinking. The concepts of computational thinking included in this test are abstraction, generalisation and pattern, algorithmic thinking and logic. </w:t>
      </w:r>
      <w:r w:rsidR="00462552" w:rsidRPr="00CF6F48">
        <w:rPr>
          <w:bCs/>
          <w:iCs/>
          <w:sz w:val="20"/>
        </w:rPr>
        <w:t>The test questions are designed to measure the computational thinking performance of 8th grade students taking into consideration the national curriculum topics and students’ experience with problem solving.</w:t>
      </w:r>
    </w:p>
    <w:p w14:paraId="0FC275FC" w14:textId="3E093AD8" w:rsidR="00B0750B" w:rsidRPr="00CF6F48" w:rsidRDefault="00B0750B" w:rsidP="00B0750B">
      <w:pPr>
        <w:spacing w:after="80" w:line="240" w:lineRule="exact"/>
        <w:rPr>
          <w:bCs/>
          <w:iCs/>
          <w:sz w:val="20"/>
        </w:rPr>
      </w:pPr>
      <w:r w:rsidRPr="00CF6F48">
        <w:rPr>
          <w:bCs/>
          <w:iCs/>
          <w:sz w:val="20"/>
        </w:rPr>
        <w:t>Each item in this multiple-choice test has four response options, with one correct answer and three distractors. There are 50-multiple-choice questions</w:t>
      </w:r>
      <w:r w:rsidR="00C867EB" w:rsidRPr="00CF6F48">
        <w:rPr>
          <w:bCs/>
          <w:iCs/>
          <w:sz w:val="20"/>
        </w:rPr>
        <w:t xml:space="preserve"> (set of 5 quizzes with 10 questions each)</w:t>
      </w:r>
      <w:r w:rsidRPr="00CF6F48">
        <w:rPr>
          <w:bCs/>
          <w:iCs/>
          <w:sz w:val="20"/>
        </w:rPr>
        <w:t xml:space="preserve"> in this test with maximum score of 50, a</w:t>
      </w:r>
      <w:r w:rsidR="00FA3EB0" w:rsidRPr="00CF6F48">
        <w:rPr>
          <w:bCs/>
          <w:iCs/>
          <w:sz w:val="20"/>
        </w:rPr>
        <w:t xml:space="preserve">nd it is conducted online with </w:t>
      </w:r>
      <w:r w:rsidRPr="00CF6F48">
        <w:rPr>
          <w:bCs/>
          <w:iCs/>
          <w:sz w:val="20"/>
        </w:rPr>
        <w:t>duration of 100 min</w:t>
      </w:r>
      <w:r w:rsidR="00C867EB" w:rsidRPr="00CF6F48">
        <w:rPr>
          <w:bCs/>
          <w:iCs/>
          <w:sz w:val="20"/>
        </w:rPr>
        <w:t xml:space="preserve">utes. </w:t>
      </w:r>
      <w:r w:rsidRPr="00CF6F48">
        <w:rPr>
          <w:bCs/>
          <w:iCs/>
          <w:sz w:val="20"/>
        </w:rPr>
        <w:t xml:space="preserve">Sample questions from the computational thinking performance test are as presented in appendix </w:t>
      </w:r>
      <w:r w:rsidR="00FA3EB0" w:rsidRPr="00CF6F48">
        <w:rPr>
          <w:bCs/>
          <w:iCs/>
          <w:sz w:val="20"/>
        </w:rPr>
        <w:t>A-E</w:t>
      </w:r>
      <w:r w:rsidRPr="00CF6F48">
        <w:rPr>
          <w:bCs/>
          <w:iCs/>
          <w:sz w:val="20"/>
        </w:rPr>
        <w:t>.</w:t>
      </w:r>
    </w:p>
    <w:p w14:paraId="3234FFE4" w14:textId="0C8A2911" w:rsidR="00B0750B" w:rsidRPr="00CF6F48" w:rsidRDefault="00B0750B" w:rsidP="00B0750B">
      <w:pPr>
        <w:spacing w:after="80" w:line="240" w:lineRule="exact"/>
        <w:rPr>
          <w:iCs/>
          <w:sz w:val="20"/>
        </w:rPr>
      </w:pPr>
      <w:r w:rsidRPr="00CF6F48">
        <w:rPr>
          <w:iCs/>
          <w:sz w:val="20"/>
        </w:rPr>
        <w:t xml:space="preserve">The second instrument used in this study is the Computational Thinking Levels Scale originally developed by </w:t>
      </w:r>
      <w:r w:rsidRPr="00CF6F48">
        <w:rPr>
          <w:iCs/>
          <w:sz w:val="20"/>
        </w:rPr>
        <w:fldChar w:fldCharType="begin" w:fldLock="1"/>
      </w:r>
      <w:r w:rsidRPr="00CF6F48">
        <w:rPr>
          <w:iCs/>
          <w:sz w:val="20"/>
        </w:rPr>
        <w:instrText>ADDIN CSL_CITATION { "citationItems" : [ { "id" : "ITEM-1", "itemData" : { "DOI" : "10.1016/j.chb.2017.01.005", "ISBN" : "0747-5632", "ISSN" : "07475632", "abstract" : "It is possible to define Computational Thinking briefly as having the knowledge, skill and attitudes necessary to be able to use the computers in the solution of the life problems for production purposes. In this study, a scale has been developed for the purpose of determining the levels of computational thinking skills (CTS) of the students. CTS is a five-point likert type scale and consists of 29 items that could be collected under five factors. The study group of this work consists of 726 students educated at the levels of associate degree and undergraduate degree with formal education in Amasya University for the first application. For the second application 580 students who were educated in pedagogical formation education via distance education in Amasya University. The validity and reliability of the scale have been studied by conducting exploratory factor analysis, confirmatory factor analysis, item distinctiveness analyses, internal consistency coefficients and constancy analyses. As a result of the conducted analyses, it has been concluded that the scale is a valid and reliable measurement tool that could measure the computational thinking skills of the students. In addition; the digital age individuals are expected to have the computational thinking skill, and at what degree they have these skills, the revelation of whether the levels they have are sufficient or not are a requirement. Within this frame, it could be said that the scale could make significant contributions to the literature.", "author" : [ { "dropping-particle" : "", "family" : "Korkmaz", "given" : "\u00d6zgen", "non-dropping-particle" : "", "parse-names" : false, "suffix" : "" }, { "dropping-particle" : "", "family" : "\u00c7akir", "given" : "Recep", "non-dropping-particle" : "", "parse-names" : false, "suffix" : "" }, { "dropping-particle" : "", "family" : "\u00d6zden", "given" : "M. Ya\u015far", "non-dropping-particle" : "", "parse-names" : false, "suffix" : "" } ], "container-title" : "Computers in Human Behavior", "id" : "ITEM-1", "issued" : { "date-parts" : [ [ "2017" ] ] }, "page" : "558-569", "title" : "A validity and reliability study of the computational thinking scales (CTS)", "type" : "article-journal", "volume" : "72" }, "uris" : [ "http://www.mendeley.com/documents/?uuid=fa90a9da-0e73-4d18-ab95-29bf9b4554b7" ] } ], "mendeley" : { "formattedCitation" : "(Korkmaz et al., 2017)", "manualFormatting" : "Korkmaz et al. (2017)", "plainTextFormattedCitation" : "(Korkmaz et al., 2017)", "previouslyFormattedCitation" : "(Korkmaz et al., 2017)" }, "properties" : { "noteIndex" : 0 }, "schema" : "https://github.com/citation-style-language/schema/raw/master/csl-citation.json" }</w:instrText>
      </w:r>
      <w:r w:rsidRPr="00CF6F48">
        <w:rPr>
          <w:iCs/>
          <w:sz w:val="20"/>
        </w:rPr>
        <w:fldChar w:fldCharType="separate"/>
      </w:r>
      <w:r w:rsidRPr="00CF6F48">
        <w:rPr>
          <w:iCs/>
          <w:noProof/>
          <w:sz w:val="20"/>
        </w:rPr>
        <w:t>Korkmaz et al. (2017)</w:t>
      </w:r>
      <w:r w:rsidRPr="00CF6F48">
        <w:rPr>
          <w:iCs/>
          <w:sz w:val="20"/>
        </w:rPr>
        <w:fldChar w:fldCharType="end"/>
      </w:r>
      <w:r w:rsidRPr="00CF6F48">
        <w:rPr>
          <w:iCs/>
          <w:sz w:val="20"/>
        </w:rPr>
        <w:t xml:space="preserve"> in 2015 for university students, which later was adapted to secondary school level </w:t>
      </w:r>
      <w:r w:rsidRPr="00CF6F48">
        <w:rPr>
          <w:iCs/>
          <w:sz w:val="20"/>
        </w:rPr>
        <w:fldChar w:fldCharType="begin" w:fldLock="1"/>
      </w:r>
      <w:r w:rsidRPr="00CF6F48">
        <w:rPr>
          <w:iCs/>
          <w:sz w:val="20"/>
        </w:rPr>
        <w:instrText>ADDIN CSL_CITATION { "citationItems" : [ { "id" : "ITEM-1", "itemData" : { "DOI" : "10.7822/omuefd.34.2.5", "abstract" : "Bilgisayarca D\u00fc\u015f\u00fcnmeyi, g\u00fcncel ya\u015famda kar\u015f\u0131la\u015f\u0131lan problemlerin \u00e7\u00f6z\u00fcm\u00fcnde bilgisayarlar\u0131 \u00fcretim arac\u0131 olarak kullanabilmek i\u00e7in gerekli olan bilgi, beceri ve tutumlara sahip olmak \u015feklinde tan\u0131mlamak m\u00fcmk\u00fcnd\u00fcr. Bilgisayarca D\u00fc\u015f\u00fcnme; bir \u00e7e\u015fit problem \u00e7\u00f6zme, sistemleri tasarlama ve bilgisayar biliminin temel kavramlar\u0131na dikkat \u00e7ekerek insan davran\u0131\u015flar\u0131n\u0131 anlama y\u00f6ntemidir. Bilgisayarca D\u00fc\u015f\u00fcnme analiz, veri g\u00f6sterimi ve modelleme gibi tan\u0131d\u0131k kavramlar\u0131 ve bunun yan\u0131 s\u0131ra ikili arama, yineleme ve paralelizasyon gibi daha az bilinen d\u00fc\u015f\u00fcnceleri de kapsar. Bilgisayarca D\u00fc\u015f\u00fcnme \u00e7ok geni\u015f ve genel bir \u00e7er\u00e7eveye sahip oldu\u011fu g\u00f6z \u00f6n\u00fcnde bulunduruldu\u011funda sadece bilgisayarc\u0131lar i\u00e7in de\u011fil herkes i\u00e7in ge\u00e7erli bir temel beceridir ve yak\u0131n gelecekte herkes taraf\u0131ndan kullan\u0131lan temel beceriler (okuma, yazma ve aritmetik gibi) aras\u0131nda yer alaca\u011f\u0131 d\u00fc\u015f\u00fcn\u00fclmektedir. Bu \u00e7er\u00e7evede bu ara\u015ft\u0131rman\u0131n amac\u0131 da bireylerin bilgisayarca d\u00fc\u015f\u00fcnme beceri d\u00fczeylerinin okul t\u00fcr\u00fc, b\u00f6l\u00fcm, s\u0131n\u0131f d\u00fczeyi/mezuniyet durumu, cinsiyet ve ya\u015f de\u011fi\u015fkenlerine g\u00f6re incelenme olarak belirlenmi\u015ftir. Bu \u00e7al\u0131\u015fma, betimsel tarama modelindedir. Bu ara\u015ft\u0131rman\u0131n \u00e7al\u0131\u015fma grubunu 1306 birey olu\u015fturmaktad\u0131r. Ara\u015ft\u0131rma kapsam\u0131nda \u00f6\u011frencilerin bilgisayarca d\u00fc\u015f\u00fcnme becerileri \u201cBilgisayarca D\u00fc\u015f\u00fcnme Becerileri \u00d6l\u00e7e\u011fi\u201d kullan\u0131larak toplanm\u0131\u015ft\u0131r (\u03b1=0,822). Elde edilen veriler \u00fczerinde aritmetik ortalama, standart sapma, mod, medyan, frekans, t, Anova, LSD, ve korelasyon analizleri ger\u00e7ekle\u015ftirilmi\u015f, anlaml\u0131l\u0131k d\u00fczeyi 0.05 olarak kabul edilmi\u015f ve \u015fu sonu\u00e7lara eri\u015filmi\u015ftir: Bireylerin bilgisayarca d\u00fc\u015f\u00fcnme beceri d\u00fczeyine ili\u015fkin alg\u0131lar\u0131n\u0131n yar\u0131s\u0131n\u0131n y\u00fcksek, di\u011fer yar\u0131s\u0131n\u0131n ise orta d\u00fczeyde oldu\u011fu, belirlenmi\u015ftir. Teknoloji Fak\u00fcltesi ve Enstit\u00fcde uygulanan programlar\u0131n, \u00f6\u011frencilerin bilgisayarca d\u00fc\u015f\u00fcnme beceri d\u00fczeylerine di\u011fer birimlere g\u00f6re anlaml\u0131 derecede daha fazla katk\u0131 sa\u011flamaktad\u0131r. Matematik, fen ve teknoloji b\u00f6l\u00fcmlerinde uygulanan programlar\u0131n \u00f6\u011frencilerin bilgisayarca d\u00fc\u015f\u00fcnme beceri d\u00fczeylerine di\u011fer b\u00f6l\u00fcmlere g\u00f6re anlaml\u0131 derecede daha fazla katk\u0131 sa\u011flad\u0131\u011f\u0131 g\u00f6r\u00fclmektedir.", "author" : [ { "dropping-particle" : "", "family" : "Korkmaz", "given" : "\u00d6zgen", "non-dropping-particle" : "", "parse-names" : false, "suffix" : "" }, { "dropping-particle" : "", "family" : "\u00c7ak\u0131r", "given" : "Recep", "non-dropping-particle" : "", "parse-names" : false, "suffix" : "" }, { "dropping-particle" : "", "family" : "\u00d6zden", "given" : "M. Ya\u015far", "non-dropping-particle" : "", "parse-names" : false, "suffix" : "" }, { "dropping-particle" : "", "family" : "Oluk", "given" : "Ali", "non-dropping-particle" : "", "parse-names" : false, "suffix" : "" }, { "dropping-particle" : "", "family" : "Sar\u0131o\u011flu", "given" : "Sevet", "non-dropping-particle" : "", "parse-names" : false, "suffix" : "" } ], "container-title" : "Ondokuz May\u0131s \u00dcniversitesi E\u011fitim Fak\u00fcltesi Dergisi", "id" : "ITEM-1", "issue" : "2", "issued" : { "date-parts" : [ [ "2015" ] ] }, "page" : "68-87", "title" : "Bireylerin Bilgisayarca D\u00fc\u015f\u00fcnme Becerilerinin Farkl\u0131 De\u011fi\u015fkenler A\u00e7\u0131s\u0131ndan \u0130ncelenmesi", "type" : "article-journal", "volume" : "34" }, "uris" : [ "http://www.mendeley.com/documents/?uuid=5827b552-5410-43a1-b8a6-f3cc60f0a4d9" ] } ], "mendeley" : { "formattedCitation" : "(Korkmaz, \u00c7ak\u0131r, \u00d6zden, Oluk, &amp; Sar\u0131o\u011flu, 2015)", "manualFormatting" : "(Korkmaz et al. 2015)", "plainTextFormattedCitation" : "(Korkmaz, \u00c7ak\u0131r, \u00d6zden, Oluk, &amp; Sar\u0131o\u011flu, 2015)", "previouslyFormattedCitation" : "(Korkmaz, \u00c7ak\u0131r, \u00d6zden, Oluk, &amp; Sar\u0131o\u011flu, 2015)" }, "properties" : { "noteIndex" : 0 }, "schema" : "https://github.com/citation-style-language/schema/raw/master/csl-citation.json" }</w:instrText>
      </w:r>
      <w:r w:rsidRPr="00CF6F48">
        <w:rPr>
          <w:iCs/>
          <w:sz w:val="20"/>
        </w:rPr>
        <w:fldChar w:fldCharType="separate"/>
      </w:r>
      <w:r w:rsidRPr="00CF6F48">
        <w:rPr>
          <w:iCs/>
          <w:noProof/>
          <w:sz w:val="20"/>
        </w:rPr>
        <w:t>(Korkmaz et al. 2015)</w:t>
      </w:r>
      <w:r w:rsidRPr="00CF6F48">
        <w:rPr>
          <w:iCs/>
          <w:sz w:val="20"/>
        </w:rPr>
        <w:fldChar w:fldCharType="end"/>
      </w:r>
      <w:r w:rsidRPr="00CF6F48">
        <w:rPr>
          <w:iCs/>
          <w:sz w:val="20"/>
        </w:rPr>
        <w:t>. The scale consists of 22 items with a 5-pont Likert type scale and has five factors each with the following number of items: “Creativity” - 4 items, “Algorithmic thinking” - 4 items, “Cooperation” - 4 items, “Critical thinking” - 4 items and “Problem solving” - 6 items. Each one of the items in the factors has been scaled as never (1), rarely (2), sometimes (3), generally (4), always (5), in which the maximum total score is 110.</w:t>
      </w:r>
    </w:p>
    <w:p w14:paraId="3649A246" w14:textId="2A721986" w:rsidR="003571CB" w:rsidRPr="00CF6F48" w:rsidRDefault="00B0750B" w:rsidP="00B0750B">
      <w:pPr>
        <w:spacing w:after="80" w:line="240" w:lineRule="exact"/>
        <w:rPr>
          <w:iCs/>
          <w:sz w:val="20"/>
        </w:rPr>
      </w:pPr>
      <w:r w:rsidRPr="00CF6F48">
        <w:rPr>
          <w:iCs/>
          <w:sz w:val="20"/>
        </w:rPr>
        <w:t xml:space="preserve">The </w:t>
      </w:r>
      <w:r w:rsidR="00C52094" w:rsidRPr="00CF6F48">
        <w:rPr>
          <w:iCs/>
          <w:sz w:val="20"/>
        </w:rPr>
        <w:t>General Achievement Test</w:t>
      </w:r>
      <w:r w:rsidR="008E1C9B" w:rsidRPr="00CF6F48">
        <w:rPr>
          <w:iCs/>
          <w:sz w:val="20"/>
        </w:rPr>
        <w:t xml:space="preserve"> </w:t>
      </w:r>
      <w:r w:rsidRPr="00CF6F48">
        <w:rPr>
          <w:iCs/>
          <w:sz w:val="20"/>
        </w:rPr>
        <w:t xml:space="preserve">is used as a secondary data in this study. It is a multiple-choice test taken four times a year (one per term) </w:t>
      </w:r>
      <w:r w:rsidR="000668F0" w:rsidRPr="00CF6F48">
        <w:rPr>
          <w:iCs/>
          <w:sz w:val="20"/>
        </w:rPr>
        <w:t xml:space="preserve">in Kazakhstan </w:t>
      </w:r>
      <w:r w:rsidRPr="00CF6F48">
        <w:rPr>
          <w:iCs/>
          <w:sz w:val="20"/>
        </w:rPr>
        <w:t xml:space="preserve">from the following subjects: algebra, geometry, physics, chemistry, biology, computer science, English language, Kazakh language, Kazakh literature, Russian language, world history, history of Kazakhstan and geography. There are 160 multiple-choice questions in total in this test with maximum score of 320. </w:t>
      </w:r>
      <w:r w:rsidR="000668F0" w:rsidRPr="00CF6F48">
        <w:rPr>
          <w:iCs/>
          <w:sz w:val="20"/>
        </w:rPr>
        <w:t>The scores for algebra and informatics have a maximum score of 20</w:t>
      </w:r>
      <w:r w:rsidRPr="00CF6F48">
        <w:rPr>
          <w:iCs/>
          <w:sz w:val="20"/>
        </w:rPr>
        <w:t>.</w:t>
      </w:r>
    </w:p>
    <w:p w14:paraId="41E3261B" w14:textId="55BB69A2" w:rsidR="000A6AFC" w:rsidRPr="00CF6F48" w:rsidRDefault="008C1596" w:rsidP="00B94108">
      <w:pPr>
        <w:spacing w:after="80" w:line="240" w:lineRule="exact"/>
        <w:outlineLvl w:val="0"/>
        <w:rPr>
          <w:i/>
          <w:iCs/>
          <w:sz w:val="20"/>
        </w:rPr>
      </w:pPr>
      <w:r w:rsidRPr="00CF6F48">
        <w:rPr>
          <w:i/>
          <w:iCs/>
          <w:sz w:val="20"/>
        </w:rPr>
        <w:t>3</w:t>
      </w:r>
      <w:r w:rsidR="000A6AFC" w:rsidRPr="00CF6F48">
        <w:rPr>
          <w:i/>
          <w:iCs/>
          <w:sz w:val="20"/>
        </w:rPr>
        <w:t xml:space="preserve">.3 </w:t>
      </w:r>
      <w:r w:rsidR="00B0750B" w:rsidRPr="00CF6F48">
        <w:rPr>
          <w:i/>
          <w:iCs/>
          <w:sz w:val="20"/>
        </w:rPr>
        <w:t>Variables</w:t>
      </w:r>
    </w:p>
    <w:p w14:paraId="4239A902" w14:textId="24604440" w:rsidR="00B0750B" w:rsidRPr="00CF6F48" w:rsidRDefault="00B0750B" w:rsidP="00B0750B">
      <w:pPr>
        <w:spacing w:after="80" w:line="240" w:lineRule="exact"/>
        <w:rPr>
          <w:iCs/>
          <w:sz w:val="20"/>
        </w:rPr>
      </w:pPr>
      <w:r w:rsidRPr="00CF6F48">
        <w:rPr>
          <w:iCs/>
          <w:sz w:val="20"/>
        </w:rPr>
        <w:t xml:space="preserve">The </w:t>
      </w:r>
      <w:r w:rsidR="002A5A8C" w:rsidRPr="00CF6F48">
        <w:rPr>
          <w:iCs/>
          <w:sz w:val="20"/>
        </w:rPr>
        <w:t xml:space="preserve">following </w:t>
      </w:r>
      <w:r w:rsidRPr="00CF6F48">
        <w:rPr>
          <w:iCs/>
          <w:sz w:val="20"/>
        </w:rPr>
        <w:t xml:space="preserve">variables </w:t>
      </w:r>
      <w:r w:rsidR="002A5A8C" w:rsidRPr="00CF6F48">
        <w:rPr>
          <w:iCs/>
          <w:sz w:val="20"/>
        </w:rPr>
        <w:t xml:space="preserve">are </w:t>
      </w:r>
      <w:r w:rsidRPr="00CF6F48">
        <w:rPr>
          <w:iCs/>
          <w:sz w:val="20"/>
        </w:rPr>
        <w:t>used in this study</w:t>
      </w:r>
      <w:r w:rsidR="002A5A8C" w:rsidRPr="00CF6F48">
        <w:rPr>
          <w:iCs/>
          <w:sz w:val="20"/>
        </w:rPr>
        <w:t xml:space="preserve">: CTP, CTS, GAT, ALG, INF and G. CTP </w:t>
      </w:r>
      <w:r w:rsidR="002A5A8C" w:rsidRPr="00CF6F48">
        <w:rPr>
          <w:bCs/>
          <w:iCs/>
          <w:sz w:val="20"/>
        </w:rPr>
        <w:t>(Computational thinking performance) is a sum of scores measured by 50 items of multiple-choice questions covering the following concepts: logic, algorithmic thinking, generalisation, and abstraction</w:t>
      </w:r>
      <w:r w:rsidR="002A5A8C" w:rsidRPr="00CF6F48">
        <w:rPr>
          <w:iCs/>
          <w:sz w:val="20"/>
        </w:rPr>
        <w:t xml:space="preserve">. </w:t>
      </w:r>
      <w:r w:rsidR="002A5A8C" w:rsidRPr="00CF6F48">
        <w:rPr>
          <w:bCs/>
          <w:iCs/>
          <w:sz w:val="20"/>
        </w:rPr>
        <w:t xml:space="preserve">CTS (Computational thinking scale) </w:t>
      </w:r>
      <w:proofErr w:type="gramStart"/>
      <w:r w:rsidR="002A5A8C" w:rsidRPr="00CF6F48">
        <w:rPr>
          <w:bCs/>
          <w:iCs/>
          <w:sz w:val="20"/>
        </w:rPr>
        <w:t>is</w:t>
      </w:r>
      <w:proofErr w:type="gramEnd"/>
      <w:r w:rsidR="002A5A8C" w:rsidRPr="00CF6F48">
        <w:rPr>
          <w:bCs/>
          <w:iCs/>
          <w:sz w:val="20"/>
        </w:rPr>
        <w:t xml:space="preserve"> a sum of scores measured by 22 items questionnaire covering five areas of computational thinking: creativity, algorithmic thinking, cooperation, critical thinking, and problem solving. </w:t>
      </w:r>
      <w:r w:rsidR="002A5A8C" w:rsidRPr="00CF6F48">
        <w:rPr>
          <w:iCs/>
          <w:sz w:val="20"/>
        </w:rPr>
        <w:t xml:space="preserve">GAT (General Achievement Test) is a sum of average scores of 4 tests that cover the following subjects: Physics, Chemistry, Biology, English language, Kazakh language, Kazakh literature, Russian language, Algebra, Geometry, Computer Science, General history, </w:t>
      </w:r>
      <w:r w:rsidR="002A5A8C" w:rsidRPr="00CF6F48">
        <w:rPr>
          <w:iCs/>
          <w:sz w:val="20"/>
        </w:rPr>
        <w:lastRenderedPageBreak/>
        <w:t>History of Kazakhstan and Geography. ALG (Algebra) is a 10-item subscale of the General Achievement Test that measures algebra performance. ALG (Algebra) is a 10-item subscale of the General Achievement Test that measures algebra performance. INF (Informatics) is a 10-item subscale of the General Achievement Test that measures informatics performance. G (Gender)</w:t>
      </w:r>
      <w:r w:rsidR="002A5A8C" w:rsidRPr="00CF6F48">
        <w:rPr>
          <w:b/>
          <w:iCs/>
          <w:sz w:val="20"/>
        </w:rPr>
        <w:t xml:space="preserve"> </w:t>
      </w:r>
      <w:r w:rsidR="002A5A8C" w:rsidRPr="00CF6F48">
        <w:rPr>
          <w:iCs/>
          <w:sz w:val="20"/>
        </w:rPr>
        <w:t>is a binary variable.</w:t>
      </w:r>
    </w:p>
    <w:p w14:paraId="56D35995" w14:textId="323AE3C0" w:rsidR="001D7E0E" w:rsidRPr="00CF6F48" w:rsidRDefault="001D7E0E" w:rsidP="001D7E0E">
      <w:pPr>
        <w:spacing w:after="80" w:line="240" w:lineRule="exact"/>
        <w:outlineLvl w:val="0"/>
        <w:rPr>
          <w:i/>
          <w:iCs/>
          <w:sz w:val="20"/>
        </w:rPr>
      </w:pPr>
      <w:r w:rsidRPr="00CF6F48">
        <w:rPr>
          <w:i/>
          <w:iCs/>
          <w:sz w:val="20"/>
        </w:rPr>
        <w:t>3.4 Data analysis</w:t>
      </w:r>
    </w:p>
    <w:p w14:paraId="4E52D0DA" w14:textId="4650D388" w:rsidR="00F1237C" w:rsidRPr="00CF6F48" w:rsidRDefault="009971CD" w:rsidP="00E117AF">
      <w:pPr>
        <w:spacing w:after="80" w:line="240" w:lineRule="exact"/>
        <w:rPr>
          <w:bCs/>
          <w:iCs/>
          <w:sz w:val="20"/>
        </w:rPr>
      </w:pPr>
      <w:r w:rsidRPr="00CF6F48">
        <w:rPr>
          <w:bCs/>
          <w:iCs/>
          <w:sz w:val="20"/>
        </w:rPr>
        <w:t>Mean</w:t>
      </w:r>
      <w:r w:rsidR="002825E4" w:rsidRPr="00CF6F48">
        <w:rPr>
          <w:bCs/>
          <w:iCs/>
          <w:sz w:val="20"/>
        </w:rPr>
        <w:t xml:space="preserve"> values and SD of each variable</w:t>
      </w:r>
      <w:r w:rsidRPr="00CF6F48">
        <w:rPr>
          <w:bCs/>
          <w:iCs/>
          <w:sz w:val="20"/>
        </w:rPr>
        <w:t xml:space="preserve"> are calculated for all participants as well as for each gender</w:t>
      </w:r>
      <w:r w:rsidR="002825E4" w:rsidRPr="00CF6F48">
        <w:rPr>
          <w:bCs/>
          <w:iCs/>
          <w:sz w:val="20"/>
        </w:rPr>
        <w:t xml:space="preserve"> group</w:t>
      </w:r>
      <w:r w:rsidRPr="00CF6F48">
        <w:rPr>
          <w:bCs/>
          <w:iCs/>
          <w:sz w:val="20"/>
        </w:rPr>
        <w:t>. In the multiple regression analysis, CTP is a dependant variable and G</w:t>
      </w:r>
      <w:r w:rsidR="00C52094" w:rsidRPr="00CF6F48">
        <w:rPr>
          <w:bCs/>
          <w:iCs/>
          <w:sz w:val="20"/>
        </w:rPr>
        <w:t>A</w:t>
      </w:r>
      <w:r w:rsidRPr="00CF6F48">
        <w:rPr>
          <w:bCs/>
          <w:iCs/>
          <w:sz w:val="20"/>
        </w:rPr>
        <w:t>T, ALG, INF and CTS are independent variables.</w:t>
      </w:r>
      <w:r w:rsidR="00E117AF" w:rsidRPr="00CF6F48">
        <w:rPr>
          <w:bCs/>
          <w:iCs/>
          <w:sz w:val="20"/>
        </w:rPr>
        <w:t xml:space="preserve"> The Cronbach alpha for CTS and CTP are calculated.</w:t>
      </w:r>
      <w:r w:rsidR="00A4339E" w:rsidRPr="00CF6F48">
        <w:rPr>
          <w:bCs/>
          <w:iCs/>
          <w:sz w:val="20"/>
        </w:rPr>
        <w:t xml:space="preserve"> </w:t>
      </w:r>
      <w:r w:rsidR="00E117AF" w:rsidRPr="00CF6F48">
        <w:rPr>
          <w:bCs/>
          <w:iCs/>
          <w:sz w:val="20"/>
        </w:rPr>
        <w:t>The coefficients of item difficulty and discrimination, the item characteristic curve plots and the test information plots</w:t>
      </w:r>
      <w:r w:rsidR="00A4339E" w:rsidRPr="00CF6F48">
        <w:rPr>
          <w:bCs/>
          <w:iCs/>
          <w:sz w:val="20"/>
        </w:rPr>
        <w:t xml:space="preserve"> using </w:t>
      </w:r>
      <w:r w:rsidR="00B04E60" w:rsidRPr="00CF6F48">
        <w:rPr>
          <w:bCs/>
          <w:iCs/>
          <w:sz w:val="20"/>
        </w:rPr>
        <w:t xml:space="preserve">a 2-parameter </w:t>
      </w:r>
      <w:r w:rsidR="00A4339E" w:rsidRPr="00CF6F48">
        <w:rPr>
          <w:bCs/>
          <w:iCs/>
          <w:sz w:val="20"/>
        </w:rPr>
        <w:t>IRT</w:t>
      </w:r>
      <w:r w:rsidR="00B04E60" w:rsidRPr="00CF6F48">
        <w:rPr>
          <w:bCs/>
          <w:iCs/>
          <w:sz w:val="20"/>
        </w:rPr>
        <w:t xml:space="preserve"> model</w:t>
      </w:r>
      <w:r w:rsidR="00A4339E" w:rsidRPr="00CF6F48">
        <w:rPr>
          <w:bCs/>
          <w:iCs/>
          <w:sz w:val="20"/>
        </w:rPr>
        <w:t xml:space="preserve"> are presented for each quiz separately. </w:t>
      </w:r>
    </w:p>
    <w:p w14:paraId="19E43E20" w14:textId="77777777" w:rsidR="00E117AF" w:rsidRPr="00CF6F48" w:rsidRDefault="00E117AF" w:rsidP="00E117AF">
      <w:pPr>
        <w:spacing w:after="80" w:line="240" w:lineRule="exact"/>
        <w:rPr>
          <w:b/>
          <w:iCs/>
          <w:sz w:val="20"/>
        </w:rPr>
      </w:pPr>
    </w:p>
    <w:p w14:paraId="5A232D3C" w14:textId="7CB5787D" w:rsidR="00D7023A" w:rsidRPr="00CF6F48" w:rsidRDefault="008C1596" w:rsidP="00B94108">
      <w:pPr>
        <w:spacing w:after="80" w:line="240" w:lineRule="exact"/>
        <w:outlineLvl w:val="0"/>
        <w:rPr>
          <w:b/>
          <w:iCs/>
          <w:sz w:val="20"/>
        </w:rPr>
      </w:pPr>
      <w:r w:rsidRPr="00CF6F48">
        <w:rPr>
          <w:b/>
          <w:iCs/>
          <w:sz w:val="20"/>
        </w:rPr>
        <w:t>4</w:t>
      </w:r>
      <w:r w:rsidR="00D7023A" w:rsidRPr="00CF6F48">
        <w:rPr>
          <w:b/>
          <w:iCs/>
          <w:sz w:val="20"/>
        </w:rPr>
        <w:t>. Results</w:t>
      </w:r>
    </w:p>
    <w:p w14:paraId="128B422C" w14:textId="650907BA" w:rsidR="00D7023A" w:rsidRPr="00CF6F48" w:rsidRDefault="00F1237C" w:rsidP="00D7023A">
      <w:pPr>
        <w:spacing w:after="80" w:line="240" w:lineRule="exact"/>
        <w:rPr>
          <w:iCs/>
          <w:sz w:val="20"/>
        </w:rPr>
      </w:pPr>
      <w:r w:rsidRPr="00CF6F48">
        <w:rPr>
          <w:iCs/>
          <w:sz w:val="20"/>
        </w:rPr>
        <w:t xml:space="preserve">Descriptive statistics, reliability and multiple regression analysis </w:t>
      </w:r>
      <w:r w:rsidR="00D84A1D" w:rsidRPr="00CF6F48">
        <w:rPr>
          <w:iCs/>
          <w:sz w:val="20"/>
        </w:rPr>
        <w:t>are presented</w:t>
      </w:r>
      <w:r w:rsidRPr="00CF6F48">
        <w:rPr>
          <w:iCs/>
          <w:sz w:val="20"/>
        </w:rPr>
        <w:t xml:space="preserve"> in this section of the article.</w:t>
      </w:r>
    </w:p>
    <w:p w14:paraId="037650A1" w14:textId="16CE47CE" w:rsidR="00D7023A" w:rsidRPr="00CF6F48" w:rsidRDefault="008C1596" w:rsidP="00B94108">
      <w:pPr>
        <w:spacing w:after="80" w:line="240" w:lineRule="exact"/>
        <w:outlineLvl w:val="0"/>
        <w:rPr>
          <w:i/>
          <w:iCs/>
          <w:sz w:val="20"/>
        </w:rPr>
      </w:pPr>
      <w:r w:rsidRPr="00CF6F48">
        <w:rPr>
          <w:i/>
          <w:iCs/>
          <w:sz w:val="20"/>
        </w:rPr>
        <w:t>4</w:t>
      </w:r>
      <w:r w:rsidR="00D7023A" w:rsidRPr="00CF6F48">
        <w:rPr>
          <w:i/>
          <w:iCs/>
          <w:sz w:val="20"/>
        </w:rPr>
        <w:t>.1</w:t>
      </w:r>
      <w:r w:rsidR="00D7023A" w:rsidRPr="00CF6F48">
        <w:rPr>
          <w:i/>
        </w:rPr>
        <w:t xml:space="preserve"> </w:t>
      </w:r>
      <w:r w:rsidR="00F1237C" w:rsidRPr="00CF6F48">
        <w:rPr>
          <w:i/>
          <w:iCs/>
          <w:sz w:val="20"/>
        </w:rPr>
        <w:t>Descriptive statistics</w:t>
      </w:r>
    </w:p>
    <w:p w14:paraId="6CFFDE44" w14:textId="61B15215" w:rsidR="00D7023A" w:rsidRPr="00CF6F48" w:rsidRDefault="00F1237C" w:rsidP="00D7023A">
      <w:pPr>
        <w:spacing w:after="80" w:line="240" w:lineRule="exact"/>
        <w:rPr>
          <w:iCs/>
          <w:sz w:val="20"/>
        </w:rPr>
      </w:pPr>
      <w:r w:rsidRPr="00CF6F48">
        <w:rPr>
          <w:iCs/>
          <w:sz w:val="20"/>
        </w:rPr>
        <w:t>775 8</w:t>
      </w:r>
      <w:r w:rsidRPr="00CF6F48">
        <w:rPr>
          <w:iCs/>
          <w:sz w:val="20"/>
          <w:vertAlign w:val="superscript"/>
        </w:rPr>
        <w:t>th</w:t>
      </w:r>
      <w:r w:rsidRPr="00CF6F48">
        <w:rPr>
          <w:iCs/>
          <w:sz w:val="20"/>
        </w:rPr>
        <w:t xml:space="preserve"> grade students from 28 schools in Kazakhstan participated in this research study. The descriptive sta</w:t>
      </w:r>
      <w:r w:rsidR="009F7922" w:rsidRPr="00CF6F48">
        <w:rPr>
          <w:iCs/>
          <w:sz w:val="20"/>
        </w:rPr>
        <w:t>t</w:t>
      </w:r>
      <w:r w:rsidR="0070392C" w:rsidRPr="00CF6F48">
        <w:rPr>
          <w:iCs/>
          <w:sz w:val="20"/>
        </w:rPr>
        <w:t>istics are presented in Table 1</w:t>
      </w:r>
      <w:r w:rsidRPr="00CF6F48">
        <w:rPr>
          <w:iCs/>
          <w:sz w:val="20"/>
        </w:rPr>
        <w:t>.</w:t>
      </w:r>
    </w:p>
    <w:p w14:paraId="2EFED63C" w14:textId="59CD8B89" w:rsidR="00F1237C" w:rsidRPr="00CF6F48" w:rsidRDefault="00F1237C" w:rsidP="000668F0">
      <w:pPr>
        <w:spacing w:after="80" w:line="240" w:lineRule="exact"/>
        <w:jc w:val="center"/>
        <w:rPr>
          <w:iCs/>
          <w:sz w:val="20"/>
        </w:rPr>
      </w:pPr>
      <w:r w:rsidRPr="00CF6F48">
        <w:rPr>
          <w:iCs/>
          <w:sz w:val="20"/>
        </w:rPr>
        <w:t xml:space="preserve">Table </w:t>
      </w:r>
      <w:r w:rsidR="0070392C" w:rsidRPr="00CF6F48">
        <w:rPr>
          <w:iCs/>
          <w:sz w:val="20"/>
        </w:rPr>
        <w:t>1</w:t>
      </w:r>
      <w:r w:rsidRPr="00CF6F48">
        <w:rPr>
          <w:iCs/>
          <w:sz w:val="20"/>
        </w:rPr>
        <w:t xml:space="preserve">: Means and SD of variables CTP, CTS </w:t>
      </w:r>
      <w:r w:rsidR="00C52094" w:rsidRPr="00CF6F48">
        <w:rPr>
          <w:iCs/>
          <w:sz w:val="20"/>
        </w:rPr>
        <w:t>GAT</w:t>
      </w:r>
      <w:r w:rsidRPr="00CF6F48">
        <w:rPr>
          <w:iCs/>
          <w:sz w:val="20"/>
        </w:rPr>
        <w:t>, ALG and INF</w:t>
      </w:r>
    </w:p>
    <w:tbl>
      <w:tblPr>
        <w:tblW w:w="5518" w:type="dxa"/>
        <w:jc w:val="center"/>
        <w:tblLook w:val="04A0" w:firstRow="1" w:lastRow="0" w:firstColumn="1" w:lastColumn="0" w:noHBand="0" w:noVBand="1"/>
      </w:tblPr>
      <w:tblGrid>
        <w:gridCol w:w="696"/>
        <w:gridCol w:w="516"/>
        <w:gridCol w:w="828"/>
        <w:gridCol w:w="566"/>
        <w:gridCol w:w="861"/>
        <w:gridCol w:w="673"/>
        <w:gridCol w:w="705"/>
        <w:gridCol w:w="673"/>
      </w:tblGrid>
      <w:tr w:rsidR="00182BA9" w:rsidRPr="00CF6F48" w14:paraId="38B1F421" w14:textId="77777777" w:rsidTr="00FC3A95">
        <w:trPr>
          <w:trHeight w:val="237"/>
          <w:jc w:val="center"/>
        </w:trPr>
        <w:tc>
          <w:tcPr>
            <w:tcW w:w="696" w:type="dxa"/>
            <w:tcBorders>
              <w:top w:val="single" w:sz="8" w:space="0" w:color="auto"/>
              <w:left w:val="single" w:sz="8" w:space="0" w:color="auto"/>
              <w:bottom w:val="single" w:sz="4" w:space="0" w:color="auto"/>
              <w:right w:val="single" w:sz="4" w:space="0" w:color="auto"/>
              <w:tl2br w:val="single" w:sz="4" w:space="0" w:color="auto"/>
            </w:tcBorders>
            <w:shd w:val="clear" w:color="auto" w:fill="auto"/>
            <w:noWrap/>
            <w:vAlign w:val="bottom"/>
            <w:hideMark/>
          </w:tcPr>
          <w:p w14:paraId="016D7545" w14:textId="77777777" w:rsidR="00F1237C" w:rsidRPr="00CF6F48" w:rsidRDefault="00F1237C" w:rsidP="00BC1866">
            <w:pPr>
              <w:rPr>
                <w:rFonts w:ascii="Calibri" w:eastAsia="Times New Roman" w:hAnsi="Calibri"/>
                <w:color w:val="000000"/>
                <w:lang w:eastAsia="en-GB"/>
              </w:rPr>
            </w:pPr>
            <w:r w:rsidRPr="00CF6F48">
              <w:rPr>
                <w:rFonts w:ascii="Calibri" w:eastAsia="Times New Roman" w:hAnsi="Calibri"/>
                <w:color w:val="000000"/>
                <w:lang w:eastAsia="en-GB"/>
              </w:rPr>
              <w:t> </w:t>
            </w:r>
          </w:p>
        </w:tc>
        <w:tc>
          <w:tcPr>
            <w:tcW w:w="516" w:type="dxa"/>
            <w:tcBorders>
              <w:top w:val="single" w:sz="4" w:space="0" w:color="auto"/>
              <w:left w:val="nil"/>
              <w:bottom w:val="single" w:sz="4" w:space="0" w:color="auto"/>
              <w:right w:val="single" w:sz="4" w:space="0" w:color="auto"/>
            </w:tcBorders>
          </w:tcPr>
          <w:p w14:paraId="5F3897C1" w14:textId="77777777" w:rsidR="00F1237C" w:rsidRPr="00CF6F48" w:rsidRDefault="00F1237C" w:rsidP="00BC1866">
            <w:pPr>
              <w:jc w:val="center"/>
              <w:rPr>
                <w:b/>
                <w:iCs/>
                <w:sz w:val="20"/>
              </w:rPr>
            </w:pPr>
            <w:r w:rsidRPr="00CF6F48">
              <w:rPr>
                <w:b/>
                <w:iCs/>
                <w:sz w:val="20"/>
              </w:rPr>
              <w:t>N</w:t>
            </w:r>
          </w:p>
        </w:tc>
        <w:tc>
          <w:tcPr>
            <w:tcW w:w="828" w:type="dxa"/>
            <w:tcBorders>
              <w:top w:val="single" w:sz="4" w:space="0" w:color="auto"/>
              <w:left w:val="single" w:sz="4" w:space="0" w:color="auto"/>
              <w:bottom w:val="single" w:sz="4" w:space="0" w:color="auto"/>
              <w:right w:val="single" w:sz="4" w:space="0" w:color="auto"/>
            </w:tcBorders>
          </w:tcPr>
          <w:p w14:paraId="1922B017" w14:textId="456C8DCF" w:rsidR="00F1237C" w:rsidRPr="00CF6F48" w:rsidRDefault="00F1237C" w:rsidP="00182BA9">
            <w:pPr>
              <w:jc w:val="center"/>
              <w:rPr>
                <w:b/>
                <w:iCs/>
                <w:sz w:val="20"/>
              </w:rPr>
            </w:pPr>
            <w:r w:rsidRPr="00CF6F48">
              <w:rPr>
                <w:b/>
                <w:iCs/>
                <w:sz w:val="20"/>
              </w:rPr>
              <w:t>M</w:t>
            </w:r>
            <w:r w:rsidR="00182BA9" w:rsidRPr="00CF6F48">
              <w:rPr>
                <w:b/>
                <w:iCs/>
                <w:sz w:val="20"/>
              </w:rPr>
              <w:t>ean</w:t>
            </w:r>
          </w:p>
        </w:tc>
        <w:tc>
          <w:tcPr>
            <w:tcW w:w="566" w:type="dxa"/>
            <w:tcBorders>
              <w:top w:val="single" w:sz="4" w:space="0" w:color="auto"/>
              <w:left w:val="single" w:sz="4" w:space="0" w:color="auto"/>
              <w:bottom w:val="single" w:sz="4" w:space="0" w:color="auto"/>
              <w:right w:val="single" w:sz="4" w:space="0" w:color="auto"/>
            </w:tcBorders>
          </w:tcPr>
          <w:p w14:paraId="62CA33A7" w14:textId="77777777" w:rsidR="00F1237C" w:rsidRPr="00CF6F48" w:rsidRDefault="00F1237C" w:rsidP="00BC1866">
            <w:pPr>
              <w:jc w:val="center"/>
              <w:rPr>
                <w:b/>
                <w:iCs/>
                <w:sz w:val="20"/>
              </w:rPr>
            </w:pPr>
            <w:r w:rsidRPr="00CF6F48">
              <w:rPr>
                <w:b/>
                <w:iCs/>
                <w:sz w:val="20"/>
              </w:rPr>
              <w:t>SD</w:t>
            </w:r>
          </w:p>
        </w:tc>
        <w:tc>
          <w:tcPr>
            <w:tcW w:w="86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22C6A95" w14:textId="77777777" w:rsidR="00F1237C" w:rsidRPr="00CF6F48" w:rsidRDefault="00F1237C" w:rsidP="00BC1866">
            <w:pPr>
              <w:jc w:val="center"/>
              <w:rPr>
                <w:b/>
                <w:iCs/>
                <w:sz w:val="20"/>
              </w:rPr>
            </w:pPr>
            <w:r w:rsidRPr="00CF6F48">
              <w:rPr>
                <w:b/>
                <w:iCs/>
                <w:sz w:val="20"/>
              </w:rPr>
              <w:t>Gender</w:t>
            </w:r>
          </w:p>
        </w:tc>
        <w:tc>
          <w:tcPr>
            <w:tcW w:w="673" w:type="dxa"/>
            <w:tcBorders>
              <w:top w:val="single" w:sz="8" w:space="0" w:color="auto"/>
              <w:left w:val="nil"/>
              <w:bottom w:val="single" w:sz="4" w:space="0" w:color="auto"/>
              <w:right w:val="single" w:sz="4" w:space="0" w:color="auto"/>
            </w:tcBorders>
            <w:shd w:val="clear" w:color="auto" w:fill="auto"/>
            <w:noWrap/>
            <w:vAlign w:val="bottom"/>
            <w:hideMark/>
          </w:tcPr>
          <w:p w14:paraId="7D019298" w14:textId="77777777" w:rsidR="00F1237C" w:rsidRPr="00CF6F48" w:rsidRDefault="00F1237C" w:rsidP="00BC1866">
            <w:pPr>
              <w:jc w:val="center"/>
              <w:rPr>
                <w:b/>
                <w:iCs/>
                <w:sz w:val="20"/>
              </w:rPr>
            </w:pPr>
            <w:r w:rsidRPr="00CF6F48">
              <w:rPr>
                <w:b/>
                <w:iCs/>
                <w:sz w:val="20"/>
              </w:rPr>
              <w:t>N</w:t>
            </w:r>
          </w:p>
        </w:tc>
        <w:tc>
          <w:tcPr>
            <w:tcW w:w="705" w:type="dxa"/>
            <w:tcBorders>
              <w:top w:val="single" w:sz="8" w:space="0" w:color="auto"/>
              <w:left w:val="nil"/>
              <w:bottom w:val="single" w:sz="4" w:space="0" w:color="auto"/>
              <w:right w:val="single" w:sz="4" w:space="0" w:color="auto"/>
            </w:tcBorders>
            <w:shd w:val="clear" w:color="auto" w:fill="auto"/>
            <w:noWrap/>
            <w:vAlign w:val="bottom"/>
            <w:hideMark/>
          </w:tcPr>
          <w:p w14:paraId="4061C177" w14:textId="77777777" w:rsidR="00F1237C" w:rsidRPr="00CF6F48" w:rsidRDefault="00F1237C" w:rsidP="00BC1866">
            <w:pPr>
              <w:jc w:val="center"/>
              <w:rPr>
                <w:b/>
                <w:iCs/>
                <w:sz w:val="20"/>
              </w:rPr>
            </w:pPr>
            <w:r w:rsidRPr="00CF6F48">
              <w:rPr>
                <w:b/>
                <w:iCs/>
                <w:sz w:val="20"/>
              </w:rPr>
              <w:t>Mean</w:t>
            </w:r>
          </w:p>
        </w:tc>
        <w:tc>
          <w:tcPr>
            <w:tcW w:w="673" w:type="dxa"/>
            <w:tcBorders>
              <w:top w:val="single" w:sz="8" w:space="0" w:color="auto"/>
              <w:left w:val="nil"/>
              <w:bottom w:val="single" w:sz="4" w:space="0" w:color="auto"/>
              <w:right w:val="single" w:sz="8" w:space="0" w:color="auto"/>
            </w:tcBorders>
            <w:shd w:val="clear" w:color="auto" w:fill="auto"/>
            <w:noWrap/>
            <w:vAlign w:val="bottom"/>
            <w:hideMark/>
          </w:tcPr>
          <w:p w14:paraId="0147C089" w14:textId="77777777" w:rsidR="00F1237C" w:rsidRPr="00CF6F48" w:rsidRDefault="00F1237C" w:rsidP="00BC1866">
            <w:pPr>
              <w:jc w:val="center"/>
              <w:rPr>
                <w:b/>
                <w:iCs/>
                <w:sz w:val="20"/>
              </w:rPr>
            </w:pPr>
            <w:r w:rsidRPr="00CF6F48">
              <w:rPr>
                <w:b/>
                <w:iCs/>
                <w:sz w:val="20"/>
              </w:rPr>
              <w:t>SD</w:t>
            </w:r>
          </w:p>
        </w:tc>
      </w:tr>
      <w:tr w:rsidR="00182BA9" w:rsidRPr="00CF6F48" w14:paraId="4D5E53FE" w14:textId="77777777" w:rsidTr="00FC3A95">
        <w:trPr>
          <w:cantSplit/>
          <w:trHeight w:val="237"/>
          <w:jc w:val="center"/>
        </w:trPr>
        <w:tc>
          <w:tcPr>
            <w:tcW w:w="696"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DEF5DD9" w14:textId="77777777" w:rsidR="00F1237C" w:rsidRPr="00CF6F48" w:rsidRDefault="00F1237C" w:rsidP="00BC1866">
            <w:pPr>
              <w:jc w:val="center"/>
              <w:rPr>
                <w:b/>
                <w:iCs/>
                <w:sz w:val="20"/>
              </w:rPr>
            </w:pPr>
            <w:r w:rsidRPr="00CF6F48">
              <w:rPr>
                <w:b/>
                <w:iCs/>
                <w:sz w:val="20"/>
              </w:rPr>
              <w:t>CTP</w:t>
            </w:r>
          </w:p>
        </w:tc>
        <w:tc>
          <w:tcPr>
            <w:tcW w:w="516" w:type="dxa"/>
            <w:vMerge w:val="restart"/>
            <w:tcBorders>
              <w:top w:val="single" w:sz="4" w:space="0" w:color="auto"/>
              <w:left w:val="nil"/>
              <w:bottom w:val="single" w:sz="4" w:space="0" w:color="auto"/>
              <w:right w:val="single" w:sz="4" w:space="0" w:color="auto"/>
            </w:tcBorders>
          </w:tcPr>
          <w:p w14:paraId="02F01432" w14:textId="77777777" w:rsidR="00F1237C" w:rsidRPr="00CF6F48" w:rsidRDefault="00F1237C" w:rsidP="00BC1866">
            <w:pPr>
              <w:jc w:val="center"/>
              <w:rPr>
                <w:iCs/>
                <w:sz w:val="20"/>
              </w:rPr>
            </w:pPr>
          </w:p>
          <w:p w14:paraId="4F4364C8" w14:textId="77777777" w:rsidR="00F1237C" w:rsidRPr="00CF6F48" w:rsidRDefault="00F1237C" w:rsidP="00BC1866">
            <w:pPr>
              <w:jc w:val="center"/>
              <w:rPr>
                <w:iCs/>
                <w:sz w:val="20"/>
              </w:rPr>
            </w:pPr>
            <w:r w:rsidRPr="00CF6F48">
              <w:rPr>
                <w:iCs/>
                <w:sz w:val="20"/>
              </w:rPr>
              <w:t>775</w:t>
            </w:r>
          </w:p>
        </w:tc>
        <w:tc>
          <w:tcPr>
            <w:tcW w:w="828" w:type="dxa"/>
            <w:vMerge w:val="restart"/>
            <w:tcBorders>
              <w:top w:val="single" w:sz="4" w:space="0" w:color="auto"/>
              <w:left w:val="single" w:sz="4" w:space="0" w:color="auto"/>
              <w:bottom w:val="single" w:sz="4" w:space="0" w:color="auto"/>
              <w:right w:val="single" w:sz="4" w:space="0" w:color="auto"/>
            </w:tcBorders>
          </w:tcPr>
          <w:p w14:paraId="677E2359" w14:textId="77777777" w:rsidR="00F1237C" w:rsidRPr="00CF6F48" w:rsidRDefault="00F1237C" w:rsidP="00BC1866">
            <w:pPr>
              <w:jc w:val="center"/>
              <w:rPr>
                <w:iCs/>
                <w:sz w:val="20"/>
              </w:rPr>
            </w:pPr>
          </w:p>
          <w:p w14:paraId="6D1F043E" w14:textId="77777777" w:rsidR="00F1237C" w:rsidRPr="00CF6F48" w:rsidRDefault="00F1237C" w:rsidP="00BC1866">
            <w:pPr>
              <w:jc w:val="center"/>
              <w:rPr>
                <w:iCs/>
                <w:sz w:val="20"/>
              </w:rPr>
            </w:pPr>
            <w:r w:rsidRPr="00CF6F48">
              <w:rPr>
                <w:iCs/>
                <w:sz w:val="20"/>
              </w:rPr>
              <w:t>14.8</w:t>
            </w:r>
          </w:p>
        </w:tc>
        <w:tc>
          <w:tcPr>
            <w:tcW w:w="566" w:type="dxa"/>
            <w:vMerge w:val="restart"/>
            <w:tcBorders>
              <w:top w:val="single" w:sz="4" w:space="0" w:color="auto"/>
              <w:left w:val="single" w:sz="4" w:space="0" w:color="auto"/>
              <w:bottom w:val="single" w:sz="4" w:space="0" w:color="auto"/>
              <w:right w:val="single" w:sz="4" w:space="0" w:color="auto"/>
            </w:tcBorders>
          </w:tcPr>
          <w:p w14:paraId="59F2A27A" w14:textId="77777777" w:rsidR="00F1237C" w:rsidRPr="00CF6F48" w:rsidRDefault="00F1237C" w:rsidP="00BC1866">
            <w:pPr>
              <w:jc w:val="center"/>
              <w:rPr>
                <w:iCs/>
                <w:sz w:val="20"/>
              </w:rPr>
            </w:pPr>
          </w:p>
          <w:p w14:paraId="4C500826" w14:textId="77777777" w:rsidR="00F1237C" w:rsidRPr="00CF6F48" w:rsidRDefault="00F1237C" w:rsidP="00BC1866">
            <w:pPr>
              <w:jc w:val="center"/>
              <w:rPr>
                <w:iCs/>
                <w:sz w:val="20"/>
              </w:rPr>
            </w:pPr>
            <w:r w:rsidRPr="00CF6F48">
              <w:rPr>
                <w:iCs/>
                <w:sz w:val="20"/>
              </w:rPr>
              <w:t>5.2</w:t>
            </w: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35556DE0" w14:textId="77777777" w:rsidR="00F1237C" w:rsidRPr="00CF6F48" w:rsidRDefault="00F1237C" w:rsidP="00BC1866">
            <w:pPr>
              <w:rPr>
                <w:iCs/>
                <w:sz w:val="20"/>
              </w:rPr>
            </w:pPr>
            <w:r w:rsidRPr="00CF6F48">
              <w:rPr>
                <w:iCs/>
                <w:sz w:val="20"/>
              </w:rPr>
              <w:t>Boys</w:t>
            </w:r>
          </w:p>
        </w:tc>
        <w:tc>
          <w:tcPr>
            <w:tcW w:w="673" w:type="dxa"/>
            <w:tcBorders>
              <w:top w:val="nil"/>
              <w:left w:val="nil"/>
              <w:bottom w:val="single" w:sz="4" w:space="0" w:color="auto"/>
              <w:right w:val="single" w:sz="4" w:space="0" w:color="auto"/>
            </w:tcBorders>
            <w:shd w:val="clear" w:color="auto" w:fill="auto"/>
            <w:noWrap/>
            <w:vAlign w:val="bottom"/>
            <w:hideMark/>
          </w:tcPr>
          <w:p w14:paraId="2964FC93" w14:textId="77777777" w:rsidR="00F1237C" w:rsidRPr="00CF6F48" w:rsidRDefault="00F1237C" w:rsidP="00BC1866">
            <w:pPr>
              <w:jc w:val="right"/>
              <w:rPr>
                <w:iCs/>
                <w:sz w:val="20"/>
              </w:rPr>
            </w:pPr>
            <w:r w:rsidRPr="00CF6F48">
              <w:rPr>
                <w:iCs/>
                <w:sz w:val="20"/>
              </w:rPr>
              <w:t>549</w:t>
            </w:r>
          </w:p>
        </w:tc>
        <w:tc>
          <w:tcPr>
            <w:tcW w:w="705" w:type="dxa"/>
            <w:tcBorders>
              <w:top w:val="nil"/>
              <w:left w:val="nil"/>
              <w:bottom w:val="single" w:sz="4" w:space="0" w:color="auto"/>
              <w:right w:val="single" w:sz="4" w:space="0" w:color="auto"/>
            </w:tcBorders>
            <w:shd w:val="clear" w:color="auto" w:fill="auto"/>
            <w:noWrap/>
            <w:vAlign w:val="bottom"/>
            <w:hideMark/>
          </w:tcPr>
          <w:p w14:paraId="223A50D8" w14:textId="77777777" w:rsidR="00F1237C" w:rsidRPr="00CF6F48" w:rsidRDefault="00F1237C" w:rsidP="00BC1866">
            <w:pPr>
              <w:jc w:val="right"/>
              <w:rPr>
                <w:iCs/>
                <w:sz w:val="20"/>
              </w:rPr>
            </w:pPr>
            <w:r w:rsidRPr="00CF6F48">
              <w:rPr>
                <w:iCs/>
                <w:sz w:val="20"/>
              </w:rPr>
              <w:t>14.8</w:t>
            </w:r>
          </w:p>
        </w:tc>
        <w:tc>
          <w:tcPr>
            <w:tcW w:w="673" w:type="dxa"/>
            <w:tcBorders>
              <w:top w:val="nil"/>
              <w:left w:val="nil"/>
              <w:bottom w:val="single" w:sz="4" w:space="0" w:color="auto"/>
              <w:right w:val="single" w:sz="8" w:space="0" w:color="auto"/>
            </w:tcBorders>
            <w:shd w:val="clear" w:color="auto" w:fill="auto"/>
            <w:noWrap/>
            <w:vAlign w:val="bottom"/>
            <w:hideMark/>
          </w:tcPr>
          <w:p w14:paraId="323C4636" w14:textId="77777777" w:rsidR="00F1237C" w:rsidRPr="00CF6F48" w:rsidRDefault="00F1237C" w:rsidP="00BC1866">
            <w:pPr>
              <w:jc w:val="right"/>
              <w:rPr>
                <w:iCs/>
                <w:sz w:val="20"/>
              </w:rPr>
            </w:pPr>
            <w:r w:rsidRPr="00CF6F48">
              <w:rPr>
                <w:iCs/>
                <w:sz w:val="20"/>
              </w:rPr>
              <w:t>5.5</w:t>
            </w:r>
          </w:p>
        </w:tc>
      </w:tr>
      <w:tr w:rsidR="00182BA9" w:rsidRPr="00CF6F48" w14:paraId="51968458" w14:textId="77777777" w:rsidTr="00FC3A95">
        <w:trPr>
          <w:trHeight w:val="189"/>
          <w:jc w:val="center"/>
        </w:trPr>
        <w:tc>
          <w:tcPr>
            <w:tcW w:w="696" w:type="dxa"/>
            <w:vMerge/>
            <w:tcBorders>
              <w:top w:val="nil"/>
              <w:left w:val="single" w:sz="8" w:space="0" w:color="auto"/>
              <w:bottom w:val="single" w:sz="4" w:space="0" w:color="auto"/>
              <w:right w:val="single" w:sz="4" w:space="0" w:color="auto"/>
            </w:tcBorders>
            <w:vAlign w:val="center"/>
            <w:hideMark/>
          </w:tcPr>
          <w:p w14:paraId="36C910F7" w14:textId="77777777" w:rsidR="00F1237C" w:rsidRPr="00CF6F48" w:rsidRDefault="00F1237C" w:rsidP="00F1237C">
            <w:pPr>
              <w:jc w:val="center"/>
              <w:rPr>
                <w:iCs/>
                <w:sz w:val="20"/>
              </w:rPr>
            </w:pPr>
          </w:p>
        </w:tc>
        <w:tc>
          <w:tcPr>
            <w:tcW w:w="516" w:type="dxa"/>
            <w:vMerge/>
            <w:tcBorders>
              <w:left w:val="nil"/>
              <w:bottom w:val="single" w:sz="4" w:space="0" w:color="auto"/>
              <w:right w:val="single" w:sz="4" w:space="0" w:color="auto"/>
            </w:tcBorders>
          </w:tcPr>
          <w:p w14:paraId="5A9C9777" w14:textId="77777777" w:rsidR="00F1237C" w:rsidRPr="00CF6F48" w:rsidRDefault="00F1237C" w:rsidP="00F1237C">
            <w:pPr>
              <w:jc w:val="center"/>
              <w:rPr>
                <w:iCs/>
                <w:sz w:val="20"/>
              </w:rPr>
            </w:pPr>
          </w:p>
        </w:tc>
        <w:tc>
          <w:tcPr>
            <w:tcW w:w="828" w:type="dxa"/>
            <w:vMerge/>
            <w:tcBorders>
              <w:left w:val="single" w:sz="4" w:space="0" w:color="auto"/>
              <w:bottom w:val="single" w:sz="4" w:space="0" w:color="auto"/>
              <w:right w:val="single" w:sz="4" w:space="0" w:color="auto"/>
            </w:tcBorders>
          </w:tcPr>
          <w:p w14:paraId="446B91DD" w14:textId="77777777" w:rsidR="00F1237C" w:rsidRPr="00CF6F48" w:rsidRDefault="00F1237C" w:rsidP="00F1237C">
            <w:pPr>
              <w:jc w:val="center"/>
              <w:rPr>
                <w:iCs/>
                <w:sz w:val="20"/>
              </w:rPr>
            </w:pPr>
          </w:p>
        </w:tc>
        <w:tc>
          <w:tcPr>
            <w:tcW w:w="566" w:type="dxa"/>
            <w:vMerge/>
            <w:tcBorders>
              <w:left w:val="single" w:sz="4" w:space="0" w:color="auto"/>
              <w:bottom w:val="single" w:sz="4" w:space="0" w:color="auto"/>
              <w:right w:val="single" w:sz="4" w:space="0" w:color="auto"/>
            </w:tcBorders>
          </w:tcPr>
          <w:p w14:paraId="6DC798C2" w14:textId="77777777" w:rsidR="00F1237C" w:rsidRPr="00CF6F48" w:rsidRDefault="00F1237C" w:rsidP="00F1237C">
            <w:pPr>
              <w:jc w:val="center"/>
              <w:rPr>
                <w:iCs/>
                <w:sz w:val="20"/>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D3C43A3" w14:textId="77777777" w:rsidR="00F1237C" w:rsidRPr="00CF6F48" w:rsidRDefault="00F1237C" w:rsidP="00F1237C">
            <w:pPr>
              <w:jc w:val="center"/>
              <w:rPr>
                <w:iCs/>
                <w:sz w:val="20"/>
              </w:rPr>
            </w:pPr>
            <w:r w:rsidRPr="00CF6F48">
              <w:rPr>
                <w:iCs/>
                <w:sz w:val="20"/>
              </w:rPr>
              <w:t>Girls</w:t>
            </w:r>
          </w:p>
        </w:tc>
        <w:tc>
          <w:tcPr>
            <w:tcW w:w="673" w:type="dxa"/>
            <w:tcBorders>
              <w:top w:val="nil"/>
              <w:left w:val="nil"/>
              <w:bottom w:val="single" w:sz="4" w:space="0" w:color="auto"/>
              <w:right w:val="single" w:sz="4" w:space="0" w:color="auto"/>
            </w:tcBorders>
            <w:shd w:val="clear" w:color="auto" w:fill="auto"/>
            <w:noWrap/>
            <w:vAlign w:val="bottom"/>
            <w:hideMark/>
          </w:tcPr>
          <w:p w14:paraId="2BFB931E" w14:textId="77777777" w:rsidR="00F1237C" w:rsidRPr="00CF6F48" w:rsidRDefault="00F1237C" w:rsidP="00F1237C">
            <w:pPr>
              <w:jc w:val="center"/>
              <w:rPr>
                <w:iCs/>
                <w:sz w:val="20"/>
              </w:rPr>
            </w:pPr>
            <w:r w:rsidRPr="00CF6F48">
              <w:rPr>
                <w:iCs/>
                <w:sz w:val="20"/>
              </w:rPr>
              <w:t>226</w:t>
            </w:r>
          </w:p>
        </w:tc>
        <w:tc>
          <w:tcPr>
            <w:tcW w:w="705" w:type="dxa"/>
            <w:tcBorders>
              <w:top w:val="nil"/>
              <w:left w:val="nil"/>
              <w:bottom w:val="single" w:sz="4" w:space="0" w:color="auto"/>
              <w:right w:val="single" w:sz="4" w:space="0" w:color="auto"/>
            </w:tcBorders>
            <w:shd w:val="clear" w:color="auto" w:fill="auto"/>
            <w:noWrap/>
            <w:vAlign w:val="bottom"/>
            <w:hideMark/>
          </w:tcPr>
          <w:p w14:paraId="6D47A3A3" w14:textId="77777777" w:rsidR="00F1237C" w:rsidRPr="00CF6F48" w:rsidRDefault="00F1237C" w:rsidP="00F1237C">
            <w:pPr>
              <w:jc w:val="center"/>
              <w:rPr>
                <w:iCs/>
                <w:sz w:val="20"/>
              </w:rPr>
            </w:pPr>
            <w:r w:rsidRPr="00CF6F48">
              <w:rPr>
                <w:iCs/>
                <w:sz w:val="20"/>
              </w:rPr>
              <w:t>14.8</w:t>
            </w:r>
          </w:p>
        </w:tc>
        <w:tc>
          <w:tcPr>
            <w:tcW w:w="673" w:type="dxa"/>
            <w:tcBorders>
              <w:top w:val="nil"/>
              <w:left w:val="nil"/>
              <w:bottom w:val="single" w:sz="4" w:space="0" w:color="auto"/>
              <w:right w:val="single" w:sz="8" w:space="0" w:color="auto"/>
            </w:tcBorders>
            <w:shd w:val="clear" w:color="auto" w:fill="auto"/>
            <w:noWrap/>
            <w:vAlign w:val="bottom"/>
            <w:hideMark/>
          </w:tcPr>
          <w:p w14:paraId="705D97D4" w14:textId="77777777" w:rsidR="00F1237C" w:rsidRPr="00CF6F48" w:rsidRDefault="00F1237C" w:rsidP="00F1237C">
            <w:pPr>
              <w:jc w:val="center"/>
              <w:rPr>
                <w:iCs/>
                <w:sz w:val="20"/>
              </w:rPr>
            </w:pPr>
            <w:r w:rsidRPr="00CF6F48">
              <w:rPr>
                <w:iCs/>
                <w:sz w:val="20"/>
              </w:rPr>
              <w:t>4.3</w:t>
            </w:r>
          </w:p>
        </w:tc>
      </w:tr>
      <w:tr w:rsidR="00182BA9" w:rsidRPr="00CF6F48" w14:paraId="5A36B5EE" w14:textId="77777777" w:rsidTr="00FC3A95">
        <w:trPr>
          <w:trHeight w:val="237"/>
          <w:jc w:val="center"/>
        </w:trPr>
        <w:tc>
          <w:tcPr>
            <w:tcW w:w="696" w:type="dxa"/>
            <w:vMerge w:val="restart"/>
            <w:tcBorders>
              <w:top w:val="nil"/>
              <w:left w:val="single" w:sz="8" w:space="0" w:color="auto"/>
              <w:bottom w:val="single" w:sz="4" w:space="0" w:color="auto"/>
              <w:right w:val="single" w:sz="4" w:space="0" w:color="auto"/>
            </w:tcBorders>
            <w:shd w:val="clear" w:color="auto" w:fill="auto"/>
            <w:noWrap/>
            <w:vAlign w:val="center"/>
          </w:tcPr>
          <w:p w14:paraId="16600634" w14:textId="77777777" w:rsidR="00F1237C" w:rsidRPr="00CF6F48" w:rsidRDefault="00F1237C" w:rsidP="00BC1866">
            <w:pPr>
              <w:jc w:val="center"/>
              <w:rPr>
                <w:b/>
                <w:iCs/>
                <w:sz w:val="20"/>
              </w:rPr>
            </w:pPr>
            <w:r w:rsidRPr="00CF6F48">
              <w:rPr>
                <w:b/>
                <w:iCs/>
                <w:sz w:val="20"/>
              </w:rPr>
              <w:t>CTS</w:t>
            </w:r>
          </w:p>
        </w:tc>
        <w:tc>
          <w:tcPr>
            <w:tcW w:w="516" w:type="dxa"/>
            <w:vMerge w:val="restart"/>
            <w:tcBorders>
              <w:top w:val="single" w:sz="4" w:space="0" w:color="auto"/>
              <w:left w:val="nil"/>
              <w:bottom w:val="single" w:sz="4" w:space="0" w:color="auto"/>
              <w:right w:val="single" w:sz="4" w:space="0" w:color="auto"/>
            </w:tcBorders>
          </w:tcPr>
          <w:p w14:paraId="7CDAB162" w14:textId="77777777" w:rsidR="00F1237C" w:rsidRPr="00CF6F48" w:rsidRDefault="00F1237C" w:rsidP="00BC1866">
            <w:pPr>
              <w:jc w:val="center"/>
              <w:rPr>
                <w:iCs/>
                <w:sz w:val="20"/>
              </w:rPr>
            </w:pPr>
          </w:p>
          <w:p w14:paraId="6CD3FB27" w14:textId="77777777" w:rsidR="00F1237C" w:rsidRPr="00CF6F48" w:rsidRDefault="00F1237C" w:rsidP="00BC1866">
            <w:pPr>
              <w:jc w:val="center"/>
              <w:rPr>
                <w:iCs/>
                <w:sz w:val="20"/>
              </w:rPr>
            </w:pPr>
            <w:r w:rsidRPr="00CF6F48">
              <w:rPr>
                <w:iCs/>
                <w:sz w:val="20"/>
              </w:rPr>
              <w:t>775</w:t>
            </w:r>
          </w:p>
        </w:tc>
        <w:tc>
          <w:tcPr>
            <w:tcW w:w="828" w:type="dxa"/>
            <w:vMerge w:val="restart"/>
            <w:tcBorders>
              <w:top w:val="single" w:sz="4" w:space="0" w:color="auto"/>
              <w:left w:val="single" w:sz="4" w:space="0" w:color="auto"/>
              <w:bottom w:val="single" w:sz="4" w:space="0" w:color="auto"/>
              <w:right w:val="single" w:sz="4" w:space="0" w:color="auto"/>
            </w:tcBorders>
          </w:tcPr>
          <w:p w14:paraId="1B56FF6E" w14:textId="77777777" w:rsidR="00F1237C" w:rsidRPr="00CF6F48" w:rsidRDefault="00F1237C" w:rsidP="00BC1866">
            <w:pPr>
              <w:jc w:val="center"/>
              <w:rPr>
                <w:iCs/>
                <w:sz w:val="20"/>
              </w:rPr>
            </w:pPr>
          </w:p>
          <w:p w14:paraId="7391E6F7" w14:textId="77777777" w:rsidR="00F1237C" w:rsidRPr="00CF6F48" w:rsidRDefault="00F1237C" w:rsidP="00BC1866">
            <w:pPr>
              <w:jc w:val="center"/>
              <w:rPr>
                <w:iCs/>
                <w:sz w:val="20"/>
              </w:rPr>
            </w:pPr>
            <w:r w:rsidRPr="00CF6F48">
              <w:rPr>
                <w:iCs/>
                <w:sz w:val="20"/>
              </w:rPr>
              <w:t>74.3</w:t>
            </w:r>
          </w:p>
        </w:tc>
        <w:tc>
          <w:tcPr>
            <w:tcW w:w="566" w:type="dxa"/>
            <w:vMerge w:val="restart"/>
            <w:tcBorders>
              <w:top w:val="single" w:sz="4" w:space="0" w:color="auto"/>
              <w:left w:val="single" w:sz="4" w:space="0" w:color="auto"/>
              <w:bottom w:val="single" w:sz="4" w:space="0" w:color="auto"/>
              <w:right w:val="single" w:sz="4" w:space="0" w:color="auto"/>
            </w:tcBorders>
          </w:tcPr>
          <w:p w14:paraId="3F5680ED" w14:textId="77777777" w:rsidR="00F1237C" w:rsidRPr="00CF6F48" w:rsidRDefault="00F1237C" w:rsidP="00BC1866">
            <w:pPr>
              <w:jc w:val="center"/>
              <w:rPr>
                <w:iCs/>
                <w:sz w:val="20"/>
              </w:rPr>
            </w:pPr>
          </w:p>
          <w:p w14:paraId="749CCCDA" w14:textId="77777777" w:rsidR="00F1237C" w:rsidRPr="00CF6F48" w:rsidRDefault="00F1237C" w:rsidP="00BC1866">
            <w:pPr>
              <w:jc w:val="center"/>
              <w:rPr>
                <w:iCs/>
                <w:sz w:val="20"/>
              </w:rPr>
            </w:pPr>
            <w:r w:rsidRPr="00CF6F48">
              <w:rPr>
                <w:iCs/>
                <w:sz w:val="20"/>
              </w:rPr>
              <w:t>12.3</w:t>
            </w:r>
          </w:p>
        </w:tc>
        <w:tc>
          <w:tcPr>
            <w:tcW w:w="861" w:type="dxa"/>
            <w:tcBorders>
              <w:top w:val="nil"/>
              <w:left w:val="single" w:sz="4" w:space="0" w:color="auto"/>
              <w:bottom w:val="single" w:sz="4" w:space="0" w:color="auto"/>
              <w:right w:val="single" w:sz="4" w:space="0" w:color="auto"/>
            </w:tcBorders>
            <w:shd w:val="clear" w:color="auto" w:fill="auto"/>
            <w:noWrap/>
            <w:vAlign w:val="bottom"/>
          </w:tcPr>
          <w:p w14:paraId="3E6BAF59" w14:textId="77777777" w:rsidR="00F1237C" w:rsidRPr="00CF6F48" w:rsidRDefault="00F1237C" w:rsidP="00BC1866">
            <w:pPr>
              <w:rPr>
                <w:iCs/>
                <w:sz w:val="20"/>
              </w:rPr>
            </w:pPr>
            <w:r w:rsidRPr="00CF6F48">
              <w:rPr>
                <w:iCs/>
                <w:sz w:val="20"/>
              </w:rPr>
              <w:t>Boys</w:t>
            </w:r>
          </w:p>
        </w:tc>
        <w:tc>
          <w:tcPr>
            <w:tcW w:w="673" w:type="dxa"/>
            <w:tcBorders>
              <w:top w:val="nil"/>
              <w:left w:val="nil"/>
              <w:bottom w:val="single" w:sz="4" w:space="0" w:color="auto"/>
              <w:right w:val="single" w:sz="4" w:space="0" w:color="auto"/>
            </w:tcBorders>
            <w:shd w:val="clear" w:color="auto" w:fill="auto"/>
            <w:noWrap/>
            <w:vAlign w:val="bottom"/>
          </w:tcPr>
          <w:p w14:paraId="4432AF64" w14:textId="77777777" w:rsidR="00F1237C" w:rsidRPr="00CF6F48" w:rsidRDefault="00F1237C" w:rsidP="00BC1866">
            <w:pPr>
              <w:jc w:val="right"/>
              <w:rPr>
                <w:iCs/>
                <w:sz w:val="20"/>
              </w:rPr>
            </w:pPr>
            <w:r w:rsidRPr="00CF6F48">
              <w:rPr>
                <w:iCs/>
                <w:sz w:val="20"/>
              </w:rPr>
              <w:t>549</w:t>
            </w:r>
          </w:p>
        </w:tc>
        <w:tc>
          <w:tcPr>
            <w:tcW w:w="705" w:type="dxa"/>
            <w:tcBorders>
              <w:top w:val="nil"/>
              <w:left w:val="nil"/>
              <w:bottom w:val="single" w:sz="4" w:space="0" w:color="auto"/>
              <w:right w:val="single" w:sz="4" w:space="0" w:color="auto"/>
            </w:tcBorders>
            <w:shd w:val="clear" w:color="auto" w:fill="auto"/>
            <w:noWrap/>
            <w:vAlign w:val="bottom"/>
          </w:tcPr>
          <w:p w14:paraId="677F62CC" w14:textId="77777777" w:rsidR="00F1237C" w:rsidRPr="00CF6F48" w:rsidRDefault="00F1237C" w:rsidP="00BC1866">
            <w:pPr>
              <w:jc w:val="right"/>
              <w:rPr>
                <w:iCs/>
                <w:sz w:val="20"/>
              </w:rPr>
            </w:pPr>
            <w:r w:rsidRPr="00CF6F48">
              <w:rPr>
                <w:iCs/>
                <w:sz w:val="20"/>
              </w:rPr>
              <w:t>74.5</w:t>
            </w:r>
          </w:p>
        </w:tc>
        <w:tc>
          <w:tcPr>
            <w:tcW w:w="673" w:type="dxa"/>
            <w:tcBorders>
              <w:top w:val="nil"/>
              <w:left w:val="nil"/>
              <w:bottom w:val="single" w:sz="4" w:space="0" w:color="auto"/>
              <w:right w:val="single" w:sz="8" w:space="0" w:color="auto"/>
            </w:tcBorders>
            <w:shd w:val="clear" w:color="auto" w:fill="auto"/>
            <w:noWrap/>
            <w:vAlign w:val="bottom"/>
          </w:tcPr>
          <w:p w14:paraId="1CFE134A" w14:textId="77777777" w:rsidR="00F1237C" w:rsidRPr="00CF6F48" w:rsidRDefault="00F1237C" w:rsidP="00BC1866">
            <w:pPr>
              <w:jc w:val="right"/>
              <w:rPr>
                <w:iCs/>
                <w:sz w:val="20"/>
              </w:rPr>
            </w:pPr>
            <w:r w:rsidRPr="00CF6F48">
              <w:rPr>
                <w:iCs/>
                <w:sz w:val="20"/>
              </w:rPr>
              <w:t>12.7</w:t>
            </w:r>
          </w:p>
        </w:tc>
      </w:tr>
      <w:tr w:rsidR="00182BA9" w:rsidRPr="00CF6F48" w14:paraId="1E050AE4" w14:textId="77777777" w:rsidTr="00FC3A95">
        <w:trPr>
          <w:trHeight w:val="237"/>
          <w:jc w:val="center"/>
        </w:trPr>
        <w:tc>
          <w:tcPr>
            <w:tcW w:w="696" w:type="dxa"/>
            <w:vMerge/>
            <w:tcBorders>
              <w:top w:val="nil"/>
              <w:left w:val="single" w:sz="8" w:space="0" w:color="auto"/>
              <w:bottom w:val="single" w:sz="4" w:space="0" w:color="auto"/>
              <w:right w:val="single" w:sz="4" w:space="0" w:color="auto"/>
            </w:tcBorders>
            <w:vAlign w:val="center"/>
          </w:tcPr>
          <w:p w14:paraId="7FEE4034" w14:textId="77777777" w:rsidR="00F1237C" w:rsidRPr="00CF6F48" w:rsidRDefault="00F1237C" w:rsidP="00F1237C">
            <w:pPr>
              <w:jc w:val="center"/>
              <w:rPr>
                <w:b/>
                <w:iCs/>
                <w:sz w:val="20"/>
              </w:rPr>
            </w:pPr>
          </w:p>
        </w:tc>
        <w:tc>
          <w:tcPr>
            <w:tcW w:w="516" w:type="dxa"/>
            <w:vMerge/>
            <w:tcBorders>
              <w:left w:val="nil"/>
              <w:bottom w:val="single" w:sz="4" w:space="0" w:color="auto"/>
              <w:right w:val="single" w:sz="4" w:space="0" w:color="auto"/>
            </w:tcBorders>
          </w:tcPr>
          <w:p w14:paraId="7221F570" w14:textId="77777777" w:rsidR="00F1237C" w:rsidRPr="00CF6F48" w:rsidRDefault="00F1237C" w:rsidP="00F1237C">
            <w:pPr>
              <w:jc w:val="center"/>
              <w:rPr>
                <w:iCs/>
                <w:sz w:val="20"/>
              </w:rPr>
            </w:pPr>
          </w:p>
        </w:tc>
        <w:tc>
          <w:tcPr>
            <w:tcW w:w="828" w:type="dxa"/>
            <w:vMerge/>
            <w:tcBorders>
              <w:left w:val="single" w:sz="4" w:space="0" w:color="auto"/>
              <w:bottom w:val="single" w:sz="4" w:space="0" w:color="auto"/>
              <w:right w:val="single" w:sz="4" w:space="0" w:color="auto"/>
            </w:tcBorders>
          </w:tcPr>
          <w:p w14:paraId="1BD1AEEB" w14:textId="77777777" w:rsidR="00F1237C" w:rsidRPr="00CF6F48" w:rsidRDefault="00F1237C" w:rsidP="00F1237C">
            <w:pPr>
              <w:jc w:val="center"/>
              <w:rPr>
                <w:iCs/>
                <w:sz w:val="20"/>
              </w:rPr>
            </w:pPr>
          </w:p>
        </w:tc>
        <w:tc>
          <w:tcPr>
            <w:tcW w:w="566" w:type="dxa"/>
            <w:vMerge/>
            <w:tcBorders>
              <w:left w:val="single" w:sz="4" w:space="0" w:color="auto"/>
              <w:bottom w:val="single" w:sz="4" w:space="0" w:color="auto"/>
              <w:right w:val="single" w:sz="4" w:space="0" w:color="auto"/>
            </w:tcBorders>
          </w:tcPr>
          <w:p w14:paraId="56303022" w14:textId="77777777" w:rsidR="00F1237C" w:rsidRPr="00CF6F48" w:rsidRDefault="00F1237C" w:rsidP="00F1237C">
            <w:pPr>
              <w:jc w:val="center"/>
              <w:rPr>
                <w:iCs/>
                <w:sz w:val="20"/>
              </w:rPr>
            </w:pPr>
          </w:p>
        </w:tc>
        <w:tc>
          <w:tcPr>
            <w:tcW w:w="861" w:type="dxa"/>
            <w:tcBorders>
              <w:top w:val="nil"/>
              <w:left w:val="single" w:sz="4" w:space="0" w:color="auto"/>
              <w:bottom w:val="single" w:sz="4" w:space="0" w:color="auto"/>
              <w:right w:val="single" w:sz="4" w:space="0" w:color="auto"/>
            </w:tcBorders>
            <w:shd w:val="clear" w:color="auto" w:fill="auto"/>
            <w:noWrap/>
            <w:vAlign w:val="bottom"/>
          </w:tcPr>
          <w:p w14:paraId="11B35C20" w14:textId="77777777" w:rsidR="00F1237C" w:rsidRPr="00CF6F48" w:rsidRDefault="00F1237C" w:rsidP="00F1237C">
            <w:pPr>
              <w:jc w:val="center"/>
              <w:rPr>
                <w:iCs/>
                <w:sz w:val="20"/>
              </w:rPr>
            </w:pPr>
            <w:r w:rsidRPr="00CF6F48">
              <w:rPr>
                <w:iCs/>
                <w:sz w:val="20"/>
              </w:rPr>
              <w:t>Girls</w:t>
            </w:r>
          </w:p>
        </w:tc>
        <w:tc>
          <w:tcPr>
            <w:tcW w:w="673" w:type="dxa"/>
            <w:tcBorders>
              <w:top w:val="nil"/>
              <w:left w:val="nil"/>
              <w:bottom w:val="single" w:sz="4" w:space="0" w:color="auto"/>
              <w:right w:val="single" w:sz="4" w:space="0" w:color="auto"/>
            </w:tcBorders>
            <w:shd w:val="clear" w:color="auto" w:fill="auto"/>
            <w:noWrap/>
            <w:vAlign w:val="bottom"/>
          </w:tcPr>
          <w:p w14:paraId="28E1EDF3" w14:textId="77777777" w:rsidR="00F1237C" w:rsidRPr="00CF6F48" w:rsidRDefault="00F1237C" w:rsidP="00F1237C">
            <w:pPr>
              <w:jc w:val="center"/>
              <w:rPr>
                <w:iCs/>
                <w:sz w:val="20"/>
              </w:rPr>
            </w:pPr>
            <w:r w:rsidRPr="00CF6F48">
              <w:rPr>
                <w:iCs/>
                <w:sz w:val="20"/>
              </w:rPr>
              <w:t>226</w:t>
            </w:r>
          </w:p>
        </w:tc>
        <w:tc>
          <w:tcPr>
            <w:tcW w:w="705" w:type="dxa"/>
            <w:tcBorders>
              <w:top w:val="nil"/>
              <w:left w:val="nil"/>
              <w:bottom w:val="single" w:sz="4" w:space="0" w:color="auto"/>
              <w:right w:val="single" w:sz="4" w:space="0" w:color="auto"/>
            </w:tcBorders>
            <w:shd w:val="clear" w:color="auto" w:fill="auto"/>
            <w:noWrap/>
            <w:vAlign w:val="bottom"/>
          </w:tcPr>
          <w:p w14:paraId="7E725133" w14:textId="77777777" w:rsidR="00F1237C" w:rsidRPr="00CF6F48" w:rsidRDefault="00F1237C" w:rsidP="00F1237C">
            <w:pPr>
              <w:jc w:val="center"/>
              <w:rPr>
                <w:iCs/>
                <w:sz w:val="20"/>
              </w:rPr>
            </w:pPr>
            <w:r w:rsidRPr="00CF6F48">
              <w:rPr>
                <w:iCs/>
                <w:sz w:val="20"/>
              </w:rPr>
              <w:t>73.7</w:t>
            </w:r>
          </w:p>
        </w:tc>
        <w:tc>
          <w:tcPr>
            <w:tcW w:w="673" w:type="dxa"/>
            <w:tcBorders>
              <w:top w:val="nil"/>
              <w:left w:val="nil"/>
              <w:bottom w:val="single" w:sz="4" w:space="0" w:color="auto"/>
              <w:right w:val="single" w:sz="8" w:space="0" w:color="auto"/>
            </w:tcBorders>
            <w:shd w:val="clear" w:color="auto" w:fill="auto"/>
            <w:noWrap/>
            <w:vAlign w:val="bottom"/>
          </w:tcPr>
          <w:p w14:paraId="02A20E23" w14:textId="77777777" w:rsidR="00F1237C" w:rsidRPr="00CF6F48" w:rsidRDefault="00F1237C" w:rsidP="00F1237C">
            <w:pPr>
              <w:jc w:val="center"/>
              <w:rPr>
                <w:iCs/>
                <w:sz w:val="20"/>
              </w:rPr>
            </w:pPr>
            <w:r w:rsidRPr="00CF6F48">
              <w:rPr>
                <w:iCs/>
                <w:sz w:val="20"/>
              </w:rPr>
              <w:t>11.5</w:t>
            </w:r>
          </w:p>
        </w:tc>
      </w:tr>
      <w:tr w:rsidR="00182BA9" w:rsidRPr="00CF6F48" w14:paraId="7BC2D17D" w14:textId="77777777" w:rsidTr="00FC3A95">
        <w:trPr>
          <w:trHeight w:val="237"/>
          <w:jc w:val="center"/>
        </w:trPr>
        <w:tc>
          <w:tcPr>
            <w:tcW w:w="696" w:type="dxa"/>
            <w:vMerge w:val="restart"/>
            <w:tcBorders>
              <w:top w:val="nil"/>
              <w:left w:val="single" w:sz="8" w:space="0" w:color="auto"/>
              <w:bottom w:val="single" w:sz="4" w:space="0" w:color="auto"/>
              <w:right w:val="single" w:sz="4" w:space="0" w:color="auto"/>
            </w:tcBorders>
            <w:shd w:val="clear" w:color="auto" w:fill="auto"/>
            <w:noWrap/>
            <w:vAlign w:val="center"/>
          </w:tcPr>
          <w:p w14:paraId="427F8CD2" w14:textId="7798E30F" w:rsidR="00F1237C" w:rsidRPr="00CF6F48" w:rsidRDefault="00C52094" w:rsidP="00BC1866">
            <w:pPr>
              <w:jc w:val="center"/>
              <w:rPr>
                <w:b/>
                <w:iCs/>
                <w:sz w:val="20"/>
              </w:rPr>
            </w:pPr>
            <w:r w:rsidRPr="00CF6F48">
              <w:rPr>
                <w:b/>
                <w:iCs/>
                <w:sz w:val="20"/>
              </w:rPr>
              <w:t>GA</w:t>
            </w:r>
            <w:r w:rsidR="00F1237C" w:rsidRPr="00CF6F48">
              <w:rPr>
                <w:b/>
                <w:iCs/>
                <w:sz w:val="20"/>
              </w:rPr>
              <w:t>T</w:t>
            </w:r>
          </w:p>
        </w:tc>
        <w:tc>
          <w:tcPr>
            <w:tcW w:w="516" w:type="dxa"/>
            <w:vMerge w:val="restart"/>
            <w:tcBorders>
              <w:top w:val="single" w:sz="4" w:space="0" w:color="auto"/>
              <w:left w:val="nil"/>
              <w:bottom w:val="single" w:sz="4" w:space="0" w:color="auto"/>
              <w:right w:val="single" w:sz="4" w:space="0" w:color="auto"/>
            </w:tcBorders>
          </w:tcPr>
          <w:p w14:paraId="324A236A" w14:textId="77777777" w:rsidR="00F1237C" w:rsidRPr="00CF6F48" w:rsidRDefault="00F1237C" w:rsidP="00BC1866">
            <w:pPr>
              <w:jc w:val="center"/>
              <w:rPr>
                <w:iCs/>
                <w:sz w:val="20"/>
              </w:rPr>
            </w:pPr>
          </w:p>
          <w:p w14:paraId="613D6C27" w14:textId="77777777" w:rsidR="00F1237C" w:rsidRPr="00CF6F48" w:rsidRDefault="00F1237C" w:rsidP="00BC1866">
            <w:pPr>
              <w:jc w:val="center"/>
              <w:rPr>
                <w:iCs/>
                <w:sz w:val="20"/>
              </w:rPr>
            </w:pPr>
            <w:r w:rsidRPr="00CF6F48">
              <w:rPr>
                <w:iCs/>
                <w:sz w:val="20"/>
              </w:rPr>
              <w:t>775</w:t>
            </w:r>
          </w:p>
        </w:tc>
        <w:tc>
          <w:tcPr>
            <w:tcW w:w="828" w:type="dxa"/>
            <w:vMerge w:val="restart"/>
            <w:tcBorders>
              <w:top w:val="single" w:sz="4" w:space="0" w:color="auto"/>
              <w:left w:val="single" w:sz="4" w:space="0" w:color="auto"/>
              <w:bottom w:val="single" w:sz="4" w:space="0" w:color="auto"/>
              <w:right w:val="single" w:sz="4" w:space="0" w:color="auto"/>
            </w:tcBorders>
          </w:tcPr>
          <w:p w14:paraId="0C6AFB6C" w14:textId="77777777" w:rsidR="00F1237C" w:rsidRPr="00CF6F48" w:rsidRDefault="00F1237C" w:rsidP="00BC1866">
            <w:pPr>
              <w:jc w:val="center"/>
              <w:rPr>
                <w:iCs/>
                <w:sz w:val="20"/>
              </w:rPr>
            </w:pPr>
          </w:p>
          <w:p w14:paraId="7F3C1D3F" w14:textId="77777777" w:rsidR="00F1237C" w:rsidRPr="00CF6F48" w:rsidRDefault="00F1237C" w:rsidP="00BC1866">
            <w:pPr>
              <w:jc w:val="center"/>
              <w:rPr>
                <w:iCs/>
                <w:sz w:val="20"/>
              </w:rPr>
            </w:pPr>
            <w:r w:rsidRPr="00CF6F48">
              <w:rPr>
                <w:iCs/>
                <w:sz w:val="20"/>
              </w:rPr>
              <w:t>157.6</w:t>
            </w:r>
          </w:p>
        </w:tc>
        <w:tc>
          <w:tcPr>
            <w:tcW w:w="566" w:type="dxa"/>
            <w:vMerge w:val="restart"/>
            <w:tcBorders>
              <w:top w:val="single" w:sz="4" w:space="0" w:color="auto"/>
              <w:left w:val="single" w:sz="4" w:space="0" w:color="auto"/>
              <w:bottom w:val="single" w:sz="4" w:space="0" w:color="auto"/>
              <w:right w:val="single" w:sz="4" w:space="0" w:color="auto"/>
            </w:tcBorders>
          </w:tcPr>
          <w:p w14:paraId="403AF0E0" w14:textId="77777777" w:rsidR="00F1237C" w:rsidRPr="00CF6F48" w:rsidRDefault="00F1237C" w:rsidP="00BC1866">
            <w:pPr>
              <w:jc w:val="center"/>
              <w:rPr>
                <w:iCs/>
                <w:sz w:val="20"/>
              </w:rPr>
            </w:pPr>
          </w:p>
          <w:p w14:paraId="303785F0" w14:textId="77777777" w:rsidR="00F1237C" w:rsidRPr="00CF6F48" w:rsidRDefault="00F1237C" w:rsidP="00BC1866">
            <w:pPr>
              <w:jc w:val="center"/>
              <w:rPr>
                <w:iCs/>
                <w:sz w:val="20"/>
              </w:rPr>
            </w:pPr>
            <w:r w:rsidRPr="00CF6F48">
              <w:rPr>
                <w:iCs/>
                <w:sz w:val="20"/>
              </w:rPr>
              <w:t>34.3</w:t>
            </w:r>
          </w:p>
        </w:tc>
        <w:tc>
          <w:tcPr>
            <w:tcW w:w="861" w:type="dxa"/>
            <w:tcBorders>
              <w:top w:val="nil"/>
              <w:left w:val="single" w:sz="4" w:space="0" w:color="auto"/>
              <w:bottom w:val="single" w:sz="4" w:space="0" w:color="auto"/>
              <w:right w:val="single" w:sz="4" w:space="0" w:color="auto"/>
            </w:tcBorders>
            <w:shd w:val="clear" w:color="auto" w:fill="auto"/>
            <w:noWrap/>
            <w:vAlign w:val="bottom"/>
          </w:tcPr>
          <w:p w14:paraId="5D1A0361" w14:textId="77777777" w:rsidR="00F1237C" w:rsidRPr="00CF6F48" w:rsidRDefault="00F1237C" w:rsidP="00BC1866">
            <w:pPr>
              <w:rPr>
                <w:iCs/>
                <w:sz w:val="20"/>
              </w:rPr>
            </w:pPr>
            <w:r w:rsidRPr="00CF6F48">
              <w:rPr>
                <w:iCs/>
                <w:sz w:val="20"/>
              </w:rPr>
              <w:t>Boys</w:t>
            </w:r>
          </w:p>
        </w:tc>
        <w:tc>
          <w:tcPr>
            <w:tcW w:w="673" w:type="dxa"/>
            <w:tcBorders>
              <w:top w:val="nil"/>
              <w:left w:val="nil"/>
              <w:bottom w:val="single" w:sz="4" w:space="0" w:color="auto"/>
              <w:right w:val="single" w:sz="4" w:space="0" w:color="auto"/>
            </w:tcBorders>
            <w:shd w:val="clear" w:color="auto" w:fill="auto"/>
            <w:noWrap/>
            <w:vAlign w:val="bottom"/>
          </w:tcPr>
          <w:p w14:paraId="4A008D1C" w14:textId="77777777" w:rsidR="00F1237C" w:rsidRPr="00CF6F48" w:rsidRDefault="00F1237C" w:rsidP="00BC1866">
            <w:pPr>
              <w:jc w:val="right"/>
              <w:rPr>
                <w:iCs/>
                <w:sz w:val="20"/>
              </w:rPr>
            </w:pPr>
            <w:r w:rsidRPr="00CF6F48">
              <w:rPr>
                <w:iCs/>
                <w:sz w:val="20"/>
              </w:rPr>
              <w:t>549</w:t>
            </w:r>
          </w:p>
        </w:tc>
        <w:tc>
          <w:tcPr>
            <w:tcW w:w="705" w:type="dxa"/>
            <w:tcBorders>
              <w:top w:val="nil"/>
              <w:left w:val="nil"/>
              <w:bottom w:val="single" w:sz="4" w:space="0" w:color="auto"/>
              <w:right w:val="single" w:sz="4" w:space="0" w:color="auto"/>
            </w:tcBorders>
            <w:shd w:val="clear" w:color="auto" w:fill="auto"/>
            <w:noWrap/>
            <w:vAlign w:val="bottom"/>
          </w:tcPr>
          <w:p w14:paraId="12324218" w14:textId="77777777" w:rsidR="00F1237C" w:rsidRPr="00CF6F48" w:rsidRDefault="00F1237C" w:rsidP="00BC1866">
            <w:pPr>
              <w:jc w:val="right"/>
              <w:rPr>
                <w:iCs/>
                <w:sz w:val="20"/>
              </w:rPr>
            </w:pPr>
            <w:r w:rsidRPr="00CF6F48">
              <w:rPr>
                <w:iCs/>
                <w:sz w:val="20"/>
              </w:rPr>
              <w:t>150.1</w:t>
            </w:r>
          </w:p>
        </w:tc>
        <w:tc>
          <w:tcPr>
            <w:tcW w:w="673" w:type="dxa"/>
            <w:tcBorders>
              <w:top w:val="nil"/>
              <w:left w:val="nil"/>
              <w:bottom w:val="single" w:sz="4" w:space="0" w:color="auto"/>
              <w:right w:val="single" w:sz="8" w:space="0" w:color="auto"/>
            </w:tcBorders>
            <w:shd w:val="clear" w:color="auto" w:fill="auto"/>
            <w:noWrap/>
            <w:vAlign w:val="bottom"/>
          </w:tcPr>
          <w:p w14:paraId="2D1E3ACF" w14:textId="77777777" w:rsidR="00F1237C" w:rsidRPr="00CF6F48" w:rsidRDefault="00F1237C" w:rsidP="00BC1866">
            <w:pPr>
              <w:jc w:val="right"/>
              <w:rPr>
                <w:iCs/>
                <w:sz w:val="20"/>
              </w:rPr>
            </w:pPr>
            <w:r w:rsidRPr="00CF6F48">
              <w:rPr>
                <w:iCs/>
                <w:sz w:val="20"/>
              </w:rPr>
              <w:t>32.0</w:t>
            </w:r>
          </w:p>
        </w:tc>
      </w:tr>
      <w:tr w:rsidR="00182BA9" w:rsidRPr="00CF6F48" w14:paraId="0609FF5D" w14:textId="77777777" w:rsidTr="00FC3A95">
        <w:trPr>
          <w:trHeight w:val="237"/>
          <w:jc w:val="center"/>
        </w:trPr>
        <w:tc>
          <w:tcPr>
            <w:tcW w:w="696" w:type="dxa"/>
            <w:vMerge/>
            <w:tcBorders>
              <w:top w:val="nil"/>
              <w:left w:val="single" w:sz="8" w:space="0" w:color="auto"/>
              <w:bottom w:val="single" w:sz="4" w:space="0" w:color="auto"/>
              <w:right w:val="single" w:sz="4" w:space="0" w:color="auto"/>
            </w:tcBorders>
            <w:vAlign w:val="center"/>
          </w:tcPr>
          <w:p w14:paraId="7BEBB4BF" w14:textId="77777777" w:rsidR="00F1237C" w:rsidRPr="00CF6F48" w:rsidRDefault="00F1237C" w:rsidP="00F1237C">
            <w:pPr>
              <w:jc w:val="center"/>
              <w:rPr>
                <w:b/>
                <w:iCs/>
                <w:sz w:val="20"/>
              </w:rPr>
            </w:pPr>
          </w:p>
        </w:tc>
        <w:tc>
          <w:tcPr>
            <w:tcW w:w="516" w:type="dxa"/>
            <w:vMerge/>
            <w:tcBorders>
              <w:left w:val="nil"/>
              <w:bottom w:val="single" w:sz="4" w:space="0" w:color="auto"/>
              <w:right w:val="single" w:sz="4" w:space="0" w:color="auto"/>
            </w:tcBorders>
          </w:tcPr>
          <w:p w14:paraId="1C820BD5" w14:textId="77777777" w:rsidR="00F1237C" w:rsidRPr="00CF6F48" w:rsidRDefault="00F1237C" w:rsidP="00F1237C">
            <w:pPr>
              <w:jc w:val="center"/>
              <w:rPr>
                <w:iCs/>
                <w:sz w:val="20"/>
              </w:rPr>
            </w:pPr>
          </w:p>
        </w:tc>
        <w:tc>
          <w:tcPr>
            <w:tcW w:w="828" w:type="dxa"/>
            <w:vMerge/>
            <w:tcBorders>
              <w:left w:val="single" w:sz="4" w:space="0" w:color="auto"/>
              <w:bottom w:val="single" w:sz="4" w:space="0" w:color="auto"/>
              <w:right w:val="single" w:sz="4" w:space="0" w:color="auto"/>
            </w:tcBorders>
          </w:tcPr>
          <w:p w14:paraId="440CBB60" w14:textId="77777777" w:rsidR="00F1237C" w:rsidRPr="00CF6F48" w:rsidRDefault="00F1237C" w:rsidP="00F1237C">
            <w:pPr>
              <w:jc w:val="center"/>
              <w:rPr>
                <w:iCs/>
                <w:sz w:val="20"/>
              </w:rPr>
            </w:pPr>
          </w:p>
        </w:tc>
        <w:tc>
          <w:tcPr>
            <w:tcW w:w="566" w:type="dxa"/>
            <w:vMerge/>
            <w:tcBorders>
              <w:left w:val="single" w:sz="4" w:space="0" w:color="auto"/>
              <w:bottom w:val="single" w:sz="4" w:space="0" w:color="auto"/>
              <w:right w:val="single" w:sz="4" w:space="0" w:color="auto"/>
            </w:tcBorders>
          </w:tcPr>
          <w:p w14:paraId="377D3947" w14:textId="77777777" w:rsidR="00F1237C" w:rsidRPr="00CF6F48" w:rsidRDefault="00F1237C" w:rsidP="00F1237C">
            <w:pPr>
              <w:jc w:val="center"/>
              <w:rPr>
                <w:iCs/>
                <w:sz w:val="20"/>
              </w:rPr>
            </w:pPr>
          </w:p>
        </w:tc>
        <w:tc>
          <w:tcPr>
            <w:tcW w:w="861" w:type="dxa"/>
            <w:tcBorders>
              <w:top w:val="nil"/>
              <w:left w:val="single" w:sz="4" w:space="0" w:color="auto"/>
              <w:bottom w:val="single" w:sz="4" w:space="0" w:color="auto"/>
              <w:right w:val="single" w:sz="4" w:space="0" w:color="auto"/>
            </w:tcBorders>
            <w:shd w:val="clear" w:color="auto" w:fill="auto"/>
            <w:noWrap/>
            <w:vAlign w:val="bottom"/>
          </w:tcPr>
          <w:p w14:paraId="5A0B25BE" w14:textId="77777777" w:rsidR="00F1237C" w:rsidRPr="00CF6F48" w:rsidRDefault="00F1237C" w:rsidP="00F1237C">
            <w:pPr>
              <w:jc w:val="center"/>
              <w:rPr>
                <w:iCs/>
                <w:sz w:val="20"/>
              </w:rPr>
            </w:pPr>
            <w:r w:rsidRPr="00CF6F48">
              <w:rPr>
                <w:iCs/>
                <w:sz w:val="20"/>
              </w:rPr>
              <w:t>Girls</w:t>
            </w:r>
          </w:p>
        </w:tc>
        <w:tc>
          <w:tcPr>
            <w:tcW w:w="673" w:type="dxa"/>
            <w:tcBorders>
              <w:top w:val="nil"/>
              <w:left w:val="nil"/>
              <w:bottom w:val="single" w:sz="4" w:space="0" w:color="auto"/>
              <w:right w:val="single" w:sz="4" w:space="0" w:color="auto"/>
            </w:tcBorders>
            <w:shd w:val="clear" w:color="auto" w:fill="auto"/>
            <w:noWrap/>
            <w:vAlign w:val="bottom"/>
          </w:tcPr>
          <w:p w14:paraId="78B3D8C4" w14:textId="77777777" w:rsidR="00F1237C" w:rsidRPr="00CF6F48" w:rsidRDefault="00F1237C" w:rsidP="00F1237C">
            <w:pPr>
              <w:jc w:val="center"/>
              <w:rPr>
                <w:iCs/>
                <w:sz w:val="20"/>
              </w:rPr>
            </w:pPr>
            <w:r w:rsidRPr="00CF6F48">
              <w:rPr>
                <w:iCs/>
                <w:sz w:val="20"/>
              </w:rPr>
              <w:t>226</w:t>
            </w:r>
          </w:p>
        </w:tc>
        <w:tc>
          <w:tcPr>
            <w:tcW w:w="705" w:type="dxa"/>
            <w:tcBorders>
              <w:top w:val="nil"/>
              <w:left w:val="nil"/>
              <w:bottom w:val="single" w:sz="4" w:space="0" w:color="auto"/>
              <w:right w:val="single" w:sz="4" w:space="0" w:color="auto"/>
            </w:tcBorders>
            <w:shd w:val="clear" w:color="auto" w:fill="auto"/>
            <w:noWrap/>
            <w:vAlign w:val="bottom"/>
          </w:tcPr>
          <w:p w14:paraId="268FC2E1" w14:textId="77777777" w:rsidR="00F1237C" w:rsidRPr="00CF6F48" w:rsidRDefault="00F1237C" w:rsidP="00F1237C">
            <w:pPr>
              <w:jc w:val="center"/>
              <w:rPr>
                <w:iCs/>
                <w:sz w:val="20"/>
              </w:rPr>
            </w:pPr>
            <w:r w:rsidRPr="00CF6F48">
              <w:rPr>
                <w:iCs/>
                <w:sz w:val="20"/>
              </w:rPr>
              <w:t>175.7</w:t>
            </w:r>
          </w:p>
        </w:tc>
        <w:tc>
          <w:tcPr>
            <w:tcW w:w="673" w:type="dxa"/>
            <w:tcBorders>
              <w:top w:val="nil"/>
              <w:left w:val="nil"/>
              <w:bottom w:val="single" w:sz="4" w:space="0" w:color="auto"/>
              <w:right w:val="single" w:sz="8" w:space="0" w:color="auto"/>
            </w:tcBorders>
            <w:shd w:val="clear" w:color="auto" w:fill="auto"/>
            <w:noWrap/>
            <w:vAlign w:val="bottom"/>
          </w:tcPr>
          <w:p w14:paraId="7433E5F6" w14:textId="77777777" w:rsidR="00F1237C" w:rsidRPr="00CF6F48" w:rsidRDefault="00F1237C" w:rsidP="00F1237C">
            <w:pPr>
              <w:jc w:val="center"/>
              <w:rPr>
                <w:iCs/>
                <w:sz w:val="20"/>
              </w:rPr>
            </w:pPr>
            <w:r w:rsidRPr="00CF6F48">
              <w:rPr>
                <w:iCs/>
                <w:sz w:val="20"/>
              </w:rPr>
              <w:t>32.9</w:t>
            </w:r>
          </w:p>
        </w:tc>
      </w:tr>
      <w:tr w:rsidR="00182BA9" w:rsidRPr="00CF6F48" w14:paraId="5686CA13" w14:textId="77777777" w:rsidTr="00FC3A95">
        <w:trPr>
          <w:trHeight w:val="237"/>
          <w:jc w:val="center"/>
        </w:trPr>
        <w:tc>
          <w:tcPr>
            <w:tcW w:w="696" w:type="dxa"/>
            <w:vMerge w:val="restart"/>
            <w:tcBorders>
              <w:top w:val="nil"/>
              <w:left w:val="single" w:sz="8" w:space="0" w:color="auto"/>
              <w:bottom w:val="single" w:sz="8" w:space="0" w:color="000000"/>
              <w:right w:val="single" w:sz="4" w:space="0" w:color="auto"/>
            </w:tcBorders>
            <w:shd w:val="clear" w:color="auto" w:fill="auto"/>
            <w:noWrap/>
            <w:vAlign w:val="center"/>
          </w:tcPr>
          <w:p w14:paraId="489642F7" w14:textId="77777777" w:rsidR="00F1237C" w:rsidRPr="00CF6F48" w:rsidRDefault="00F1237C" w:rsidP="00BC1866">
            <w:pPr>
              <w:jc w:val="center"/>
              <w:rPr>
                <w:b/>
                <w:iCs/>
                <w:sz w:val="20"/>
              </w:rPr>
            </w:pPr>
            <w:r w:rsidRPr="00CF6F48">
              <w:rPr>
                <w:b/>
                <w:iCs/>
                <w:sz w:val="20"/>
              </w:rPr>
              <w:t>ALG</w:t>
            </w:r>
          </w:p>
        </w:tc>
        <w:tc>
          <w:tcPr>
            <w:tcW w:w="516" w:type="dxa"/>
            <w:vMerge w:val="restart"/>
            <w:tcBorders>
              <w:top w:val="single" w:sz="4" w:space="0" w:color="auto"/>
              <w:left w:val="nil"/>
              <w:bottom w:val="single" w:sz="4" w:space="0" w:color="auto"/>
              <w:right w:val="single" w:sz="4" w:space="0" w:color="auto"/>
            </w:tcBorders>
          </w:tcPr>
          <w:p w14:paraId="4793CFB4" w14:textId="77777777" w:rsidR="00F1237C" w:rsidRPr="00CF6F48" w:rsidRDefault="00F1237C" w:rsidP="00BC1866">
            <w:pPr>
              <w:jc w:val="center"/>
              <w:rPr>
                <w:iCs/>
                <w:sz w:val="20"/>
              </w:rPr>
            </w:pPr>
          </w:p>
          <w:p w14:paraId="0C93FB4B" w14:textId="77777777" w:rsidR="00F1237C" w:rsidRPr="00CF6F48" w:rsidRDefault="00F1237C" w:rsidP="00BC1866">
            <w:pPr>
              <w:jc w:val="center"/>
              <w:rPr>
                <w:iCs/>
                <w:sz w:val="20"/>
              </w:rPr>
            </w:pPr>
            <w:r w:rsidRPr="00CF6F48">
              <w:rPr>
                <w:iCs/>
                <w:sz w:val="20"/>
              </w:rPr>
              <w:t>775</w:t>
            </w:r>
          </w:p>
        </w:tc>
        <w:tc>
          <w:tcPr>
            <w:tcW w:w="828" w:type="dxa"/>
            <w:vMerge w:val="restart"/>
            <w:tcBorders>
              <w:top w:val="single" w:sz="4" w:space="0" w:color="auto"/>
              <w:left w:val="single" w:sz="4" w:space="0" w:color="auto"/>
              <w:bottom w:val="single" w:sz="4" w:space="0" w:color="auto"/>
              <w:right w:val="single" w:sz="4" w:space="0" w:color="auto"/>
            </w:tcBorders>
          </w:tcPr>
          <w:p w14:paraId="241C29FD" w14:textId="77777777" w:rsidR="00F1237C" w:rsidRPr="00CF6F48" w:rsidRDefault="00F1237C" w:rsidP="00BC1866">
            <w:pPr>
              <w:jc w:val="center"/>
              <w:rPr>
                <w:iCs/>
                <w:sz w:val="20"/>
              </w:rPr>
            </w:pPr>
          </w:p>
          <w:p w14:paraId="67839C29" w14:textId="77777777" w:rsidR="00F1237C" w:rsidRPr="00CF6F48" w:rsidRDefault="00F1237C" w:rsidP="00BC1866">
            <w:pPr>
              <w:jc w:val="center"/>
              <w:rPr>
                <w:iCs/>
                <w:sz w:val="20"/>
              </w:rPr>
            </w:pPr>
            <w:r w:rsidRPr="00CF6F48">
              <w:rPr>
                <w:iCs/>
                <w:sz w:val="20"/>
              </w:rPr>
              <w:t>13.3</w:t>
            </w:r>
          </w:p>
        </w:tc>
        <w:tc>
          <w:tcPr>
            <w:tcW w:w="566" w:type="dxa"/>
            <w:vMerge w:val="restart"/>
            <w:tcBorders>
              <w:top w:val="single" w:sz="4" w:space="0" w:color="auto"/>
              <w:left w:val="single" w:sz="4" w:space="0" w:color="auto"/>
              <w:bottom w:val="single" w:sz="4" w:space="0" w:color="auto"/>
              <w:right w:val="single" w:sz="4" w:space="0" w:color="auto"/>
            </w:tcBorders>
          </w:tcPr>
          <w:p w14:paraId="3F0AB526" w14:textId="77777777" w:rsidR="00F1237C" w:rsidRPr="00CF6F48" w:rsidRDefault="00F1237C" w:rsidP="00BC1866">
            <w:pPr>
              <w:jc w:val="center"/>
              <w:rPr>
                <w:iCs/>
                <w:sz w:val="20"/>
              </w:rPr>
            </w:pPr>
          </w:p>
          <w:p w14:paraId="18D44DFF" w14:textId="77777777" w:rsidR="00F1237C" w:rsidRPr="00CF6F48" w:rsidRDefault="00F1237C" w:rsidP="00BC1866">
            <w:pPr>
              <w:jc w:val="center"/>
              <w:rPr>
                <w:iCs/>
                <w:sz w:val="20"/>
              </w:rPr>
            </w:pPr>
            <w:r w:rsidRPr="00CF6F48">
              <w:rPr>
                <w:iCs/>
                <w:sz w:val="20"/>
              </w:rPr>
              <w:t>3.7</w:t>
            </w:r>
          </w:p>
        </w:tc>
        <w:tc>
          <w:tcPr>
            <w:tcW w:w="861" w:type="dxa"/>
            <w:tcBorders>
              <w:top w:val="nil"/>
              <w:left w:val="single" w:sz="4" w:space="0" w:color="auto"/>
              <w:bottom w:val="single" w:sz="4" w:space="0" w:color="auto"/>
              <w:right w:val="single" w:sz="4" w:space="0" w:color="auto"/>
            </w:tcBorders>
            <w:shd w:val="clear" w:color="auto" w:fill="auto"/>
            <w:noWrap/>
            <w:vAlign w:val="bottom"/>
          </w:tcPr>
          <w:p w14:paraId="23C0E54A" w14:textId="77777777" w:rsidR="00F1237C" w:rsidRPr="00CF6F48" w:rsidRDefault="00F1237C" w:rsidP="00BC1866">
            <w:pPr>
              <w:rPr>
                <w:iCs/>
                <w:sz w:val="20"/>
              </w:rPr>
            </w:pPr>
            <w:r w:rsidRPr="00CF6F48">
              <w:rPr>
                <w:iCs/>
                <w:sz w:val="20"/>
              </w:rPr>
              <w:t>Boys</w:t>
            </w:r>
          </w:p>
        </w:tc>
        <w:tc>
          <w:tcPr>
            <w:tcW w:w="673" w:type="dxa"/>
            <w:tcBorders>
              <w:top w:val="nil"/>
              <w:left w:val="nil"/>
              <w:bottom w:val="single" w:sz="4" w:space="0" w:color="auto"/>
              <w:right w:val="single" w:sz="4" w:space="0" w:color="auto"/>
            </w:tcBorders>
            <w:shd w:val="clear" w:color="auto" w:fill="auto"/>
            <w:noWrap/>
            <w:vAlign w:val="bottom"/>
          </w:tcPr>
          <w:p w14:paraId="3A28FD75" w14:textId="77777777" w:rsidR="00F1237C" w:rsidRPr="00CF6F48" w:rsidRDefault="00F1237C" w:rsidP="00BC1866">
            <w:pPr>
              <w:jc w:val="right"/>
              <w:rPr>
                <w:iCs/>
                <w:sz w:val="20"/>
              </w:rPr>
            </w:pPr>
            <w:r w:rsidRPr="00CF6F48">
              <w:rPr>
                <w:iCs/>
                <w:sz w:val="20"/>
              </w:rPr>
              <w:t>549</w:t>
            </w:r>
          </w:p>
        </w:tc>
        <w:tc>
          <w:tcPr>
            <w:tcW w:w="705" w:type="dxa"/>
            <w:tcBorders>
              <w:top w:val="nil"/>
              <w:left w:val="nil"/>
              <w:bottom w:val="single" w:sz="4" w:space="0" w:color="auto"/>
              <w:right w:val="single" w:sz="4" w:space="0" w:color="auto"/>
            </w:tcBorders>
            <w:shd w:val="clear" w:color="auto" w:fill="auto"/>
            <w:noWrap/>
            <w:vAlign w:val="bottom"/>
          </w:tcPr>
          <w:p w14:paraId="51904679" w14:textId="77777777" w:rsidR="00F1237C" w:rsidRPr="00CF6F48" w:rsidRDefault="00F1237C" w:rsidP="00BC1866">
            <w:pPr>
              <w:jc w:val="right"/>
              <w:rPr>
                <w:iCs/>
                <w:sz w:val="20"/>
              </w:rPr>
            </w:pPr>
            <w:r w:rsidRPr="00CF6F48">
              <w:rPr>
                <w:iCs/>
                <w:sz w:val="20"/>
              </w:rPr>
              <w:t>12.9</w:t>
            </w:r>
          </w:p>
        </w:tc>
        <w:tc>
          <w:tcPr>
            <w:tcW w:w="673" w:type="dxa"/>
            <w:tcBorders>
              <w:top w:val="nil"/>
              <w:left w:val="nil"/>
              <w:bottom w:val="single" w:sz="4" w:space="0" w:color="auto"/>
              <w:right w:val="single" w:sz="8" w:space="0" w:color="auto"/>
            </w:tcBorders>
            <w:shd w:val="clear" w:color="auto" w:fill="auto"/>
            <w:noWrap/>
            <w:vAlign w:val="bottom"/>
          </w:tcPr>
          <w:p w14:paraId="26EC690C" w14:textId="77777777" w:rsidR="00F1237C" w:rsidRPr="00CF6F48" w:rsidRDefault="00F1237C" w:rsidP="00BC1866">
            <w:pPr>
              <w:jc w:val="right"/>
              <w:rPr>
                <w:iCs/>
                <w:sz w:val="20"/>
              </w:rPr>
            </w:pPr>
            <w:r w:rsidRPr="00CF6F48">
              <w:rPr>
                <w:iCs/>
                <w:sz w:val="20"/>
              </w:rPr>
              <w:t>3.4</w:t>
            </w:r>
          </w:p>
        </w:tc>
      </w:tr>
      <w:tr w:rsidR="00182BA9" w:rsidRPr="00CF6F48" w14:paraId="16104A9B" w14:textId="77777777" w:rsidTr="00FC3A95">
        <w:trPr>
          <w:trHeight w:val="248"/>
          <w:jc w:val="center"/>
        </w:trPr>
        <w:tc>
          <w:tcPr>
            <w:tcW w:w="696" w:type="dxa"/>
            <w:vMerge/>
            <w:tcBorders>
              <w:top w:val="nil"/>
              <w:left w:val="single" w:sz="8" w:space="0" w:color="auto"/>
              <w:bottom w:val="single" w:sz="4" w:space="0" w:color="auto"/>
              <w:right w:val="single" w:sz="4" w:space="0" w:color="auto"/>
            </w:tcBorders>
            <w:vAlign w:val="center"/>
          </w:tcPr>
          <w:p w14:paraId="0C031724" w14:textId="77777777" w:rsidR="00F1237C" w:rsidRPr="00CF6F48" w:rsidRDefault="00F1237C" w:rsidP="00F1237C">
            <w:pPr>
              <w:jc w:val="center"/>
              <w:rPr>
                <w:b/>
                <w:iCs/>
                <w:sz w:val="20"/>
              </w:rPr>
            </w:pPr>
          </w:p>
        </w:tc>
        <w:tc>
          <w:tcPr>
            <w:tcW w:w="516" w:type="dxa"/>
            <w:vMerge/>
            <w:tcBorders>
              <w:left w:val="nil"/>
              <w:bottom w:val="single" w:sz="4" w:space="0" w:color="auto"/>
              <w:right w:val="single" w:sz="4" w:space="0" w:color="auto"/>
            </w:tcBorders>
          </w:tcPr>
          <w:p w14:paraId="6D9B8A8E" w14:textId="77777777" w:rsidR="00F1237C" w:rsidRPr="00CF6F48" w:rsidRDefault="00F1237C" w:rsidP="00F1237C">
            <w:pPr>
              <w:jc w:val="center"/>
              <w:rPr>
                <w:iCs/>
                <w:sz w:val="20"/>
              </w:rPr>
            </w:pPr>
          </w:p>
        </w:tc>
        <w:tc>
          <w:tcPr>
            <w:tcW w:w="828" w:type="dxa"/>
            <w:vMerge/>
            <w:tcBorders>
              <w:left w:val="single" w:sz="4" w:space="0" w:color="auto"/>
              <w:bottom w:val="single" w:sz="4" w:space="0" w:color="auto"/>
              <w:right w:val="single" w:sz="4" w:space="0" w:color="auto"/>
            </w:tcBorders>
          </w:tcPr>
          <w:p w14:paraId="031F588F" w14:textId="77777777" w:rsidR="00F1237C" w:rsidRPr="00CF6F48" w:rsidRDefault="00F1237C" w:rsidP="00F1237C">
            <w:pPr>
              <w:jc w:val="center"/>
              <w:rPr>
                <w:iCs/>
                <w:sz w:val="20"/>
              </w:rPr>
            </w:pPr>
          </w:p>
        </w:tc>
        <w:tc>
          <w:tcPr>
            <w:tcW w:w="566" w:type="dxa"/>
            <w:vMerge/>
            <w:tcBorders>
              <w:left w:val="single" w:sz="4" w:space="0" w:color="auto"/>
              <w:bottom w:val="single" w:sz="4" w:space="0" w:color="auto"/>
              <w:right w:val="single" w:sz="4" w:space="0" w:color="auto"/>
            </w:tcBorders>
          </w:tcPr>
          <w:p w14:paraId="649519DF" w14:textId="77777777" w:rsidR="00F1237C" w:rsidRPr="00CF6F48" w:rsidRDefault="00F1237C" w:rsidP="00F1237C">
            <w:pPr>
              <w:jc w:val="center"/>
              <w:rPr>
                <w:iCs/>
                <w:sz w:val="20"/>
              </w:rPr>
            </w:pPr>
          </w:p>
        </w:tc>
        <w:tc>
          <w:tcPr>
            <w:tcW w:w="861" w:type="dxa"/>
            <w:tcBorders>
              <w:top w:val="nil"/>
              <w:left w:val="single" w:sz="4" w:space="0" w:color="auto"/>
              <w:bottom w:val="single" w:sz="4" w:space="0" w:color="auto"/>
              <w:right w:val="single" w:sz="4" w:space="0" w:color="auto"/>
            </w:tcBorders>
            <w:shd w:val="clear" w:color="auto" w:fill="auto"/>
            <w:noWrap/>
            <w:vAlign w:val="bottom"/>
          </w:tcPr>
          <w:p w14:paraId="470E7B7F" w14:textId="77777777" w:rsidR="00F1237C" w:rsidRPr="00CF6F48" w:rsidRDefault="00F1237C" w:rsidP="00F1237C">
            <w:pPr>
              <w:jc w:val="center"/>
              <w:rPr>
                <w:iCs/>
                <w:sz w:val="20"/>
              </w:rPr>
            </w:pPr>
            <w:r w:rsidRPr="00CF6F48">
              <w:rPr>
                <w:iCs/>
                <w:sz w:val="20"/>
              </w:rPr>
              <w:t>Girls</w:t>
            </w:r>
          </w:p>
        </w:tc>
        <w:tc>
          <w:tcPr>
            <w:tcW w:w="673" w:type="dxa"/>
            <w:tcBorders>
              <w:top w:val="nil"/>
              <w:left w:val="nil"/>
              <w:bottom w:val="single" w:sz="4" w:space="0" w:color="auto"/>
              <w:right w:val="single" w:sz="4" w:space="0" w:color="auto"/>
            </w:tcBorders>
            <w:shd w:val="clear" w:color="auto" w:fill="auto"/>
            <w:noWrap/>
            <w:vAlign w:val="bottom"/>
          </w:tcPr>
          <w:p w14:paraId="11A48ECE" w14:textId="77777777" w:rsidR="00F1237C" w:rsidRPr="00CF6F48" w:rsidRDefault="00F1237C" w:rsidP="00F1237C">
            <w:pPr>
              <w:jc w:val="center"/>
              <w:rPr>
                <w:iCs/>
                <w:sz w:val="20"/>
              </w:rPr>
            </w:pPr>
            <w:r w:rsidRPr="00CF6F48">
              <w:rPr>
                <w:iCs/>
                <w:sz w:val="20"/>
              </w:rPr>
              <w:t>226</w:t>
            </w:r>
          </w:p>
        </w:tc>
        <w:tc>
          <w:tcPr>
            <w:tcW w:w="705" w:type="dxa"/>
            <w:tcBorders>
              <w:top w:val="nil"/>
              <w:left w:val="nil"/>
              <w:bottom w:val="single" w:sz="4" w:space="0" w:color="auto"/>
              <w:right w:val="single" w:sz="4" w:space="0" w:color="auto"/>
            </w:tcBorders>
            <w:shd w:val="clear" w:color="auto" w:fill="auto"/>
            <w:noWrap/>
            <w:vAlign w:val="bottom"/>
          </w:tcPr>
          <w:p w14:paraId="71073C3D" w14:textId="77777777" w:rsidR="00F1237C" w:rsidRPr="00CF6F48" w:rsidRDefault="00F1237C" w:rsidP="00F1237C">
            <w:pPr>
              <w:jc w:val="center"/>
              <w:rPr>
                <w:iCs/>
                <w:sz w:val="20"/>
              </w:rPr>
            </w:pPr>
            <w:r w:rsidRPr="00CF6F48">
              <w:rPr>
                <w:iCs/>
                <w:sz w:val="20"/>
              </w:rPr>
              <w:t>14.3</w:t>
            </w:r>
          </w:p>
        </w:tc>
        <w:tc>
          <w:tcPr>
            <w:tcW w:w="673" w:type="dxa"/>
            <w:tcBorders>
              <w:top w:val="nil"/>
              <w:left w:val="nil"/>
              <w:bottom w:val="single" w:sz="4" w:space="0" w:color="auto"/>
              <w:right w:val="single" w:sz="8" w:space="0" w:color="auto"/>
            </w:tcBorders>
            <w:shd w:val="clear" w:color="auto" w:fill="auto"/>
            <w:noWrap/>
            <w:vAlign w:val="bottom"/>
          </w:tcPr>
          <w:p w14:paraId="3D9EF456" w14:textId="77777777" w:rsidR="00F1237C" w:rsidRPr="00CF6F48" w:rsidRDefault="00F1237C" w:rsidP="00F1237C">
            <w:pPr>
              <w:jc w:val="center"/>
              <w:rPr>
                <w:iCs/>
                <w:sz w:val="20"/>
              </w:rPr>
            </w:pPr>
            <w:r w:rsidRPr="00CF6F48">
              <w:rPr>
                <w:iCs/>
                <w:sz w:val="20"/>
              </w:rPr>
              <w:t>2.9</w:t>
            </w:r>
          </w:p>
        </w:tc>
      </w:tr>
      <w:tr w:rsidR="00182BA9" w:rsidRPr="00CF6F48" w14:paraId="69ECED4F" w14:textId="77777777" w:rsidTr="00FC3A95">
        <w:trPr>
          <w:trHeight w:val="248"/>
          <w:jc w:val="center"/>
        </w:trPr>
        <w:tc>
          <w:tcPr>
            <w:tcW w:w="696" w:type="dxa"/>
            <w:vMerge w:val="restart"/>
            <w:tcBorders>
              <w:top w:val="single" w:sz="4" w:space="0" w:color="auto"/>
              <w:left w:val="single" w:sz="4" w:space="0" w:color="auto"/>
              <w:right w:val="single" w:sz="4" w:space="0" w:color="auto"/>
            </w:tcBorders>
            <w:vAlign w:val="center"/>
          </w:tcPr>
          <w:p w14:paraId="0A0ADB1A" w14:textId="77777777" w:rsidR="00F1237C" w:rsidRPr="00CF6F48" w:rsidRDefault="00F1237C" w:rsidP="00BC1866">
            <w:pPr>
              <w:jc w:val="center"/>
              <w:rPr>
                <w:b/>
                <w:iCs/>
                <w:sz w:val="20"/>
              </w:rPr>
            </w:pPr>
            <w:r w:rsidRPr="00CF6F48">
              <w:rPr>
                <w:b/>
                <w:iCs/>
                <w:sz w:val="20"/>
              </w:rPr>
              <w:t>INF</w:t>
            </w:r>
          </w:p>
        </w:tc>
        <w:tc>
          <w:tcPr>
            <w:tcW w:w="516" w:type="dxa"/>
            <w:vMerge w:val="restart"/>
            <w:tcBorders>
              <w:top w:val="single" w:sz="4" w:space="0" w:color="auto"/>
              <w:left w:val="nil"/>
              <w:bottom w:val="single" w:sz="4" w:space="0" w:color="auto"/>
              <w:right w:val="single" w:sz="4" w:space="0" w:color="auto"/>
            </w:tcBorders>
          </w:tcPr>
          <w:p w14:paraId="5D843029" w14:textId="77777777" w:rsidR="00F1237C" w:rsidRPr="00CF6F48" w:rsidRDefault="00F1237C" w:rsidP="00BC1866">
            <w:pPr>
              <w:jc w:val="center"/>
              <w:rPr>
                <w:iCs/>
                <w:sz w:val="20"/>
              </w:rPr>
            </w:pPr>
          </w:p>
          <w:p w14:paraId="33388C2E" w14:textId="77777777" w:rsidR="00F1237C" w:rsidRPr="00CF6F48" w:rsidRDefault="00F1237C" w:rsidP="00BC1866">
            <w:pPr>
              <w:jc w:val="center"/>
              <w:rPr>
                <w:iCs/>
                <w:sz w:val="20"/>
              </w:rPr>
            </w:pPr>
            <w:r w:rsidRPr="00CF6F48">
              <w:rPr>
                <w:iCs/>
                <w:sz w:val="20"/>
              </w:rPr>
              <w:t>774</w:t>
            </w:r>
          </w:p>
        </w:tc>
        <w:tc>
          <w:tcPr>
            <w:tcW w:w="828" w:type="dxa"/>
            <w:vMerge w:val="restart"/>
            <w:tcBorders>
              <w:top w:val="single" w:sz="4" w:space="0" w:color="auto"/>
              <w:left w:val="single" w:sz="4" w:space="0" w:color="auto"/>
              <w:bottom w:val="single" w:sz="4" w:space="0" w:color="auto"/>
              <w:right w:val="single" w:sz="4" w:space="0" w:color="auto"/>
            </w:tcBorders>
          </w:tcPr>
          <w:p w14:paraId="1B66A125" w14:textId="77777777" w:rsidR="00F1237C" w:rsidRPr="00CF6F48" w:rsidRDefault="00F1237C" w:rsidP="00BC1866">
            <w:pPr>
              <w:jc w:val="center"/>
              <w:rPr>
                <w:iCs/>
                <w:sz w:val="20"/>
              </w:rPr>
            </w:pPr>
          </w:p>
          <w:p w14:paraId="4B40D983" w14:textId="77777777" w:rsidR="00F1237C" w:rsidRPr="00CF6F48" w:rsidRDefault="00F1237C" w:rsidP="00BC1866">
            <w:pPr>
              <w:jc w:val="center"/>
              <w:rPr>
                <w:iCs/>
                <w:sz w:val="20"/>
              </w:rPr>
            </w:pPr>
            <w:r w:rsidRPr="00CF6F48">
              <w:rPr>
                <w:iCs/>
                <w:sz w:val="20"/>
              </w:rPr>
              <w:t>9.1</w:t>
            </w:r>
          </w:p>
        </w:tc>
        <w:tc>
          <w:tcPr>
            <w:tcW w:w="566" w:type="dxa"/>
            <w:vMerge w:val="restart"/>
            <w:tcBorders>
              <w:top w:val="single" w:sz="4" w:space="0" w:color="auto"/>
              <w:left w:val="single" w:sz="4" w:space="0" w:color="auto"/>
              <w:bottom w:val="single" w:sz="4" w:space="0" w:color="auto"/>
              <w:right w:val="single" w:sz="4" w:space="0" w:color="auto"/>
            </w:tcBorders>
          </w:tcPr>
          <w:p w14:paraId="11E564F6" w14:textId="77777777" w:rsidR="00F1237C" w:rsidRPr="00CF6F48" w:rsidRDefault="00F1237C" w:rsidP="00BC1866">
            <w:pPr>
              <w:jc w:val="center"/>
              <w:rPr>
                <w:iCs/>
                <w:sz w:val="20"/>
              </w:rPr>
            </w:pPr>
          </w:p>
          <w:p w14:paraId="285EFA33" w14:textId="77777777" w:rsidR="00F1237C" w:rsidRPr="00CF6F48" w:rsidRDefault="00F1237C" w:rsidP="00BC1866">
            <w:pPr>
              <w:jc w:val="center"/>
              <w:rPr>
                <w:iCs/>
                <w:sz w:val="20"/>
              </w:rPr>
            </w:pPr>
            <w:r w:rsidRPr="00CF6F48">
              <w:rPr>
                <w:iCs/>
                <w:sz w:val="20"/>
              </w:rPr>
              <w:t>2.7</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13F48" w14:textId="77777777" w:rsidR="00F1237C" w:rsidRPr="00CF6F48" w:rsidRDefault="00F1237C" w:rsidP="00BC1866">
            <w:pPr>
              <w:rPr>
                <w:iCs/>
                <w:sz w:val="20"/>
              </w:rPr>
            </w:pPr>
            <w:r w:rsidRPr="00CF6F48">
              <w:rPr>
                <w:iCs/>
                <w:sz w:val="20"/>
              </w:rPr>
              <w:t>Boys</w:t>
            </w:r>
          </w:p>
        </w:tc>
        <w:tc>
          <w:tcPr>
            <w:tcW w:w="673" w:type="dxa"/>
            <w:tcBorders>
              <w:top w:val="single" w:sz="4" w:space="0" w:color="auto"/>
              <w:left w:val="nil"/>
              <w:bottom w:val="single" w:sz="4" w:space="0" w:color="auto"/>
              <w:right w:val="single" w:sz="4" w:space="0" w:color="auto"/>
            </w:tcBorders>
            <w:shd w:val="clear" w:color="auto" w:fill="auto"/>
            <w:noWrap/>
            <w:vAlign w:val="bottom"/>
          </w:tcPr>
          <w:p w14:paraId="50D5954E" w14:textId="77777777" w:rsidR="00F1237C" w:rsidRPr="00CF6F48" w:rsidRDefault="00F1237C" w:rsidP="00BC1866">
            <w:pPr>
              <w:jc w:val="right"/>
              <w:rPr>
                <w:iCs/>
                <w:sz w:val="20"/>
              </w:rPr>
            </w:pPr>
            <w:r w:rsidRPr="00CF6F48">
              <w:rPr>
                <w:iCs/>
                <w:sz w:val="20"/>
              </w:rPr>
              <w:t>548</w:t>
            </w:r>
          </w:p>
        </w:tc>
        <w:tc>
          <w:tcPr>
            <w:tcW w:w="705" w:type="dxa"/>
            <w:tcBorders>
              <w:top w:val="single" w:sz="4" w:space="0" w:color="auto"/>
              <w:left w:val="nil"/>
              <w:bottom w:val="single" w:sz="4" w:space="0" w:color="auto"/>
              <w:right w:val="single" w:sz="4" w:space="0" w:color="auto"/>
            </w:tcBorders>
            <w:shd w:val="clear" w:color="auto" w:fill="auto"/>
            <w:noWrap/>
            <w:vAlign w:val="bottom"/>
          </w:tcPr>
          <w:p w14:paraId="2CCDBD9C" w14:textId="77777777" w:rsidR="00F1237C" w:rsidRPr="00CF6F48" w:rsidRDefault="00F1237C" w:rsidP="00BC1866">
            <w:pPr>
              <w:jc w:val="right"/>
              <w:rPr>
                <w:iCs/>
                <w:sz w:val="20"/>
              </w:rPr>
            </w:pPr>
            <w:r w:rsidRPr="00CF6F48">
              <w:rPr>
                <w:iCs/>
                <w:sz w:val="20"/>
              </w:rPr>
              <w:t>9.1</w:t>
            </w:r>
          </w:p>
        </w:tc>
        <w:tc>
          <w:tcPr>
            <w:tcW w:w="673" w:type="dxa"/>
            <w:tcBorders>
              <w:top w:val="single" w:sz="4" w:space="0" w:color="auto"/>
              <w:left w:val="nil"/>
              <w:bottom w:val="single" w:sz="4" w:space="0" w:color="auto"/>
              <w:right w:val="single" w:sz="4" w:space="0" w:color="auto"/>
            </w:tcBorders>
            <w:shd w:val="clear" w:color="auto" w:fill="auto"/>
            <w:noWrap/>
            <w:vAlign w:val="bottom"/>
          </w:tcPr>
          <w:p w14:paraId="6BEFCF34" w14:textId="77777777" w:rsidR="00F1237C" w:rsidRPr="00CF6F48" w:rsidRDefault="00F1237C" w:rsidP="00BC1866">
            <w:pPr>
              <w:jc w:val="right"/>
              <w:rPr>
                <w:iCs/>
                <w:sz w:val="20"/>
              </w:rPr>
            </w:pPr>
            <w:r w:rsidRPr="00CF6F48">
              <w:rPr>
                <w:iCs/>
                <w:sz w:val="20"/>
              </w:rPr>
              <w:t>2.7</w:t>
            </w:r>
          </w:p>
        </w:tc>
      </w:tr>
      <w:tr w:rsidR="00182BA9" w:rsidRPr="00CF6F48" w14:paraId="0753757C" w14:textId="77777777" w:rsidTr="00FC3A95">
        <w:trPr>
          <w:trHeight w:val="248"/>
          <w:jc w:val="center"/>
        </w:trPr>
        <w:tc>
          <w:tcPr>
            <w:tcW w:w="696" w:type="dxa"/>
            <w:vMerge/>
            <w:tcBorders>
              <w:left w:val="single" w:sz="4" w:space="0" w:color="auto"/>
              <w:bottom w:val="single" w:sz="4" w:space="0" w:color="auto"/>
              <w:right w:val="single" w:sz="4" w:space="0" w:color="auto"/>
            </w:tcBorders>
            <w:vAlign w:val="center"/>
          </w:tcPr>
          <w:p w14:paraId="4158CD6F" w14:textId="77777777" w:rsidR="00F1237C" w:rsidRPr="00CF6F48" w:rsidRDefault="00F1237C" w:rsidP="00F1237C">
            <w:pPr>
              <w:jc w:val="center"/>
              <w:rPr>
                <w:iCs/>
                <w:sz w:val="20"/>
              </w:rPr>
            </w:pPr>
          </w:p>
        </w:tc>
        <w:tc>
          <w:tcPr>
            <w:tcW w:w="516" w:type="dxa"/>
            <w:vMerge/>
            <w:tcBorders>
              <w:left w:val="nil"/>
              <w:bottom w:val="single" w:sz="4" w:space="0" w:color="auto"/>
              <w:right w:val="single" w:sz="4" w:space="0" w:color="auto"/>
            </w:tcBorders>
          </w:tcPr>
          <w:p w14:paraId="06CDFE15" w14:textId="77777777" w:rsidR="00F1237C" w:rsidRPr="00CF6F48" w:rsidRDefault="00F1237C" w:rsidP="00F1237C">
            <w:pPr>
              <w:jc w:val="center"/>
              <w:rPr>
                <w:iCs/>
                <w:sz w:val="20"/>
              </w:rPr>
            </w:pPr>
          </w:p>
        </w:tc>
        <w:tc>
          <w:tcPr>
            <w:tcW w:w="828" w:type="dxa"/>
            <w:vMerge/>
            <w:tcBorders>
              <w:left w:val="single" w:sz="4" w:space="0" w:color="auto"/>
              <w:bottom w:val="single" w:sz="4" w:space="0" w:color="auto"/>
              <w:right w:val="single" w:sz="4" w:space="0" w:color="auto"/>
            </w:tcBorders>
          </w:tcPr>
          <w:p w14:paraId="27992E8B" w14:textId="77777777" w:rsidR="00F1237C" w:rsidRPr="00CF6F48" w:rsidRDefault="00F1237C" w:rsidP="00F1237C">
            <w:pPr>
              <w:jc w:val="center"/>
              <w:rPr>
                <w:iCs/>
                <w:sz w:val="20"/>
              </w:rPr>
            </w:pPr>
          </w:p>
        </w:tc>
        <w:tc>
          <w:tcPr>
            <w:tcW w:w="566" w:type="dxa"/>
            <w:vMerge/>
            <w:tcBorders>
              <w:left w:val="single" w:sz="4" w:space="0" w:color="auto"/>
              <w:bottom w:val="single" w:sz="4" w:space="0" w:color="auto"/>
              <w:right w:val="single" w:sz="4" w:space="0" w:color="auto"/>
            </w:tcBorders>
          </w:tcPr>
          <w:p w14:paraId="3A9B45D7" w14:textId="77777777" w:rsidR="00F1237C" w:rsidRPr="00CF6F48" w:rsidRDefault="00F1237C" w:rsidP="00F1237C">
            <w:pPr>
              <w:jc w:val="center"/>
              <w:rPr>
                <w:iCs/>
                <w:sz w:val="20"/>
              </w:rPr>
            </w:pP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31D8C" w14:textId="77777777" w:rsidR="00F1237C" w:rsidRPr="00CF6F48" w:rsidRDefault="00F1237C" w:rsidP="00F1237C">
            <w:pPr>
              <w:jc w:val="center"/>
              <w:rPr>
                <w:iCs/>
                <w:sz w:val="20"/>
              </w:rPr>
            </w:pPr>
            <w:r w:rsidRPr="00CF6F48">
              <w:rPr>
                <w:iCs/>
                <w:sz w:val="20"/>
              </w:rPr>
              <w:t>Girls</w:t>
            </w:r>
          </w:p>
        </w:tc>
        <w:tc>
          <w:tcPr>
            <w:tcW w:w="673" w:type="dxa"/>
            <w:tcBorders>
              <w:top w:val="single" w:sz="4" w:space="0" w:color="auto"/>
              <w:left w:val="nil"/>
              <w:bottom w:val="single" w:sz="4" w:space="0" w:color="auto"/>
              <w:right w:val="single" w:sz="4" w:space="0" w:color="auto"/>
            </w:tcBorders>
            <w:shd w:val="clear" w:color="auto" w:fill="auto"/>
            <w:noWrap/>
            <w:vAlign w:val="bottom"/>
          </w:tcPr>
          <w:p w14:paraId="4B2178E6" w14:textId="77777777" w:rsidR="00F1237C" w:rsidRPr="00CF6F48" w:rsidRDefault="00F1237C" w:rsidP="00F1237C">
            <w:pPr>
              <w:jc w:val="center"/>
              <w:rPr>
                <w:iCs/>
                <w:sz w:val="20"/>
              </w:rPr>
            </w:pPr>
            <w:r w:rsidRPr="00CF6F48">
              <w:rPr>
                <w:iCs/>
                <w:sz w:val="20"/>
              </w:rPr>
              <w:t>226</w:t>
            </w:r>
          </w:p>
        </w:tc>
        <w:tc>
          <w:tcPr>
            <w:tcW w:w="705" w:type="dxa"/>
            <w:tcBorders>
              <w:top w:val="single" w:sz="4" w:space="0" w:color="auto"/>
              <w:left w:val="nil"/>
              <w:bottom w:val="single" w:sz="4" w:space="0" w:color="auto"/>
              <w:right w:val="single" w:sz="4" w:space="0" w:color="auto"/>
            </w:tcBorders>
            <w:shd w:val="clear" w:color="auto" w:fill="auto"/>
            <w:noWrap/>
            <w:vAlign w:val="bottom"/>
          </w:tcPr>
          <w:p w14:paraId="5E27DEE7" w14:textId="77777777" w:rsidR="00F1237C" w:rsidRPr="00CF6F48" w:rsidRDefault="00F1237C" w:rsidP="00F1237C">
            <w:pPr>
              <w:jc w:val="center"/>
              <w:rPr>
                <w:iCs/>
                <w:sz w:val="20"/>
              </w:rPr>
            </w:pPr>
            <w:r w:rsidRPr="00CF6F48">
              <w:rPr>
                <w:iCs/>
                <w:sz w:val="20"/>
              </w:rPr>
              <w:t>9.3</w:t>
            </w:r>
          </w:p>
        </w:tc>
        <w:tc>
          <w:tcPr>
            <w:tcW w:w="673" w:type="dxa"/>
            <w:tcBorders>
              <w:top w:val="single" w:sz="4" w:space="0" w:color="auto"/>
              <w:left w:val="nil"/>
              <w:bottom w:val="single" w:sz="4" w:space="0" w:color="auto"/>
              <w:right w:val="single" w:sz="4" w:space="0" w:color="auto"/>
            </w:tcBorders>
            <w:shd w:val="clear" w:color="auto" w:fill="auto"/>
            <w:noWrap/>
            <w:vAlign w:val="bottom"/>
          </w:tcPr>
          <w:p w14:paraId="3A9F2B78" w14:textId="77777777" w:rsidR="00F1237C" w:rsidRPr="00CF6F48" w:rsidRDefault="00F1237C" w:rsidP="00F1237C">
            <w:pPr>
              <w:jc w:val="center"/>
              <w:rPr>
                <w:iCs/>
                <w:sz w:val="20"/>
              </w:rPr>
            </w:pPr>
            <w:r w:rsidRPr="00CF6F48">
              <w:rPr>
                <w:iCs/>
                <w:sz w:val="20"/>
              </w:rPr>
              <w:t>2.5</w:t>
            </w:r>
          </w:p>
        </w:tc>
      </w:tr>
    </w:tbl>
    <w:p w14:paraId="27CED630" w14:textId="77777777" w:rsidR="00F1237C" w:rsidRPr="00CF6F48" w:rsidRDefault="00F1237C" w:rsidP="00F1237C">
      <w:pPr>
        <w:spacing w:after="80" w:line="240" w:lineRule="exact"/>
        <w:rPr>
          <w:iCs/>
          <w:sz w:val="20"/>
        </w:rPr>
      </w:pPr>
    </w:p>
    <w:p w14:paraId="44FBB57F" w14:textId="77777777" w:rsidR="00F1237C" w:rsidRPr="00CF6F48" w:rsidRDefault="00F1237C" w:rsidP="00F1237C">
      <w:pPr>
        <w:spacing w:after="80" w:line="240" w:lineRule="exact"/>
        <w:rPr>
          <w:iCs/>
          <w:sz w:val="20"/>
        </w:rPr>
      </w:pPr>
      <w:r w:rsidRPr="00CF6F48">
        <w:rPr>
          <w:iCs/>
          <w:sz w:val="20"/>
        </w:rPr>
        <w:t xml:space="preserve">Boys (M=14.8, SD=5.5) did not significantly outperform girls (M=14.8, SD=4.3), in computational thinking performance test </w:t>
      </w:r>
      <w:proofErr w:type="gramStart"/>
      <w:r w:rsidRPr="00CF6F48">
        <w:rPr>
          <w:iCs/>
          <w:sz w:val="20"/>
        </w:rPr>
        <w:t>t(</w:t>
      </w:r>
      <w:proofErr w:type="gramEnd"/>
      <w:r w:rsidRPr="00CF6F48">
        <w:rPr>
          <w:iCs/>
          <w:sz w:val="20"/>
        </w:rPr>
        <w:t xml:space="preserve">526)=-0.2, </w:t>
      </w:r>
      <w:r w:rsidRPr="00CF6F48">
        <w:rPr>
          <w:i/>
          <w:iCs/>
          <w:sz w:val="20"/>
        </w:rPr>
        <w:t>p</w:t>
      </w:r>
      <w:r w:rsidRPr="00CF6F48">
        <w:rPr>
          <w:iCs/>
          <w:sz w:val="20"/>
        </w:rPr>
        <w:t>=.851.</w:t>
      </w:r>
    </w:p>
    <w:p w14:paraId="076E9C9C" w14:textId="77777777" w:rsidR="00F1237C" w:rsidRPr="00CF6F48" w:rsidRDefault="00F1237C" w:rsidP="00F1237C">
      <w:pPr>
        <w:spacing w:after="80" w:line="240" w:lineRule="exact"/>
        <w:rPr>
          <w:iCs/>
          <w:sz w:val="20"/>
        </w:rPr>
      </w:pPr>
      <w:r w:rsidRPr="00CF6F48">
        <w:rPr>
          <w:iCs/>
          <w:sz w:val="20"/>
        </w:rPr>
        <w:t xml:space="preserve">Boys (M=74.5, SD=12.7) did not significantly differ from girls (M=73.7, SD=11.5), in the computational thinking scale questionnaire </w:t>
      </w:r>
      <w:proofErr w:type="gramStart"/>
      <w:r w:rsidRPr="00CF6F48">
        <w:rPr>
          <w:iCs/>
          <w:sz w:val="20"/>
        </w:rPr>
        <w:t>t(</w:t>
      </w:r>
      <w:proofErr w:type="gramEnd"/>
      <w:r w:rsidRPr="00CF6F48">
        <w:rPr>
          <w:iCs/>
          <w:sz w:val="20"/>
        </w:rPr>
        <w:t xml:space="preserve">773)=0.8, </w:t>
      </w:r>
      <w:r w:rsidRPr="00CF6F48">
        <w:rPr>
          <w:i/>
          <w:iCs/>
          <w:sz w:val="20"/>
        </w:rPr>
        <w:t>p</w:t>
      </w:r>
      <w:r w:rsidRPr="00CF6F48">
        <w:rPr>
          <w:iCs/>
          <w:sz w:val="20"/>
        </w:rPr>
        <w:t>=.853.</w:t>
      </w:r>
    </w:p>
    <w:p w14:paraId="1EB962B1" w14:textId="1BFF82FD" w:rsidR="006B1C4A" w:rsidRPr="00CF6F48" w:rsidRDefault="008C1596" w:rsidP="006B1C4A">
      <w:pPr>
        <w:spacing w:after="80" w:line="240" w:lineRule="exact"/>
        <w:outlineLvl w:val="0"/>
        <w:rPr>
          <w:i/>
          <w:iCs/>
          <w:sz w:val="20"/>
        </w:rPr>
      </w:pPr>
      <w:r w:rsidRPr="00CF6F48">
        <w:rPr>
          <w:i/>
          <w:iCs/>
          <w:sz w:val="20"/>
        </w:rPr>
        <w:t>4</w:t>
      </w:r>
      <w:r w:rsidR="006B1C4A" w:rsidRPr="00CF6F48">
        <w:rPr>
          <w:i/>
          <w:iCs/>
          <w:sz w:val="20"/>
        </w:rPr>
        <w:t>.2</w:t>
      </w:r>
      <w:r w:rsidR="006B1C4A" w:rsidRPr="00CF6F48">
        <w:rPr>
          <w:i/>
        </w:rPr>
        <w:t xml:space="preserve"> </w:t>
      </w:r>
      <w:r w:rsidR="006B1C4A" w:rsidRPr="00CF6F48">
        <w:rPr>
          <w:i/>
          <w:iCs/>
          <w:sz w:val="20"/>
        </w:rPr>
        <w:t>Computational Thinking Performance</w:t>
      </w:r>
    </w:p>
    <w:p w14:paraId="48B3B703" w14:textId="5C8C9F4E" w:rsidR="00C069FA" w:rsidRPr="00CF6F48" w:rsidRDefault="00C867EB" w:rsidP="00D803DE">
      <w:pPr>
        <w:spacing w:after="80" w:line="240" w:lineRule="exact"/>
        <w:rPr>
          <w:iCs/>
          <w:sz w:val="20"/>
        </w:rPr>
      </w:pPr>
      <w:r w:rsidRPr="00CF6F48">
        <w:rPr>
          <w:iCs/>
          <w:sz w:val="20"/>
        </w:rPr>
        <w:t xml:space="preserve">The </w:t>
      </w:r>
      <w:r w:rsidR="00A216DA" w:rsidRPr="00CF6F48">
        <w:rPr>
          <w:iCs/>
          <w:sz w:val="20"/>
        </w:rPr>
        <w:t>multiple-choice</w:t>
      </w:r>
      <w:r w:rsidRPr="00CF6F48">
        <w:rPr>
          <w:iCs/>
          <w:sz w:val="20"/>
        </w:rPr>
        <w:t xml:space="preserve"> questions </w:t>
      </w:r>
      <w:r w:rsidR="004C7FAD" w:rsidRPr="00CF6F48">
        <w:rPr>
          <w:iCs/>
          <w:sz w:val="20"/>
        </w:rPr>
        <w:t>are</w:t>
      </w:r>
      <w:r w:rsidRPr="00CF6F48">
        <w:rPr>
          <w:iCs/>
          <w:sz w:val="20"/>
        </w:rPr>
        <w:t xml:space="preserve"> teste</w:t>
      </w:r>
      <w:r w:rsidR="00C774D2" w:rsidRPr="00CF6F48">
        <w:rPr>
          <w:iCs/>
          <w:sz w:val="20"/>
        </w:rPr>
        <w:t xml:space="preserve">d for item difficulty and </w:t>
      </w:r>
      <w:r w:rsidR="00A355EE" w:rsidRPr="00CF6F48">
        <w:rPr>
          <w:iCs/>
          <w:sz w:val="20"/>
        </w:rPr>
        <w:t>discrimination</w:t>
      </w:r>
      <w:r w:rsidR="00D803DE" w:rsidRPr="00CF6F48">
        <w:rPr>
          <w:iCs/>
          <w:sz w:val="20"/>
        </w:rPr>
        <w:t xml:space="preserve"> using </w:t>
      </w:r>
      <w:r w:rsidR="00A063C6" w:rsidRPr="00CF6F48">
        <w:rPr>
          <w:iCs/>
          <w:sz w:val="20"/>
        </w:rPr>
        <w:t xml:space="preserve">a 2-parameter </w:t>
      </w:r>
      <w:r w:rsidR="004523A6" w:rsidRPr="00CF6F48">
        <w:rPr>
          <w:iCs/>
          <w:sz w:val="20"/>
        </w:rPr>
        <w:t>IRT</w:t>
      </w:r>
      <w:r w:rsidR="00A063C6" w:rsidRPr="00CF6F48">
        <w:rPr>
          <w:iCs/>
          <w:sz w:val="20"/>
        </w:rPr>
        <w:t xml:space="preserve"> model</w:t>
      </w:r>
      <w:r w:rsidRPr="00CF6F48">
        <w:rPr>
          <w:iCs/>
          <w:sz w:val="20"/>
        </w:rPr>
        <w:t xml:space="preserve">. </w:t>
      </w:r>
      <w:r w:rsidR="00D803DE" w:rsidRPr="00CF6F48">
        <w:rPr>
          <w:iCs/>
          <w:sz w:val="20"/>
        </w:rPr>
        <w:t>All item characteristic curves for item</w:t>
      </w:r>
      <w:r w:rsidR="00CB6FD4" w:rsidRPr="00CF6F48">
        <w:rPr>
          <w:iCs/>
          <w:sz w:val="20"/>
        </w:rPr>
        <w:t xml:space="preserve">s fit well. The difficulty coefficients </w:t>
      </w:r>
      <w:r w:rsidR="00084BC4" w:rsidRPr="00CF6F48">
        <w:rPr>
          <w:iCs/>
          <w:sz w:val="20"/>
        </w:rPr>
        <w:t xml:space="preserve">of items </w:t>
      </w:r>
      <w:r w:rsidR="00CB6FD4" w:rsidRPr="00CF6F48">
        <w:rPr>
          <w:iCs/>
          <w:sz w:val="20"/>
        </w:rPr>
        <w:t xml:space="preserve">are </w:t>
      </w:r>
      <w:r w:rsidR="004C7FAD" w:rsidRPr="00CF6F48">
        <w:rPr>
          <w:iCs/>
          <w:sz w:val="20"/>
        </w:rPr>
        <w:t>b</w:t>
      </w:r>
      <w:r w:rsidR="00084BC4" w:rsidRPr="00CF6F48">
        <w:rPr>
          <w:iCs/>
          <w:sz w:val="20"/>
        </w:rPr>
        <w:t>etween the range of -0.7 and 1.3</w:t>
      </w:r>
      <w:r w:rsidR="004C7FAD" w:rsidRPr="00CF6F48">
        <w:rPr>
          <w:iCs/>
          <w:sz w:val="20"/>
        </w:rPr>
        <w:t>. T</w:t>
      </w:r>
      <w:r w:rsidR="00084BC4" w:rsidRPr="00CF6F48">
        <w:rPr>
          <w:iCs/>
          <w:sz w:val="20"/>
        </w:rPr>
        <w:t>hree</w:t>
      </w:r>
      <w:r w:rsidR="004C7FAD" w:rsidRPr="00CF6F48">
        <w:rPr>
          <w:iCs/>
          <w:sz w:val="20"/>
        </w:rPr>
        <w:t xml:space="preserve"> outliner </w:t>
      </w:r>
      <w:r w:rsidR="00CB6FD4" w:rsidRPr="00CF6F48">
        <w:rPr>
          <w:iCs/>
          <w:sz w:val="20"/>
        </w:rPr>
        <w:t>item</w:t>
      </w:r>
      <w:r w:rsidR="004C7FAD" w:rsidRPr="00CF6F48">
        <w:rPr>
          <w:iCs/>
          <w:sz w:val="20"/>
        </w:rPr>
        <w:t>s</w:t>
      </w:r>
      <w:r w:rsidR="00CB6FD4" w:rsidRPr="00CF6F48">
        <w:rPr>
          <w:iCs/>
          <w:sz w:val="20"/>
        </w:rPr>
        <w:t xml:space="preserve"> </w:t>
      </w:r>
      <w:r w:rsidR="004C7FAD" w:rsidRPr="00CF6F48">
        <w:rPr>
          <w:iCs/>
          <w:sz w:val="20"/>
        </w:rPr>
        <w:t>are item #1</w:t>
      </w:r>
      <w:r w:rsidR="00084BC4" w:rsidRPr="00CF6F48">
        <w:rPr>
          <w:iCs/>
          <w:sz w:val="20"/>
        </w:rPr>
        <w:t xml:space="preserve"> and item #6</w:t>
      </w:r>
      <w:r w:rsidR="004C7FAD" w:rsidRPr="00CF6F48">
        <w:rPr>
          <w:iCs/>
          <w:sz w:val="20"/>
        </w:rPr>
        <w:t xml:space="preserve"> in A</w:t>
      </w:r>
      <w:r w:rsidR="00D803DE" w:rsidRPr="00CF6F48">
        <w:rPr>
          <w:iCs/>
          <w:sz w:val="20"/>
        </w:rPr>
        <w:t>bstraction quiz</w:t>
      </w:r>
      <w:r w:rsidR="004C7FAD" w:rsidRPr="00CF6F48">
        <w:rPr>
          <w:iCs/>
          <w:sz w:val="20"/>
        </w:rPr>
        <w:t xml:space="preserve"> and item #7 in Pattern figures quiz with the difficulty coefficients of 3</w:t>
      </w:r>
      <w:r w:rsidR="00084BC4" w:rsidRPr="00CF6F48">
        <w:rPr>
          <w:iCs/>
          <w:sz w:val="20"/>
        </w:rPr>
        <w:t>.0, 1.8</w:t>
      </w:r>
      <w:r w:rsidR="004C7FAD" w:rsidRPr="00CF6F48">
        <w:rPr>
          <w:iCs/>
          <w:sz w:val="20"/>
        </w:rPr>
        <w:t xml:space="preserve"> and 2</w:t>
      </w:r>
      <w:r w:rsidR="00084BC4" w:rsidRPr="00CF6F48">
        <w:rPr>
          <w:iCs/>
          <w:sz w:val="20"/>
        </w:rPr>
        <w:t>.0</w:t>
      </w:r>
      <w:r w:rsidR="004C7FAD" w:rsidRPr="00CF6F48">
        <w:rPr>
          <w:iCs/>
          <w:sz w:val="20"/>
        </w:rPr>
        <w:t xml:space="preserve"> respectively</w:t>
      </w:r>
      <w:r w:rsidR="00CB6FD4" w:rsidRPr="00CF6F48">
        <w:rPr>
          <w:iCs/>
          <w:sz w:val="20"/>
        </w:rPr>
        <w:t>. T</w:t>
      </w:r>
      <w:r w:rsidR="00D803DE" w:rsidRPr="00CF6F48">
        <w:rPr>
          <w:iCs/>
          <w:sz w:val="20"/>
        </w:rPr>
        <w:t>he discrimination coef</w:t>
      </w:r>
      <w:r w:rsidR="000D6E17" w:rsidRPr="00CF6F48">
        <w:rPr>
          <w:iCs/>
          <w:sz w:val="20"/>
        </w:rPr>
        <w:t>f</w:t>
      </w:r>
      <w:r w:rsidR="00D803DE" w:rsidRPr="00CF6F48">
        <w:rPr>
          <w:iCs/>
          <w:sz w:val="20"/>
        </w:rPr>
        <w:t>icient</w:t>
      </w:r>
      <w:r w:rsidR="00A063C6" w:rsidRPr="00CF6F48">
        <w:rPr>
          <w:iCs/>
          <w:sz w:val="20"/>
        </w:rPr>
        <w:t>s</w:t>
      </w:r>
      <w:r w:rsidR="00D803DE" w:rsidRPr="00CF6F48">
        <w:rPr>
          <w:iCs/>
          <w:sz w:val="20"/>
        </w:rPr>
        <w:t xml:space="preserve"> </w:t>
      </w:r>
      <w:r w:rsidR="00A063C6" w:rsidRPr="00CF6F48">
        <w:rPr>
          <w:iCs/>
          <w:sz w:val="20"/>
        </w:rPr>
        <w:t>are</w:t>
      </w:r>
      <w:r w:rsidR="00D803DE" w:rsidRPr="00CF6F48">
        <w:rPr>
          <w:iCs/>
          <w:sz w:val="20"/>
        </w:rPr>
        <w:t xml:space="preserve"> close to 1 </w:t>
      </w:r>
      <w:r w:rsidR="00C069FA" w:rsidRPr="00CF6F48">
        <w:rPr>
          <w:iCs/>
          <w:sz w:val="20"/>
        </w:rPr>
        <w:t>for each</w:t>
      </w:r>
      <w:r w:rsidR="00D803DE" w:rsidRPr="00CF6F48">
        <w:rPr>
          <w:iCs/>
          <w:sz w:val="20"/>
        </w:rPr>
        <w:t xml:space="preserve"> </w:t>
      </w:r>
      <w:r w:rsidR="00C069FA" w:rsidRPr="00CF6F48">
        <w:rPr>
          <w:iCs/>
          <w:sz w:val="20"/>
        </w:rPr>
        <w:t>item</w:t>
      </w:r>
      <w:r w:rsidR="00A063C6" w:rsidRPr="00CF6F48">
        <w:rPr>
          <w:iCs/>
          <w:sz w:val="20"/>
        </w:rPr>
        <w:t xml:space="preserve"> in all quizzes</w:t>
      </w:r>
      <w:r w:rsidR="00D803DE" w:rsidRPr="00CF6F48">
        <w:rPr>
          <w:iCs/>
          <w:sz w:val="20"/>
        </w:rPr>
        <w:t xml:space="preserve">. The test information </w:t>
      </w:r>
      <w:r w:rsidR="00084BC4" w:rsidRPr="00CF6F48">
        <w:rPr>
          <w:iCs/>
          <w:sz w:val="20"/>
        </w:rPr>
        <w:t xml:space="preserve">for each quiz </w:t>
      </w:r>
      <w:proofErr w:type="gramStart"/>
      <w:r w:rsidR="00D803DE" w:rsidRPr="00CF6F48">
        <w:rPr>
          <w:iCs/>
          <w:sz w:val="20"/>
        </w:rPr>
        <w:t>shows</w:t>
      </w:r>
      <w:proofErr w:type="gramEnd"/>
      <w:r w:rsidR="00D803DE" w:rsidRPr="00CF6F48">
        <w:rPr>
          <w:iCs/>
          <w:sz w:val="20"/>
        </w:rPr>
        <w:t xml:space="preserve"> that the average ability</w:t>
      </w:r>
      <w:r w:rsidR="004C7FAD" w:rsidRPr="00CF6F48">
        <w:rPr>
          <w:iCs/>
          <w:sz w:val="20"/>
        </w:rPr>
        <w:t xml:space="preserve"> </w:t>
      </w:r>
      <w:r w:rsidR="00D803DE" w:rsidRPr="00CF6F48">
        <w:rPr>
          <w:iCs/>
          <w:sz w:val="20"/>
        </w:rPr>
        <w:t>is tested the best. The item characteristic curves</w:t>
      </w:r>
      <w:r w:rsidR="00C069FA" w:rsidRPr="00CF6F48">
        <w:rPr>
          <w:iCs/>
          <w:sz w:val="20"/>
        </w:rPr>
        <w:t xml:space="preserve"> for each quiz</w:t>
      </w:r>
      <w:r w:rsidR="00D803DE" w:rsidRPr="00CF6F48">
        <w:rPr>
          <w:iCs/>
          <w:sz w:val="20"/>
        </w:rPr>
        <w:t xml:space="preserve"> can be found in appendix F-</w:t>
      </w:r>
      <w:r w:rsidR="002072E1" w:rsidRPr="00CF6F48">
        <w:rPr>
          <w:iCs/>
          <w:sz w:val="20"/>
        </w:rPr>
        <w:t>J</w:t>
      </w:r>
      <w:r w:rsidR="00D803DE" w:rsidRPr="00CF6F48">
        <w:rPr>
          <w:iCs/>
          <w:sz w:val="20"/>
        </w:rPr>
        <w:t>.</w:t>
      </w:r>
      <w:r w:rsidR="00D97ACB" w:rsidRPr="00CF6F48">
        <w:rPr>
          <w:iCs/>
          <w:sz w:val="20"/>
        </w:rPr>
        <w:t xml:space="preserve"> </w:t>
      </w:r>
      <w:r w:rsidR="007D5914" w:rsidRPr="00CF6F48">
        <w:rPr>
          <w:iCs/>
          <w:sz w:val="20"/>
        </w:rPr>
        <w:t xml:space="preserve">The Cronbach </w:t>
      </w:r>
      <w:r w:rsidR="004C7FAD" w:rsidRPr="00CF6F48">
        <w:rPr>
          <w:iCs/>
          <w:sz w:val="20"/>
        </w:rPr>
        <w:t xml:space="preserve">Alpha </w:t>
      </w:r>
      <w:r w:rsidR="006D4374" w:rsidRPr="00CF6F48">
        <w:rPr>
          <w:iCs/>
          <w:sz w:val="20"/>
        </w:rPr>
        <w:fldChar w:fldCharType="begin" w:fldLock="1"/>
      </w:r>
      <w:r w:rsidR="006D4374" w:rsidRPr="00CF6F48">
        <w:rPr>
          <w:iCs/>
          <w:sz w:val="20"/>
        </w:rPr>
        <w:instrText>ADDIN CSL_CITATION { "citationItems" : [ { "id" : "ITEM-1", "itemData" : { "ISBN" : "9781847879066", "author" : [ { "dropping-particle" : "", "family" : "Field", "given" : "Andy", "non-dropping-particle" : "", "parse-names" : false, "suffix" : "" } ], "container-title" : "SAGE Publications Ltd", "edition" : "3", "id" : "ITEM-1", "issued" : { "date-parts" : [ [ "2013" ] ] }, "publisher-place" : "London", "title" : "Discovering Statistics Using IBM SPSS Statistics", "type" : "book" }, "uris" : [ "http://www.mendeley.com/documents/?uuid=4976441d-bc42-442e-b40c-5a7956f3e896" ] } ], "mendeley" : { "formattedCitation" : "(Field, 2013)", "plainTextFormattedCitation" : "(Field, 2013)", "previouslyFormattedCitation" : "(Field, 2013)" }, "properties" : { "noteIndex" : 0 }, "schema" : "https://github.com/citation-style-language/schema/raw/master/csl-citation.json" }</w:instrText>
      </w:r>
      <w:r w:rsidR="006D4374" w:rsidRPr="00CF6F48">
        <w:rPr>
          <w:iCs/>
          <w:sz w:val="20"/>
        </w:rPr>
        <w:fldChar w:fldCharType="separate"/>
      </w:r>
      <w:r w:rsidR="006D4374" w:rsidRPr="00CF6F48">
        <w:rPr>
          <w:iCs/>
          <w:noProof/>
          <w:sz w:val="20"/>
        </w:rPr>
        <w:t>(Field, 2013)</w:t>
      </w:r>
      <w:r w:rsidR="006D4374" w:rsidRPr="00CF6F48">
        <w:rPr>
          <w:iCs/>
          <w:sz w:val="20"/>
        </w:rPr>
        <w:fldChar w:fldCharType="end"/>
      </w:r>
      <w:r w:rsidR="004C7FAD" w:rsidRPr="00CF6F48">
        <w:rPr>
          <w:iCs/>
          <w:sz w:val="20"/>
        </w:rPr>
        <w:t>coeffici</w:t>
      </w:r>
      <w:r w:rsidR="007D5914" w:rsidRPr="00CF6F48">
        <w:rPr>
          <w:iCs/>
          <w:sz w:val="20"/>
        </w:rPr>
        <w:t>e</w:t>
      </w:r>
      <w:r w:rsidR="004C7FAD" w:rsidRPr="00CF6F48">
        <w:rPr>
          <w:iCs/>
          <w:sz w:val="20"/>
        </w:rPr>
        <w:t>n</w:t>
      </w:r>
      <w:r w:rsidR="007D5914" w:rsidRPr="00CF6F48">
        <w:rPr>
          <w:iCs/>
          <w:sz w:val="20"/>
        </w:rPr>
        <w:t xml:space="preserve">t </w:t>
      </w:r>
      <w:r w:rsidR="004C7FAD" w:rsidRPr="00CF6F48">
        <w:rPr>
          <w:iCs/>
          <w:sz w:val="20"/>
        </w:rPr>
        <w:t>for all 50 items is</w:t>
      </w:r>
      <w:r w:rsidR="007D5914" w:rsidRPr="00CF6F48">
        <w:rPr>
          <w:iCs/>
          <w:sz w:val="20"/>
        </w:rPr>
        <w:t xml:space="preserve"> </w:t>
      </w:r>
      <w:r w:rsidR="004C7FAD" w:rsidRPr="00CF6F48">
        <w:rPr>
          <w:iCs/>
          <w:sz w:val="20"/>
        </w:rPr>
        <w:t>0.87.</w:t>
      </w:r>
      <w:r w:rsidR="00A94DAE" w:rsidRPr="00CF6F48">
        <w:rPr>
          <w:iCs/>
          <w:sz w:val="20"/>
        </w:rPr>
        <w:t xml:space="preserve"> Therefore, it can be concluded that the test is valid and reliable tool to measure computational thinking performance.</w:t>
      </w:r>
    </w:p>
    <w:p w14:paraId="397ACD7C" w14:textId="1E4F6387" w:rsidR="00994F45" w:rsidRPr="00CF6F48" w:rsidRDefault="008C1596" w:rsidP="00B94108">
      <w:pPr>
        <w:spacing w:after="80" w:line="240" w:lineRule="exact"/>
        <w:outlineLvl w:val="0"/>
        <w:rPr>
          <w:i/>
          <w:iCs/>
          <w:sz w:val="20"/>
        </w:rPr>
      </w:pPr>
      <w:r w:rsidRPr="00CF6F48">
        <w:rPr>
          <w:i/>
          <w:iCs/>
          <w:sz w:val="20"/>
        </w:rPr>
        <w:t>4</w:t>
      </w:r>
      <w:r w:rsidR="00D7023A" w:rsidRPr="00CF6F48">
        <w:rPr>
          <w:i/>
          <w:iCs/>
          <w:sz w:val="20"/>
        </w:rPr>
        <w:t>.</w:t>
      </w:r>
      <w:r w:rsidR="006B1C4A" w:rsidRPr="00CF6F48">
        <w:rPr>
          <w:i/>
          <w:iCs/>
          <w:sz w:val="20"/>
        </w:rPr>
        <w:t>3</w:t>
      </w:r>
      <w:r w:rsidR="00994F45" w:rsidRPr="00CF6F48">
        <w:rPr>
          <w:i/>
        </w:rPr>
        <w:t xml:space="preserve"> </w:t>
      </w:r>
      <w:r w:rsidR="00F1237C" w:rsidRPr="00CF6F48">
        <w:rPr>
          <w:i/>
          <w:iCs/>
          <w:sz w:val="20"/>
        </w:rPr>
        <w:t>Computational Thinking Scale</w:t>
      </w:r>
    </w:p>
    <w:p w14:paraId="3729EC75" w14:textId="6ADF55CA" w:rsidR="00F1237C" w:rsidRPr="00CF6F48" w:rsidRDefault="00F1237C" w:rsidP="00F1237C">
      <w:pPr>
        <w:spacing w:after="80" w:line="240" w:lineRule="exact"/>
        <w:rPr>
          <w:iCs/>
          <w:sz w:val="20"/>
        </w:rPr>
      </w:pPr>
      <w:r w:rsidRPr="00CF6F48">
        <w:rPr>
          <w:iCs/>
          <w:sz w:val="20"/>
        </w:rPr>
        <w:t>The adapted version of Computational Thinking Scale (CTS) instrument was tested for validity and reliability with 241 7</w:t>
      </w:r>
      <w:r w:rsidRPr="00CF6F48">
        <w:rPr>
          <w:iCs/>
          <w:sz w:val="20"/>
          <w:vertAlign w:val="superscript"/>
        </w:rPr>
        <w:t>th</w:t>
      </w:r>
      <w:r w:rsidRPr="00CF6F48">
        <w:rPr>
          <w:iCs/>
          <w:sz w:val="20"/>
        </w:rPr>
        <w:t xml:space="preserve"> and 8</w:t>
      </w:r>
      <w:r w:rsidRPr="00CF6F48">
        <w:rPr>
          <w:iCs/>
          <w:sz w:val="20"/>
          <w:vertAlign w:val="superscript"/>
        </w:rPr>
        <w:t>th</w:t>
      </w:r>
      <w:r w:rsidRPr="00CF6F48">
        <w:rPr>
          <w:iCs/>
          <w:sz w:val="20"/>
        </w:rPr>
        <w:t xml:space="preserve"> grade school students in Turkey </w:t>
      </w:r>
      <w:r w:rsidRPr="00CF6F48">
        <w:rPr>
          <w:iCs/>
          <w:sz w:val="20"/>
        </w:rPr>
        <w:fldChar w:fldCharType="begin" w:fldLock="1"/>
      </w:r>
      <w:r w:rsidRPr="00CF6F48">
        <w:rPr>
          <w:iCs/>
          <w:sz w:val="20"/>
        </w:rPr>
        <w:instrText>ADDIN CSL_CITATION { "citationItems" : [ { "id" : "ITEM-1", "itemData" : { "author" : [ { "dropping-particle" : "", "family" : "Korkmaz", "given" : "\u00d6zgen", "non-dropping-particle" : "", "parse-names" : false, "suffix" : "" }, { "dropping-particle" : "", "family" : "\u00c7ak\u0131r", "given" : "Recep", "non-dropping-particle" : "", "parse-names" : false, "suffix" : "" }, { "dropping-particle" : "", "family" : "\u00d6zden", "given" : "Ya\u015far", "non-dropping-particle" : "", "parse-names" : false, "suffix" : "" } ], "container-title" : "Gazi Journal of Education Sciences", "id" : "ITEM-1", "issued" : { "date-parts" : [ [ "2015" ] ] }, "page" : "143-162", "title" : "Computational Thinking Levels Scale (CTLS) Adaptation for Secondary School Level", "type" : "article-journal" }, "uris" : [ "http://www.mendeley.com/documents/?uuid=058cb80c-3b86-49cb-81e3-6ade583f5b26" ] } ], "mendeley" : { "formattedCitation" : "(Korkmaz, \u00c7ak\u0131r, &amp; \u00d6zden, 2015)", "plainTextFormattedCitation" : "(Korkmaz, \u00c7ak\u0131r, &amp; \u00d6zden, 2015)", "previouslyFormattedCitation" : "(Korkmaz, \u00c7ak\u0131r, &amp; \u00d6zden, 2015)" }, "properties" : { "noteIndex" : 0 }, "schema" : "https://github.com/citation-style-language/schema/raw/master/csl-citation.json" }</w:instrText>
      </w:r>
      <w:r w:rsidRPr="00CF6F48">
        <w:rPr>
          <w:iCs/>
          <w:sz w:val="20"/>
        </w:rPr>
        <w:fldChar w:fldCharType="separate"/>
      </w:r>
      <w:r w:rsidRPr="00CF6F48">
        <w:rPr>
          <w:iCs/>
          <w:noProof/>
          <w:sz w:val="20"/>
        </w:rPr>
        <w:t>(Korkmaz, Çakır, &amp; Özden, 2015)</w:t>
      </w:r>
      <w:r w:rsidRPr="00CF6F48">
        <w:rPr>
          <w:iCs/>
          <w:sz w:val="20"/>
        </w:rPr>
        <w:fldChar w:fldCharType="end"/>
      </w:r>
      <w:r w:rsidRPr="00CF6F48">
        <w:rPr>
          <w:iCs/>
          <w:sz w:val="20"/>
        </w:rPr>
        <w:t xml:space="preserve">. </w:t>
      </w:r>
      <w:proofErr w:type="spellStart"/>
      <w:r w:rsidRPr="00CF6F48">
        <w:rPr>
          <w:iCs/>
          <w:sz w:val="20"/>
        </w:rPr>
        <w:t>Korkmaz</w:t>
      </w:r>
      <w:proofErr w:type="spellEnd"/>
      <w:r w:rsidRPr="00CF6F48">
        <w:rPr>
          <w:iCs/>
          <w:sz w:val="20"/>
        </w:rPr>
        <w:t xml:space="preserve"> et al. (2015</w:t>
      </w:r>
      <w:proofErr w:type="gramStart"/>
      <w:r w:rsidRPr="00CF6F48">
        <w:rPr>
          <w:iCs/>
          <w:sz w:val="20"/>
        </w:rPr>
        <w:t>)  have</w:t>
      </w:r>
      <w:proofErr w:type="gramEnd"/>
      <w:r w:rsidRPr="00CF6F48">
        <w:rPr>
          <w:iCs/>
          <w:sz w:val="20"/>
        </w:rPr>
        <w:t xml:space="preserve"> conducted exploratory factor analysis, confirmatory factor analysis, item distinctiveness analyses, internal consistency coefficients and constancy analyses and concluded that the CTS questionnaire is a valid and reliable </w:t>
      </w:r>
      <w:r w:rsidRPr="00CF6F48">
        <w:rPr>
          <w:iCs/>
          <w:sz w:val="20"/>
        </w:rPr>
        <w:lastRenderedPageBreak/>
        <w:t>measurement tool to measure computational thinking skills of students.</w:t>
      </w:r>
      <w:r w:rsidR="0043692E" w:rsidRPr="00CF6F48">
        <w:rPr>
          <w:iCs/>
          <w:sz w:val="20"/>
        </w:rPr>
        <w:t xml:space="preserve"> In this study to see the reliability of this instrument with 775 participants, the Cronbach alpha coefficients for each subscale </w:t>
      </w:r>
      <w:r w:rsidR="00C774D2" w:rsidRPr="00CF6F48">
        <w:rPr>
          <w:iCs/>
          <w:sz w:val="20"/>
        </w:rPr>
        <w:t>are listed</w:t>
      </w:r>
      <w:r w:rsidR="00B828EB" w:rsidRPr="00CF6F48">
        <w:rPr>
          <w:iCs/>
          <w:sz w:val="20"/>
        </w:rPr>
        <w:t xml:space="preserve"> in T</w:t>
      </w:r>
      <w:r w:rsidR="0043692E" w:rsidRPr="00CF6F48">
        <w:rPr>
          <w:iCs/>
          <w:sz w:val="20"/>
        </w:rPr>
        <w:t xml:space="preserve">able </w:t>
      </w:r>
      <w:r w:rsidR="00B828EB" w:rsidRPr="00CF6F48">
        <w:rPr>
          <w:iCs/>
          <w:sz w:val="20"/>
        </w:rPr>
        <w:t>2</w:t>
      </w:r>
      <w:r w:rsidR="0043692E" w:rsidRPr="00CF6F48">
        <w:rPr>
          <w:iCs/>
          <w:sz w:val="20"/>
        </w:rPr>
        <w:t>.</w:t>
      </w:r>
    </w:p>
    <w:p w14:paraId="64D2265C" w14:textId="77777777" w:rsidR="00A32A83" w:rsidRPr="00CF6F48" w:rsidRDefault="00A32A83" w:rsidP="00F1237C">
      <w:pPr>
        <w:spacing w:after="80" w:line="240" w:lineRule="exact"/>
        <w:rPr>
          <w:iCs/>
          <w:sz w:val="20"/>
        </w:rPr>
      </w:pPr>
    </w:p>
    <w:p w14:paraId="5EC2DAD4" w14:textId="18E9E036" w:rsidR="00A32A83" w:rsidRPr="00CF6F48" w:rsidRDefault="00A32A83" w:rsidP="000668F0">
      <w:pPr>
        <w:spacing w:after="80" w:line="240" w:lineRule="exact"/>
        <w:jc w:val="center"/>
        <w:rPr>
          <w:iCs/>
          <w:sz w:val="20"/>
        </w:rPr>
      </w:pPr>
      <w:proofErr w:type="gramStart"/>
      <w:r w:rsidRPr="00CF6F48">
        <w:rPr>
          <w:iCs/>
          <w:sz w:val="20"/>
        </w:rPr>
        <w:t xml:space="preserve">Table </w:t>
      </w:r>
      <w:r w:rsidR="00B828EB" w:rsidRPr="00CF6F48">
        <w:rPr>
          <w:iCs/>
          <w:sz w:val="20"/>
        </w:rPr>
        <w:t>2</w:t>
      </w:r>
      <w:r w:rsidRPr="00CF6F48">
        <w:rPr>
          <w:iCs/>
          <w:sz w:val="20"/>
        </w:rPr>
        <w:t>.</w:t>
      </w:r>
      <w:proofErr w:type="gramEnd"/>
      <w:r w:rsidRPr="00CF6F48">
        <w:rPr>
          <w:iCs/>
          <w:sz w:val="20"/>
        </w:rPr>
        <w:t xml:space="preserve"> Computational Thinking Scale reliability test</w:t>
      </w:r>
    </w:p>
    <w:tbl>
      <w:tblPr>
        <w:tblStyle w:val="TableGrid"/>
        <w:tblW w:w="0" w:type="auto"/>
        <w:jc w:val="center"/>
        <w:tblInd w:w="0" w:type="dxa"/>
        <w:tblLook w:val="04A0" w:firstRow="1" w:lastRow="0" w:firstColumn="1" w:lastColumn="0" w:noHBand="0" w:noVBand="1"/>
      </w:tblPr>
      <w:tblGrid>
        <w:gridCol w:w="3114"/>
        <w:gridCol w:w="1276"/>
        <w:gridCol w:w="992"/>
        <w:gridCol w:w="1134"/>
      </w:tblGrid>
      <w:tr w:rsidR="00A32A83" w:rsidRPr="00CF6F48" w14:paraId="250CA9F7" w14:textId="77777777" w:rsidTr="00FC3A95">
        <w:trPr>
          <w:jc w:val="center"/>
        </w:trPr>
        <w:tc>
          <w:tcPr>
            <w:tcW w:w="3114" w:type="dxa"/>
          </w:tcPr>
          <w:p w14:paraId="7864B8BA" w14:textId="59C83B25" w:rsidR="00A32A83" w:rsidRPr="00CF6F48" w:rsidRDefault="00A32A83" w:rsidP="00A32A83">
            <w:pPr>
              <w:spacing w:after="80" w:line="240" w:lineRule="exact"/>
              <w:jc w:val="center"/>
              <w:rPr>
                <w:b/>
                <w:iCs/>
                <w:sz w:val="20"/>
              </w:rPr>
            </w:pPr>
            <w:r w:rsidRPr="00CF6F48">
              <w:rPr>
                <w:b/>
                <w:iCs/>
                <w:sz w:val="20"/>
              </w:rPr>
              <w:t>Factor</w:t>
            </w:r>
          </w:p>
        </w:tc>
        <w:tc>
          <w:tcPr>
            <w:tcW w:w="1276" w:type="dxa"/>
          </w:tcPr>
          <w:p w14:paraId="4B0FC2B6" w14:textId="7191DF38" w:rsidR="00A32A83" w:rsidRPr="00CF6F48" w:rsidRDefault="00A32A83" w:rsidP="00A32A83">
            <w:pPr>
              <w:spacing w:after="80" w:line="240" w:lineRule="exact"/>
              <w:jc w:val="center"/>
              <w:rPr>
                <w:b/>
                <w:iCs/>
                <w:sz w:val="20"/>
              </w:rPr>
            </w:pPr>
            <w:r w:rsidRPr="00CF6F48">
              <w:rPr>
                <w:b/>
                <w:iCs/>
                <w:sz w:val="20"/>
              </w:rPr>
              <w:t>Number of items</w:t>
            </w:r>
          </w:p>
        </w:tc>
        <w:tc>
          <w:tcPr>
            <w:tcW w:w="992" w:type="dxa"/>
          </w:tcPr>
          <w:p w14:paraId="36ADA5CC" w14:textId="042D4CF3" w:rsidR="00A32A83" w:rsidRPr="00CF6F48" w:rsidRDefault="00A32A83" w:rsidP="00A32A83">
            <w:pPr>
              <w:spacing w:after="80" w:line="240" w:lineRule="exact"/>
              <w:jc w:val="center"/>
              <w:rPr>
                <w:b/>
                <w:iCs/>
                <w:sz w:val="20"/>
              </w:rPr>
            </w:pPr>
            <w:r w:rsidRPr="00CF6F48">
              <w:rPr>
                <w:b/>
                <w:iCs/>
                <w:sz w:val="20"/>
              </w:rPr>
              <w:t>Mean</w:t>
            </w:r>
          </w:p>
        </w:tc>
        <w:tc>
          <w:tcPr>
            <w:tcW w:w="1134" w:type="dxa"/>
          </w:tcPr>
          <w:p w14:paraId="3EBE493E" w14:textId="58EDC571" w:rsidR="00A32A83" w:rsidRPr="00CF6F48" w:rsidRDefault="00A32A83" w:rsidP="00A32A83">
            <w:pPr>
              <w:spacing w:after="80" w:line="240" w:lineRule="exact"/>
              <w:jc w:val="center"/>
              <w:rPr>
                <w:b/>
                <w:iCs/>
                <w:sz w:val="20"/>
              </w:rPr>
            </w:pPr>
            <w:r w:rsidRPr="00CF6F48">
              <w:rPr>
                <w:b/>
                <w:iCs/>
                <w:sz w:val="20"/>
              </w:rPr>
              <w:t>Cronbach alpha</w:t>
            </w:r>
          </w:p>
        </w:tc>
      </w:tr>
      <w:tr w:rsidR="00A32A83" w:rsidRPr="00CF6F48" w14:paraId="62238D3F" w14:textId="77777777" w:rsidTr="00FC3A95">
        <w:trPr>
          <w:jc w:val="center"/>
        </w:trPr>
        <w:tc>
          <w:tcPr>
            <w:tcW w:w="3114" w:type="dxa"/>
          </w:tcPr>
          <w:p w14:paraId="71E1256B" w14:textId="2F0FB364" w:rsidR="00A32A83" w:rsidRPr="00CF6F48" w:rsidRDefault="00A32A83" w:rsidP="00A32A83">
            <w:pPr>
              <w:spacing w:after="80" w:line="240" w:lineRule="exact"/>
              <w:rPr>
                <w:iCs/>
                <w:sz w:val="20"/>
              </w:rPr>
            </w:pPr>
            <w:r w:rsidRPr="00CF6F48">
              <w:rPr>
                <w:iCs/>
                <w:sz w:val="20"/>
              </w:rPr>
              <w:t xml:space="preserve">CTS_CR  (Creativity) </w:t>
            </w:r>
          </w:p>
        </w:tc>
        <w:tc>
          <w:tcPr>
            <w:tcW w:w="1276" w:type="dxa"/>
          </w:tcPr>
          <w:p w14:paraId="65657F04" w14:textId="0861C0EC" w:rsidR="00A32A83" w:rsidRPr="00CF6F48" w:rsidRDefault="00A32A83" w:rsidP="00A32A83">
            <w:pPr>
              <w:spacing w:after="80" w:line="240" w:lineRule="exact"/>
              <w:rPr>
                <w:iCs/>
                <w:sz w:val="20"/>
              </w:rPr>
            </w:pPr>
            <w:r w:rsidRPr="00CF6F48">
              <w:rPr>
                <w:iCs/>
                <w:sz w:val="20"/>
              </w:rPr>
              <w:t>4</w:t>
            </w:r>
          </w:p>
        </w:tc>
        <w:tc>
          <w:tcPr>
            <w:tcW w:w="992" w:type="dxa"/>
          </w:tcPr>
          <w:p w14:paraId="01C6B41E" w14:textId="2932DD0D" w:rsidR="00A32A83" w:rsidRPr="00CF6F48" w:rsidRDefault="00A32A83" w:rsidP="00A32A83">
            <w:pPr>
              <w:spacing w:after="80" w:line="240" w:lineRule="exact"/>
              <w:rPr>
                <w:iCs/>
                <w:sz w:val="20"/>
              </w:rPr>
            </w:pPr>
            <w:r w:rsidRPr="00CF6F48">
              <w:rPr>
                <w:iCs/>
                <w:sz w:val="20"/>
              </w:rPr>
              <w:t>3.8</w:t>
            </w:r>
          </w:p>
        </w:tc>
        <w:tc>
          <w:tcPr>
            <w:tcW w:w="1134" w:type="dxa"/>
          </w:tcPr>
          <w:p w14:paraId="3EF89972" w14:textId="1F5701DC" w:rsidR="00A32A83" w:rsidRPr="00CF6F48" w:rsidRDefault="00A32A83" w:rsidP="00A32A83">
            <w:pPr>
              <w:spacing w:after="80" w:line="240" w:lineRule="exact"/>
              <w:rPr>
                <w:iCs/>
                <w:sz w:val="20"/>
              </w:rPr>
            </w:pPr>
            <w:r w:rsidRPr="00CF6F48">
              <w:rPr>
                <w:iCs/>
                <w:sz w:val="20"/>
              </w:rPr>
              <w:t>.599</w:t>
            </w:r>
          </w:p>
        </w:tc>
      </w:tr>
      <w:tr w:rsidR="00A32A83" w:rsidRPr="00CF6F48" w14:paraId="155CC43D" w14:textId="77777777" w:rsidTr="00FC3A95">
        <w:trPr>
          <w:jc w:val="center"/>
        </w:trPr>
        <w:tc>
          <w:tcPr>
            <w:tcW w:w="3114" w:type="dxa"/>
          </w:tcPr>
          <w:p w14:paraId="08EE8AC6" w14:textId="4AE8D516" w:rsidR="00A32A83" w:rsidRPr="00CF6F48" w:rsidRDefault="00A32A83" w:rsidP="00A32A83">
            <w:pPr>
              <w:spacing w:after="80" w:line="240" w:lineRule="exact"/>
              <w:rPr>
                <w:iCs/>
                <w:sz w:val="20"/>
              </w:rPr>
            </w:pPr>
            <w:r w:rsidRPr="00CF6F48">
              <w:rPr>
                <w:iCs/>
                <w:sz w:val="20"/>
              </w:rPr>
              <w:t>CTS_AT  (Algorithmic thinking)</w:t>
            </w:r>
          </w:p>
        </w:tc>
        <w:tc>
          <w:tcPr>
            <w:tcW w:w="1276" w:type="dxa"/>
          </w:tcPr>
          <w:p w14:paraId="424E7C16" w14:textId="583901B1" w:rsidR="00A32A83" w:rsidRPr="00CF6F48" w:rsidRDefault="00A32A83" w:rsidP="00A32A83">
            <w:pPr>
              <w:spacing w:after="80" w:line="240" w:lineRule="exact"/>
              <w:rPr>
                <w:iCs/>
                <w:sz w:val="20"/>
              </w:rPr>
            </w:pPr>
            <w:r w:rsidRPr="00CF6F48">
              <w:rPr>
                <w:iCs/>
                <w:sz w:val="20"/>
              </w:rPr>
              <w:t>4</w:t>
            </w:r>
          </w:p>
        </w:tc>
        <w:tc>
          <w:tcPr>
            <w:tcW w:w="992" w:type="dxa"/>
          </w:tcPr>
          <w:p w14:paraId="57FB2DA2" w14:textId="1E02C216" w:rsidR="00A32A83" w:rsidRPr="00CF6F48" w:rsidRDefault="00A32A83" w:rsidP="00A32A83">
            <w:pPr>
              <w:spacing w:after="80" w:line="240" w:lineRule="exact"/>
              <w:rPr>
                <w:iCs/>
                <w:sz w:val="20"/>
              </w:rPr>
            </w:pPr>
            <w:r w:rsidRPr="00CF6F48">
              <w:rPr>
                <w:iCs/>
                <w:sz w:val="20"/>
              </w:rPr>
              <w:t>3.5</w:t>
            </w:r>
          </w:p>
        </w:tc>
        <w:tc>
          <w:tcPr>
            <w:tcW w:w="1134" w:type="dxa"/>
          </w:tcPr>
          <w:p w14:paraId="5A12914B" w14:textId="6ADC9736" w:rsidR="00A32A83" w:rsidRPr="00CF6F48" w:rsidRDefault="00A32A83" w:rsidP="00A32A83">
            <w:pPr>
              <w:spacing w:after="80" w:line="240" w:lineRule="exact"/>
              <w:rPr>
                <w:iCs/>
                <w:sz w:val="20"/>
              </w:rPr>
            </w:pPr>
            <w:r w:rsidRPr="00CF6F48">
              <w:rPr>
                <w:iCs/>
                <w:sz w:val="20"/>
              </w:rPr>
              <w:t>.834</w:t>
            </w:r>
          </w:p>
        </w:tc>
      </w:tr>
      <w:tr w:rsidR="00A32A83" w:rsidRPr="00CF6F48" w14:paraId="31FE2B30" w14:textId="77777777" w:rsidTr="00FC3A95">
        <w:trPr>
          <w:jc w:val="center"/>
        </w:trPr>
        <w:tc>
          <w:tcPr>
            <w:tcW w:w="3114" w:type="dxa"/>
          </w:tcPr>
          <w:p w14:paraId="22E11168" w14:textId="6143858E" w:rsidR="00A32A83" w:rsidRPr="00CF6F48" w:rsidRDefault="00A32A83" w:rsidP="00A32A83">
            <w:pPr>
              <w:spacing w:after="80" w:line="240" w:lineRule="exact"/>
              <w:rPr>
                <w:iCs/>
                <w:sz w:val="20"/>
              </w:rPr>
            </w:pPr>
            <w:r w:rsidRPr="00CF6F48">
              <w:rPr>
                <w:iCs/>
                <w:sz w:val="20"/>
              </w:rPr>
              <w:t>CTS_CO  (Cooperation)</w:t>
            </w:r>
          </w:p>
        </w:tc>
        <w:tc>
          <w:tcPr>
            <w:tcW w:w="1276" w:type="dxa"/>
          </w:tcPr>
          <w:p w14:paraId="2F6593EE" w14:textId="7E57BAC2" w:rsidR="00A32A83" w:rsidRPr="00CF6F48" w:rsidRDefault="00A32A83" w:rsidP="00A32A83">
            <w:pPr>
              <w:spacing w:after="80" w:line="240" w:lineRule="exact"/>
              <w:rPr>
                <w:iCs/>
                <w:sz w:val="20"/>
              </w:rPr>
            </w:pPr>
            <w:r w:rsidRPr="00CF6F48">
              <w:rPr>
                <w:iCs/>
                <w:sz w:val="20"/>
              </w:rPr>
              <w:t>4</w:t>
            </w:r>
          </w:p>
        </w:tc>
        <w:tc>
          <w:tcPr>
            <w:tcW w:w="992" w:type="dxa"/>
          </w:tcPr>
          <w:p w14:paraId="66E8E06F" w14:textId="06A49B51" w:rsidR="00A32A83" w:rsidRPr="00CF6F48" w:rsidRDefault="00A32A83" w:rsidP="00A32A83">
            <w:pPr>
              <w:spacing w:after="80" w:line="240" w:lineRule="exact"/>
              <w:rPr>
                <w:iCs/>
                <w:sz w:val="20"/>
              </w:rPr>
            </w:pPr>
            <w:r w:rsidRPr="00CF6F48">
              <w:rPr>
                <w:iCs/>
                <w:sz w:val="20"/>
              </w:rPr>
              <w:t>4.0</w:t>
            </w:r>
          </w:p>
        </w:tc>
        <w:tc>
          <w:tcPr>
            <w:tcW w:w="1134" w:type="dxa"/>
          </w:tcPr>
          <w:p w14:paraId="0EF6ED66" w14:textId="73E72932" w:rsidR="00A32A83" w:rsidRPr="00CF6F48" w:rsidRDefault="00A32A83" w:rsidP="00A32A83">
            <w:pPr>
              <w:spacing w:after="80" w:line="240" w:lineRule="exact"/>
              <w:rPr>
                <w:iCs/>
                <w:sz w:val="20"/>
              </w:rPr>
            </w:pPr>
            <w:r w:rsidRPr="00CF6F48">
              <w:rPr>
                <w:iCs/>
                <w:sz w:val="20"/>
              </w:rPr>
              <w:t>.841</w:t>
            </w:r>
          </w:p>
        </w:tc>
      </w:tr>
      <w:tr w:rsidR="00A32A83" w:rsidRPr="00CF6F48" w14:paraId="7FD41FA6" w14:textId="77777777" w:rsidTr="00FC3A95">
        <w:trPr>
          <w:jc w:val="center"/>
        </w:trPr>
        <w:tc>
          <w:tcPr>
            <w:tcW w:w="3114" w:type="dxa"/>
          </w:tcPr>
          <w:p w14:paraId="7ECB8EB3" w14:textId="76678D3F" w:rsidR="00A32A83" w:rsidRPr="00CF6F48" w:rsidRDefault="00A32A83" w:rsidP="00A32A83">
            <w:pPr>
              <w:spacing w:after="80" w:line="240" w:lineRule="exact"/>
              <w:rPr>
                <w:iCs/>
                <w:sz w:val="20"/>
              </w:rPr>
            </w:pPr>
            <w:r w:rsidRPr="00CF6F48">
              <w:rPr>
                <w:iCs/>
                <w:sz w:val="20"/>
              </w:rPr>
              <w:t>CTS_CR  (Critical thinking)</w:t>
            </w:r>
          </w:p>
        </w:tc>
        <w:tc>
          <w:tcPr>
            <w:tcW w:w="1276" w:type="dxa"/>
          </w:tcPr>
          <w:p w14:paraId="622E670E" w14:textId="3BC00D96" w:rsidR="00A32A83" w:rsidRPr="00CF6F48" w:rsidRDefault="00A32A83" w:rsidP="00A32A83">
            <w:pPr>
              <w:spacing w:after="80" w:line="240" w:lineRule="exact"/>
              <w:rPr>
                <w:iCs/>
                <w:sz w:val="20"/>
              </w:rPr>
            </w:pPr>
            <w:r w:rsidRPr="00CF6F48">
              <w:rPr>
                <w:iCs/>
                <w:sz w:val="20"/>
              </w:rPr>
              <w:t>4</w:t>
            </w:r>
          </w:p>
        </w:tc>
        <w:tc>
          <w:tcPr>
            <w:tcW w:w="992" w:type="dxa"/>
          </w:tcPr>
          <w:p w14:paraId="29347202" w14:textId="51D5F9C6" w:rsidR="00A32A83" w:rsidRPr="00CF6F48" w:rsidRDefault="00A32A83" w:rsidP="00A32A83">
            <w:pPr>
              <w:spacing w:after="80" w:line="240" w:lineRule="exact"/>
              <w:rPr>
                <w:iCs/>
                <w:sz w:val="20"/>
              </w:rPr>
            </w:pPr>
            <w:r w:rsidRPr="00CF6F48">
              <w:rPr>
                <w:iCs/>
                <w:sz w:val="20"/>
              </w:rPr>
              <w:t>3.7</w:t>
            </w:r>
          </w:p>
        </w:tc>
        <w:tc>
          <w:tcPr>
            <w:tcW w:w="1134" w:type="dxa"/>
          </w:tcPr>
          <w:p w14:paraId="5C067C1C" w14:textId="18DC094F" w:rsidR="00A32A83" w:rsidRPr="00CF6F48" w:rsidRDefault="00A32A83" w:rsidP="00A32A83">
            <w:pPr>
              <w:spacing w:after="80" w:line="240" w:lineRule="exact"/>
              <w:rPr>
                <w:iCs/>
                <w:sz w:val="20"/>
              </w:rPr>
            </w:pPr>
            <w:r w:rsidRPr="00CF6F48">
              <w:rPr>
                <w:iCs/>
                <w:sz w:val="20"/>
              </w:rPr>
              <w:t>.738</w:t>
            </w:r>
          </w:p>
        </w:tc>
      </w:tr>
      <w:tr w:rsidR="00A32A83" w:rsidRPr="00CF6F48" w14:paraId="64210C3D" w14:textId="77777777" w:rsidTr="00FC3A95">
        <w:trPr>
          <w:jc w:val="center"/>
        </w:trPr>
        <w:tc>
          <w:tcPr>
            <w:tcW w:w="3114" w:type="dxa"/>
          </w:tcPr>
          <w:p w14:paraId="07CF2F93" w14:textId="7DA2A2F8" w:rsidR="00A32A83" w:rsidRPr="00CF6F48" w:rsidRDefault="00A32A83" w:rsidP="00A32A83">
            <w:pPr>
              <w:spacing w:after="80" w:line="240" w:lineRule="exact"/>
              <w:rPr>
                <w:iCs/>
                <w:sz w:val="20"/>
              </w:rPr>
            </w:pPr>
            <w:r w:rsidRPr="00CF6F48">
              <w:rPr>
                <w:iCs/>
                <w:sz w:val="20"/>
              </w:rPr>
              <w:t>CTS_PS  (Problem solving)</w:t>
            </w:r>
          </w:p>
        </w:tc>
        <w:tc>
          <w:tcPr>
            <w:tcW w:w="1276" w:type="dxa"/>
          </w:tcPr>
          <w:p w14:paraId="3260CF14" w14:textId="46072157" w:rsidR="00A32A83" w:rsidRPr="00CF6F48" w:rsidRDefault="00A32A83" w:rsidP="00A32A83">
            <w:pPr>
              <w:spacing w:after="80" w:line="240" w:lineRule="exact"/>
              <w:rPr>
                <w:iCs/>
                <w:sz w:val="20"/>
              </w:rPr>
            </w:pPr>
            <w:r w:rsidRPr="00CF6F48">
              <w:rPr>
                <w:iCs/>
                <w:sz w:val="20"/>
              </w:rPr>
              <w:t>6</w:t>
            </w:r>
          </w:p>
        </w:tc>
        <w:tc>
          <w:tcPr>
            <w:tcW w:w="992" w:type="dxa"/>
          </w:tcPr>
          <w:p w14:paraId="46F50057" w14:textId="1A96D0C9" w:rsidR="00A32A83" w:rsidRPr="00CF6F48" w:rsidRDefault="00A32A83" w:rsidP="00A32A83">
            <w:pPr>
              <w:spacing w:after="80" w:line="240" w:lineRule="exact"/>
              <w:rPr>
                <w:iCs/>
                <w:sz w:val="20"/>
              </w:rPr>
            </w:pPr>
            <w:r w:rsidRPr="00CF6F48">
              <w:rPr>
                <w:iCs/>
                <w:sz w:val="20"/>
              </w:rPr>
              <w:t>2,5</w:t>
            </w:r>
          </w:p>
        </w:tc>
        <w:tc>
          <w:tcPr>
            <w:tcW w:w="1134" w:type="dxa"/>
          </w:tcPr>
          <w:p w14:paraId="401AEDC9" w14:textId="26D4821E" w:rsidR="00A32A83" w:rsidRPr="00CF6F48" w:rsidRDefault="00A32A83" w:rsidP="00A32A83">
            <w:pPr>
              <w:spacing w:after="80" w:line="240" w:lineRule="exact"/>
              <w:rPr>
                <w:iCs/>
                <w:sz w:val="20"/>
              </w:rPr>
            </w:pPr>
            <w:r w:rsidRPr="00CF6F48">
              <w:rPr>
                <w:iCs/>
                <w:sz w:val="20"/>
              </w:rPr>
              <w:t>.749</w:t>
            </w:r>
          </w:p>
        </w:tc>
      </w:tr>
      <w:tr w:rsidR="00A32A83" w:rsidRPr="00CF6F48" w14:paraId="22A973B2" w14:textId="77777777" w:rsidTr="00FC3A95">
        <w:trPr>
          <w:jc w:val="center"/>
        </w:trPr>
        <w:tc>
          <w:tcPr>
            <w:tcW w:w="3114" w:type="dxa"/>
          </w:tcPr>
          <w:p w14:paraId="62DF604B" w14:textId="6352F250" w:rsidR="00A32A83" w:rsidRPr="00CF6F48" w:rsidRDefault="00A32A83" w:rsidP="00A32A83">
            <w:pPr>
              <w:spacing w:after="80" w:line="240" w:lineRule="exact"/>
              <w:rPr>
                <w:iCs/>
                <w:sz w:val="20"/>
              </w:rPr>
            </w:pPr>
            <w:r w:rsidRPr="00CF6F48">
              <w:rPr>
                <w:iCs/>
                <w:sz w:val="20"/>
              </w:rPr>
              <w:t>CTS     (Total)</w:t>
            </w:r>
          </w:p>
        </w:tc>
        <w:tc>
          <w:tcPr>
            <w:tcW w:w="1276" w:type="dxa"/>
          </w:tcPr>
          <w:p w14:paraId="2E7DF8CF" w14:textId="5F213372" w:rsidR="00A32A83" w:rsidRPr="00CF6F48" w:rsidRDefault="00A32A83" w:rsidP="00A32A83">
            <w:pPr>
              <w:spacing w:after="80" w:line="240" w:lineRule="exact"/>
              <w:rPr>
                <w:iCs/>
                <w:sz w:val="20"/>
              </w:rPr>
            </w:pPr>
            <w:r w:rsidRPr="00CF6F48">
              <w:rPr>
                <w:iCs/>
                <w:sz w:val="20"/>
              </w:rPr>
              <w:t>22</w:t>
            </w:r>
          </w:p>
        </w:tc>
        <w:tc>
          <w:tcPr>
            <w:tcW w:w="992" w:type="dxa"/>
          </w:tcPr>
          <w:p w14:paraId="31BEF5B1" w14:textId="17BF95A7" w:rsidR="00A32A83" w:rsidRPr="00CF6F48" w:rsidRDefault="00A32A83" w:rsidP="00A32A83">
            <w:pPr>
              <w:spacing w:after="80" w:line="240" w:lineRule="exact"/>
              <w:rPr>
                <w:iCs/>
                <w:sz w:val="20"/>
              </w:rPr>
            </w:pPr>
            <w:r w:rsidRPr="00CF6F48">
              <w:rPr>
                <w:iCs/>
                <w:sz w:val="20"/>
              </w:rPr>
              <w:t>3.7</w:t>
            </w:r>
          </w:p>
        </w:tc>
        <w:tc>
          <w:tcPr>
            <w:tcW w:w="1134" w:type="dxa"/>
          </w:tcPr>
          <w:p w14:paraId="05E44EA3" w14:textId="2BDCD719" w:rsidR="00A32A83" w:rsidRPr="00CF6F48" w:rsidRDefault="00A32A83" w:rsidP="00A32A83">
            <w:pPr>
              <w:spacing w:after="80" w:line="240" w:lineRule="exact"/>
              <w:rPr>
                <w:iCs/>
                <w:sz w:val="20"/>
              </w:rPr>
            </w:pPr>
            <w:r w:rsidRPr="00CF6F48">
              <w:rPr>
                <w:iCs/>
                <w:sz w:val="20"/>
              </w:rPr>
              <w:t>.838</w:t>
            </w:r>
          </w:p>
        </w:tc>
      </w:tr>
    </w:tbl>
    <w:p w14:paraId="3F285863" w14:textId="77777777" w:rsidR="0043692E" w:rsidRPr="00CF6F48" w:rsidRDefault="0043692E" w:rsidP="00F1237C">
      <w:pPr>
        <w:spacing w:after="80" w:line="240" w:lineRule="exact"/>
        <w:rPr>
          <w:iCs/>
          <w:sz w:val="20"/>
        </w:rPr>
      </w:pPr>
    </w:p>
    <w:p w14:paraId="6FA96AA1" w14:textId="3357536E" w:rsidR="00A32A83" w:rsidRPr="00CF6F48" w:rsidRDefault="00F1237C" w:rsidP="00F1237C">
      <w:pPr>
        <w:spacing w:after="80" w:line="240" w:lineRule="exact"/>
        <w:rPr>
          <w:iCs/>
          <w:sz w:val="20"/>
        </w:rPr>
      </w:pPr>
      <w:r w:rsidRPr="00CF6F48">
        <w:rPr>
          <w:iCs/>
          <w:sz w:val="20"/>
        </w:rPr>
        <w:t xml:space="preserve"> </w:t>
      </w:r>
      <w:r w:rsidR="00A32A83" w:rsidRPr="00CF6F48">
        <w:rPr>
          <w:iCs/>
          <w:sz w:val="20"/>
        </w:rPr>
        <w:t>The result of the reliability test of the CTS questionnaire Cronbach alpha for all 22 items is 0.838, which shows a good reliability of the instrument. When each five factors are tested, it was found that the subscales’ coef</w:t>
      </w:r>
      <w:r w:rsidR="000D6E17" w:rsidRPr="00CF6F48">
        <w:rPr>
          <w:iCs/>
          <w:sz w:val="20"/>
        </w:rPr>
        <w:t>f</w:t>
      </w:r>
      <w:r w:rsidR="00A32A83" w:rsidRPr="00CF6F48">
        <w:rPr>
          <w:iCs/>
          <w:sz w:val="20"/>
        </w:rPr>
        <w:t xml:space="preserve">icient are greater than 0.7, except the creativity subscale with Cronbach Alpha 0.599. Students’ perception on computational thinking differs between 2.6 and 4.2, and the mean is 3.7. Mean values of subscales are greater than 3.0, creativity 3.8, algorithmic thinking 3.5, </w:t>
      </w:r>
      <w:proofErr w:type="gramStart"/>
      <w:r w:rsidR="00A32A83" w:rsidRPr="00CF6F48">
        <w:rPr>
          <w:iCs/>
          <w:sz w:val="20"/>
        </w:rPr>
        <w:t>cooperation</w:t>
      </w:r>
      <w:proofErr w:type="gramEnd"/>
      <w:r w:rsidR="00A32A83" w:rsidRPr="00CF6F48">
        <w:rPr>
          <w:iCs/>
          <w:sz w:val="20"/>
        </w:rPr>
        <w:t xml:space="preserve"> 4.0, critical thinking 3.7 except the minimum one the problem solving subscale with 2.5. The authors of the instrument, </w:t>
      </w:r>
      <w:proofErr w:type="spellStart"/>
      <w:r w:rsidR="00A32A83" w:rsidRPr="00CF6F48">
        <w:rPr>
          <w:iCs/>
          <w:sz w:val="20"/>
        </w:rPr>
        <w:t>Korkmaz</w:t>
      </w:r>
      <w:proofErr w:type="spellEnd"/>
      <w:r w:rsidR="00A32A83" w:rsidRPr="00CF6F48">
        <w:rPr>
          <w:iCs/>
          <w:sz w:val="20"/>
        </w:rPr>
        <w:t xml:space="preserve"> et al. (2015) found the Cronbach alpha for the total items as 0.809, where 241 students from 7</w:t>
      </w:r>
      <w:r w:rsidR="00A32A83" w:rsidRPr="00CF6F48">
        <w:rPr>
          <w:iCs/>
          <w:sz w:val="20"/>
          <w:vertAlign w:val="superscript"/>
        </w:rPr>
        <w:t>th</w:t>
      </w:r>
      <w:r w:rsidR="00A32A83" w:rsidRPr="00CF6F48">
        <w:rPr>
          <w:iCs/>
          <w:sz w:val="20"/>
        </w:rPr>
        <w:t xml:space="preserve"> and 8</w:t>
      </w:r>
      <w:r w:rsidR="00A32A83" w:rsidRPr="00CF6F48">
        <w:rPr>
          <w:iCs/>
          <w:sz w:val="20"/>
          <w:vertAlign w:val="superscript"/>
        </w:rPr>
        <w:t>th</w:t>
      </w:r>
      <w:r w:rsidR="00A32A83" w:rsidRPr="00CF6F48">
        <w:rPr>
          <w:iCs/>
          <w:sz w:val="20"/>
        </w:rPr>
        <w:t xml:space="preserve"> grade participated. Therefore, the CTS questionnaire can be considered as a </w:t>
      </w:r>
      <w:r w:rsidR="00C774D2" w:rsidRPr="00CF6F48">
        <w:rPr>
          <w:iCs/>
          <w:sz w:val="20"/>
        </w:rPr>
        <w:t>reliable</w:t>
      </w:r>
      <w:r w:rsidR="00A32A83" w:rsidRPr="00CF6F48">
        <w:rPr>
          <w:iCs/>
          <w:sz w:val="20"/>
        </w:rPr>
        <w:t xml:space="preserve"> tool.</w:t>
      </w:r>
    </w:p>
    <w:p w14:paraId="7E2B7455" w14:textId="210A57A5" w:rsidR="00994F45" w:rsidRPr="00CF6F48" w:rsidRDefault="008C1596" w:rsidP="00B94108">
      <w:pPr>
        <w:spacing w:after="80" w:line="240" w:lineRule="exact"/>
        <w:outlineLvl w:val="0"/>
        <w:rPr>
          <w:i/>
          <w:iCs/>
          <w:sz w:val="20"/>
        </w:rPr>
      </w:pPr>
      <w:r w:rsidRPr="00CF6F48">
        <w:rPr>
          <w:i/>
          <w:iCs/>
          <w:sz w:val="20"/>
        </w:rPr>
        <w:t>4</w:t>
      </w:r>
      <w:r w:rsidR="006B1C4A" w:rsidRPr="00CF6F48">
        <w:rPr>
          <w:i/>
          <w:iCs/>
          <w:sz w:val="20"/>
        </w:rPr>
        <w:t>.4</w:t>
      </w:r>
      <w:r w:rsidR="00994F45" w:rsidRPr="00CF6F48">
        <w:rPr>
          <w:i/>
          <w:iCs/>
          <w:sz w:val="20"/>
        </w:rPr>
        <w:t xml:space="preserve"> </w:t>
      </w:r>
      <w:r w:rsidR="00A32A83" w:rsidRPr="00CF6F48">
        <w:rPr>
          <w:i/>
          <w:iCs/>
          <w:sz w:val="20"/>
        </w:rPr>
        <w:t>Regression</w:t>
      </w:r>
    </w:p>
    <w:p w14:paraId="15E90A2C" w14:textId="005E1780" w:rsidR="00A32F2E" w:rsidRPr="00CF6F48" w:rsidRDefault="007769BF" w:rsidP="00A32F2E">
      <w:pPr>
        <w:spacing w:after="80" w:line="240" w:lineRule="exact"/>
        <w:rPr>
          <w:iCs/>
          <w:sz w:val="20"/>
        </w:rPr>
      </w:pPr>
      <w:r w:rsidRPr="00CF6F48">
        <w:rPr>
          <w:iCs/>
          <w:sz w:val="20"/>
        </w:rPr>
        <w:t>A multiple linear regression was calculated to predict the computational thinking performance based on general school achievement, algebra achievement, informatics achievement and perception of computational thinking skills</w:t>
      </w:r>
      <w:r w:rsidR="00A32F2E" w:rsidRPr="00CF6F48">
        <w:rPr>
          <w:iCs/>
          <w:sz w:val="20"/>
        </w:rPr>
        <w:t xml:space="preserve"> in T</w:t>
      </w:r>
      <w:r w:rsidR="00B828EB" w:rsidRPr="00CF6F48">
        <w:rPr>
          <w:iCs/>
          <w:sz w:val="20"/>
        </w:rPr>
        <w:t>able 3</w:t>
      </w:r>
      <w:r w:rsidRPr="00CF6F48">
        <w:rPr>
          <w:iCs/>
          <w:sz w:val="20"/>
        </w:rPr>
        <w:t>. The result of the multiple linear regression indicated that the general school achievement, algebra achievement and perception of computational thinking skills are significant predictors for computational thinking performance; informatics achievement is not a significant predictor for computational thinking performance.</w:t>
      </w:r>
      <w:r w:rsidR="00A32F2E" w:rsidRPr="00CF6F48">
        <w:rPr>
          <w:iCs/>
          <w:sz w:val="20"/>
        </w:rPr>
        <w:t xml:space="preserve"> The </w:t>
      </w:r>
      <w:r w:rsidR="00B828EB" w:rsidRPr="00CF6F48">
        <w:rPr>
          <w:iCs/>
          <w:sz w:val="20"/>
        </w:rPr>
        <w:t>Table 3</w:t>
      </w:r>
      <w:r w:rsidR="00A32F2E" w:rsidRPr="00CF6F48">
        <w:rPr>
          <w:iCs/>
          <w:sz w:val="20"/>
        </w:rPr>
        <w:t xml:space="preserve"> contains the final step of a 4-step regression analysis.</w:t>
      </w:r>
    </w:p>
    <w:p w14:paraId="14247E39" w14:textId="77777777" w:rsidR="007769BF" w:rsidRPr="00CF6F48" w:rsidRDefault="007769BF" w:rsidP="000668F0">
      <w:pPr>
        <w:spacing w:after="80" w:line="240" w:lineRule="exact"/>
        <w:jc w:val="center"/>
        <w:rPr>
          <w:iCs/>
          <w:sz w:val="20"/>
        </w:rPr>
      </w:pPr>
    </w:p>
    <w:p w14:paraId="5473AA17" w14:textId="6B8FF105" w:rsidR="00A32A83" w:rsidRPr="00CF6F48" w:rsidRDefault="00B828EB" w:rsidP="000668F0">
      <w:pPr>
        <w:spacing w:after="80" w:line="240" w:lineRule="exact"/>
        <w:jc w:val="center"/>
        <w:rPr>
          <w:iCs/>
          <w:sz w:val="20"/>
        </w:rPr>
      </w:pPr>
      <w:proofErr w:type="gramStart"/>
      <w:r w:rsidRPr="00CF6F48">
        <w:rPr>
          <w:iCs/>
          <w:sz w:val="20"/>
        </w:rPr>
        <w:t>Table 3</w:t>
      </w:r>
      <w:r w:rsidR="00A32A83" w:rsidRPr="00CF6F48">
        <w:rPr>
          <w:iCs/>
          <w:sz w:val="20"/>
        </w:rPr>
        <w:t>.</w:t>
      </w:r>
      <w:proofErr w:type="gramEnd"/>
      <w:r w:rsidR="00A32A83" w:rsidRPr="00CF6F48">
        <w:rPr>
          <w:iCs/>
          <w:sz w:val="20"/>
        </w:rPr>
        <w:t xml:space="preserve"> Multiple regression analysis</w:t>
      </w:r>
    </w:p>
    <w:tbl>
      <w:tblPr>
        <w:tblStyle w:val="TableGrid"/>
        <w:tblW w:w="0" w:type="auto"/>
        <w:jc w:val="center"/>
        <w:tblInd w:w="0" w:type="dxa"/>
        <w:tblLayout w:type="fixed"/>
        <w:tblLook w:val="04A0" w:firstRow="1" w:lastRow="0" w:firstColumn="1" w:lastColumn="0" w:noHBand="0" w:noVBand="1"/>
      </w:tblPr>
      <w:tblGrid>
        <w:gridCol w:w="988"/>
        <w:gridCol w:w="850"/>
        <w:gridCol w:w="902"/>
        <w:gridCol w:w="657"/>
      </w:tblGrid>
      <w:tr w:rsidR="003A11A5" w:rsidRPr="00CF6F48" w14:paraId="71068DF2" w14:textId="77777777" w:rsidTr="00315657">
        <w:trPr>
          <w:jc w:val="center"/>
        </w:trPr>
        <w:tc>
          <w:tcPr>
            <w:tcW w:w="988" w:type="dxa"/>
            <w:tcBorders>
              <w:tl2br w:val="single" w:sz="4" w:space="0" w:color="auto"/>
            </w:tcBorders>
          </w:tcPr>
          <w:p w14:paraId="16D75DB3" w14:textId="77777777" w:rsidR="003A11A5" w:rsidRPr="00CF6F48" w:rsidRDefault="003A11A5" w:rsidP="003A11A5">
            <w:pPr>
              <w:spacing w:after="80" w:line="240" w:lineRule="exact"/>
              <w:rPr>
                <w:iCs/>
                <w:sz w:val="20"/>
              </w:rPr>
            </w:pPr>
          </w:p>
        </w:tc>
        <w:tc>
          <w:tcPr>
            <w:tcW w:w="850" w:type="dxa"/>
          </w:tcPr>
          <w:p w14:paraId="5F3265FB" w14:textId="77777777" w:rsidR="003A11A5" w:rsidRPr="00CF6F48" w:rsidRDefault="003A11A5" w:rsidP="003A11A5">
            <w:pPr>
              <w:spacing w:after="80" w:line="240" w:lineRule="exact"/>
              <w:rPr>
                <w:b/>
                <w:iCs/>
                <w:sz w:val="20"/>
              </w:rPr>
            </w:pPr>
            <w:r w:rsidRPr="00CF6F48">
              <w:rPr>
                <w:b/>
                <w:iCs/>
                <w:sz w:val="20"/>
              </w:rPr>
              <w:t>B</w:t>
            </w:r>
          </w:p>
        </w:tc>
        <w:tc>
          <w:tcPr>
            <w:tcW w:w="902" w:type="dxa"/>
          </w:tcPr>
          <w:p w14:paraId="2B7F32BD" w14:textId="77777777" w:rsidR="003A11A5" w:rsidRPr="00CF6F48" w:rsidRDefault="003A11A5" w:rsidP="003A11A5">
            <w:pPr>
              <w:spacing w:after="80" w:line="240" w:lineRule="exact"/>
              <w:rPr>
                <w:b/>
                <w:iCs/>
                <w:sz w:val="20"/>
              </w:rPr>
            </w:pPr>
            <w:r w:rsidRPr="00CF6F48">
              <w:rPr>
                <w:b/>
                <w:iCs/>
                <w:sz w:val="20"/>
              </w:rPr>
              <w:t>SE B</w:t>
            </w:r>
          </w:p>
        </w:tc>
        <w:tc>
          <w:tcPr>
            <w:tcW w:w="657" w:type="dxa"/>
          </w:tcPr>
          <w:p w14:paraId="49CA4D5C" w14:textId="77777777" w:rsidR="003A11A5" w:rsidRPr="00CF6F48" w:rsidRDefault="003A11A5" w:rsidP="003A11A5">
            <w:pPr>
              <w:spacing w:after="80" w:line="240" w:lineRule="exact"/>
              <w:rPr>
                <w:b/>
                <w:iCs/>
                <w:sz w:val="20"/>
              </w:rPr>
            </w:pPr>
            <w:r w:rsidRPr="00CF6F48">
              <w:rPr>
                <w:b/>
                <w:iCs/>
                <w:sz w:val="20"/>
              </w:rPr>
              <w:t>β</w:t>
            </w:r>
          </w:p>
        </w:tc>
      </w:tr>
      <w:tr w:rsidR="003A11A5" w:rsidRPr="00CF6F48" w14:paraId="26DF03E5" w14:textId="77777777" w:rsidTr="00315657">
        <w:trPr>
          <w:jc w:val="center"/>
        </w:trPr>
        <w:tc>
          <w:tcPr>
            <w:tcW w:w="988" w:type="dxa"/>
          </w:tcPr>
          <w:p w14:paraId="0E37AF98" w14:textId="77777777" w:rsidR="003A11A5" w:rsidRPr="00CF6F48" w:rsidRDefault="003A11A5" w:rsidP="003A11A5">
            <w:pPr>
              <w:spacing w:after="80" w:line="240" w:lineRule="exact"/>
              <w:rPr>
                <w:iCs/>
                <w:sz w:val="20"/>
              </w:rPr>
            </w:pPr>
            <w:r w:rsidRPr="00CF6F48">
              <w:rPr>
                <w:iCs/>
                <w:sz w:val="20"/>
              </w:rPr>
              <w:t>Constant</w:t>
            </w:r>
          </w:p>
        </w:tc>
        <w:tc>
          <w:tcPr>
            <w:tcW w:w="850" w:type="dxa"/>
          </w:tcPr>
          <w:p w14:paraId="09580348" w14:textId="77777777" w:rsidR="003A11A5" w:rsidRPr="00CF6F48" w:rsidRDefault="003A11A5" w:rsidP="003A11A5">
            <w:pPr>
              <w:spacing w:after="80" w:line="240" w:lineRule="exact"/>
              <w:rPr>
                <w:iCs/>
                <w:sz w:val="20"/>
              </w:rPr>
            </w:pPr>
            <w:r w:rsidRPr="00CF6F48">
              <w:rPr>
                <w:iCs/>
                <w:sz w:val="20"/>
              </w:rPr>
              <w:t>4.73</w:t>
            </w:r>
          </w:p>
        </w:tc>
        <w:tc>
          <w:tcPr>
            <w:tcW w:w="902" w:type="dxa"/>
          </w:tcPr>
          <w:p w14:paraId="1082A951" w14:textId="77777777" w:rsidR="003A11A5" w:rsidRPr="00CF6F48" w:rsidRDefault="003A11A5" w:rsidP="003A11A5">
            <w:pPr>
              <w:spacing w:after="80" w:line="240" w:lineRule="exact"/>
              <w:rPr>
                <w:iCs/>
                <w:sz w:val="20"/>
              </w:rPr>
            </w:pPr>
            <w:r w:rsidRPr="00CF6F48">
              <w:rPr>
                <w:iCs/>
                <w:sz w:val="20"/>
              </w:rPr>
              <w:t>1.33</w:t>
            </w:r>
          </w:p>
        </w:tc>
        <w:tc>
          <w:tcPr>
            <w:tcW w:w="657" w:type="dxa"/>
          </w:tcPr>
          <w:p w14:paraId="7FA638D3" w14:textId="77777777" w:rsidR="003A11A5" w:rsidRPr="00CF6F48" w:rsidRDefault="003A11A5" w:rsidP="003A11A5">
            <w:pPr>
              <w:spacing w:after="80" w:line="240" w:lineRule="exact"/>
              <w:rPr>
                <w:iCs/>
                <w:sz w:val="20"/>
              </w:rPr>
            </w:pPr>
          </w:p>
        </w:tc>
      </w:tr>
      <w:tr w:rsidR="003A11A5" w:rsidRPr="00CF6F48" w14:paraId="370BA2D7" w14:textId="77777777" w:rsidTr="00315657">
        <w:trPr>
          <w:jc w:val="center"/>
        </w:trPr>
        <w:tc>
          <w:tcPr>
            <w:tcW w:w="988" w:type="dxa"/>
          </w:tcPr>
          <w:p w14:paraId="54A52ACD" w14:textId="0F7B4C1A" w:rsidR="003A11A5" w:rsidRPr="00CF6F48" w:rsidRDefault="00C52094" w:rsidP="003A11A5">
            <w:pPr>
              <w:spacing w:after="80" w:line="240" w:lineRule="exact"/>
              <w:rPr>
                <w:b/>
                <w:iCs/>
                <w:sz w:val="20"/>
              </w:rPr>
            </w:pPr>
            <w:r w:rsidRPr="00CF6F48">
              <w:rPr>
                <w:b/>
                <w:iCs/>
                <w:sz w:val="20"/>
              </w:rPr>
              <w:t>GAT</w:t>
            </w:r>
          </w:p>
        </w:tc>
        <w:tc>
          <w:tcPr>
            <w:tcW w:w="850" w:type="dxa"/>
          </w:tcPr>
          <w:p w14:paraId="5F67E6AB" w14:textId="77777777" w:rsidR="003A11A5" w:rsidRPr="00CF6F48" w:rsidRDefault="003A11A5" w:rsidP="003A11A5">
            <w:pPr>
              <w:spacing w:after="80" w:line="240" w:lineRule="exact"/>
              <w:rPr>
                <w:iCs/>
                <w:sz w:val="20"/>
              </w:rPr>
            </w:pPr>
            <w:r w:rsidRPr="00CF6F48">
              <w:rPr>
                <w:iCs/>
                <w:sz w:val="20"/>
              </w:rPr>
              <w:t>0.03</w:t>
            </w:r>
          </w:p>
        </w:tc>
        <w:tc>
          <w:tcPr>
            <w:tcW w:w="902" w:type="dxa"/>
          </w:tcPr>
          <w:p w14:paraId="3009130D" w14:textId="77777777" w:rsidR="003A11A5" w:rsidRPr="00CF6F48" w:rsidRDefault="003A11A5" w:rsidP="003A11A5">
            <w:pPr>
              <w:spacing w:after="80" w:line="240" w:lineRule="exact"/>
              <w:rPr>
                <w:iCs/>
                <w:sz w:val="20"/>
              </w:rPr>
            </w:pPr>
            <w:r w:rsidRPr="00CF6F48">
              <w:rPr>
                <w:iCs/>
                <w:sz w:val="20"/>
              </w:rPr>
              <w:t>0.008</w:t>
            </w:r>
          </w:p>
        </w:tc>
        <w:tc>
          <w:tcPr>
            <w:tcW w:w="657" w:type="dxa"/>
          </w:tcPr>
          <w:p w14:paraId="672CA6E6" w14:textId="77777777" w:rsidR="003A11A5" w:rsidRPr="00CF6F48" w:rsidRDefault="003A11A5" w:rsidP="003A11A5">
            <w:pPr>
              <w:spacing w:after="80" w:line="240" w:lineRule="exact"/>
              <w:rPr>
                <w:iCs/>
                <w:sz w:val="20"/>
              </w:rPr>
            </w:pPr>
            <w:r w:rsidRPr="00CF6F48">
              <w:rPr>
                <w:iCs/>
                <w:sz w:val="20"/>
              </w:rPr>
              <w:t>.17*</w:t>
            </w:r>
          </w:p>
        </w:tc>
      </w:tr>
      <w:tr w:rsidR="003A11A5" w:rsidRPr="00CF6F48" w14:paraId="5A32B734" w14:textId="77777777" w:rsidTr="00315657">
        <w:trPr>
          <w:jc w:val="center"/>
        </w:trPr>
        <w:tc>
          <w:tcPr>
            <w:tcW w:w="988" w:type="dxa"/>
          </w:tcPr>
          <w:p w14:paraId="5472F16A" w14:textId="77777777" w:rsidR="003A11A5" w:rsidRPr="00CF6F48" w:rsidRDefault="003A11A5" w:rsidP="003A11A5">
            <w:pPr>
              <w:spacing w:after="80" w:line="240" w:lineRule="exact"/>
              <w:rPr>
                <w:b/>
                <w:iCs/>
                <w:sz w:val="20"/>
              </w:rPr>
            </w:pPr>
            <w:r w:rsidRPr="00CF6F48">
              <w:rPr>
                <w:b/>
                <w:iCs/>
                <w:sz w:val="20"/>
              </w:rPr>
              <w:t>ALG</w:t>
            </w:r>
          </w:p>
        </w:tc>
        <w:tc>
          <w:tcPr>
            <w:tcW w:w="850" w:type="dxa"/>
          </w:tcPr>
          <w:p w14:paraId="58A44B25" w14:textId="77777777" w:rsidR="003A11A5" w:rsidRPr="00CF6F48" w:rsidRDefault="003A11A5" w:rsidP="003A11A5">
            <w:pPr>
              <w:spacing w:after="80" w:line="240" w:lineRule="exact"/>
              <w:rPr>
                <w:iCs/>
                <w:sz w:val="20"/>
              </w:rPr>
            </w:pPr>
            <w:r w:rsidRPr="00CF6F48">
              <w:rPr>
                <w:iCs/>
                <w:sz w:val="20"/>
              </w:rPr>
              <w:t>0.20</w:t>
            </w:r>
          </w:p>
        </w:tc>
        <w:tc>
          <w:tcPr>
            <w:tcW w:w="902" w:type="dxa"/>
          </w:tcPr>
          <w:p w14:paraId="31E3A9E7" w14:textId="77777777" w:rsidR="003A11A5" w:rsidRPr="00CF6F48" w:rsidRDefault="003A11A5" w:rsidP="003A11A5">
            <w:pPr>
              <w:spacing w:after="80" w:line="240" w:lineRule="exact"/>
              <w:rPr>
                <w:iCs/>
                <w:sz w:val="20"/>
              </w:rPr>
            </w:pPr>
            <w:r w:rsidRPr="00CF6F48">
              <w:rPr>
                <w:iCs/>
                <w:sz w:val="20"/>
              </w:rPr>
              <w:t>0.07</w:t>
            </w:r>
          </w:p>
        </w:tc>
        <w:tc>
          <w:tcPr>
            <w:tcW w:w="657" w:type="dxa"/>
          </w:tcPr>
          <w:p w14:paraId="05F9C622" w14:textId="77777777" w:rsidR="003A11A5" w:rsidRPr="00CF6F48" w:rsidRDefault="003A11A5" w:rsidP="003A11A5">
            <w:pPr>
              <w:spacing w:after="80" w:line="240" w:lineRule="exact"/>
              <w:rPr>
                <w:iCs/>
                <w:sz w:val="20"/>
              </w:rPr>
            </w:pPr>
            <w:r w:rsidRPr="00CF6F48">
              <w:rPr>
                <w:iCs/>
                <w:sz w:val="20"/>
              </w:rPr>
              <w:t>.13*</w:t>
            </w:r>
          </w:p>
        </w:tc>
      </w:tr>
      <w:tr w:rsidR="003A11A5" w:rsidRPr="00CF6F48" w14:paraId="5AE6888B" w14:textId="77777777" w:rsidTr="00315657">
        <w:trPr>
          <w:jc w:val="center"/>
        </w:trPr>
        <w:tc>
          <w:tcPr>
            <w:tcW w:w="988" w:type="dxa"/>
          </w:tcPr>
          <w:p w14:paraId="66AB3036" w14:textId="77777777" w:rsidR="003A11A5" w:rsidRPr="00CF6F48" w:rsidRDefault="003A11A5" w:rsidP="003A11A5">
            <w:pPr>
              <w:spacing w:after="80" w:line="240" w:lineRule="exact"/>
              <w:rPr>
                <w:b/>
                <w:iCs/>
                <w:sz w:val="20"/>
              </w:rPr>
            </w:pPr>
            <w:r w:rsidRPr="00CF6F48">
              <w:rPr>
                <w:b/>
                <w:iCs/>
                <w:sz w:val="20"/>
              </w:rPr>
              <w:t>INF</w:t>
            </w:r>
          </w:p>
        </w:tc>
        <w:tc>
          <w:tcPr>
            <w:tcW w:w="850" w:type="dxa"/>
          </w:tcPr>
          <w:p w14:paraId="50657E27" w14:textId="77777777" w:rsidR="003A11A5" w:rsidRPr="00CF6F48" w:rsidRDefault="003A11A5" w:rsidP="003A11A5">
            <w:pPr>
              <w:spacing w:after="80" w:line="240" w:lineRule="exact"/>
              <w:rPr>
                <w:iCs/>
                <w:sz w:val="20"/>
              </w:rPr>
            </w:pPr>
            <w:r w:rsidRPr="00CF6F48">
              <w:rPr>
                <w:iCs/>
                <w:sz w:val="20"/>
              </w:rPr>
              <w:t>0.03</w:t>
            </w:r>
          </w:p>
        </w:tc>
        <w:tc>
          <w:tcPr>
            <w:tcW w:w="902" w:type="dxa"/>
          </w:tcPr>
          <w:p w14:paraId="60A585A4" w14:textId="77777777" w:rsidR="003A11A5" w:rsidRPr="00CF6F48" w:rsidRDefault="003A11A5" w:rsidP="003A11A5">
            <w:pPr>
              <w:spacing w:after="80" w:line="240" w:lineRule="exact"/>
              <w:rPr>
                <w:iCs/>
                <w:sz w:val="20"/>
              </w:rPr>
            </w:pPr>
            <w:r w:rsidRPr="00CF6F48">
              <w:rPr>
                <w:iCs/>
                <w:sz w:val="20"/>
              </w:rPr>
              <w:t>0.08</w:t>
            </w:r>
          </w:p>
        </w:tc>
        <w:tc>
          <w:tcPr>
            <w:tcW w:w="657" w:type="dxa"/>
          </w:tcPr>
          <w:p w14:paraId="4904DEDC" w14:textId="77777777" w:rsidR="003A11A5" w:rsidRPr="00CF6F48" w:rsidRDefault="003A11A5" w:rsidP="003A11A5">
            <w:pPr>
              <w:spacing w:after="80" w:line="240" w:lineRule="exact"/>
              <w:rPr>
                <w:iCs/>
                <w:sz w:val="20"/>
              </w:rPr>
            </w:pPr>
            <w:r w:rsidRPr="00CF6F48">
              <w:rPr>
                <w:iCs/>
                <w:sz w:val="20"/>
              </w:rPr>
              <w:t>.02*</w:t>
            </w:r>
          </w:p>
        </w:tc>
      </w:tr>
      <w:tr w:rsidR="003A11A5" w:rsidRPr="00CF6F48" w14:paraId="07B0AA95" w14:textId="77777777" w:rsidTr="00315657">
        <w:trPr>
          <w:jc w:val="center"/>
        </w:trPr>
        <w:tc>
          <w:tcPr>
            <w:tcW w:w="988" w:type="dxa"/>
          </w:tcPr>
          <w:p w14:paraId="5911288B" w14:textId="77777777" w:rsidR="003A11A5" w:rsidRPr="00CF6F48" w:rsidRDefault="003A11A5" w:rsidP="003A11A5">
            <w:pPr>
              <w:spacing w:after="80" w:line="240" w:lineRule="exact"/>
              <w:rPr>
                <w:b/>
                <w:iCs/>
                <w:sz w:val="20"/>
              </w:rPr>
            </w:pPr>
            <w:r w:rsidRPr="00CF6F48">
              <w:rPr>
                <w:b/>
                <w:iCs/>
                <w:sz w:val="20"/>
              </w:rPr>
              <w:t>CTS</w:t>
            </w:r>
          </w:p>
        </w:tc>
        <w:tc>
          <w:tcPr>
            <w:tcW w:w="850" w:type="dxa"/>
          </w:tcPr>
          <w:p w14:paraId="024D337E" w14:textId="77777777" w:rsidR="003A11A5" w:rsidRPr="00CF6F48" w:rsidRDefault="003A11A5" w:rsidP="003A11A5">
            <w:pPr>
              <w:spacing w:after="80" w:line="240" w:lineRule="exact"/>
              <w:rPr>
                <w:iCs/>
                <w:sz w:val="20"/>
              </w:rPr>
            </w:pPr>
            <w:r w:rsidRPr="00CF6F48">
              <w:rPr>
                <w:iCs/>
                <w:sz w:val="20"/>
              </w:rPr>
              <w:t>0.04</w:t>
            </w:r>
          </w:p>
        </w:tc>
        <w:tc>
          <w:tcPr>
            <w:tcW w:w="902" w:type="dxa"/>
          </w:tcPr>
          <w:p w14:paraId="66BD17D4" w14:textId="77777777" w:rsidR="003A11A5" w:rsidRPr="00CF6F48" w:rsidRDefault="003A11A5" w:rsidP="003A11A5">
            <w:pPr>
              <w:spacing w:after="80" w:line="240" w:lineRule="exact"/>
              <w:rPr>
                <w:iCs/>
                <w:sz w:val="20"/>
              </w:rPr>
            </w:pPr>
            <w:r w:rsidRPr="00CF6F48">
              <w:rPr>
                <w:iCs/>
                <w:sz w:val="20"/>
              </w:rPr>
              <w:t>0.01</w:t>
            </w:r>
          </w:p>
        </w:tc>
        <w:tc>
          <w:tcPr>
            <w:tcW w:w="657" w:type="dxa"/>
          </w:tcPr>
          <w:p w14:paraId="7F47FC8D" w14:textId="77777777" w:rsidR="003A11A5" w:rsidRPr="00CF6F48" w:rsidRDefault="003A11A5" w:rsidP="003A11A5">
            <w:pPr>
              <w:spacing w:after="80" w:line="240" w:lineRule="exact"/>
              <w:rPr>
                <w:iCs/>
                <w:sz w:val="20"/>
              </w:rPr>
            </w:pPr>
            <w:r w:rsidRPr="00CF6F48">
              <w:rPr>
                <w:iCs/>
                <w:sz w:val="20"/>
              </w:rPr>
              <w:t>.09*</w:t>
            </w:r>
          </w:p>
        </w:tc>
      </w:tr>
    </w:tbl>
    <w:p w14:paraId="761BC256" w14:textId="6ECCCF8A" w:rsidR="003A11A5" w:rsidRPr="00CF6F48" w:rsidRDefault="003A11A5" w:rsidP="003A11A5">
      <w:pPr>
        <w:spacing w:after="80" w:line="240" w:lineRule="exact"/>
        <w:rPr>
          <w:iCs/>
          <w:sz w:val="20"/>
        </w:rPr>
      </w:pPr>
      <w:r w:rsidRPr="00CF6F48">
        <w:rPr>
          <w:iCs/>
          <w:sz w:val="20"/>
        </w:rPr>
        <w:t>Note: R2=</w:t>
      </w:r>
      <w:proofErr w:type="gramStart"/>
      <w:r w:rsidRPr="00CF6F48">
        <w:rPr>
          <w:iCs/>
          <w:sz w:val="20"/>
        </w:rPr>
        <w:t>,08</w:t>
      </w:r>
      <w:proofErr w:type="gramEnd"/>
      <w:r w:rsidRPr="00CF6F48">
        <w:rPr>
          <w:iCs/>
          <w:sz w:val="20"/>
        </w:rPr>
        <w:t>. For Step 1, ∆R2=</w:t>
      </w:r>
      <w:proofErr w:type="gramStart"/>
      <w:r w:rsidRPr="00CF6F48">
        <w:rPr>
          <w:iCs/>
          <w:sz w:val="20"/>
        </w:rPr>
        <w:t>,01</w:t>
      </w:r>
      <w:proofErr w:type="gramEnd"/>
      <w:r w:rsidRPr="00CF6F48">
        <w:rPr>
          <w:iCs/>
          <w:sz w:val="20"/>
        </w:rPr>
        <w:t>. For Step 2, ∆R2=0 For Step 3, ∆R2=</w:t>
      </w:r>
      <w:proofErr w:type="gramStart"/>
      <w:r w:rsidRPr="00CF6F48">
        <w:rPr>
          <w:iCs/>
          <w:sz w:val="20"/>
        </w:rPr>
        <w:t>,01</w:t>
      </w:r>
      <w:proofErr w:type="gramEnd"/>
      <w:r w:rsidRPr="00CF6F48">
        <w:rPr>
          <w:iCs/>
          <w:sz w:val="20"/>
        </w:rPr>
        <w:t xml:space="preserve">. </w:t>
      </w:r>
      <w:proofErr w:type="gramStart"/>
      <w:r w:rsidRPr="00CF6F48">
        <w:rPr>
          <w:iCs/>
          <w:sz w:val="20"/>
        </w:rPr>
        <w:t>For Step 4 (p&lt;.05).</w:t>
      </w:r>
      <w:proofErr w:type="gramEnd"/>
      <w:r w:rsidRPr="00CF6F48">
        <w:rPr>
          <w:iCs/>
          <w:sz w:val="20"/>
        </w:rPr>
        <w:t xml:space="preserve"> </w:t>
      </w:r>
    </w:p>
    <w:p w14:paraId="0A870667" w14:textId="77777777" w:rsidR="00F42C1F" w:rsidRPr="00CF6F48" w:rsidRDefault="00F42C1F" w:rsidP="00140C95">
      <w:pPr>
        <w:spacing w:after="80" w:line="240" w:lineRule="exact"/>
        <w:rPr>
          <w:iCs/>
          <w:sz w:val="20"/>
        </w:rPr>
      </w:pPr>
    </w:p>
    <w:p w14:paraId="790D572F" w14:textId="01DB06F2" w:rsidR="00140C95" w:rsidRPr="00CF6F48" w:rsidRDefault="008C1596" w:rsidP="008414BA">
      <w:pPr>
        <w:pStyle w:val="Heading1"/>
      </w:pPr>
      <w:r w:rsidRPr="00CF6F48">
        <w:t>5</w:t>
      </w:r>
      <w:r w:rsidR="00140C95" w:rsidRPr="00CF6F48">
        <w:t>. Discussion</w:t>
      </w:r>
      <w:r w:rsidR="003A11A5" w:rsidRPr="00CF6F48">
        <w:t xml:space="preserve"> and conclusion</w:t>
      </w:r>
    </w:p>
    <w:p w14:paraId="5E4FAE04" w14:textId="4E03ADDF" w:rsidR="003A11A5" w:rsidRPr="00CF6F48" w:rsidRDefault="003A11A5" w:rsidP="003A11A5">
      <w:pPr>
        <w:spacing w:after="80" w:line="240" w:lineRule="exact"/>
        <w:rPr>
          <w:iCs/>
          <w:sz w:val="20"/>
        </w:rPr>
      </w:pPr>
      <w:r w:rsidRPr="00CF6F48">
        <w:rPr>
          <w:iCs/>
          <w:sz w:val="20"/>
        </w:rPr>
        <w:t>In this study, multiple-choice questions mainly focused on logics, abstraction and generalisation were constructed to measure students’ computational thinking performance. Additionally, as a perception of computational thinking skills,</w:t>
      </w:r>
      <w:r w:rsidR="006B0CCD" w:rsidRPr="00CF6F48">
        <w:rPr>
          <w:iCs/>
          <w:sz w:val="20"/>
        </w:rPr>
        <w:t xml:space="preserve"> a CTS questionnaire was used, </w:t>
      </w:r>
      <w:r w:rsidR="003666EB" w:rsidRPr="00CF6F48">
        <w:rPr>
          <w:iCs/>
          <w:sz w:val="20"/>
        </w:rPr>
        <w:t>a five-point L</w:t>
      </w:r>
      <w:r w:rsidRPr="00CF6F48">
        <w:rPr>
          <w:iCs/>
          <w:sz w:val="20"/>
        </w:rPr>
        <w:t xml:space="preserve">ikert type scale with 22 items. As a </w:t>
      </w:r>
      <w:r w:rsidR="004F0BC3" w:rsidRPr="00CF6F48">
        <w:rPr>
          <w:iCs/>
          <w:sz w:val="20"/>
        </w:rPr>
        <w:t xml:space="preserve">general </w:t>
      </w:r>
      <w:r w:rsidRPr="00CF6F48">
        <w:rPr>
          <w:iCs/>
          <w:sz w:val="20"/>
        </w:rPr>
        <w:t xml:space="preserve">school achievement, the results of the </w:t>
      </w:r>
      <w:r w:rsidR="00C52094" w:rsidRPr="00CF6F48">
        <w:rPr>
          <w:iCs/>
          <w:sz w:val="20"/>
        </w:rPr>
        <w:t>General Achievement Test</w:t>
      </w:r>
      <w:r w:rsidR="00930D43" w:rsidRPr="00CF6F48">
        <w:rPr>
          <w:iCs/>
          <w:sz w:val="20"/>
        </w:rPr>
        <w:t xml:space="preserve"> </w:t>
      </w:r>
      <w:r w:rsidRPr="00CF6F48">
        <w:rPr>
          <w:iCs/>
          <w:sz w:val="20"/>
        </w:rPr>
        <w:t xml:space="preserve">were obtained. The study </w:t>
      </w:r>
      <w:r w:rsidR="00DD034E" w:rsidRPr="00CF6F48">
        <w:rPr>
          <w:iCs/>
          <w:sz w:val="20"/>
        </w:rPr>
        <w:t>reveals</w:t>
      </w:r>
      <w:r w:rsidRPr="00CF6F48">
        <w:rPr>
          <w:iCs/>
          <w:sz w:val="20"/>
        </w:rPr>
        <w:t xml:space="preserve"> that the</w:t>
      </w:r>
      <w:r w:rsidR="00DD034E" w:rsidRPr="00CF6F48">
        <w:rPr>
          <w:iCs/>
          <w:sz w:val="20"/>
        </w:rPr>
        <w:t xml:space="preserve"> computational thinking performance test is a valid and rel</w:t>
      </w:r>
      <w:r w:rsidR="00930D43" w:rsidRPr="00CF6F48">
        <w:rPr>
          <w:iCs/>
          <w:sz w:val="20"/>
        </w:rPr>
        <w:t>i</w:t>
      </w:r>
      <w:r w:rsidR="00DD034E" w:rsidRPr="00CF6F48">
        <w:rPr>
          <w:iCs/>
          <w:sz w:val="20"/>
        </w:rPr>
        <w:t>able tool to measure computational thinking performance of students</w:t>
      </w:r>
      <w:r w:rsidR="00A44642" w:rsidRPr="00CF6F48">
        <w:rPr>
          <w:iCs/>
          <w:sz w:val="20"/>
        </w:rPr>
        <w:t xml:space="preserve"> (RQ1)</w:t>
      </w:r>
      <w:r w:rsidR="00DD034E" w:rsidRPr="00CF6F48">
        <w:rPr>
          <w:iCs/>
          <w:sz w:val="20"/>
        </w:rPr>
        <w:t xml:space="preserve">. The results also show that </w:t>
      </w:r>
      <w:r w:rsidRPr="00CF6F48">
        <w:rPr>
          <w:iCs/>
          <w:sz w:val="20"/>
        </w:rPr>
        <w:t>students’ general school achievement, algebra achievement</w:t>
      </w:r>
      <w:r w:rsidR="00AC5567" w:rsidRPr="00CF6F48">
        <w:rPr>
          <w:iCs/>
          <w:sz w:val="20"/>
        </w:rPr>
        <w:t xml:space="preserve"> (RQ2)</w:t>
      </w:r>
      <w:r w:rsidRPr="00CF6F48">
        <w:rPr>
          <w:iCs/>
          <w:sz w:val="20"/>
        </w:rPr>
        <w:t xml:space="preserve"> and perception of computational thinking skills</w:t>
      </w:r>
      <w:r w:rsidR="00AC5567" w:rsidRPr="00CF6F48">
        <w:rPr>
          <w:iCs/>
          <w:sz w:val="20"/>
        </w:rPr>
        <w:t xml:space="preserve"> (RQ4) </w:t>
      </w:r>
      <w:r w:rsidRPr="00CF6F48">
        <w:rPr>
          <w:iCs/>
          <w:sz w:val="20"/>
        </w:rPr>
        <w:t>can be predictors of their computational thinking performance.</w:t>
      </w:r>
      <w:r w:rsidR="0076666D" w:rsidRPr="00CF6F48">
        <w:rPr>
          <w:iCs/>
          <w:sz w:val="20"/>
        </w:rPr>
        <w:t xml:space="preserve"> </w:t>
      </w:r>
      <w:r w:rsidRPr="00CF6F48">
        <w:rPr>
          <w:iCs/>
          <w:sz w:val="20"/>
        </w:rPr>
        <w:t xml:space="preserve">One finding is that the students’ problem-solving subscales in a CTS </w:t>
      </w:r>
      <w:r w:rsidRPr="00CF6F48">
        <w:rPr>
          <w:iCs/>
          <w:sz w:val="20"/>
        </w:rPr>
        <w:lastRenderedPageBreak/>
        <w:t xml:space="preserve">questionnaire are lower than other subscales is similar to what </w:t>
      </w:r>
      <w:proofErr w:type="spellStart"/>
      <w:r w:rsidRPr="00CF6F48">
        <w:rPr>
          <w:iCs/>
          <w:sz w:val="20"/>
        </w:rPr>
        <w:t>Korkmaz</w:t>
      </w:r>
      <w:proofErr w:type="spellEnd"/>
      <w:r w:rsidRPr="00CF6F48">
        <w:rPr>
          <w:iCs/>
          <w:sz w:val="20"/>
        </w:rPr>
        <w:t xml:space="preserve"> et al.</w:t>
      </w:r>
      <w:r w:rsidRPr="00CF6F48">
        <w:rPr>
          <w:iCs/>
          <w:sz w:val="20"/>
        </w:rPr>
        <w:fldChar w:fldCharType="begin" w:fldLock="1"/>
      </w:r>
      <w:r w:rsidRPr="00CF6F48">
        <w:rPr>
          <w:iCs/>
          <w:sz w:val="20"/>
        </w:rPr>
        <w:instrText>ADDIN CSL_CITATION { "citationItems" : [ { "id" : "ITEM-1", "itemData" : { "author" : [ { "dropping-particle" : "", "family" : "Korkmaz", "given" : "\u00d6zgen", "non-dropping-particle" : "", "parse-names" : false, "suffix" : "" }, { "dropping-particle" : "", "family" : "\u00c7ak\u0131r", "given" : "Recep", "non-dropping-particle" : "", "parse-names" : false, "suffix" : "" }, { "dropping-particle" : "", "family" : "\u00d6zden", "given" : "Ya\u015far", "non-dropping-particle" : "", "parse-names" : false, "suffix" : "" } ], "container-title" : "Gazi Journal of Education Sciences", "id" : "ITEM-1", "issued" : { "date-parts" : [ [ "2015" ] ] }, "page" : "143-162", "title" : "Computational Thinking Levels Scale (CTLS) Adaptation for Secondary School Level", "type" : "article-journal" }, "uris" : [ "http://www.mendeley.com/documents/?uuid=058cb80c-3b86-49cb-81e3-6ade583f5b26" ] } ], "mendeley" : { "formattedCitation" : "(Korkmaz, \u00c7ak\u0131r, &amp; \u00d6zden, 2015)", "manualFormatting" : "(2015)", "plainTextFormattedCitation" : "(Korkmaz, \u00c7ak\u0131r, &amp; \u00d6zden, 2015)", "previouslyFormattedCitation" : "(Korkmaz, \u00c7ak\u0131r, &amp; \u00d6zden, 2015)" }, "properties" : { "noteIndex" : 0 }, "schema" : "https://github.com/citation-style-language/schema/raw/master/csl-citation.json" }</w:instrText>
      </w:r>
      <w:r w:rsidRPr="00CF6F48">
        <w:rPr>
          <w:iCs/>
          <w:sz w:val="20"/>
        </w:rPr>
        <w:fldChar w:fldCharType="separate"/>
      </w:r>
      <w:proofErr w:type="gramStart"/>
      <w:r w:rsidRPr="00CF6F48">
        <w:rPr>
          <w:iCs/>
          <w:noProof/>
          <w:sz w:val="20"/>
        </w:rPr>
        <w:t>(2015)</w:t>
      </w:r>
      <w:r w:rsidRPr="00CF6F48">
        <w:rPr>
          <w:iCs/>
          <w:sz w:val="20"/>
        </w:rPr>
        <w:fldChar w:fldCharType="end"/>
      </w:r>
      <w:r w:rsidRPr="00CF6F48">
        <w:rPr>
          <w:iCs/>
          <w:sz w:val="20"/>
        </w:rPr>
        <w:t>, the authors of the CTS instrument found.</w:t>
      </w:r>
      <w:proofErr w:type="gramEnd"/>
      <w:r w:rsidRPr="00CF6F48">
        <w:rPr>
          <w:iCs/>
          <w:sz w:val="20"/>
        </w:rPr>
        <w:t xml:space="preserve"> This might indicate that the participants were </w:t>
      </w:r>
      <w:r w:rsidR="00C774D2" w:rsidRPr="00CF6F48">
        <w:rPr>
          <w:iCs/>
          <w:sz w:val="20"/>
        </w:rPr>
        <w:t>less confident in their problem-</w:t>
      </w:r>
      <w:r w:rsidRPr="00CF6F48">
        <w:rPr>
          <w:iCs/>
          <w:sz w:val="20"/>
        </w:rPr>
        <w:t>solving skills</w:t>
      </w:r>
      <w:r w:rsidR="00C774D2" w:rsidRPr="00CF6F48">
        <w:rPr>
          <w:iCs/>
          <w:sz w:val="20"/>
        </w:rPr>
        <w:t>.</w:t>
      </w:r>
      <w:r w:rsidRPr="00CF6F48">
        <w:rPr>
          <w:iCs/>
          <w:sz w:val="20"/>
        </w:rPr>
        <w:t xml:space="preserve"> </w:t>
      </w:r>
      <w:r w:rsidR="00C774D2" w:rsidRPr="00CF6F48">
        <w:rPr>
          <w:iCs/>
          <w:sz w:val="20"/>
        </w:rPr>
        <w:t>H</w:t>
      </w:r>
      <w:r w:rsidRPr="00CF6F48">
        <w:rPr>
          <w:iCs/>
          <w:sz w:val="20"/>
        </w:rPr>
        <w:t>owever</w:t>
      </w:r>
      <w:r w:rsidR="00C774D2" w:rsidRPr="00CF6F48">
        <w:rPr>
          <w:iCs/>
          <w:sz w:val="20"/>
        </w:rPr>
        <w:t>,</w:t>
      </w:r>
      <w:r w:rsidRPr="00CF6F48">
        <w:rPr>
          <w:iCs/>
          <w:sz w:val="20"/>
        </w:rPr>
        <w:t xml:space="preserve"> self-reported measures do not actually show that they can affect their problem-solving abilities </w:t>
      </w:r>
      <w:r w:rsidRPr="00CF6F48">
        <w:rPr>
          <w:iCs/>
          <w:sz w:val="20"/>
        </w:rPr>
        <w:fldChar w:fldCharType="begin" w:fldLock="1"/>
      </w:r>
      <w:r w:rsidRPr="00CF6F48">
        <w:rPr>
          <w:iCs/>
          <w:sz w:val="20"/>
        </w:rPr>
        <w:instrText>ADDIN CSL_CITATION { "citationItems" : [ { "id" : "ITEM-1", "itemData" : { "DOI" : "10.2200/S00684ED1V01Y201511HCI033", "ISBN" : "9781627053518", "ISSN" : "1946-7680", "abstract" : "Abstract Computing education is in enormous demand. Many students (both children and adult) are realizing that they will need programming in the future. This book presents the argument that they are not all going to use programming in the same way and for the same purposes. What do we mean when we talk about teaching everyone to program? When we target a broad audience, should we have the same goals as computer science education for professional software developers? How do we design computing education that works for everyone? This book proposes use of a learner-centered design approach to create computing education for a broad audience. It considers several reasons for teaching computing to everyone and how the different reasons lead to different choices about learning goals and teaching methods. The book reviews the history of the idea that programming isn't just for the professional software developer. It uses research studies on teaching computing in liberal arts programs, to graphic designers, to hig...", "author" : [ { "dropping-particle" : "", "family" : "Guzdial", "given" : "Mark", "non-dropping-particle" : "", "parse-names" : false, "suffix" : "" } ], "container-title" : "Synthesis Lectures on Human-Centered Informatics", "id" : "ITEM-1", "issue" : "6", "issued" : { "date-parts" : [ [ "2015" ] ] }, "page" : "1-165", "title" : "Learner-Centered Design of Computing Education: Research on Computing for Everyone", "type" : "article-journal", "volume" : "8" }, "uris" : [ "http://www.mendeley.com/documents/?uuid=f01b175e-9a2d-4e4f-97fc-e4d7be173bcc" ] } ], "mendeley" : { "formattedCitation" : "(Guzdial, 2015)", "plainTextFormattedCitation" : "(Guzdial, 2015)", "previouslyFormattedCitation" : "(Guzdial, 2015)" }, "properties" : { "noteIndex" : 0 }, "schema" : "https://github.com/citation-style-language/schema/raw/master/csl-citation.json" }</w:instrText>
      </w:r>
      <w:r w:rsidRPr="00CF6F48">
        <w:rPr>
          <w:iCs/>
          <w:sz w:val="20"/>
        </w:rPr>
        <w:fldChar w:fldCharType="separate"/>
      </w:r>
      <w:r w:rsidRPr="00CF6F48">
        <w:rPr>
          <w:iCs/>
          <w:noProof/>
          <w:sz w:val="20"/>
        </w:rPr>
        <w:t>(Guzdial, 2015)</w:t>
      </w:r>
      <w:r w:rsidRPr="00CF6F48">
        <w:rPr>
          <w:iCs/>
          <w:sz w:val="20"/>
        </w:rPr>
        <w:fldChar w:fldCharType="end"/>
      </w:r>
      <w:r w:rsidRPr="00CF6F48">
        <w:rPr>
          <w:b/>
          <w:iCs/>
          <w:sz w:val="20"/>
        </w:rPr>
        <w:t>.</w:t>
      </w:r>
      <w:r w:rsidR="0076666D" w:rsidRPr="00CF6F48">
        <w:rPr>
          <w:b/>
          <w:iCs/>
          <w:sz w:val="20"/>
        </w:rPr>
        <w:t xml:space="preserve"> </w:t>
      </w:r>
      <w:r w:rsidR="00C774D2" w:rsidRPr="00CF6F48">
        <w:rPr>
          <w:iCs/>
          <w:sz w:val="20"/>
        </w:rPr>
        <w:t>Results show</w:t>
      </w:r>
      <w:r w:rsidR="00633C3D" w:rsidRPr="00CF6F48">
        <w:rPr>
          <w:iCs/>
          <w:sz w:val="20"/>
        </w:rPr>
        <w:t xml:space="preserve"> that</w:t>
      </w:r>
      <w:r w:rsidRPr="00CF6F48">
        <w:rPr>
          <w:iCs/>
          <w:sz w:val="20"/>
        </w:rPr>
        <w:t xml:space="preserve"> the informatics score </w:t>
      </w:r>
      <w:r w:rsidR="00633C3D" w:rsidRPr="00CF6F48">
        <w:rPr>
          <w:iCs/>
          <w:sz w:val="20"/>
        </w:rPr>
        <w:t>is</w:t>
      </w:r>
      <w:r w:rsidRPr="00CF6F48">
        <w:rPr>
          <w:iCs/>
          <w:sz w:val="20"/>
        </w:rPr>
        <w:t xml:space="preserve"> not significant </w:t>
      </w:r>
      <w:r w:rsidR="00C774D2" w:rsidRPr="00CF6F48">
        <w:rPr>
          <w:iCs/>
          <w:sz w:val="20"/>
        </w:rPr>
        <w:t xml:space="preserve">in </w:t>
      </w:r>
      <w:r w:rsidRPr="00CF6F48">
        <w:rPr>
          <w:iCs/>
          <w:sz w:val="20"/>
        </w:rPr>
        <w:t>be</w:t>
      </w:r>
      <w:r w:rsidR="00C774D2" w:rsidRPr="00CF6F48">
        <w:rPr>
          <w:iCs/>
          <w:sz w:val="20"/>
        </w:rPr>
        <w:t>ing</w:t>
      </w:r>
      <w:r w:rsidRPr="00CF6F48">
        <w:rPr>
          <w:iCs/>
          <w:sz w:val="20"/>
        </w:rPr>
        <w:t xml:space="preserve"> a predictor of </w:t>
      </w:r>
      <w:r w:rsidR="00633C3D" w:rsidRPr="00CF6F48">
        <w:rPr>
          <w:iCs/>
          <w:sz w:val="20"/>
        </w:rPr>
        <w:t xml:space="preserve">students’ </w:t>
      </w:r>
      <w:r w:rsidRPr="00CF6F48">
        <w:rPr>
          <w:iCs/>
          <w:sz w:val="20"/>
        </w:rPr>
        <w:t>computational thinking performance</w:t>
      </w:r>
      <w:r w:rsidR="0076666D" w:rsidRPr="00CF6F48">
        <w:rPr>
          <w:iCs/>
          <w:sz w:val="20"/>
        </w:rPr>
        <w:t xml:space="preserve"> (RQ3)</w:t>
      </w:r>
      <w:r w:rsidRPr="00CF6F48">
        <w:rPr>
          <w:iCs/>
          <w:sz w:val="20"/>
        </w:rPr>
        <w:t>. As we explore the informatics annual plan for 8</w:t>
      </w:r>
      <w:r w:rsidRPr="00CF6F48">
        <w:rPr>
          <w:iCs/>
          <w:sz w:val="20"/>
          <w:vertAlign w:val="superscript"/>
        </w:rPr>
        <w:t>th</w:t>
      </w:r>
      <w:r w:rsidRPr="00CF6F48">
        <w:rPr>
          <w:iCs/>
          <w:sz w:val="20"/>
        </w:rPr>
        <w:t xml:space="preserve"> graders, we see that there </w:t>
      </w:r>
      <w:proofErr w:type="gramStart"/>
      <w:r w:rsidRPr="00CF6F48">
        <w:rPr>
          <w:iCs/>
          <w:sz w:val="20"/>
        </w:rPr>
        <w:t>are not only programming</w:t>
      </w:r>
      <w:proofErr w:type="gramEnd"/>
      <w:r w:rsidRPr="00CF6F48">
        <w:rPr>
          <w:iCs/>
          <w:sz w:val="20"/>
        </w:rPr>
        <w:t xml:space="preserve"> but also other topics, such as measuring data, hardware network and spreadsheets. Although students are familiar with programming skills, perhaps they were not simply engaged in programming activities during data collection in this study. The finding of this study that general school achievement and algebra score are significant predictors of computational thi</w:t>
      </w:r>
      <w:r w:rsidR="00C774D2" w:rsidRPr="00CF6F48">
        <w:rPr>
          <w:iCs/>
          <w:sz w:val="20"/>
        </w:rPr>
        <w:t>n</w:t>
      </w:r>
      <w:r w:rsidRPr="00CF6F48">
        <w:rPr>
          <w:iCs/>
          <w:sz w:val="20"/>
        </w:rPr>
        <w:t>king corresponds to the idea that computational thinking skills are closely related to problem-solving</w:t>
      </w:r>
      <w:r w:rsidR="002E780D" w:rsidRPr="00CF6F48">
        <w:rPr>
          <w:iCs/>
          <w:sz w:val="20"/>
        </w:rPr>
        <w:t xml:space="preserve"> </w:t>
      </w:r>
      <w:r w:rsidR="002E780D" w:rsidRPr="00CF6F48">
        <w:rPr>
          <w:iCs/>
          <w:sz w:val="20"/>
        </w:rPr>
        <w:fldChar w:fldCharType="begin" w:fldLock="1"/>
      </w:r>
      <w:r w:rsidR="00F40BBD" w:rsidRPr="00CF6F48">
        <w:rPr>
          <w:iCs/>
          <w:sz w:val="20"/>
        </w:rPr>
        <w:instrText>ADDIN CSL_CITATION { "citationItems" : [ { "id" : "ITEM-1", "itemData" : { "DOI" : "10.1016/j.chb.2016.08.047", "ISSN" : "07475632", "abstract" : "Computational thinking (CT) is being located at the focus of educational innovation, as a set of problem-solving skills that must be acquired by the new generations of students to thrive in a digital world full of objects driven by software. However, there is still no consensus on a CT definition or how to measure it. In response, we attempt to address both issues from a psychometric approach. On the one hand, a Computational Thinking Test (CTt) is administered on a sample of 1,251 Spanish students from 5th to 10th grade, so its descriptive statistics and reliability are reported in this paper. On the second hand, the criterion validity of the CTt is studied with respect to other standardized psychological tests: the Primary Mental Abilities (PMA) battery, and the RP30 problem-solving test. Thus, it is intended to provide a new instrument for CT measurement and additionally give evidence of the nature of CT through its associations with key related psychological constructs. Results show statistically significant correlations at least moderately intense between CT and: spatial ability (r\u00a0=\u00a00.44), reasoning ability (r\u00a0=\u00a00.44), and problem-solving ability (r\u00a0=\u00a00.67). These results are consistent with recent theoretical proposals linking CT to some components of the Cattel-Horn-Carroll (CHC) model of intelligence, and corroborate the conceptualization of CT as a problem-solving ability.", "author" : [ { "dropping-particle" : "", "family" : "Rom\u00e1n-Gonz\u00e1lez", "given" : "Marcos", "non-dropping-particle" : "", "parse-names" : false, "suffix" : "" }, { "dropping-particle" : "", "family" : "P\u00e9rez-Gonz\u00e1lez", "given" : "Juan-Carlos", "non-dropping-particle" : "", "parse-names" : false, "suffix" : "" }, { "dropping-particle" : "", "family" : "Jim\u00e9nez-Fern\u00e1ndez", "given" : "Carmen", "non-dropping-particle" : "", "parse-names" : false, "suffix" : "" } ], "container-title" : "Computers in Human Behavior", "id" : "ITEM-1", "issued" : { "date-parts" : [ [ "2016" ] ] }, "title" : "Which cognitive abilities underlie computational thinking? Criterion validity of the Computational Thinking Test", "type" : "article-journal" }, "uris" : [ "http://www.mendeley.com/documents/?uuid=9e1baf51-3fc9-3700-a413-d43511c651f1" ] } ], "mendeley" : { "formattedCitation" : "(Rom\u00e1n-Gonz\u00e1lez et al., 2016)", "plainTextFormattedCitation" : "(Rom\u00e1n-Gonz\u00e1lez et al., 2016)", "previouslyFormattedCitation" : "(Rom\u00e1n-Gonz\u00e1lez et al., 2016)" }, "properties" : { "noteIndex" : 0 }, "schema" : "https://github.com/citation-style-language/schema/raw/master/csl-citation.json" }</w:instrText>
      </w:r>
      <w:r w:rsidR="002E780D" w:rsidRPr="00CF6F48">
        <w:rPr>
          <w:iCs/>
          <w:sz w:val="20"/>
        </w:rPr>
        <w:fldChar w:fldCharType="separate"/>
      </w:r>
      <w:r w:rsidR="00517150" w:rsidRPr="00CF6F48">
        <w:rPr>
          <w:iCs/>
          <w:noProof/>
          <w:sz w:val="20"/>
        </w:rPr>
        <w:t>(Román-González et al., 2016)</w:t>
      </w:r>
      <w:r w:rsidR="002E780D" w:rsidRPr="00CF6F48">
        <w:rPr>
          <w:iCs/>
          <w:sz w:val="20"/>
        </w:rPr>
        <w:fldChar w:fldCharType="end"/>
      </w:r>
      <w:r w:rsidRPr="00CF6F48">
        <w:rPr>
          <w:iCs/>
          <w:sz w:val="20"/>
        </w:rPr>
        <w:t xml:space="preserve"> and academic success </w:t>
      </w:r>
      <w:r w:rsidRPr="00CF6F48">
        <w:rPr>
          <w:iCs/>
          <w:sz w:val="20"/>
        </w:rPr>
        <w:fldChar w:fldCharType="begin" w:fldLock="1"/>
      </w:r>
      <w:r w:rsidR="00F40BBD" w:rsidRPr="00CF6F48">
        <w:rPr>
          <w:iCs/>
          <w:sz w:val="20"/>
        </w:rPr>
        <w:instrText>ADDIN CSL_CITATION { "citationItems" : [ { "id" : "ITEM-1", "itemData" : { "DOI" : "10.1145/2513456.2513484", "abstract" : "Computational thinking, a form of thinking and problem solving within computer science, has become a popular focus of research on computer science education. In this paper, we attempt to investigate the role that computational thinking plays in the experience of introductory computer science students at a South African university. To this end, we have designed and administered a test for computational thinking ability, and contrasted the results of this test with the class marks for the students involved. The results of this test give us an initial view of the abilities that students possess when entering the computer science course. The results indicate that students who performed well in the assessment have a favourable pass rate for their class tests, and specific areas of weakness have been identified. Finally, we describe the plan for a follow-up test to take place at the end of the course to determine how students' abilities have changed over a semester of studies.", "author" : [ { "dropping-particle" : "", "family" : "Gouws", "given" : "Lindsey", "non-dropping-particle" : "", "parse-names" : false, "suffix" : "" }, { "dropping-particle" : "", "family" : "Bradshaw", "given" : "Karen", "non-dropping-particle" : "", "parse-names" : false, "suffix" : "" }, { "dropping-particle" : "", "family" : "Wentworth", "given" : "Peter", "non-dropping-particle" : "", "parse-names" : false, "suffix" : "" } ], "container-title" : "ACM International Conference Proceeding Series", "id" : "ITEM-1", "issued" : { "date-parts" : [ [ "2013" ] ] }, "page" : "271 - 277", "title" : "First year student performance in a test for computational thinking", "type" : "article-journal" }, "uris" : [ "http://www.mendeley.com/documents/?uuid=095df0c1-5d2d-40dd-8b67-a805d233817a" ] }, { "id" : "ITEM-2", "itemData" : { "ISBN" : "9781618042972", "ISSN" : "1098-6596", "PMID" : "25246403", "author" : [ { "dropping-particle" : "", "family" : "Ambrosio", "given" : "Ana Paula", "non-dropping-particle" : "", "parse-names" : false, "suffix" : "" }, { "dropping-particle" : "", "family" : "Almeida", "given" : "Leandro da Silva", "non-dropping-particle" : "", "parse-names" : false, "suffix" : "" }, { "dropping-particle" : "", "family" : "Franco", "given" : "Amanda", "non-dropping-particle" : "", "parse-names" : false, "suffix" : "" }, { "dropping-particle" : "", "family" : "Macedo", "given" : "Joaquim", "non-dropping-particle" : "", "parse-names" : false, "suffix" : "" } ], "container-title" : "PPIG 2014 - 25th Annual Workshop", "id" : "ITEM-2", "issued" : { "date-parts" : [ [ "2014" ] ] }, "publisher" : "University of Sussex", "publisher-place" : "Sussex", "title" : "Exploring Core Cognitive Skills of Computational Thinking", "type" : "paper-conference" }, "uris" : [ "http://www.mendeley.com/documents/?uuid=fa22ed14-0622-4d6f-8e4f-9eed07e41c29" ] }, { "id" : "ITEM-3", "itemData" : { "DOI" : "10.1016/j.compedu.2017.09.004", "ISSN" : "03601315", "author" : [ { "dropping-particle" : "", "family" : "Durak", "given" : "Hatice Yildiz", "non-dropping-particle" : "", "parse-names" : false, "suffix" : "" }, { "dropping-particle" : "", "family" : "Saritepeci", "given" : "Mustafa", "non-dropping-particle" : "", "parse-names" : false, "suffix" : "" } ], "container-title" : "Computers &amp; Education", "id" : "ITEM-3", "issued" : { "date-parts" : [ [ "2017" ] ] }, "page" : "191-202", "publisher" : "Elsevier Ltd", "title" : "Analysis of the relation between computational thinking skills and various variables with the structural equation model", "type" : "article-journal", "volume" : "116" }, "uris" : [ "http://www.mendeley.com/documents/?uuid=39389eb8-9ad0-4b73-8332-adddc346f4d1" ] } ], "mendeley" : { "formattedCitation" : "(Ambrosio et al., 2014; Durak &amp; Saritepeci, 2017; Gouws et al., 2013)", "plainTextFormattedCitation" : "(Ambrosio et al., 2014; Durak &amp; Saritepeci, 2017; Gouws et al., 2013)", "previouslyFormattedCitation" : "(Ambrosio et al., 2014; Durak &amp; Saritepeci, 2017; Gouws et al., 2013)" }, "properties" : { "noteIndex" : 0 }, "schema" : "https://github.com/citation-style-language/schema/raw/master/csl-citation.json" }</w:instrText>
      </w:r>
      <w:r w:rsidRPr="00CF6F48">
        <w:rPr>
          <w:iCs/>
          <w:sz w:val="20"/>
        </w:rPr>
        <w:fldChar w:fldCharType="separate"/>
      </w:r>
      <w:r w:rsidR="00517150" w:rsidRPr="00CF6F48">
        <w:rPr>
          <w:iCs/>
          <w:noProof/>
          <w:sz w:val="20"/>
        </w:rPr>
        <w:t>(Ambrosio et al., 2014; Durak &amp; Saritepeci, 2017; Gouws et al., 2013)</w:t>
      </w:r>
      <w:r w:rsidRPr="00CF6F48">
        <w:rPr>
          <w:iCs/>
          <w:sz w:val="20"/>
        </w:rPr>
        <w:fldChar w:fldCharType="end"/>
      </w:r>
      <w:r w:rsidRPr="00CF6F48">
        <w:rPr>
          <w:iCs/>
          <w:sz w:val="20"/>
        </w:rPr>
        <w:t xml:space="preserve">.  </w:t>
      </w:r>
    </w:p>
    <w:p w14:paraId="2636E7CB" w14:textId="753E7E49" w:rsidR="0039370D" w:rsidRPr="00CF6F48" w:rsidRDefault="003A11A5" w:rsidP="003A11A5">
      <w:pPr>
        <w:spacing w:after="80" w:line="240" w:lineRule="exact"/>
        <w:rPr>
          <w:iCs/>
          <w:sz w:val="20"/>
        </w:rPr>
      </w:pPr>
      <w:r w:rsidRPr="00CF6F48">
        <w:rPr>
          <w:iCs/>
          <w:sz w:val="20"/>
        </w:rPr>
        <w:t xml:space="preserve">All the multiple-choice questions were carefully designed to measure the higher-order thinking, specifically the level of computational thinking of 8th grade students, as multiple-choice items are efficient method for large-scale studies </w:t>
      </w:r>
      <w:r w:rsidRPr="00CF6F48">
        <w:rPr>
          <w:iCs/>
          <w:sz w:val="20"/>
        </w:rPr>
        <w:fldChar w:fldCharType="begin" w:fldLock="1"/>
      </w:r>
      <w:r w:rsidRPr="00CF6F48">
        <w:rPr>
          <w:iCs/>
          <w:sz w:val="20"/>
        </w:rPr>
        <w:instrText>ADDIN CSL_CITATION { "citationItems" : [ { "id" : "ITEM-1", "itemData" : { "DOI" : "10.1119/1.1466554", "ISBN" : "0031-921X", "ISSN" : "0031-921X", "abstract" : "A detailed example is used to illustrate the difficulties making sense of students' answers to multiple-choice questions. We explore how correct answers can be false indicators of student knowledge and understanding. We caution against excessive reliance on multiple-choice questions for instructional decisions.", "author" : [ { "dropping-particle" : "", "family" : "Dufresne", "given" : "Robert J.", "non-dropping-particle" : "", "parse-names" : false, "suffix" : "" }, { "dropping-particle" : "", "family" : "Leonard", "given" : "William J.", "non-dropping-particle" : "", "parse-names" : false, "suffix" : "" }, { "dropping-particle" : "", "family" : "Gerace", "given" : "William J.", "non-dropping-particle" : "", "parse-names" : false, "suffix" : "" } ], "container-title" : "The Physics Teacher", "id" : "ITEM-1", "issue" : "3", "issued" : { "date-parts" : [ [ "2002" ] ] }, "page" : "174-180", "title" : "Marking sense of students' answers to multiple-choice questions", "type" : "article-journal", "volume" : "40" }, "uris" : [ "http://www.mendeley.com/documents/?uuid=cf0f9a06-3307-4461-bffb-bf1447ce5af4" ] }, { "id" : "ITEM-2", "itemData" : { "DOI" : "10.1111/j.1475-4932.1999.tb02571.x", "ISBN" : "0013-0249", "ISSN" : "0013-0249", "abstract" : "Efficiency considerations have led to increased use of multiple-choice questions to assess economics understanding at the secondary and tertiary levels throughout Australia. A multiple-choice test would suffice if multiple-choice and essay questions measure the same dimensions of knowledge, as suggested by least squares estimation of the relationship between these two forms of testing. We show a simultaneous equation bias inherent in least squares estimation of the relationship between these two forms. A two-stage least squares estimation reveals no relationship, implying that these testing forms measure different dimensions of knowledge. Thus, a single form of testing economics knowledge must be avoided.", "author" : [ { "dropping-particle" : "", "family" : "Becker", "given" : "William E.", "non-dropping-particle" : "", "parse-names" : false, "suffix" : "" }, { "dropping-particle" : "", "family" : "Johnston", "given" : "Carol G.", "non-dropping-particle" : "", "parse-names" : false, "suffix" : "" } ], "container-title" : "Economic Record", "id" : "ITEM-2", "issue" : "231", "issued" : { "date-parts" : [ [ "1999" ] ] }, "page" : "348-357", "title" : "The Relationship between Multiple Choice and Essay Response Questions in Assessing Economics Understanding", "type" : "article-journal", "volume" : "75" }, "uris" : [ "http://www.mendeley.com/documents/?uuid=1fe5d8b7-a320-4498-a306-408c3b5f94d7" ] } ], "mendeley" : { "formattedCitation" : "(Becker &amp; Johnston, 1999; Dufresne et al., 2002)", "plainTextFormattedCitation" : "(Becker &amp; Johnston, 1999; Dufresne et al., 2002)", "previouslyFormattedCitation" : "(Becker &amp; Johnston, 1999; Dufresne et al., 2002)" }, "properties" : { "noteIndex" : 0 }, "schema" : "https://github.com/citation-style-language/schema/raw/master/csl-citation.json" }</w:instrText>
      </w:r>
      <w:r w:rsidRPr="00CF6F48">
        <w:rPr>
          <w:iCs/>
          <w:sz w:val="20"/>
        </w:rPr>
        <w:fldChar w:fldCharType="separate"/>
      </w:r>
      <w:r w:rsidRPr="00CF6F48">
        <w:rPr>
          <w:iCs/>
          <w:noProof/>
          <w:sz w:val="20"/>
        </w:rPr>
        <w:t>(Becker &amp; Johnston, 1999; Dufresne et al., 2002)</w:t>
      </w:r>
      <w:r w:rsidRPr="00CF6F48">
        <w:rPr>
          <w:iCs/>
          <w:sz w:val="20"/>
        </w:rPr>
        <w:fldChar w:fldCharType="end"/>
      </w:r>
      <w:r w:rsidRPr="00CF6F48">
        <w:rPr>
          <w:iCs/>
          <w:sz w:val="20"/>
        </w:rPr>
        <w:t xml:space="preserve">. </w:t>
      </w:r>
      <w:r w:rsidR="003E4E38" w:rsidRPr="00CF6F48">
        <w:rPr>
          <w:iCs/>
          <w:sz w:val="20"/>
        </w:rPr>
        <w:t xml:space="preserve">However, applying computing ideas in daily problems by transferring the knowledge of computing into real life problems is hard to prove </w:t>
      </w:r>
      <w:r w:rsidR="003E4E38" w:rsidRPr="00CF6F48">
        <w:rPr>
          <w:iCs/>
          <w:sz w:val="20"/>
        </w:rPr>
        <w:fldChar w:fldCharType="begin" w:fldLock="1"/>
      </w:r>
      <w:r w:rsidR="003E4E38" w:rsidRPr="00CF6F48">
        <w:rPr>
          <w:iCs/>
          <w:sz w:val="20"/>
        </w:rPr>
        <w:instrText>ADDIN CSL_CITATION { "citationItems" : [ { "id" : "ITEM-1", "itemData" : { "DOI" : "10.2200/S00684ED1V01Y201511HCI033", "ISBN" : "9781627053518", "ISSN" : "1946-7680", "abstract" : "Abstract Computing education is in enormous demand. Many students (both children and adult) are realizing that they will need programming in the future. This book presents the argument that they are not all going to use programming in the same way and for the same purposes. What do we mean when we talk about teaching everyone to program? When we target a broad audience, should we have the same goals as computer science education for professional software developers? How do we design computing education that works for everyone? This book proposes use of a learner-centered design approach to create computing education for a broad audience. It considers several reasons for teaching computing to everyone and how the different reasons lead to different choices about learning goals and teaching methods. The book reviews the history of the idea that programming isn't just for the professional software developer. It uses research studies on teaching computing in liberal arts programs, to graphic designers, to hig...", "author" : [ { "dropping-particle" : "", "family" : "Guzdial", "given" : "Mark", "non-dropping-particle" : "", "parse-names" : false, "suffix" : "" } ], "container-title" : "Synthesis Lectures on Human-Centered Informatics", "id" : "ITEM-1", "issue" : "6", "issued" : { "date-parts" : [ [ "2015" ] ] }, "page" : "1-165", "title" : "Learner-Centered Design of Computing Education: Research on Computing for Everyone", "type" : "article-journal", "volume" : "8" }, "uris" : [ "http://www.mendeley.com/documents/?uuid=f01b175e-9a2d-4e4f-97fc-e4d7be173bcc" ] } ], "mendeley" : { "formattedCitation" : "(Guzdial, 2015)", "plainTextFormattedCitation" : "(Guzdial, 2015)", "previouslyFormattedCitation" : "(Guzdial, 2015)" }, "properties" : { "noteIndex" : 0 }, "schema" : "https://github.com/citation-style-language/schema/raw/master/csl-citation.json" }</w:instrText>
      </w:r>
      <w:r w:rsidR="003E4E38" w:rsidRPr="00CF6F48">
        <w:rPr>
          <w:iCs/>
          <w:sz w:val="20"/>
        </w:rPr>
        <w:fldChar w:fldCharType="separate"/>
      </w:r>
      <w:r w:rsidR="003E4E38" w:rsidRPr="00CF6F48">
        <w:rPr>
          <w:iCs/>
          <w:noProof/>
          <w:sz w:val="20"/>
        </w:rPr>
        <w:t>(Guzdial, 2015)</w:t>
      </w:r>
      <w:r w:rsidR="003E4E38" w:rsidRPr="00CF6F48">
        <w:rPr>
          <w:iCs/>
          <w:sz w:val="20"/>
        </w:rPr>
        <w:fldChar w:fldCharType="end"/>
      </w:r>
      <w:r w:rsidR="003E4E38" w:rsidRPr="00CF6F48">
        <w:rPr>
          <w:iCs/>
          <w:sz w:val="20"/>
        </w:rPr>
        <w:t>.</w:t>
      </w:r>
    </w:p>
    <w:p w14:paraId="0A45FAEF" w14:textId="195A2F16" w:rsidR="004901BF" w:rsidRPr="00CF6F48" w:rsidRDefault="0039370D" w:rsidP="004901BF">
      <w:pPr>
        <w:spacing w:after="80" w:line="240" w:lineRule="exact"/>
        <w:rPr>
          <w:iCs/>
          <w:sz w:val="20"/>
        </w:rPr>
      </w:pPr>
      <w:r w:rsidRPr="00CF6F48">
        <w:rPr>
          <w:iCs/>
          <w:sz w:val="20"/>
        </w:rPr>
        <w:t>The limitation</w:t>
      </w:r>
      <w:r w:rsidR="003A11A5" w:rsidRPr="00CF6F48">
        <w:rPr>
          <w:iCs/>
          <w:sz w:val="20"/>
        </w:rPr>
        <w:t xml:space="preserve"> </w:t>
      </w:r>
      <w:r w:rsidRPr="00CF6F48">
        <w:rPr>
          <w:iCs/>
          <w:sz w:val="20"/>
        </w:rPr>
        <w:t xml:space="preserve">of </w:t>
      </w:r>
      <w:r w:rsidR="003A11A5" w:rsidRPr="00CF6F48">
        <w:rPr>
          <w:iCs/>
          <w:sz w:val="20"/>
        </w:rPr>
        <w:t xml:space="preserve">multiple-choice questions might </w:t>
      </w:r>
      <w:r w:rsidRPr="00CF6F48">
        <w:rPr>
          <w:iCs/>
          <w:sz w:val="20"/>
        </w:rPr>
        <w:t>be</w:t>
      </w:r>
      <w:r w:rsidR="003A11A5" w:rsidRPr="00CF6F48">
        <w:rPr>
          <w:iCs/>
          <w:sz w:val="20"/>
        </w:rPr>
        <w:t xml:space="preserve"> in </w:t>
      </w:r>
      <w:r w:rsidRPr="00CF6F48">
        <w:rPr>
          <w:iCs/>
          <w:sz w:val="20"/>
        </w:rPr>
        <w:t xml:space="preserve">their </w:t>
      </w:r>
      <w:r w:rsidR="003A11A5" w:rsidRPr="00CF6F48">
        <w:rPr>
          <w:iCs/>
          <w:sz w:val="20"/>
        </w:rPr>
        <w:t xml:space="preserve">diversity and </w:t>
      </w:r>
      <w:r w:rsidRPr="00CF6F48">
        <w:rPr>
          <w:iCs/>
          <w:sz w:val="20"/>
        </w:rPr>
        <w:t xml:space="preserve">that they </w:t>
      </w:r>
      <w:r w:rsidR="003A11A5" w:rsidRPr="00CF6F48">
        <w:rPr>
          <w:iCs/>
          <w:sz w:val="20"/>
        </w:rPr>
        <w:t xml:space="preserve">may not fully assess and reflect complex performance </w:t>
      </w:r>
      <w:r w:rsidR="003A11A5" w:rsidRPr="00CF6F48">
        <w:rPr>
          <w:iCs/>
          <w:sz w:val="20"/>
        </w:rPr>
        <w:fldChar w:fldCharType="begin" w:fldLock="1"/>
      </w:r>
      <w:r w:rsidR="003A11A5" w:rsidRPr="00CF6F48">
        <w:rPr>
          <w:iCs/>
          <w:sz w:val="20"/>
        </w:rPr>
        <w:instrText>ADDIN CSL_CITATION { "citationItems" : [ { "id" : "ITEM-1", "itemData" : { "DOI" : "10.1080/00220973.1994.9943836", "ISBN" : "0022-0973", "ISSN" : "19400683", "abstract" : "Abstract Criticism within the educational community of the multiple-choice format is in no short supply and seems to revolve around an alleged inability of multiplechoice tests to assess higher order thinking skills as well as constructed-response tests measure these skills. To investigate the credibility of such assertions, I constructed the exams for two measurement classes as half multiple choice and half constructed response; the exams contained equal numbers of items in each format written for the knowledge, comprehension, application, and analysis levels of Bloom's taxonomy. A pattern of generally high disattenuated correlations between multiple-choice and constructed-response measures within each taxonomic level was found, indicating that the two formats measure similar constructs at different levels of complexity. Factor analysis corroborated these interpretations.", "author" : [ { "dropping-particle" : "", "family" : "Hancock", "given" : "Gregory R.", "non-dropping-particle" : "", "parse-names" : false, "suffix" : "" } ], "container-title" : "Journal of Experimental Education", "id" : "ITEM-1", "issue" : "2", "issued" : { "date-parts" : [ [ "1994" ] ] }, "page" : "143-157", "title" : "Cognitive complexity and the comparability of multiple-choice and constructed-response test formats", "type" : "article-journal", "volume" : "62" }, "uris" : [ "http://www.mendeley.com/documents/?uuid=7a08f1cf-84b7-44eb-8257-e2e849761d3e" ] }, { "id" : "ITEM-2", "itemData" : { "DOI" : "10.1207/s15326985ep3404_2", "ISBN" : "0046-1520", "ISSN" : "0046-1520", "PMID" : "17979356", "abstract" : "The effects of testing on cognition bear not only on the meaning of what is measured, but also its consequences. Test item formats vary in their typical cognitive demand and in the range of cognitions they sample. Multiple-choice items, in particular, often elicit low-level cognitive processing whereas constructed-response items more often evoke complex think- ing. However, the typical cognitions elicited by differing response formats are less a reflec- tion of the limitations of those formats than they are of typical use. Even when research dem- onstrates that item response formats vary in cognitive features, psychometric characteristics, and costs of administration and scoring, policy implications remain ambiguous because of tradeoffs along these dimensions. No one format is appropriate for all purposes and on all occasions. This article presents the state of the cumulative research bearing on the differen- tial cognitive demand of item formats, and explores implications of the extant research for testing practice.", "author" : [ { "dropping-particle" : "", "family" : "Martinez", "given" : "M. E.", "non-dropping-particle" : "", "parse-names" : false, "suffix" : "" } ], "container-title" : "Educational Psychologist", "id" : "ITEM-2", "issue" : "4", "issued" : { "date-parts" : [ [ "1999" ] ] }, "page" : "207-218", "title" : "Cognition and the question of test item format", "type" : "article-journal", "volume" : "34" }, "uris" : [ "http://www.mendeley.com/documents/?uuid=6a66f674-e8c4-44e6-9dfc-646440db9b0b" ] }, { "id" : "ITEM-3", "itemData" : { "DOI" : "10.1080/713611429", "abstract" : "This article critiques the over-emphasis on multiple choice testing in some large first year classes as well as the poor design and construction of many of these tests, and calls for the use of multiple choice questions as part of a broader and more diverse range of assessment measures. It argues that this kind of testing means that students are not given enough opportunity to develop communicative competence in the discourses of the academic disciplines they are studying.", "author" : [ { "dropping-particle" : "", "family" : "Paxton", "given" : "Moragh", "non-dropping-particle" : "", "parse-names" : false, "suffix" : "" } ], "container-title" : "Assessment and Evaluation in Higher Education", "id" : "ITEM-3", "issue" : "2", "issued" : { "date-parts" : [ [ "2000" ] ] }, "page" : "109-119", "title" : "A linguistic perspective on multiple choice questioning", "type" : "article-journal", "volume" : "25" }, "uris" : [ "http://www.mendeley.com/documents/?uuid=7f37e72c-6538-40fb-8a8d-a51e2c50178b" ] }, { "id" : "ITEM-4", "itemData" : { "DOI" : "10.1111/j.1540-4609.2005.00053.x", "ISBN" : "1", "ISSN" : "1540-4595", "abstract" : "Instructors can use both \u201cmultiple-choice\u201d (MC) and \u201cconstructed response\u201d (CR) questions (such as short answer, essay, or problem-solving questions) to evaluate student understanding of course materials and principles. This article begins by discussing the advantages and concerns of using these alternate test formats and reviews the studies conducted to test the hypothesis (or perhaps better described as the hope) that MC tests, by themselves, perform an adequate job of evaluating student understanding of course materials. Despite research from educational psychology demonstrating the potential for MC tests to measure the same levels of student mastery as CR tests, recent studies in specific educational domains find imperfect relationships between these two performance measures. We suggest that a significant confound in prior experiments has been the treatment of MC questions as homogeneous entities when in fact MC questions may test widely varying levels of student understanding. The primary contribution of the article is a modified research model for CR/MC research based on knowledge-level analyses of MC test banks and CR question sets from basic computer language programming. The analyses are based on an operationalization of Bloom's Taxonomy of Learning Goals for the domain, which is used to develop a skills-focused taxonomy of MC questions. However, we propose that their analyses readily generalize to similar teaching domains of interest to decision sciences educators such as modeling and simulation programming.", "author" : [ { "dropping-particle" : "", "family" : "Simkin", "given" : "Mark G.", "non-dropping-particle" : "", "parse-names" : false, "suffix" : "" }, { "dropping-particle" : "", "family" : "Kuechler", "given" : "William L.", "non-dropping-particle" : "", "parse-names" : false, "suffix" : "" } ], "container-title" : "Decision Sciences Journal of Innovative Education", "id" : "ITEM-4", "issue" : "1", "issued" : { "date-parts" : [ [ "2005" ] ] }, "page" : "73-98", "title" : "Multiple-Choice Tests and Student Understanding: What Is the Connection?", "type" : "article-journal", "volume" : "3" }, "uris" : [ "http://www.mendeley.com/documents/?uuid=e7b6cde2-7145-41e3-a058-e6aad1a44a5b" ] }, { "id" : "ITEM-5", "itemData" : { "DOI" : "10.1016/j.sbspro.2014.09.206", "ISSN" : "1877-0428", "abstract" : "AbstractObjective Multiple-choice and essay exam types are used for assessment of knowledge. The aim of this study was to determine the impact of exam types on student achievement. Method In this study Istanbul Bilim University School of Medicine 1st year students\u2019 (n=66) midterm and final exam results of one course was used. Multiple choice questions were used in midterm exam and essay in final exam. Same four questions were asked as multiple choice in midterm exam while open ended in final exam. Students were divided into two groups. One of two groups constitutes from students answered questions correct in midterm exam and false in final exam. The second group composed of other students. The difference between midterm exam and final exam grade was calculated. Data were analyzed with chi square tests. Significance level was accepted as p&lt; 0.05. Results When assessed for each question separately, large proportion of students whose final exam grades reduced more than 40% was answered the same questions correct in the midterm but false in final exam (for each questions p= 0,000; p= 0,023; p=0,742, p = 0,000 respectively). Conclusion Achievement of students in same questions differed according to exam type. Learning strategies may have an effect in achievement differences. Further research is planned in order to determine relationship between students\u2019 learning strategies, assessment methods and student achievement.", "author" : [ { "dropping-particle" : "", "family" : "Gayef", "given" : "Albena", "non-dropping-particle" : "", "parse-names" : false, "suffix" : "" }, { "dropping-particle" : "", "family" : "Oner", "given" : "Can", "non-dropping-particle" : "", "parse-names" : false, "suffix" : "" }, { "dropping-particle" : "", "family" : "Telatar", "given" : "Berrin", "non-dropping-particle" : "", "parse-names" : false, "suffix" : "" } ], "container-title" : "Procedia - Social and Behavioral Sciences", "id" : "ITEM-5", "issue" : "212", "issued" : { "date-parts" : [ [ "2014" ] ] }, "page" : "339-342", "publisher" : "Elsevier B.V.", "title" : "Is asking same question in different ways has any impact on student achievement?", "type" : "article-journal", "volume" : "152" }, "uris" : [ "http://www.mendeley.com/documents/?uuid=c0e6f5f8-7e96-4984-9379-7e9131d00040" ] } ], "mendeley" : { "formattedCitation" : "(Gayef, Oner, &amp; Telatar, 2014; Hancock, 1994; Martinez, 1999; Paxton, 2000; Simkin &amp; Kuechler, 2005)", "plainTextFormattedCitation" : "(Gayef, Oner, &amp; Telatar, 2014; Hancock, 1994; Martinez, 1999; Paxton, 2000; Simkin &amp; Kuechler, 2005)", "previouslyFormattedCitation" : "(Gayef, Oner, &amp; Telatar, 2014; Hancock, 1994; Martinez, 1999; Paxton, 2000; Simkin &amp; Kuechler, 2005)" }, "properties" : { "noteIndex" : 0 }, "schema" : "https://github.com/citation-style-language/schema/raw/master/csl-citation.json" }</w:instrText>
      </w:r>
      <w:r w:rsidR="003A11A5" w:rsidRPr="00CF6F48">
        <w:rPr>
          <w:iCs/>
          <w:sz w:val="20"/>
        </w:rPr>
        <w:fldChar w:fldCharType="separate"/>
      </w:r>
      <w:r w:rsidR="003A11A5" w:rsidRPr="00CF6F48">
        <w:rPr>
          <w:iCs/>
          <w:noProof/>
          <w:sz w:val="20"/>
        </w:rPr>
        <w:t>(Gayef, Oner, &amp; Telatar, 2014; Hancock, 1994; Martinez, 1999; Paxton, 2000; Simkin &amp; Kuechler, 2005)</w:t>
      </w:r>
      <w:r w:rsidR="003A11A5" w:rsidRPr="00CF6F48">
        <w:rPr>
          <w:iCs/>
          <w:sz w:val="20"/>
        </w:rPr>
        <w:fldChar w:fldCharType="end"/>
      </w:r>
      <w:r w:rsidR="003A11A5" w:rsidRPr="00CF6F48">
        <w:rPr>
          <w:iCs/>
          <w:sz w:val="20"/>
        </w:rPr>
        <w:t xml:space="preserve">. Another limitation might be that the Kazakhstan </w:t>
      </w:r>
      <w:proofErr w:type="gramStart"/>
      <w:r w:rsidR="003A11A5" w:rsidRPr="00CF6F48">
        <w:rPr>
          <w:iCs/>
          <w:sz w:val="20"/>
        </w:rPr>
        <w:t>context make</w:t>
      </w:r>
      <w:proofErr w:type="gramEnd"/>
      <w:r w:rsidR="003A11A5" w:rsidRPr="00CF6F48">
        <w:rPr>
          <w:iCs/>
          <w:sz w:val="20"/>
        </w:rPr>
        <w:t xml:space="preserve"> a difference. All participant students speak English, their science lessons at school are conducted in English and every single question of computational thinking performance test was carefully written using simple English. Nevertheless, the language barrier might also play a role in measuring computational thinking performance as all the test questions were in English for Kazakhstani 8</w:t>
      </w:r>
      <w:r w:rsidR="003A11A5" w:rsidRPr="00CF6F48">
        <w:rPr>
          <w:iCs/>
          <w:sz w:val="20"/>
          <w:vertAlign w:val="superscript"/>
        </w:rPr>
        <w:t>th</w:t>
      </w:r>
      <w:r w:rsidR="003A11A5" w:rsidRPr="00CF6F48">
        <w:rPr>
          <w:iCs/>
          <w:sz w:val="20"/>
        </w:rPr>
        <w:t xml:space="preserve"> grade students.</w:t>
      </w:r>
      <w:r w:rsidR="003E4E38" w:rsidRPr="00CF6F48">
        <w:rPr>
          <w:iCs/>
          <w:sz w:val="20"/>
        </w:rPr>
        <w:t xml:space="preserve"> The sample groups are al from selective schools that means the students’ abilities and performance are higher than other non-selective school students, so the implications from this study might differ to other sample groups.</w:t>
      </w:r>
      <w:r w:rsidR="0066439B" w:rsidRPr="00CF6F48">
        <w:rPr>
          <w:iCs/>
          <w:sz w:val="20"/>
        </w:rPr>
        <w:t xml:space="preserve"> As</w:t>
      </w:r>
      <w:r w:rsidR="003A11A5" w:rsidRPr="00CF6F48">
        <w:rPr>
          <w:iCs/>
          <w:sz w:val="20"/>
        </w:rPr>
        <w:t xml:space="preserve"> </w:t>
      </w:r>
      <w:r w:rsidR="003A11A5" w:rsidRPr="00CF6F48">
        <w:rPr>
          <w:iCs/>
          <w:sz w:val="20"/>
        </w:rPr>
        <w:fldChar w:fldCharType="begin" w:fldLock="1"/>
      </w:r>
      <w:r w:rsidR="003A11A5" w:rsidRPr="00CF6F48">
        <w:rPr>
          <w:iCs/>
          <w:sz w:val="20"/>
        </w:rPr>
        <w:instrText>ADDIN CSL_CITATION { "citationItems" : [ { "id" : "ITEM-1", "itemData" : { "DOI" : "10.1007/s10956-015-9581-5", "ISBN" : "1059-0145", "ISSN" : "15731839", "abstract" : "Science and mathematics are becoming com- putational endeavors. This fact is reflected in the recently released Next Generation Science Standards and the deci- sion to include \u2018\u2018computational thinking\u2019\u2019 as a core scien- tific practice. With this addition, and the increased presence of computation in mathematics and scientific contexts, a new urgency has come to the challenge of defining com- putational thinking and providing a theoretical grounding for what form it should take in school science and math- ematics classrooms. This paper presents a response to this challenge by proposing a definition of computational thinking for mathematics and science in the form of a taxonomy consisting of four main categories: data prac- tices, modeling and simulation practices, computational problem solving practices, and systems thinking practices. In formulating this taxonomy, we draw on the existing computational thinking literature, interviews with mathe- maticians and scientists, and exemplary computational &amp; David Weintrop dweintrop@u.northwestern.edu 1 thinking instructional materials. This work was undertaken as part of a larger effort to infuse computational thinking into high school science and mathematics curricular materials. In this paper, we argue for the approach of embedding computational thinking in mathematics and science contexts, present the taxonomy, and discuss how we envision the taxonomy being used to bring current educational efforts in line with the increasingly computa- tional nature of modern science and mathematics.", "author" : [ { "dropping-particle" : "", "family" : "Weintrop", "given" : "David", "non-dropping-particle" : "", "parse-names" : false, "suffix" : "" }, { "dropping-particle" : "", "family" : "Beheshti", "given" : "Elham", "non-dropping-particle" : "", "parse-names" : false, "suffix" : "" }, { "dropping-particle" : "", "family" : "Horn", "given" : "Michael", "non-dropping-particle" : "", "parse-names" : false, "suffix" : "" }, { "dropping-particle" : "", "family" : "Orton", "given" : "Kai", "non-dropping-particle" : "", "parse-names" : false, "suffix" : "" }, { "dropping-particle" : "", "family" : "Jona", "given" : "Kemi", "non-dropping-particle" : "", "parse-names" : false, "suffix" : "" }, { "dropping-particle" : "", "family" : "Trouille", "given" : "Laura", "non-dropping-particle" : "", "parse-names" : false, "suffix" : "" }, { "dropping-particle" : "", "family" : "Wilensky", "given" : "Uri", "non-dropping-particle" : "", "parse-names" : false, "suffix" : "" } ], "container-title" : "Journal of Science Education and Technology", "id" : "ITEM-1", "issue" : "1", "issued" : { "date-parts" : [ [ "2016" ] ] }, "page" : "127-147", "title" : "Defining Computational Thinking for Mathematics and Science Classrooms", "type" : "article-journal", "volume" : "25" }, "uris" : [ "http://www.mendeley.com/documents/?uuid=af2cb627-8b4d-341c-8f64-9059087b87dd" ] } ], "mendeley" : { "formattedCitation" : "(Weintrop et al., 2016)", "manualFormatting" : "Weintrop et al. (2016)", "plainTextFormattedCitation" : "(Weintrop et al., 2016)", "previouslyFormattedCitation" : "(Weintrop et al., 2016)" }, "properties" : { "noteIndex" : 0 }, "schema" : "https://github.com/citation-style-language/schema/raw/master/csl-citation.json" }</w:instrText>
      </w:r>
      <w:r w:rsidR="003A11A5" w:rsidRPr="00CF6F48">
        <w:rPr>
          <w:iCs/>
          <w:sz w:val="20"/>
        </w:rPr>
        <w:fldChar w:fldCharType="separate"/>
      </w:r>
      <w:r w:rsidR="003A11A5" w:rsidRPr="00CF6F48">
        <w:rPr>
          <w:iCs/>
          <w:noProof/>
          <w:sz w:val="20"/>
        </w:rPr>
        <w:t>Weintrop et al. (2016)</w:t>
      </w:r>
      <w:r w:rsidR="003A11A5" w:rsidRPr="00CF6F48">
        <w:rPr>
          <w:iCs/>
          <w:sz w:val="20"/>
        </w:rPr>
        <w:fldChar w:fldCharType="end"/>
      </w:r>
      <w:r w:rsidR="003A11A5" w:rsidRPr="00CF6F48">
        <w:rPr>
          <w:iCs/>
          <w:sz w:val="20"/>
        </w:rPr>
        <w:t xml:space="preserve"> claim that there are other disciplines that explicitly link with computational thinking concepts</w:t>
      </w:r>
      <w:r w:rsidR="0066439B" w:rsidRPr="00CF6F48">
        <w:rPr>
          <w:iCs/>
          <w:sz w:val="20"/>
        </w:rPr>
        <w:t>,</w:t>
      </w:r>
      <w:r w:rsidR="003A11A5" w:rsidRPr="00CF6F48">
        <w:rPr>
          <w:iCs/>
          <w:sz w:val="20"/>
        </w:rPr>
        <w:t xml:space="preserve"> it is important that students understand these concepts and terms </w:t>
      </w:r>
      <w:r w:rsidR="003A11A5" w:rsidRPr="00CF6F48">
        <w:rPr>
          <w:iCs/>
          <w:sz w:val="20"/>
        </w:rPr>
        <w:fldChar w:fldCharType="begin" w:fldLock="1"/>
      </w:r>
      <w:r w:rsidR="003A11A5" w:rsidRPr="00CF6F48">
        <w:rPr>
          <w:iCs/>
          <w:sz w:val="20"/>
        </w:rPr>
        <w:instrText>ADDIN CSL_CITATION { "citationItems" : [ { "id" : "ITEM-1", "itemData" : { "DOI" : "10.1145/1516046.1516054", "ISBN" : "0001-0782", "ISSN" : "00010782", "abstract" : "If we are not careful, our fascination with \"computational thinking\" may lead us back into the trap we are trying to escape.", "author" : [ { "dropping-particle" : "", "family" : "Denning", "given" : "Peter J.", "non-dropping-particle" : "", "parse-names" : false, "suffix" : "" } ], "container-title" : "Communications of the ACM", "id" : "ITEM-1", "issue" : "6", "issued" : { "date-parts" : [ [ "2009" ] ] }, "page" : "28", "title" : "The profession of IT Beyond computational thinking", "type" : "article-journal", "volume" : "52" }, "uris" : [ "http://www.mendeley.com/documents/?uuid=0a85b7ed-f22c-4e59-b624-0aac59970061" ] } ], "mendeley" : { "formattedCitation" : "(Denning, 2009)", "plainTextFormattedCitation" : "(Denning, 2009)", "previouslyFormattedCitation" : "(Denning, 2009)" }, "properties" : { "noteIndex" : 0 }, "schema" : "https://github.com/citation-style-language/schema/raw/master/csl-citation.json" }</w:instrText>
      </w:r>
      <w:r w:rsidR="003A11A5" w:rsidRPr="00CF6F48">
        <w:rPr>
          <w:iCs/>
          <w:sz w:val="20"/>
        </w:rPr>
        <w:fldChar w:fldCharType="separate"/>
      </w:r>
      <w:r w:rsidR="003A11A5" w:rsidRPr="00CF6F48">
        <w:rPr>
          <w:iCs/>
          <w:noProof/>
          <w:sz w:val="20"/>
        </w:rPr>
        <w:t>(Denning, 2009)</w:t>
      </w:r>
      <w:r w:rsidR="003A11A5" w:rsidRPr="00CF6F48">
        <w:rPr>
          <w:iCs/>
          <w:sz w:val="20"/>
        </w:rPr>
        <w:fldChar w:fldCharType="end"/>
      </w:r>
      <w:r w:rsidR="003A11A5" w:rsidRPr="00CF6F48">
        <w:rPr>
          <w:iCs/>
          <w:sz w:val="20"/>
        </w:rPr>
        <w:t>.</w:t>
      </w:r>
      <w:r w:rsidR="006B0CCD" w:rsidRPr="00CF6F48">
        <w:rPr>
          <w:iCs/>
          <w:sz w:val="20"/>
        </w:rPr>
        <w:t xml:space="preserve"> </w:t>
      </w:r>
    </w:p>
    <w:p w14:paraId="16715F29" w14:textId="38E51A8B" w:rsidR="002E780D" w:rsidRPr="00CF6F48" w:rsidRDefault="00F532AB" w:rsidP="004901BF">
      <w:pPr>
        <w:spacing w:after="80" w:line="240" w:lineRule="exact"/>
        <w:rPr>
          <w:iCs/>
          <w:sz w:val="20"/>
        </w:rPr>
      </w:pPr>
      <w:r w:rsidRPr="00CF6F48">
        <w:rPr>
          <w:iCs/>
          <w:sz w:val="20"/>
        </w:rPr>
        <w:t xml:space="preserve">The </w:t>
      </w:r>
      <w:r w:rsidR="0066439B" w:rsidRPr="00CF6F48">
        <w:rPr>
          <w:iCs/>
          <w:sz w:val="20"/>
        </w:rPr>
        <w:t>future stages</w:t>
      </w:r>
      <w:r w:rsidRPr="00CF6F48">
        <w:rPr>
          <w:iCs/>
          <w:sz w:val="20"/>
        </w:rPr>
        <w:t xml:space="preserve"> of investigation will </w:t>
      </w:r>
      <w:proofErr w:type="gramStart"/>
      <w:r w:rsidRPr="00CF6F48">
        <w:rPr>
          <w:iCs/>
          <w:sz w:val="20"/>
        </w:rPr>
        <w:t>be,</w:t>
      </w:r>
      <w:proofErr w:type="gramEnd"/>
      <w:r w:rsidR="002F2CC3" w:rsidRPr="00CF6F48">
        <w:rPr>
          <w:iCs/>
          <w:sz w:val="20"/>
        </w:rPr>
        <w:t xml:space="preserve"> </w:t>
      </w:r>
      <w:r w:rsidRPr="00CF6F48">
        <w:rPr>
          <w:iCs/>
          <w:sz w:val="20"/>
        </w:rPr>
        <w:t xml:space="preserve">refinement and </w:t>
      </w:r>
      <w:r w:rsidR="00B25982" w:rsidRPr="00CF6F48">
        <w:rPr>
          <w:iCs/>
          <w:sz w:val="20"/>
        </w:rPr>
        <w:t xml:space="preserve">replication of the </w:t>
      </w:r>
      <w:r w:rsidR="0066439B" w:rsidRPr="00CF6F48">
        <w:rPr>
          <w:iCs/>
          <w:sz w:val="20"/>
        </w:rPr>
        <w:t xml:space="preserve">computational thinking </w:t>
      </w:r>
      <w:r w:rsidR="00B25982" w:rsidRPr="00CF6F48">
        <w:rPr>
          <w:iCs/>
          <w:sz w:val="20"/>
        </w:rPr>
        <w:t>test, o</w:t>
      </w:r>
      <w:r w:rsidR="006B0CCD" w:rsidRPr="00CF6F48">
        <w:rPr>
          <w:iCs/>
          <w:sz w:val="20"/>
        </w:rPr>
        <w:t>btain</w:t>
      </w:r>
      <w:r w:rsidR="00B25982" w:rsidRPr="00CF6F48">
        <w:rPr>
          <w:iCs/>
          <w:sz w:val="20"/>
        </w:rPr>
        <w:t>ing</w:t>
      </w:r>
      <w:r w:rsidR="006B0CCD" w:rsidRPr="00CF6F48">
        <w:rPr>
          <w:iCs/>
          <w:sz w:val="20"/>
        </w:rPr>
        <w:t xml:space="preserve"> m</w:t>
      </w:r>
      <w:r w:rsidR="002E780D" w:rsidRPr="00CF6F48">
        <w:rPr>
          <w:iCs/>
          <w:sz w:val="20"/>
        </w:rPr>
        <w:t>ore se</w:t>
      </w:r>
      <w:r w:rsidR="006B0CCD" w:rsidRPr="00CF6F48">
        <w:rPr>
          <w:iCs/>
          <w:sz w:val="20"/>
        </w:rPr>
        <w:t xml:space="preserve">condary data </w:t>
      </w:r>
      <w:r w:rsidRPr="00CF6F48">
        <w:rPr>
          <w:iCs/>
          <w:sz w:val="20"/>
        </w:rPr>
        <w:t>on</w:t>
      </w:r>
      <w:r w:rsidR="006B0CCD" w:rsidRPr="00CF6F48">
        <w:rPr>
          <w:iCs/>
          <w:sz w:val="20"/>
        </w:rPr>
        <w:t xml:space="preserve"> general school achievement</w:t>
      </w:r>
      <w:r w:rsidR="00B25982" w:rsidRPr="00CF6F48">
        <w:rPr>
          <w:iCs/>
          <w:sz w:val="20"/>
        </w:rPr>
        <w:t xml:space="preserve"> and </w:t>
      </w:r>
      <w:r w:rsidRPr="00CF6F48">
        <w:rPr>
          <w:iCs/>
          <w:sz w:val="20"/>
        </w:rPr>
        <w:t>determining</w:t>
      </w:r>
      <w:r w:rsidR="00B25982" w:rsidRPr="00CF6F48">
        <w:rPr>
          <w:iCs/>
          <w:sz w:val="20"/>
        </w:rPr>
        <w:t xml:space="preserve"> whether p</w:t>
      </w:r>
      <w:r w:rsidR="009F7922" w:rsidRPr="00CF6F48">
        <w:rPr>
          <w:iCs/>
          <w:sz w:val="20"/>
        </w:rPr>
        <w:t xml:space="preserve">romoting </w:t>
      </w:r>
      <w:r w:rsidR="00B25982" w:rsidRPr="00CF6F48">
        <w:rPr>
          <w:iCs/>
          <w:sz w:val="20"/>
        </w:rPr>
        <w:t>computational thinking skills</w:t>
      </w:r>
      <w:r w:rsidR="009F7922" w:rsidRPr="00CF6F48">
        <w:rPr>
          <w:iCs/>
          <w:sz w:val="20"/>
        </w:rPr>
        <w:t xml:space="preserve"> </w:t>
      </w:r>
      <w:r w:rsidR="00B25982" w:rsidRPr="00CF6F48">
        <w:rPr>
          <w:iCs/>
          <w:sz w:val="20"/>
        </w:rPr>
        <w:t>i</w:t>
      </w:r>
      <w:r w:rsidR="009F7922" w:rsidRPr="00CF6F48">
        <w:rPr>
          <w:iCs/>
          <w:sz w:val="20"/>
        </w:rPr>
        <w:t>ncrease</w:t>
      </w:r>
      <w:r w:rsidR="00B25982" w:rsidRPr="00CF6F48">
        <w:rPr>
          <w:iCs/>
          <w:sz w:val="20"/>
        </w:rPr>
        <w:t>s</w:t>
      </w:r>
      <w:r w:rsidR="009F7922" w:rsidRPr="00CF6F48">
        <w:rPr>
          <w:iCs/>
          <w:sz w:val="20"/>
        </w:rPr>
        <w:t xml:space="preserve"> </w:t>
      </w:r>
      <w:r w:rsidRPr="00CF6F48">
        <w:rPr>
          <w:iCs/>
          <w:sz w:val="20"/>
        </w:rPr>
        <w:t xml:space="preserve">students’ </w:t>
      </w:r>
      <w:r w:rsidR="009F7922" w:rsidRPr="00CF6F48">
        <w:rPr>
          <w:iCs/>
          <w:sz w:val="20"/>
        </w:rPr>
        <w:t>general achievement</w:t>
      </w:r>
      <w:r w:rsidR="00B25982" w:rsidRPr="00CF6F48">
        <w:rPr>
          <w:iCs/>
          <w:sz w:val="20"/>
        </w:rPr>
        <w:t>.</w:t>
      </w:r>
      <w:r w:rsidR="0066439B" w:rsidRPr="00CF6F48">
        <w:rPr>
          <w:iCs/>
          <w:sz w:val="20"/>
        </w:rPr>
        <w:t xml:space="preserve"> </w:t>
      </w:r>
    </w:p>
    <w:p w14:paraId="548504F0" w14:textId="77777777" w:rsidR="004901BF" w:rsidRPr="00CF6F48" w:rsidRDefault="004901BF" w:rsidP="004901BF">
      <w:pPr>
        <w:pStyle w:val="ListParagraph"/>
        <w:spacing w:after="80"/>
        <w:rPr>
          <w:iCs/>
          <w:sz w:val="20"/>
        </w:rPr>
      </w:pPr>
    </w:p>
    <w:p w14:paraId="74911058" w14:textId="77777777" w:rsidR="003A11A5" w:rsidRPr="00CF6F48" w:rsidRDefault="003A11A5">
      <w:pPr>
        <w:widowControl/>
        <w:jc w:val="left"/>
        <w:rPr>
          <w:b/>
          <w:bCs/>
          <w:sz w:val="20"/>
          <w:szCs w:val="22"/>
        </w:rPr>
      </w:pPr>
      <w:r w:rsidRPr="00CF6F48">
        <w:rPr>
          <w:b/>
          <w:bCs/>
          <w:sz w:val="20"/>
          <w:szCs w:val="22"/>
        </w:rPr>
        <w:br w:type="page"/>
      </w:r>
    </w:p>
    <w:p w14:paraId="319A579A" w14:textId="5A0B0A25" w:rsidR="001F48C2" w:rsidRPr="00CF6F48" w:rsidRDefault="001F48C2" w:rsidP="00C66599">
      <w:pPr>
        <w:spacing w:after="80" w:line="240" w:lineRule="exact"/>
        <w:outlineLvl w:val="0"/>
        <w:rPr>
          <w:b/>
          <w:bCs/>
          <w:sz w:val="20"/>
          <w:szCs w:val="22"/>
          <w:lang w:val="pt-PT"/>
        </w:rPr>
      </w:pPr>
      <w:r w:rsidRPr="00CF6F48">
        <w:rPr>
          <w:b/>
          <w:bCs/>
          <w:sz w:val="20"/>
          <w:szCs w:val="22"/>
          <w:lang w:val="pt-PT"/>
        </w:rPr>
        <w:lastRenderedPageBreak/>
        <w:t>References</w:t>
      </w:r>
    </w:p>
    <w:p w14:paraId="4568A352" w14:textId="5E12A932" w:rsidR="008D0523" w:rsidRPr="00CF6F48" w:rsidRDefault="003A11A5" w:rsidP="008D0523">
      <w:pPr>
        <w:autoSpaceDE w:val="0"/>
        <w:autoSpaceDN w:val="0"/>
        <w:adjustRightInd w:val="0"/>
        <w:spacing w:after="80" w:line="240" w:lineRule="exact"/>
        <w:ind w:left="480" w:hanging="480"/>
        <w:rPr>
          <w:noProof/>
          <w:sz w:val="20"/>
        </w:rPr>
      </w:pPr>
      <w:r w:rsidRPr="00CF6F48">
        <w:rPr>
          <w:b/>
          <w:bCs/>
          <w:sz w:val="20"/>
        </w:rPr>
        <w:fldChar w:fldCharType="begin" w:fldLock="1"/>
      </w:r>
      <w:r w:rsidRPr="00CF6F48">
        <w:rPr>
          <w:b/>
          <w:bCs/>
          <w:sz w:val="20"/>
          <w:lang w:val="pt-PT"/>
        </w:rPr>
        <w:instrText xml:space="preserve">ADDIN Mendeley Bibliography CSL_BIBLIOGRAPHY </w:instrText>
      </w:r>
      <w:r w:rsidRPr="00CF6F48">
        <w:rPr>
          <w:b/>
          <w:bCs/>
          <w:sz w:val="20"/>
        </w:rPr>
        <w:fldChar w:fldCharType="separate"/>
      </w:r>
      <w:r w:rsidR="008D0523" w:rsidRPr="00CF6F48">
        <w:rPr>
          <w:noProof/>
          <w:sz w:val="20"/>
          <w:lang w:val="pt-PT"/>
        </w:rPr>
        <w:t xml:space="preserve">Ambrosio, A. P., Almeida, L. da S., Franco, A., &amp; Macedo, J. (2014). </w:t>
      </w:r>
      <w:r w:rsidR="008D0523" w:rsidRPr="00CF6F48">
        <w:rPr>
          <w:noProof/>
          <w:sz w:val="20"/>
        </w:rPr>
        <w:t xml:space="preserve">Exploring Core Cognitive Skills of Computational Thinking. In </w:t>
      </w:r>
      <w:r w:rsidR="008D0523" w:rsidRPr="00CF6F48">
        <w:rPr>
          <w:i/>
          <w:iCs/>
          <w:noProof/>
          <w:sz w:val="20"/>
        </w:rPr>
        <w:t>PPIG 2014 - 25th Annual Workshop</w:t>
      </w:r>
      <w:r w:rsidR="008D0523" w:rsidRPr="00CF6F48">
        <w:rPr>
          <w:noProof/>
          <w:sz w:val="20"/>
        </w:rPr>
        <w:t>. Sussex: University of Sussex.</w:t>
      </w:r>
    </w:p>
    <w:p w14:paraId="5A4E5E60" w14:textId="4708F390"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Barefoot. (2014). Computational thinking. Crown copyright. Retrieved </w:t>
      </w:r>
      <w:r w:rsidR="002E6501" w:rsidRPr="00CF6F48">
        <w:rPr>
          <w:noProof/>
          <w:sz w:val="20"/>
        </w:rPr>
        <w:t xml:space="preserve">April 13, 2017 </w:t>
      </w:r>
      <w:r w:rsidRPr="00CF6F48">
        <w:rPr>
          <w:noProof/>
          <w:sz w:val="20"/>
        </w:rPr>
        <w:t>from http://barefootcas.org.uk/barefoot-primary-computing-resources/concepts/computational-thinking/</w:t>
      </w:r>
    </w:p>
    <w:p w14:paraId="0B875DB3"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Becker, W. E., &amp; Johnston, C. G. (1999). The Relationship between Multiple Choice and Essay Response Questions in Assessing Economics Understanding. </w:t>
      </w:r>
      <w:r w:rsidRPr="00CF6F48">
        <w:rPr>
          <w:i/>
          <w:iCs/>
          <w:noProof/>
          <w:sz w:val="20"/>
        </w:rPr>
        <w:t>Economic Record</w:t>
      </w:r>
      <w:r w:rsidRPr="00CF6F48">
        <w:rPr>
          <w:noProof/>
          <w:sz w:val="20"/>
        </w:rPr>
        <w:t xml:space="preserve">, </w:t>
      </w:r>
      <w:r w:rsidRPr="00CF6F48">
        <w:rPr>
          <w:i/>
          <w:iCs/>
          <w:noProof/>
          <w:sz w:val="20"/>
        </w:rPr>
        <w:t>75</w:t>
      </w:r>
      <w:r w:rsidRPr="00CF6F48">
        <w:rPr>
          <w:noProof/>
          <w:sz w:val="20"/>
        </w:rPr>
        <w:t>(231), 348–357. doi:10.1111/j.1475-4932.1999.tb02571.x</w:t>
      </w:r>
    </w:p>
    <w:p w14:paraId="632240D1"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Brennan, K., &amp; Resnick, M. (2012). New frameworks for studying and assessing the development of computational thinking. </w:t>
      </w:r>
      <w:r w:rsidRPr="00CF6F48">
        <w:rPr>
          <w:i/>
          <w:iCs/>
          <w:noProof/>
          <w:sz w:val="20"/>
        </w:rPr>
        <w:t>American Educational Research Association</w:t>
      </w:r>
      <w:r w:rsidRPr="00CF6F48">
        <w:rPr>
          <w:noProof/>
          <w:sz w:val="20"/>
        </w:rPr>
        <w:t>. Vancouver. doi:10.1.1.296.6602</w:t>
      </w:r>
    </w:p>
    <w:p w14:paraId="341D72E2"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Chuang, H. C., Hu, C. F., Wu, C. C., &amp; Lin, Y. T. (2015). Computational thinking curriculum for K-12 education - A Delphi survey. In </w:t>
      </w:r>
      <w:r w:rsidRPr="00CF6F48">
        <w:rPr>
          <w:i/>
          <w:iCs/>
          <w:noProof/>
          <w:sz w:val="20"/>
        </w:rPr>
        <w:t>Proceedings - 2015 International Conference on Learning and Teaching in Computing and Engineering, LaTiCE 2015</w:t>
      </w:r>
      <w:r w:rsidRPr="00CF6F48">
        <w:rPr>
          <w:noProof/>
          <w:sz w:val="20"/>
        </w:rPr>
        <w:t xml:space="preserve"> (pp. 213–214). Taipei. doi:10.1109/LaTiCE.2015.44</w:t>
      </w:r>
    </w:p>
    <w:p w14:paraId="68CD2396"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CS Unplugged. (2016). What is Computational Thinking. </w:t>
      </w:r>
      <w:r w:rsidRPr="00CF6F48">
        <w:rPr>
          <w:i/>
          <w:iCs/>
          <w:noProof/>
          <w:sz w:val="20"/>
        </w:rPr>
        <w:t>Computational Thinking and CS Unplugged</w:t>
      </w:r>
      <w:r w:rsidRPr="00CF6F48">
        <w:rPr>
          <w:noProof/>
          <w:sz w:val="20"/>
        </w:rPr>
        <w:t>. Retrieved January 29, 2018, from https://cs-unplugged.appspot.com/en/computational-thinking/</w:t>
      </w:r>
    </w:p>
    <w:p w14:paraId="20DB2961"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Csizmadia, A., Curzon, P., Dorling, M., Humphreys, S., Ng, T., Selby, C., &amp; Woollard, J. (2015). Computational thinking A guide for teachers. Computing At School.</w:t>
      </w:r>
    </w:p>
    <w:p w14:paraId="12CF39B2"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Denning, P. J. (2009). The profession of IT Beyond computational thinking. </w:t>
      </w:r>
      <w:r w:rsidRPr="00CF6F48">
        <w:rPr>
          <w:i/>
          <w:iCs/>
          <w:noProof/>
          <w:sz w:val="20"/>
        </w:rPr>
        <w:t>Communications of the ACM</w:t>
      </w:r>
      <w:r w:rsidRPr="00CF6F48">
        <w:rPr>
          <w:noProof/>
          <w:sz w:val="20"/>
        </w:rPr>
        <w:t xml:space="preserve">, </w:t>
      </w:r>
      <w:r w:rsidRPr="00CF6F48">
        <w:rPr>
          <w:i/>
          <w:iCs/>
          <w:noProof/>
          <w:sz w:val="20"/>
        </w:rPr>
        <w:t>52</w:t>
      </w:r>
      <w:r w:rsidRPr="00CF6F48">
        <w:rPr>
          <w:noProof/>
          <w:sz w:val="20"/>
        </w:rPr>
        <w:t>(6), 28. doi:10.1145/1516046.1516054</w:t>
      </w:r>
    </w:p>
    <w:p w14:paraId="32E511C5"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Denning, P. J. (2017). Remaining trouble spots with computational thinking. </w:t>
      </w:r>
      <w:r w:rsidRPr="00CF6F48">
        <w:rPr>
          <w:i/>
          <w:iCs/>
          <w:noProof/>
          <w:sz w:val="20"/>
        </w:rPr>
        <w:t>Communications of the ACM</w:t>
      </w:r>
      <w:r w:rsidRPr="00CF6F48">
        <w:rPr>
          <w:noProof/>
          <w:sz w:val="20"/>
        </w:rPr>
        <w:t xml:space="preserve">, </w:t>
      </w:r>
      <w:r w:rsidRPr="00CF6F48">
        <w:rPr>
          <w:i/>
          <w:iCs/>
          <w:noProof/>
          <w:sz w:val="20"/>
        </w:rPr>
        <w:t>60</w:t>
      </w:r>
      <w:r w:rsidRPr="00CF6F48">
        <w:rPr>
          <w:noProof/>
          <w:sz w:val="20"/>
        </w:rPr>
        <w:t>(6), 33–39. doi:10.1145/2998438</w:t>
      </w:r>
    </w:p>
    <w:p w14:paraId="18E77D93"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Downing, S. M., &amp; Haladyna, T. M. (2006). </w:t>
      </w:r>
      <w:r w:rsidRPr="00CF6F48">
        <w:rPr>
          <w:i/>
          <w:iCs/>
          <w:noProof/>
          <w:sz w:val="20"/>
        </w:rPr>
        <w:t>Handbook of test development</w:t>
      </w:r>
      <w:r w:rsidRPr="00CF6F48">
        <w:rPr>
          <w:noProof/>
          <w:sz w:val="20"/>
        </w:rPr>
        <w:t xml:space="preserve"> (1st ed.). Mahwah, New Jersey: Lawrence Erlbaum Associates.</w:t>
      </w:r>
    </w:p>
    <w:p w14:paraId="03C91D10"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Dufresne, R. J., Leonard, W. J., &amp; Gerace, W. J. (2002). Marking sense of students’ answers to multiple-choice questions. </w:t>
      </w:r>
      <w:r w:rsidRPr="00CF6F48">
        <w:rPr>
          <w:i/>
          <w:iCs/>
          <w:noProof/>
          <w:sz w:val="20"/>
        </w:rPr>
        <w:t>The Physics Teacher</w:t>
      </w:r>
      <w:r w:rsidRPr="00CF6F48">
        <w:rPr>
          <w:noProof/>
          <w:sz w:val="20"/>
        </w:rPr>
        <w:t xml:space="preserve">, </w:t>
      </w:r>
      <w:r w:rsidRPr="00CF6F48">
        <w:rPr>
          <w:i/>
          <w:iCs/>
          <w:noProof/>
          <w:sz w:val="20"/>
        </w:rPr>
        <w:t>40</w:t>
      </w:r>
      <w:r w:rsidRPr="00CF6F48">
        <w:rPr>
          <w:noProof/>
          <w:sz w:val="20"/>
        </w:rPr>
        <w:t>(3), 174–180. doi:10.1119/1.1466554</w:t>
      </w:r>
    </w:p>
    <w:p w14:paraId="556CAC2E"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Durak, H. Y., &amp; Saritepeci, M. (2017). Analysis of the relation between computational thinking skills and various variables with the structural equation model. </w:t>
      </w:r>
      <w:r w:rsidRPr="00CF6F48">
        <w:rPr>
          <w:i/>
          <w:iCs/>
          <w:noProof/>
          <w:sz w:val="20"/>
        </w:rPr>
        <w:t>Computers &amp; Education</w:t>
      </w:r>
      <w:r w:rsidRPr="00CF6F48">
        <w:rPr>
          <w:noProof/>
          <w:sz w:val="20"/>
        </w:rPr>
        <w:t xml:space="preserve">, </w:t>
      </w:r>
      <w:r w:rsidRPr="00CF6F48">
        <w:rPr>
          <w:i/>
          <w:iCs/>
          <w:noProof/>
          <w:sz w:val="20"/>
        </w:rPr>
        <w:t>116</w:t>
      </w:r>
      <w:r w:rsidRPr="00CF6F48">
        <w:rPr>
          <w:noProof/>
          <w:sz w:val="20"/>
        </w:rPr>
        <w:t>, 191–202. doi:10.1016/j.compedu.2017.09.004</w:t>
      </w:r>
    </w:p>
    <w:p w14:paraId="4516317C"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Field, A. (2013). </w:t>
      </w:r>
      <w:r w:rsidRPr="00CF6F48">
        <w:rPr>
          <w:i/>
          <w:iCs/>
          <w:noProof/>
          <w:sz w:val="20"/>
        </w:rPr>
        <w:t>Discovering Statistics Using IBM SPSS Statistics</w:t>
      </w:r>
      <w:r w:rsidRPr="00CF6F48">
        <w:rPr>
          <w:noProof/>
          <w:sz w:val="20"/>
        </w:rPr>
        <w:t xml:space="preserve">. </w:t>
      </w:r>
      <w:r w:rsidRPr="00CF6F48">
        <w:rPr>
          <w:i/>
          <w:iCs/>
          <w:noProof/>
          <w:sz w:val="20"/>
        </w:rPr>
        <w:t>SAGE Publications Ltd</w:t>
      </w:r>
      <w:r w:rsidRPr="00CF6F48">
        <w:rPr>
          <w:noProof/>
          <w:sz w:val="20"/>
        </w:rPr>
        <w:t xml:space="preserve"> (3rd ed.). London.</w:t>
      </w:r>
    </w:p>
    <w:p w14:paraId="7F75348A"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Frey, B. B., Petersen, S., Edwards, L. M., Pedrotti, J. T., &amp; Peyton, V. (2005). Item-writing rules: Collective wisdom. </w:t>
      </w:r>
      <w:r w:rsidRPr="00CF6F48">
        <w:rPr>
          <w:i/>
          <w:iCs/>
          <w:noProof/>
          <w:sz w:val="20"/>
        </w:rPr>
        <w:t>Teaching and Teacher Education</w:t>
      </w:r>
      <w:r w:rsidRPr="00CF6F48">
        <w:rPr>
          <w:noProof/>
          <w:sz w:val="20"/>
        </w:rPr>
        <w:t xml:space="preserve">, </w:t>
      </w:r>
      <w:r w:rsidRPr="00CF6F48">
        <w:rPr>
          <w:i/>
          <w:iCs/>
          <w:noProof/>
          <w:sz w:val="20"/>
        </w:rPr>
        <w:t>21</w:t>
      </w:r>
      <w:r w:rsidRPr="00CF6F48">
        <w:rPr>
          <w:noProof/>
          <w:sz w:val="20"/>
        </w:rPr>
        <w:t>(4), 357–364. doi:10.1016/j.tate.2005.01.008</w:t>
      </w:r>
    </w:p>
    <w:p w14:paraId="4E6D91CF"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Gayef, A., Oner, C., &amp; Telatar, B. (2014). Is asking same question in different ways has any impact on student achievement? </w:t>
      </w:r>
      <w:r w:rsidRPr="00CF6F48">
        <w:rPr>
          <w:i/>
          <w:iCs/>
          <w:noProof/>
          <w:sz w:val="20"/>
        </w:rPr>
        <w:t>Procedia - Social and Behavioral Sciences</w:t>
      </w:r>
      <w:r w:rsidRPr="00CF6F48">
        <w:rPr>
          <w:noProof/>
          <w:sz w:val="20"/>
        </w:rPr>
        <w:t xml:space="preserve">, </w:t>
      </w:r>
      <w:r w:rsidRPr="00CF6F48">
        <w:rPr>
          <w:i/>
          <w:iCs/>
          <w:noProof/>
          <w:sz w:val="20"/>
        </w:rPr>
        <w:t>152</w:t>
      </w:r>
      <w:r w:rsidRPr="00CF6F48">
        <w:rPr>
          <w:noProof/>
          <w:sz w:val="20"/>
        </w:rPr>
        <w:t>(212), 339–342. doi:10.1016/j.sbspro.2014.09.206</w:t>
      </w:r>
    </w:p>
    <w:p w14:paraId="5C7F9FD1"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Gierl, M. J., Bulut, O., Guo, Q., &amp; Zhang, X. (2017). Developing, Analyzing, and Using Distractors for Multiple-Choice Tests in Education: A Comprehensive Review. </w:t>
      </w:r>
      <w:r w:rsidRPr="00CF6F48">
        <w:rPr>
          <w:i/>
          <w:iCs/>
          <w:noProof/>
          <w:sz w:val="20"/>
        </w:rPr>
        <w:t>Review of Educational Research</w:t>
      </w:r>
      <w:r w:rsidRPr="00CF6F48">
        <w:rPr>
          <w:noProof/>
          <w:sz w:val="20"/>
        </w:rPr>
        <w:t xml:space="preserve">, </w:t>
      </w:r>
      <w:r w:rsidRPr="00CF6F48">
        <w:rPr>
          <w:i/>
          <w:iCs/>
          <w:noProof/>
          <w:sz w:val="20"/>
        </w:rPr>
        <w:t>86</w:t>
      </w:r>
      <w:r w:rsidRPr="00CF6F48">
        <w:rPr>
          <w:noProof/>
          <w:sz w:val="20"/>
        </w:rPr>
        <w:t>(6), 1082–1116. doi:10.3102/0034654317726529</w:t>
      </w:r>
    </w:p>
    <w:p w14:paraId="27230B2A"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Google for Education. (2015). Exploring Computational Thinking. Retrieved April 3, 2017, from https://edu.google.com/resources/programs/exploring-computational-thinking/#!home</w:t>
      </w:r>
    </w:p>
    <w:p w14:paraId="067015DD"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Gouws, L., Bradshaw, K., &amp; Wentworth, P. (2013). First year student performance in a test for computational thinking. </w:t>
      </w:r>
      <w:r w:rsidRPr="00CF6F48">
        <w:rPr>
          <w:i/>
          <w:iCs/>
          <w:noProof/>
          <w:sz w:val="20"/>
        </w:rPr>
        <w:t>ACM International Conference Proceeding Series</w:t>
      </w:r>
      <w:r w:rsidRPr="00CF6F48">
        <w:rPr>
          <w:noProof/>
          <w:sz w:val="20"/>
        </w:rPr>
        <w:t>, 271 – 277. doi:10.1145/2513456.2513484</w:t>
      </w:r>
    </w:p>
    <w:p w14:paraId="15037D54"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Grover, S. (2011). Robotics and Engineering for Middle and High School Students to Develop Computational Thinking Robotics and Engineering for Middle and High School Students to Develop Computational Thinking, (650), 1–15.</w:t>
      </w:r>
    </w:p>
    <w:p w14:paraId="41EBC247"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Grover, S. (2015). “Systems of Assessments” for Deeper Learning of Computational Thinking in K-12. </w:t>
      </w:r>
      <w:r w:rsidRPr="00CF6F48">
        <w:rPr>
          <w:i/>
          <w:iCs/>
          <w:noProof/>
          <w:sz w:val="20"/>
        </w:rPr>
        <w:t>Annual Meeting of the American Educational Research Association</w:t>
      </w:r>
      <w:r w:rsidRPr="00CF6F48">
        <w:rPr>
          <w:noProof/>
          <w:sz w:val="20"/>
        </w:rPr>
        <w:t>, (650).</w:t>
      </w:r>
    </w:p>
    <w:p w14:paraId="0C88F191"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Grover, S., &amp; Pea, R. (2013). Computational Thinking in K–12: A Review of the State of the Field. </w:t>
      </w:r>
      <w:r w:rsidRPr="00CF6F48">
        <w:rPr>
          <w:i/>
          <w:iCs/>
          <w:noProof/>
          <w:sz w:val="20"/>
        </w:rPr>
        <w:t>Educational Researcher</w:t>
      </w:r>
      <w:r w:rsidRPr="00CF6F48">
        <w:rPr>
          <w:noProof/>
          <w:sz w:val="20"/>
        </w:rPr>
        <w:t xml:space="preserve">, </w:t>
      </w:r>
      <w:r w:rsidRPr="00CF6F48">
        <w:rPr>
          <w:i/>
          <w:iCs/>
          <w:noProof/>
          <w:sz w:val="20"/>
        </w:rPr>
        <w:t>42</w:t>
      </w:r>
      <w:r w:rsidRPr="00CF6F48">
        <w:rPr>
          <w:noProof/>
          <w:sz w:val="20"/>
        </w:rPr>
        <w:t>(1), 38–43. doi:10.3102/0013189X12463051</w:t>
      </w:r>
    </w:p>
    <w:p w14:paraId="7CA7FDFF"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Guzdial, M. (2015). Learner-Centered Design of Computing Education: Research on Computing for Everyone. </w:t>
      </w:r>
      <w:r w:rsidRPr="00CF6F48">
        <w:rPr>
          <w:i/>
          <w:iCs/>
          <w:noProof/>
          <w:sz w:val="20"/>
        </w:rPr>
        <w:lastRenderedPageBreak/>
        <w:t>Synthesis Lectures on Human-Centered Informatics</w:t>
      </w:r>
      <w:r w:rsidRPr="00CF6F48">
        <w:rPr>
          <w:noProof/>
          <w:sz w:val="20"/>
        </w:rPr>
        <w:t xml:space="preserve">, </w:t>
      </w:r>
      <w:r w:rsidRPr="00CF6F48">
        <w:rPr>
          <w:i/>
          <w:iCs/>
          <w:noProof/>
          <w:sz w:val="20"/>
        </w:rPr>
        <w:t>8</w:t>
      </w:r>
      <w:r w:rsidRPr="00CF6F48">
        <w:rPr>
          <w:noProof/>
          <w:sz w:val="20"/>
        </w:rPr>
        <w:t>(6), 1–165. doi:10.2200/S00684ED1V01Y201511HCI033</w:t>
      </w:r>
    </w:p>
    <w:p w14:paraId="53C813ED"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Hancock, G. R. (1994). Cognitive complexity and the comparability of multiple-choice and constructed-response test formats. </w:t>
      </w:r>
      <w:r w:rsidRPr="00CF6F48">
        <w:rPr>
          <w:i/>
          <w:iCs/>
          <w:noProof/>
          <w:sz w:val="20"/>
        </w:rPr>
        <w:t>Journal of Experimental Education</w:t>
      </w:r>
      <w:r w:rsidRPr="00CF6F48">
        <w:rPr>
          <w:noProof/>
          <w:sz w:val="20"/>
        </w:rPr>
        <w:t xml:space="preserve">, </w:t>
      </w:r>
      <w:r w:rsidRPr="00CF6F48">
        <w:rPr>
          <w:i/>
          <w:iCs/>
          <w:noProof/>
          <w:sz w:val="20"/>
        </w:rPr>
        <w:t>62</w:t>
      </w:r>
      <w:r w:rsidRPr="00CF6F48">
        <w:rPr>
          <w:noProof/>
          <w:sz w:val="20"/>
        </w:rPr>
        <w:t>(2), 143–157. doi:10.1080/00220973.1994.9943836</w:t>
      </w:r>
    </w:p>
    <w:p w14:paraId="3DB14157"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International Society for Technology in Education (ISTE), &amp; Computer Science Teachers Association (CSTA). (2011). Operational Definition of Computational Thinking.</w:t>
      </w:r>
    </w:p>
    <w:p w14:paraId="54248311"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Kallia, M. (2017). </w:t>
      </w:r>
      <w:r w:rsidRPr="00CF6F48">
        <w:rPr>
          <w:i/>
          <w:iCs/>
          <w:noProof/>
          <w:sz w:val="20"/>
        </w:rPr>
        <w:t>Assessment in Computer Science courses : A Literature Review</w:t>
      </w:r>
      <w:r w:rsidRPr="00CF6F48">
        <w:rPr>
          <w:noProof/>
          <w:sz w:val="20"/>
        </w:rPr>
        <w:t>. London.</w:t>
      </w:r>
    </w:p>
    <w:p w14:paraId="17C50290"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Korkmaz, Ö., Çakir, R., &amp; Özden, M. Y. (2017). A validity and reliability study of the computational thinking scales (CTS). </w:t>
      </w:r>
      <w:r w:rsidRPr="00CF6F48">
        <w:rPr>
          <w:i/>
          <w:iCs/>
          <w:noProof/>
          <w:sz w:val="20"/>
        </w:rPr>
        <w:t>Computers in Human Behavior</w:t>
      </w:r>
      <w:r w:rsidRPr="00CF6F48">
        <w:rPr>
          <w:noProof/>
          <w:sz w:val="20"/>
        </w:rPr>
        <w:t xml:space="preserve">, </w:t>
      </w:r>
      <w:r w:rsidRPr="00CF6F48">
        <w:rPr>
          <w:i/>
          <w:iCs/>
          <w:noProof/>
          <w:sz w:val="20"/>
        </w:rPr>
        <w:t>72</w:t>
      </w:r>
      <w:r w:rsidRPr="00CF6F48">
        <w:rPr>
          <w:noProof/>
          <w:sz w:val="20"/>
        </w:rPr>
        <w:t>, 558–569. doi:10.1016/j.chb.2017.01.005</w:t>
      </w:r>
    </w:p>
    <w:p w14:paraId="7C000A8D"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Korkmaz, Ö., Çakır, R., Özden, M. Y., Oluk, A., &amp; Sarıoğlu, S. (2015). Bireylerin Bilgisayarca Düşünme Becerilerinin Farklı Değişkenler Açısından İncelenmesi. </w:t>
      </w:r>
      <w:r w:rsidRPr="00CF6F48">
        <w:rPr>
          <w:i/>
          <w:iCs/>
          <w:noProof/>
          <w:sz w:val="20"/>
        </w:rPr>
        <w:t>Ondokuz Mayıs Üniversitesi Eğitim Fakültesi Dergisi</w:t>
      </w:r>
      <w:r w:rsidRPr="00CF6F48">
        <w:rPr>
          <w:noProof/>
          <w:sz w:val="20"/>
        </w:rPr>
        <w:t xml:space="preserve">, </w:t>
      </w:r>
      <w:r w:rsidRPr="00CF6F48">
        <w:rPr>
          <w:i/>
          <w:iCs/>
          <w:noProof/>
          <w:sz w:val="20"/>
        </w:rPr>
        <w:t>34</w:t>
      </w:r>
      <w:r w:rsidRPr="00CF6F48">
        <w:rPr>
          <w:noProof/>
          <w:sz w:val="20"/>
        </w:rPr>
        <w:t>(2), 68–87. doi:10.7822/omuefd.34.2.5</w:t>
      </w:r>
    </w:p>
    <w:p w14:paraId="28A1C4ED"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Korkmaz, Ö., Çakır, R., &amp; Özden, Y. (2015). Computational Thinking Levels Scale (CTLS) Adaptation for Secondary School Level. </w:t>
      </w:r>
      <w:r w:rsidRPr="00CF6F48">
        <w:rPr>
          <w:i/>
          <w:iCs/>
          <w:noProof/>
          <w:sz w:val="20"/>
        </w:rPr>
        <w:t>Gazi Journal of Education Sciences</w:t>
      </w:r>
      <w:r w:rsidRPr="00CF6F48">
        <w:rPr>
          <w:noProof/>
          <w:sz w:val="20"/>
        </w:rPr>
        <w:t>, 143–162.</w:t>
      </w:r>
    </w:p>
    <w:p w14:paraId="610C7BC2"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Korucu, A. T., Gencturk, A. T., &amp; Gundogdu, M. M. (2017). Examination of the Computational Thinking Skills of Students. </w:t>
      </w:r>
      <w:r w:rsidRPr="00CF6F48">
        <w:rPr>
          <w:i/>
          <w:iCs/>
          <w:noProof/>
          <w:sz w:val="20"/>
        </w:rPr>
        <w:t>Journal of Learning and Teaching in Digital Age</w:t>
      </w:r>
      <w:r w:rsidRPr="00CF6F48">
        <w:rPr>
          <w:noProof/>
          <w:sz w:val="20"/>
        </w:rPr>
        <w:t xml:space="preserve">, </w:t>
      </w:r>
      <w:r w:rsidRPr="00CF6F48">
        <w:rPr>
          <w:i/>
          <w:iCs/>
          <w:noProof/>
          <w:sz w:val="20"/>
        </w:rPr>
        <w:t>2</w:t>
      </w:r>
      <w:r w:rsidRPr="00CF6F48">
        <w:rPr>
          <w:noProof/>
          <w:sz w:val="20"/>
        </w:rPr>
        <w:t>(1), 11–19.</w:t>
      </w:r>
    </w:p>
    <w:p w14:paraId="36F49C24"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Martinez, M. E. (1999). Cognition and the question of test item format. </w:t>
      </w:r>
      <w:r w:rsidRPr="00CF6F48">
        <w:rPr>
          <w:i/>
          <w:iCs/>
          <w:noProof/>
          <w:sz w:val="20"/>
        </w:rPr>
        <w:t>Educational Psychologist</w:t>
      </w:r>
      <w:r w:rsidRPr="00CF6F48">
        <w:rPr>
          <w:noProof/>
          <w:sz w:val="20"/>
        </w:rPr>
        <w:t xml:space="preserve">, </w:t>
      </w:r>
      <w:r w:rsidRPr="00CF6F48">
        <w:rPr>
          <w:i/>
          <w:iCs/>
          <w:noProof/>
          <w:sz w:val="20"/>
        </w:rPr>
        <w:t>34</w:t>
      </w:r>
      <w:r w:rsidRPr="00CF6F48">
        <w:rPr>
          <w:noProof/>
          <w:sz w:val="20"/>
        </w:rPr>
        <w:t>(4), 207–218. doi:10.1207/s15326985ep3404_2</w:t>
      </w:r>
    </w:p>
    <w:p w14:paraId="6116E2AC"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Moreno-Leon, J., Robles, G., &amp; Román-González, M. (2016). Comparing Computational Thinking Development Assessment Scores with Software Complexity Metrics. In </w:t>
      </w:r>
      <w:r w:rsidRPr="00CF6F48">
        <w:rPr>
          <w:i/>
          <w:iCs/>
          <w:noProof/>
          <w:sz w:val="20"/>
        </w:rPr>
        <w:t>2016 IEEE Global Engineering Education Conference (EDUCON)</w:t>
      </w:r>
      <w:r w:rsidRPr="00CF6F48">
        <w:rPr>
          <w:noProof/>
          <w:sz w:val="20"/>
        </w:rPr>
        <w:t xml:space="preserve"> (pp. 1040–1045). Abu Dhabi. doi:10.1109/EDUCON.2016.7474681</w:t>
      </w:r>
    </w:p>
    <w:p w14:paraId="4602D945"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National Academy of Education. (2016). Updated curriculum by the National Academy of Education. Astana: National Academy of Education named after Y.Altynsarin. Retrieved December 12, 2016, from http://nao.kz/loader/load/260</w:t>
      </w:r>
    </w:p>
    <w:p w14:paraId="7655FE69"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Oluk, A., &amp; Korkmaz, Ö. (2016). Comparing Students’ Scratch Skills with Their Computational Thinking Skills in Terms of Different Variables. </w:t>
      </w:r>
      <w:r w:rsidRPr="00CF6F48">
        <w:rPr>
          <w:i/>
          <w:iCs/>
          <w:noProof/>
          <w:sz w:val="20"/>
        </w:rPr>
        <w:t>International Journal of Modern Education and Computer Science</w:t>
      </w:r>
      <w:r w:rsidRPr="00CF6F48">
        <w:rPr>
          <w:noProof/>
          <w:sz w:val="20"/>
        </w:rPr>
        <w:t xml:space="preserve">, </w:t>
      </w:r>
      <w:r w:rsidRPr="00CF6F48">
        <w:rPr>
          <w:i/>
          <w:iCs/>
          <w:noProof/>
          <w:sz w:val="20"/>
        </w:rPr>
        <w:t>8</w:t>
      </w:r>
      <w:r w:rsidRPr="00CF6F48">
        <w:rPr>
          <w:noProof/>
          <w:sz w:val="20"/>
        </w:rPr>
        <w:t>(11), 1–7. doi:10.5815/ijmecs.2016.11.01</w:t>
      </w:r>
    </w:p>
    <w:p w14:paraId="5C0DF3E2"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Papert, S. (1980). </w:t>
      </w:r>
      <w:r w:rsidRPr="00CF6F48">
        <w:rPr>
          <w:i/>
          <w:iCs/>
          <w:noProof/>
          <w:sz w:val="20"/>
        </w:rPr>
        <w:t>Mindstorm</w:t>
      </w:r>
      <w:r w:rsidRPr="00CF6F48">
        <w:rPr>
          <w:noProof/>
          <w:sz w:val="20"/>
        </w:rPr>
        <w:t xml:space="preserve">. </w:t>
      </w:r>
      <w:r w:rsidRPr="00CF6F48">
        <w:rPr>
          <w:i/>
          <w:iCs/>
          <w:noProof/>
          <w:sz w:val="20"/>
        </w:rPr>
        <w:t>Journal of Chemical Information and Modeling</w:t>
      </w:r>
      <w:r w:rsidRPr="00CF6F48">
        <w:rPr>
          <w:noProof/>
          <w:sz w:val="20"/>
        </w:rPr>
        <w:t>. doi:10.1017/CBO9781107415324.004</w:t>
      </w:r>
    </w:p>
    <w:p w14:paraId="1E521B1E"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Paxton, M. (2000). A linguistic perspective on multiple choice questioning. </w:t>
      </w:r>
      <w:r w:rsidRPr="00CF6F48">
        <w:rPr>
          <w:i/>
          <w:iCs/>
          <w:noProof/>
          <w:sz w:val="20"/>
        </w:rPr>
        <w:t>Assessment and Evaluation in Higher Education</w:t>
      </w:r>
      <w:r w:rsidRPr="00CF6F48">
        <w:rPr>
          <w:noProof/>
          <w:sz w:val="20"/>
        </w:rPr>
        <w:t xml:space="preserve">, </w:t>
      </w:r>
      <w:r w:rsidRPr="00CF6F48">
        <w:rPr>
          <w:i/>
          <w:iCs/>
          <w:noProof/>
          <w:sz w:val="20"/>
        </w:rPr>
        <w:t>25</w:t>
      </w:r>
      <w:r w:rsidRPr="00CF6F48">
        <w:rPr>
          <w:noProof/>
          <w:sz w:val="20"/>
        </w:rPr>
        <w:t>(2), 109–119. doi:10.1080/713611429</w:t>
      </w:r>
    </w:p>
    <w:p w14:paraId="4EE70498" w14:textId="77777777" w:rsidR="008D0523" w:rsidRPr="00CF6F48" w:rsidRDefault="008D0523" w:rsidP="008D0523">
      <w:pPr>
        <w:autoSpaceDE w:val="0"/>
        <w:autoSpaceDN w:val="0"/>
        <w:adjustRightInd w:val="0"/>
        <w:spacing w:after="80" w:line="240" w:lineRule="exact"/>
        <w:ind w:left="480" w:hanging="480"/>
        <w:rPr>
          <w:noProof/>
          <w:sz w:val="20"/>
          <w:lang w:val="es-ES"/>
        </w:rPr>
      </w:pPr>
      <w:r w:rsidRPr="00CF6F48">
        <w:rPr>
          <w:noProof/>
          <w:sz w:val="20"/>
        </w:rPr>
        <w:t xml:space="preserve">Reynolds, C. R., Livingston, R. B., &amp; Willson, V. (2009). </w:t>
      </w:r>
      <w:r w:rsidRPr="00CF6F48">
        <w:rPr>
          <w:i/>
          <w:iCs/>
          <w:noProof/>
          <w:sz w:val="20"/>
        </w:rPr>
        <w:t>Measurement and assessment in education</w:t>
      </w:r>
      <w:r w:rsidRPr="00CF6F48">
        <w:rPr>
          <w:noProof/>
          <w:sz w:val="20"/>
        </w:rPr>
        <w:t xml:space="preserve"> (2nd ed.). </w:t>
      </w:r>
      <w:r w:rsidRPr="00CF6F48">
        <w:rPr>
          <w:noProof/>
          <w:sz w:val="20"/>
          <w:lang w:val="es-ES"/>
        </w:rPr>
        <w:t>New Jersey: Pearson.</w:t>
      </w:r>
    </w:p>
    <w:p w14:paraId="0FA82BFD"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lang w:val="es-ES"/>
        </w:rPr>
        <w:t xml:space="preserve">Román-González, M., Pérez-González, J.-C., &amp; Jiménez-Fernández, C. (2016). </w:t>
      </w:r>
      <w:r w:rsidRPr="00CF6F48">
        <w:rPr>
          <w:noProof/>
          <w:sz w:val="20"/>
        </w:rPr>
        <w:t xml:space="preserve">Which cognitive abilities underlie computational thinking? Criterion validity of the Computational Thinking Test. </w:t>
      </w:r>
      <w:r w:rsidRPr="00CF6F48">
        <w:rPr>
          <w:i/>
          <w:iCs/>
          <w:noProof/>
          <w:sz w:val="20"/>
        </w:rPr>
        <w:t>Computers in Human Behavior</w:t>
      </w:r>
      <w:r w:rsidRPr="00CF6F48">
        <w:rPr>
          <w:noProof/>
          <w:sz w:val="20"/>
        </w:rPr>
        <w:t>. doi:10.1016/j.chb.2016.08.047</w:t>
      </w:r>
    </w:p>
    <w:p w14:paraId="41AC4A8C"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Selby, C. (2014). </w:t>
      </w:r>
      <w:r w:rsidRPr="00CF6F48">
        <w:rPr>
          <w:i/>
          <w:iCs/>
          <w:noProof/>
          <w:sz w:val="20"/>
        </w:rPr>
        <w:t>How can the teaching of programming be used to enhance computational thinking skills?</w:t>
      </w:r>
      <w:r w:rsidRPr="00CF6F48">
        <w:rPr>
          <w:noProof/>
          <w:sz w:val="20"/>
        </w:rPr>
        <w:t xml:space="preserve"> University of Southampton.</w:t>
      </w:r>
    </w:p>
    <w:p w14:paraId="09B4BB33"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Shaniyev, Y., Gesen, I., Aidarbayev, N., Akhmetov, N., &amp; Yerzhanov, E. (2017). </w:t>
      </w:r>
      <w:r w:rsidRPr="00CF6F48">
        <w:rPr>
          <w:i/>
          <w:iCs/>
          <w:noProof/>
          <w:sz w:val="20"/>
        </w:rPr>
        <w:t>Informatics - A bilingual textbook - Grade 8</w:t>
      </w:r>
      <w:r w:rsidRPr="00CF6F48">
        <w:rPr>
          <w:noProof/>
          <w:sz w:val="20"/>
        </w:rPr>
        <w:t xml:space="preserve"> (1st ed.). Astana: Astana Kitap.</w:t>
      </w:r>
    </w:p>
    <w:p w14:paraId="757E3AF0"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Simkin, M. G., &amp; Kuechler, W. L. (2005). Multiple-Choice Tests and Student Understanding: What Is the Connection? </w:t>
      </w:r>
      <w:r w:rsidRPr="00CF6F48">
        <w:rPr>
          <w:i/>
          <w:iCs/>
          <w:noProof/>
          <w:sz w:val="20"/>
        </w:rPr>
        <w:t>Decision Sciences Journal of Innovative Education</w:t>
      </w:r>
      <w:r w:rsidRPr="00CF6F48">
        <w:rPr>
          <w:noProof/>
          <w:sz w:val="20"/>
        </w:rPr>
        <w:t xml:space="preserve">, </w:t>
      </w:r>
      <w:r w:rsidRPr="00CF6F48">
        <w:rPr>
          <w:i/>
          <w:iCs/>
          <w:noProof/>
          <w:sz w:val="20"/>
        </w:rPr>
        <w:t>3</w:t>
      </w:r>
      <w:r w:rsidRPr="00CF6F48">
        <w:rPr>
          <w:noProof/>
          <w:sz w:val="20"/>
        </w:rPr>
        <w:t>(1), 73–98. doi:10.1111/j.1540-4609.2005.00053.x</w:t>
      </w:r>
    </w:p>
    <w:p w14:paraId="06A7F7DC"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Weintrop, D., Beheshti, E., Horn, M., Orton, K., Jona, K., Trouille, L., &amp; Wilensky, U. (2016). Defining Computational Thinking for Mathematics and Science Classrooms. </w:t>
      </w:r>
      <w:r w:rsidRPr="00CF6F48">
        <w:rPr>
          <w:i/>
          <w:iCs/>
          <w:noProof/>
          <w:sz w:val="20"/>
        </w:rPr>
        <w:t>Journal of Science Education and Technology</w:t>
      </w:r>
      <w:r w:rsidRPr="00CF6F48">
        <w:rPr>
          <w:noProof/>
          <w:sz w:val="20"/>
        </w:rPr>
        <w:t xml:space="preserve">, </w:t>
      </w:r>
      <w:r w:rsidRPr="00CF6F48">
        <w:rPr>
          <w:i/>
          <w:iCs/>
          <w:noProof/>
          <w:sz w:val="20"/>
        </w:rPr>
        <w:t>25</w:t>
      </w:r>
      <w:r w:rsidRPr="00CF6F48">
        <w:rPr>
          <w:noProof/>
          <w:sz w:val="20"/>
        </w:rPr>
        <w:t>(1), 127–147. doi:10.1007/s10956-015-9581-5</w:t>
      </w:r>
    </w:p>
    <w:p w14:paraId="74DC7156"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Werner, L., Denner, J., &amp; Campe, S. (2015). Children Programming Games: A Strategy for Measuring Computational Learning. </w:t>
      </w:r>
      <w:r w:rsidRPr="00CF6F48">
        <w:rPr>
          <w:i/>
          <w:iCs/>
          <w:noProof/>
          <w:sz w:val="20"/>
        </w:rPr>
        <w:t>Trans. Comput. Educ.</w:t>
      </w:r>
      <w:r w:rsidRPr="00CF6F48">
        <w:rPr>
          <w:noProof/>
          <w:sz w:val="20"/>
        </w:rPr>
        <w:t xml:space="preserve">, </w:t>
      </w:r>
      <w:r w:rsidRPr="00CF6F48">
        <w:rPr>
          <w:i/>
          <w:iCs/>
          <w:noProof/>
          <w:sz w:val="20"/>
        </w:rPr>
        <w:t>14</w:t>
      </w:r>
      <w:r w:rsidRPr="00CF6F48">
        <w:rPr>
          <w:noProof/>
          <w:sz w:val="20"/>
        </w:rPr>
        <w:t>(4), 24:1–24:22. doi:10.1145/2677091</w:t>
      </w:r>
    </w:p>
    <w:p w14:paraId="47F4D5D8"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Werner, L., Denner, J., Campe, S., &amp; Kawamoto, D. C. (2012). The Fairy Performance Assessment : Measuring </w:t>
      </w:r>
      <w:r w:rsidRPr="00CF6F48">
        <w:rPr>
          <w:noProof/>
          <w:sz w:val="20"/>
        </w:rPr>
        <w:lastRenderedPageBreak/>
        <w:t xml:space="preserve">Computational Thinking in Middle School. </w:t>
      </w:r>
      <w:r w:rsidRPr="00CF6F48">
        <w:rPr>
          <w:i/>
          <w:iCs/>
          <w:noProof/>
          <w:sz w:val="20"/>
        </w:rPr>
        <w:t>Proceedings of the 43rd ACM Technical Symposium on Computer Science Education - SIGCSE ’12</w:t>
      </w:r>
      <w:r w:rsidRPr="00CF6F48">
        <w:rPr>
          <w:noProof/>
          <w:sz w:val="20"/>
        </w:rPr>
        <w:t>, 215–220. doi:10.1145/2157136.2157200</w:t>
      </w:r>
    </w:p>
    <w:p w14:paraId="16BCA500" w14:textId="77777777" w:rsidR="008D0523" w:rsidRPr="00CF6F48" w:rsidRDefault="008D0523" w:rsidP="008D0523">
      <w:pPr>
        <w:autoSpaceDE w:val="0"/>
        <w:autoSpaceDN w:val="0"/>
        <w:adjustRightInd w:val="0"/>
        <w:spacing w:after="80" w:line="240" w:lineRule="exact"/>
        <w:ind w:left="480" w:hanging="480"/>
        <w:rPr>
          <w:noProof/>
          <w:sz w:val="20"/>
        </w:rPr>
      </w:pPr>
      <w:r w:rsidRPr="00CF6F48">
        <w:rPr>
          <w:noProof/>
          <w:sz w:val="20"/>
        </w:rPr>
        <w:t xml:space="preserve">Wing, J. (2011). Research notebook: Computational thinking—What and why? </w:t>
      </w:r>
      <w:r w:rsidRPr="00CF6F48">
        <w:rPr>
          <w:i/>
          <w:iCs/>
          <w:noProof/>
          <w:sz w:val="20"/>
        </w:rPr>
        <w:t>The Link Magazine</w:t>
      </w:r>
      <w:r w:rsidRPr="00CF6F48">
        <w:rPr>
          <w:noProof/>
          <w:sz w:val="20"/>
        </w:rPr>
        <w:t>.</w:t>
      </w:r>
    </w:p>
    <w:p w14:paraId="6D211289" w14:textId="6D341AAD" w:rsidR="00C279A8" w:rsidRPr="00CF6F48" w:rsidRDefault="003A11A5" w:rsidP="00085F90">
      <w:pPr>
        <w:spacing w:after="80" w:line="240" w:lineRule="exact"/>
        <w:rPr>
          <w:b/>
          <w:bCs/>
          <w:sz w:val="20"/>
        </w:rPr>
      </w:pPr>
      <w:r w:rsidRPr="00CF6F48">
        <w:rPr>
          <w:b/>
          <w:bCs/>
          <w:sz w:val="20"/>
        </w:rPr>
        <w:fldChar w:fldCharType="end"/>
      </w:r>
    </w:p>
    <w:p w14:paraId="5FC18BEF" w14:textId="77777777" w:rsidR="003C7BF9" w:rsidRPr="00CF6F48" w:rsidRDefault="003C7BF9">
      <w:pPr>
        <w:widowControl/>
        <w:jc w:val="left"/>
        <w:rPr>
          <w:b/>
          <w:sz w:val="20"/>
          <w:szCs w:val="20"/>
        </w:rPr>
      </w:pPr>
      <w:r w:rsidRPr="00CF6F48">
        <w:rPr>
          <w:b/>
          <w:sz w:val="20"/>
          <w:szCs w:val="20"/>
        </w:rPr>
        <w:br w:type="page"/>
      </w:r>
    </w:p>
    <w:p w14:paraId="7A2E42B7" w14:textId="5D960819" w:rsidR="0006414C" w:rsidRPr="00CF6F48" w:rsidRDefault="006B1071" w:rsidP="00085F90">
      <w:pPr>
        <w:spacing w:after="80" w:line="240" w:lineRule="exact"/>
        <w:outlineLvl w:val="0"/>
        <w:rPr>
          <w:b/>
          <w:sz w:val="20"/>
          <w:szCs w:val="20"/>
          <w:lang w:val="fr-FR"/>
        </w:rPr>
      </w:pPr>
      <w:r w:rsidRPr="00CF6F48">
        <w:rPr>
          <w:b/>
          <w:sz w:val="20"/>
          <w:szCs w:val="20"/>
          <w:lang w:val="fr-FR"/>
        </w:rPr>
        <w:lastRenderedPageBreak/>
        <w:t xml:space="preserve">Appendix A </w:t>
      </w:r>
    </w:p>
    <w:p w14:paraId="5BC25CF1" w14:textId="1090759A" w:rsidR="006B1071" w:rsidRPr="00CF6F48" w:rsidRDefault="003A11A5" w:rsidP="00303574">
      <w:pPr>
        <w:spacing w:after="80" w:line="240" w:lineRule="exact"/>
        <w:rPr>
          <w:b/>
          <w:bCs/>
          <w:sz w:val="20"/>
          <w:szCs w:val="20"/>
          <w:lang w:val="fr-FR"/>
        </w:rPr>
      </w:pPr>
      <w:r w:rsidRPr="00CF6F48">
        <w:rPr>
          <w:rFonts w:cs="Arial"/>
          <w:bCs/>
          <w:noProof/>
          <w:sz w:val="24"/>
        </w:rPr>
        <w:drawing>
          <wp:anchor distT="0" distB="0" distL="114300" distR="114300" simplePos="0" relativeHeight="251658240" behindDoc="0" locked="0" layoutInCell="1" allowOverlap="1" wp14:anchorId="3DB0531B" wp14:editId="7AAFB534">
            <wp:simplePos x="0" y="0"/>
            <wp:positionH relativeFrom="margin">
              <wp:align>left</wp:align>
            </wp:positionH>
            <wp:positionV relativeFrom="paragraph">
              <wp:posOffset>207451</wp:posOffset>
            </wp:positionV>
            <wp:extent cx="3584649" cy="2380891"/>
            <wp:effectExtent l="0" t="0" r="0" b="635"/>
            <wp:wrapNone/>
            <wp:docPr id="4" name="Picture 4" descr="\\filestore.soton.ac.uk\users\yam1g15\mydesktop\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e.soton.ac.uk\users\yam1g15\mydesktop\Q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4649" cy="23808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F48">
        <w:rPr>
          <w:b/>
          <w:bCs/>
          <w:sz w:val="20"/>
          <w:szCs w:val="20"/>
          <w:lang w:val="fr-FR"/>
        </w:rPr>
        <w:t>Sample question on Pattern figures</w:t>
      </w:r>
    </w:p>
    <w:p w14:paraId="14018256" w14:textId="77777777" w:rsidR="003C7BF9" w:rsidRPr="00CF6F48" w:rsidRDefault="003C7BF9" w:rsidP="00303574">
      <w:pPr>
        <w:spacing w:after="80" w:line="240" w:lineRule="exact"/>
        <w:rPr>
          <w:b/>
          <w:bCs/>
          <w:sz w:val="20"/>
          <w:szCs w:val="20"/>
          <w:lang w:val="fr-FR"/>
        </w:rPr>
      </w:pPr>
    </w:p>
    <w:p w14:paraId="18F1D930" w14:textId="77777777" w:rsidR="003C7BF9" w:rsidRPr="00CF6F48" w:rsidRDefault="003C7BF9" w:rsidP="00303574">
      <w:pPr>
        <w:spacing w:after="80" w:line="240" w:lineRule="exact"/>
        <w:rPr>
          <w:b/>
          <w:bCs/>
          <w:sz w:val="20"/>
          <w:szCs w:val="20"/>
          <w:lang w:val="fr-FR"/>
        </w:rPr>
      </w:pPr>
    </w:p>
    <w:p w14:paraId="1125C5E8" w14:textId="77777777" w:rsidR="003C7BF9" w:rsidRPr="00CF6F48" w:rsidRDefault="003C7BF9" w:rsidP="00303574">
      <w:pPr>
        <w:spacing w:after="80" w:line="240" w:lineRule="exact"/>
        <w:rPr>
          <w:b/>
          <w:sz w:val="20"/>
          <w:szCs w:val="20"/>
          <w:lang w:val="fr-FR"/>
        </w:rPr>
      </w:pPr>
    </w:p>
    <w:p w14:paraId="712602FC" w14:textId="77777777" w:rsidR="003C7BF9" w:rsidRPr="00CF6F48" w:rsidRDefault="003C7BF9" w:rsidP="00303574">
      <w:pPr>
        <w:spacing w:after="80" w:line="240" w:lineRule="exact"/>
        <w:rPr>
          <w:b/>
          <w:sz w:val="20"/>
          <w:szCs w:val="20"/>
          <w:lang w:val="fr-FR"/>
        </w:rPr>
      </w:pPr>
    </w:p>
    <w:p w14:paraId="5A4D761B" w14:textId="77777777" w:rsidR="003C7BF9" w:rsidRPr="00CF6F48" w:rsidRDefault="003C7BF9" w:rsidP="00303574">
      <w:pPr>
        <w:spacing w:after="80" w:line="240" w:lineRule="exact"/>
        <w:rPr>
          <w:b/>
          <w:sz w:val="20"/>
          <w:szCs w:val="20"/>
          <w:lang w:val="fr-FR"/>
        </w:rPr>
      </w:pPr>
    </w:p>
    <w:p w14:paraId="6F18795C" w14:textId="36B66BC3" w:rsidR="00806E66" w:rsidRPr="00CF6F48" w:rsidRDefault="00806E66" w:rsidP="00806E66">
      <w:pPr>
        <w:spacing w:after="80" w:line="240" w:lineRule="exact"/>
        <w:rPr>
          <w:sz w:val="20"/>
          <w:szCs w:val="20"/>
          <w:lang w:val="fr-FR"/>
        </w:rPr>
      </w:pPr>
    </w:p>
    <w:p w14:paraId="7A892442" w14:textId="77777777" w:rsidR="003A11A5" w:rsidRPr="00CF6F48" w:rsidRDefault="003A11A5" w:rsidP="00806E66">
      <w:pPr>
        <w:spacing w:after="80" w:line="240" w:lineRule="exact"/>
        <w:rPr>
          <w:sz w:val="20"/>
          <w:szCs w:val="20"/>
          <w:lang w:val="fr-FR"/>
        </w:rPr>
      </w:pPr>
    </w:p>
    <w:p w14:paraId="7A40EE83" w14:textId="77777777" w:rsidR="003A11A5" w:rsidRPr="00CF6F48" w:rsidRDefault="003A11A5" w:rsidP="00806E66">
      <w:pPr>
        <w:spacing w:after="80" w:line="240" w:lineRule="exact"/>
        <w:rPr>
          <w:sz w:val="20"/>
          <w:szCs w:val="20"/>
          <w:lang w:val="fr-FR"/>
        </w:rPr>
      </w:pPr>
    </w:p>
    <w:p w14:paraId="280AFF38" w14:textId="77777777" w:rsidR="003A11A5" w:rsidRPr="00CF6F48" w:rsidRDefault="003A11A5" w:rsidP="00806E66">
      <w:pPr>
        <w:spacing w:after="80" w:line="240" w:lineRule="exact"/>
        <w:rPr>
          <w:sz w:val="20"/>
          <w:szCs w:val="20"/>
          <w:lang w:val="fr-FR"/>
        </w:rPr>
      </w:pPr>
    </w:p>
    <w:p w14:paraId="48EDC2E9" w14:textId="77777777" w:rsidR="003A11A5" w:rsidRPr="00CF6F48" w:rsidRDefault="003A11A5" w:rsidP="00806E66">
      <w:pPr>
        <w:spacing w:after="80" w:line="240" w:lineRule="exact"/>
        <w:rPr>
          <w:sz w:val="20"/>
          <w:szCs w:val="20"/>
          <w:lang w:val="fr-FR"/>
        </w:rPr>
      </w:pPr>
    </w:p>
    <w:p w14:paraId="645B4DFE" w14:textId="77777777" w:rsidR="003A11A5" w:rsidRPr="00CF6F48" w:rsidRDefault="003A11A5" w:rsidP="00806E66">
      <w:pPr>
        <w:spacing w:after="80" w:line="240" w:lineRule="exact"/>
        <w:rPr>
          <w:sz w:val="20"/>
          <w:szCs w:val="20"/>
          <w:lang w:val="fr-FR"/>
        </w:rPr>
      </w:pPr>
    </w:p>
    <w:p w14:paraId="1DCBF1F3" w14:textId="77777777" w:rsidR="003A11A5" w:rsidRPr="00CF6F48" w:rsidRDefault="003A11A5" w:rsidP="00806E66">
      <w:pPr>
        <w:spacing w:after="80" w:line="240" w:lineRule="exact"/>
        <w:rPr>
          <w:sz w:val="20"/>
          <w:szCs w:val="20"/>
          <w:lang w:val="fr-FR"/>
        </w:rPr>
      </w:pPr>
    </w:p>
    <w:p w14:paraId="340DC79A" w14:textId="77777777" w:rsidR="003A11A5" w:rsidRPr="00CF6F48" w:rsidRDefault="003A11A5" w:rsidP="00806E66">
      <w:pPr>
        <w:spacing w:after="80" w:line="240" w:lineRule="exact"/>
        <w:rPr>
          <w:sz w:val="20"/>
          <w:szCs w:val="20"/>
          <w:lang w:val="fr-FR"/>
        </w:rPr>
      </w:pPr>
    </w:p>
    <w:p w14:paraId="7C597EE0" w14:textId="77777777" w:rsidR="0006414C" w:rsidRPr="00CF6F48" w:rsidRDefault="006B1071" w:rsidP="00085F90">
      <w:pPr>
        <w:spacing w:after="80" w:line="240" w:lineRule="exact"/>
        <w:outlineLvl w:val="0"/>
        <w:rPr>
          <w:b/>
          <w:sz w:val="20"/>
          <w:szCs w:val="20"/>
          <w:lang w:val="fr-FR"/>
        </w:rPr>
      </w:pPr>
      <w:r w:rsidRPr="00CF6F48">
        <w:rPr>
          <w:b/>
          <w:sz w:val="20"/>
          <w:szCs w:val="20"/>
          <w:lang w:val="fr-FR"/>
        </w:rPr>
        <w:t>Appendix B</w:t>
      </w:r>
      <w:r w:rsidR="0006414C" w:rsidRPr="00CF6F48">
        <w:rPr>
          <w:b/>
          <w:sz w:val="20"/>
          <w:szCs w:val="20"/>
          <w:lang w:val="fr-FR"/>
        </w:rPr>
        <w:t xml:space="preserve"> </w:t>
      </w:r>
    </w:p>
    <w:p w14:paraId="1065466C" w14:textId="513A4560" w:rsidR="004D1D9F" w:rsidRPr="00CF6F48" w:rsidRDefault="003A11A5" w:rsidP="00303574">
      <w:pPr>
        <w:spacing w:after="80" w:line="240" w:lineRule="exact"/>
        <w:rPr>
          <w:b/>
          <w:bCs/>
          <w:sz w:val="20"/>
          <w:szCs w:val="20"/>
          <w:lang w:val="fr-FR"/>
        </w:rPr>
      </w:pPr>
      <w:r w:rsidRPr="00CF6F48">
        <w:rPr>
          <w:b/>
          <w:bCs/>
          <w:sz w:val="20"/>
          <w:szCs w:val="20"/>
          <w:lang w:val="fr-FR"/>
        </w:rPr>
        <w:t>Sample question on Pattern numbers</w:t>
      </w:r>
    </w:p>
    <w:p w14:paraId="184B5835" w14:textId="6F44332C" w:rsidR="00617D40" w:rsidRPr="00CF6F48" w:rsidRDefault="003A11A5" w:rsidP="00617D40">
      <w:pPr>
        <w:spacing w:after="80" w:line="240" w:lineRule="exact"/>
        <w:rPr>
          <w:sz w:val="20"/>
          <w:szCs w:val="20"/>
          <w:lang w:val="fr-FR"/>
        </w:rPr>
      </w:pPr>
      <w:r w:rsidRPr="00CF6F48">
        <w:rPr>
          <w:rFonts w:cs="Arial"/>
          <w:bCs/>
          <w:noProof/>
          <w:sz w:val="24"/>
        </w:rPr>
        <w:drawing>
          <wp:anchor distT="0" distB="0" distL="114300" distR="114300" simplePos="0" relativeHeight="251659264" behindDoc="0" locked="0" layoutInCell="1" allowOverlap="1" wp14:anchorId="317F6E14" wp14:editId="0D9B40E2">
            <wp:simplePos x="0" y="0"/>
            <wp:positionH relativeFrom="margin">
              <wp:align>left</wp:align>
            </wp:positionH>
            <wp:positionV relativeFrom="paragraph">
              <wp:posOffset>1573</wp:posOffset>
            </wp:positionV>
            <wp:extent cx="3552825" cy="2000250"/>
            <wp:effectExtent l="0" t="0" r="9525" b="0"/>
            <wp:wrapNone/>
            <wp:docPr id="1" name="Picture 1" descr="Pattern_numbe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ttern_numbers-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2825" cy="2000250"/>
                    </a:xfrm>
                    <a:prstGeom prst="rect">
                      <a:avLst/>
                    </a:prstGeom>
                    <a:noFill/>
                    <a:ln>
                      <a:noFill/>
                    </a:ln>
                  </pic:spPr>
                </pic:pic>
              </a:graphicData>
            </a:graphic>
          </wp:anchor>
        </w:drawing>
      </w:r>
    </w:p>
    <w:p w14:paraId="1D839ADC" w14:textId="03124741" w:rsidR="00617D40" w:rsidRPr="00CF6F48" w:rsidRDefault="00617D40" w:rsidP="00303574">
      <w:pPr>
        <w:spacing w:after="80" w:line="240" w:lineRule="exact"/>
        <w:rPr>
          <w:sz w:val="20"/>
          <w:szCs w:val="20"/>
          <w:lang w:val="fr-FR"/>
        </w:rPr>
      </w:pPr>
    </w:p>
    <w:p w14:paraId="4C8DE914" w14:textId="415AE4F8" w:rsidR="004D3467" w:rsidRPr="00CF6F48" w:rsidRDefault="004D3467" w:rsidP="00AA1913">
      <w:pPr>
        <w:spacing w:after="80" w:line="240" w:lineRule="exact"/>
        <w:jc w:val="center"/>
        <w:rPr>
          <w:sz w:val="20"/>
          <w:szCs w:val="22"/>
          <w:lang w:val="fr-FR"/>
        </w:rPr>
      </w:pPr>
    </w:p>
    <w:p w14:paraId="09E73B6B" w14:textId="77777777" w:rsidR="003A11A5" w:rsidRPr="00CF6F48" w:rsidRDefault="003A11A5" w:rsidP="00AA1913">
      <w:pPr>
        <w:spacing w:after="80" w:line="240" w:lineRule="exact"/>
        <w:jc w:val="center"/>
        <w:rPr>
          <w:sz w:val="20"/>
          <w:szCs w:val="22"/>
          <w:lang w:val="fr-FR"/>
        </w:rPr>
      </w:pPr>
    </w:p>
    <w:p w14:paraId="063226A0" w14:textId="77777777" w:rsidR="003A11A5" w:rsidRPr="00CF6F48" w:rsidRDefault="003A11A5" w:rsidP="00AA1913">
      <w:pPr>
        <w:spacing w:after="80" w:line="240" w:lineRule="exact"/>
        <w:jc w:val="center"/>
        <w:rPr>
          <w:sz w:val="20"/>
          <w:szCs w:val="22"/>
          <w:lang w:val="fr-FR"/>
        </w:rPr>
      </w:pPr>
    </w:p>
    <w:p w14:paraId="4D007CCD" w14:textId="56969471" w:rsidR="003A11A5" w:rsidRPr="00CF6F48" w:rsidRDefault="003A11A5" w:rsidP="00AA1913">
      <w:pPr>
        <w:spacing w:after="80" w:line="240" w:lineRule="exact"/>
        <w:jc w:val="center"/>
        <w:rPr>
          <w:sz w:val="20"/>
          <w:szCs w:val="22"/>
          <w:lang w:val="fr-FR"/>
        </w:rPr>
      </w:pPr>
    </w:p>
    <w:p w14:paraId="26C0928D" w14:textId="77777777" w:rsidR="003A11A5" w:rsidRPr="00CF6F48" w:rsidRDefault="003A11A5" w:rsidP="00AA1913">
      <w:pPr>
        <w:spacing w:after="80" w:line="240" w:lineRule="exact"/>
        <w:jc w:val="center"/>
        <w:rPr>
          <w:sz w:val="20"/>
          <w:szCs w:val="22"/>
          <w:lang w:val="fr-FR"/>
        </w:rPr>
      </w:pPr>
    </w:p>
    <w:p w14:paraId="44C2E90A" w14:textId="579C53CE" w:rsidR="003A11A5" w:rsidRPr="00CF6F48" w:rsidRDefault="003A11A5" w:rsidP="00AA1913">
      <w:pPr>
        <w:spacing w:after="80" w:line="240" w:lineRule="exact"/>
        <w:jc w:val="center"/>
        <w:rPr>
          <w:sz w:val="20"/>
          <w:szCs w:val="22"/>
          <w:lang w:val="fr-FR"/>
        </w:rPr>
      </w:pPr>
    </w:p>
    <w:p w14:paraId="0472F8DB" w14:textId="5E014F03" w:rsidR="003A11A5" w:rsidRPr="00CF6F48" w:rsidRDefault="003A11A5" w:rsidP="00AA1913">
      <w:pPr>
        <w:spacing w:after="80" w:line="240" w:lineRule="exact"/>
        <w:jc w:val="center"/>
        <w:rPr>
          <w:sz w:val="20"/>
          <w:szCs w:val="22"/>
          <w:lang w:val="fr-FR"/>
        </w:rPr>
      </w:pPr>
    </w:p>
    <w:p w14:paraId="49C1A354" w14:textId="110BECA5" w:rsidR="003A11A5" w:rsidRPr="00CF6F48" w:rsidRDefault="003A11A5" w:rsidP="00AA1913">
      <w:pPr>
        <w:spacing w:after="80" w:line="240" w:lineRule="exact"/>
        <w:jc w:val="center"/>
        <w:rPr>
          <w:sz w:val="20"/>
          <w:szCs w:val="22"/>
          <w:lang w:val="fr-FR"/>
        </w:rPr>
      </w:pPr>
    </w:p>
    <w:p w14:paraId="24A3A914" w14:textId="512D1090" w:rsidR="003A11A5" w:rsidRPr="00CF6F48" w:rsidRDefault="003A11A5" w:rsidP="00AA1913">
      <w:pPr>
        <w:spacing w:after="80" w:line="240" w:lineRule="exact"/>
        <w:jc w:val="center"/>
        <w:rPr>
          <w:sz w:val="20"/>
          <w:szCs w:val="22"/>
          <w:lang w:val="fr-FR"/>
        </w:rPr>
      </w:pPr>
    </w:p>
    <w:p w14:paraId="042004F7" w14:textId="3BA6F1BC" w:rsidR="00303574" w:rsidRPr="00CF6F48" w:rsidRDefault="00617D40" w:rsidP="00617D40">
      <w:pPr>
        <w:spacing w:after="80" w:line="240" w:lineRule="exact"/>
        <w:outlineLvl w:val="0"/>
        <w:rPr>
          <w:sz w:val="20"/>
          <w:lang w:val="fr-FR"/>
        </w:rPr>
      </w:pPr>
      <w:r w:rsidRPr="00CF6F48">
        <w:rPr>
          <w:b/>
          <w:sz w:val="20"/>
          <w:szCs w:val="20"/>
          <w:lang w:val="fr-FR"/>
        </w:rPr>
        <w:t>Appendix C</w:t>
      </w:r>
    </w:p>
    <w:p w14:paraId="1814E151" w14:textId="61893452" w:rsidR="003C7BF9" w:rsidRPr="00CF6F48" w:rsidRDefault="00C869C6" w:rsidP="00617D40">
      <w:pPr>
        <w:spacing w:after="80" w:line="240" w:lineRule="exact"/>
        <w:rPr>
          <w:sz w:val="20"/>
          <w:szCs w:val="20"/>
          <w:lang w:val="fr-FR"/>
        </w:rPr>
      </w:pPr>
      <w:bookmarkStart w:id="0" w:name="OLE_LINK1"/>
      <w:bookmarkStart w:id="1" w:name="OLE_LINK2"/>
      <w:r w:rsidRPr="00CF6F48">
        <w:rPr>
          <w:b/>
          <w:bCs/>
          <w:sz w:val="20"/>
          <w:szCs w:val="20"/>
          <w:lang w:val="fr-FR"/>
        </w:rPr>
        <w:t>Sample question on A</w:t>
      </w:r>
      <w:r w:rsidR="003C7BF9" w:rsidRPr="00CF6F48">
        <w:rPr>
          <w:b/>
          <w:bCs/>
          <w:sz w:val="20"/>
          <w:szCs w:val="20"/>
          <w:lang w:val="fr-FR"/>
        </w:rPr>
        <w:t>bstraction</w:t>
      </w:r>
      <w:r w:rsidR="00617D40" w:rsidRPr="00CF6F48">
        <w:rPr>
          <w:sz w:val="20"/>
          <w:szCs w:val="20"/>
          <w:lang w:val="fr-FR"/>
        </w:rPr>
        <w:t xml:space="preserve"> </w:t>
      </w:r>
    </w:p>
    <w:p w14:paraId="285DBBC5" w14:textId="2C017077" w:rsidR="003C7BF9" w:rsidRPr="00CF6F48" w:rsidRDefault="003C7BF9" w:rsidP="00617D40">
      <w:pPr>
        <w:spacing w:after="80" w:line="240" w:lineRule="exact"/>
        <w:rPr>
          <w:sz w:val="20"/>
          <w:szCs w:val="20"/>
          <w:lang w:val="fr-FR"/>
        </w:rPr>
      </w:pPr>
      <w:r w:rsidRPr="00CF6F48">
        <w:rPr>
          <w:rFonts w:cs="Arial"/>
          <w:bCs/>
          <w:noProof/>
          <w:sz w:val="24"/>
        </w:rPr>
        <w:drawing>
          <wp:anchor distT="0" distB="0" distL="114300" distR="114300" simplePos="0" relativeHeight="251660288" behindDoc="0" locked="0" layoutInCell="1" allowOverlap="1" wp14:anchorId="35AE354B" wp14:editId="4C302AA3">
            <wp:simplePos x="0" y="0"/>
            <wp:positionH relativeFrom="margin">
              <wp:align>left</wp:align>
            </wp:positionH>
            <wp:positionV relativeFrom="paragraph">
              <wp:posOffset>42518</wp:posOffset>
            </wp:positionV>
            <wp:extent cx="3695700" cy="2076450"/>
            <wp:effectExtent l="0" t="0" r="0" b="0"/>
            <wp:wrapNone/>
            <wp:docPr id="2" name="Picture 2" descr="Abstrac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bstracti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95700" cy="2076450"/>
                    </a:xfrm>
                    <a:prstGeom prst="rect">
                      <a:avLst/>
                    </a:prstGeom>
                    <a:noFill/>
                    <a:ln>
                      <a:noFill/>
                    </a:ln>
                  </pic:spPr>
                </pic:pic>
              </a:graphicData>
            </a:graphic>
          </wp:anchor>
        </w:drawing>
      </w:r>
    </w:p>
    <w:p w14:paraId="2CE001DA" w14:textId="77777777" w:rsidR="003C7BF9" w:rsidRPr="00CF6F48" w:rsidRDefault="003C7BF9" w:rsidP="00617D40">
      <w:pPr>
        <w:spacing w:after="80" w:line="240" w:lineRule="exact"/>
        <w:rPr>
          <w:sz w:val="20"/>
          <w:szCs w:val="20"/>
          <w:lang w:val="fr-FR"/>
        </w:rPr>
      </w:pPr>
    </w:p>
    <w:p w14:paraId="3513C57C" w14:textId="77777777" w:rsidR="003C7BF9" w:rsidRPr="00CF6F48" w:rsidRDefault="003C7BF9" w:rsidP="00617D40">
      <w:pPr>
        <w:spacing w:after="80" w:line="240" w:lineRule="exact"/>
        <w:rPr>
          <w:sz w:val="20"/>
          <w:szCs w:val="20"/>
          <w:lang w:val="fr-FR"/>
        </w:rPr>
      </w:pPr>
    </w:p>
    <w:p w14:paraId="528C0162" w14:textId="77777777" w:rsidR="003C7BF9" w:rsidRPr="00CF6F48" w:rsidRDefault="003C7BF9" w:rsidP="00617D40">
      <w:pPr>
        <w:spacing w:after="80" w:line="240" w:lineRule="exact"/>
        <w:rPr>
          <w:sz w:val="20"/>
          <w:szCs w:val="20"/>
          <w:lang w:val="fr-FR"/>
        </w:rPr>
      </w:pPr>
    </w:p>
    <w:p w14:paraId="601DF68C" w14:textId="77777777" w:rsidR="003C7BF9" w:rsidRPr="00CF6F48" w:rsidRDefault="003C7BF9" w:rsidP="00617D40">
      <w:pPr>
        <w:spacing w:after="80" w:line="240" w:lineRule="exact"/>
        <w:rPr>
          <w:sz w:val="20"/>
          <w:szCs w:val="20"/>
          <w:lang w:val="fr-FR"/>
        </w:rPr>
      </w:pPr>
    </w:p>
    <w:p w14:paraId="788852EA" w14:textId="77777777" w:rsidR="003C7BF9" w:rsidRPr="00CF6F48" w:rsidRDefault="003C7BF9" w:rsidP="00617D40">
      <w:pPr>
        <w:spacing w:after="80" w:line="240" w:lineRule="exact"/>
        <w:rPr>
          <w:sz w:val="20"/>
          <w:szCs w:val="20"/>
          <w:lang w:val="fr-FR"/>
        </w:rPr>
      </w:pPr>
    </w:p>
    <w:p w14:paraId="20E1D717" w14:textId="77777777" w:rsidR="003C7BF9" w:rsidRPr="00CF6F48" w:rsidRDefault="003C7BF9" w:rsidP="00617D40">
      <w:pPr>
        <w:spacing w:after="80" w:line="240" w:lineRule="exact"/>
        <w:rPr>
          <w:sz w:val="20"/>
          <w:szCs w:val="20"/>
          <w:lang w:val="fr-FR"/>
        </w:rPr>
      </w:pPr>
    </w:p>
    <w:p w14:paraId="13055F68" w14:textId="77777777" w:rsidR="003C7BF9" w:rsidRPr="00CF6F48" w:rsidRDefault="003C7BF9" w:rsidP="00617D40">
      <w:pPr>
        <w:spacing w:after="80" w:line="240" w:lineRule="exact"/>
        <w:rPr>
          <w:sz w:val="20"/>
          <w:szCs w:val="20"/>
          <w:lang w:val="fr-FR"/>
        </w:rPr>
      </w:pPr>
    </w:p>
    <w:p w14:paraId="5029C849" w14:textId="77777777" w:rsidR="003C7BF9" w:rsidRPr="00CF6F48" w:rsidRDefault="003C7BF9" w:rsidP="00617D40">
      <w:pPr>
        <w:spacing w:after="80" w:line="240" w:lineRule="exact"/>
        <w:rPr>
          <w:sz w:val="20"/>
          <w:szCs w:val="20"/>
          <w:lang w:val="fr-FR"/>
        </w:rPr>
      </w:pPr>
    </w:p>
    <w:p w14:paraId="6DF57880" w14:textId="77777777" w:rsidR="003C7BF9" w:rsidRPr="00CF6F48" w:rsidRDefault="003C7BF9" w:rsidP="00617D40">
      <w:pPr>
        <w:spacing w:after="80" w:line="240" w:lineRule="exact"/>
        <w:rPr>
          <w:sz w:val="20"/>
          <w:szCs w:val="20"/>
          <w:lang w:val="fr-FR"/>
        </w:rPr>
      </w:pPr>
    </w:p>
    <w:p w14:paraId="7D1CBA7C" w14:textId="77777777" w:rsidR="003C7BF9" w:rsidRPr="00CF6F48" w:rsidRDefault="003C7BF9" w:rsidP="00617D40">
      <w:pPr>
        <w:spacing w:after="80" w:line="240" w:lineRule="exact"/>
        <w:rPr>
          <w:sz w:val="20"/>
          <w:szCs w:val="20"/>
          <w:lang w:val="fr-FR"/>
        </w:rPr>
      </w:pPr>
    </w:p>
    <w:p w14:paraId="522B2E24" w14:textId="77777777" w:rsidR="003C7BF9" w:rsidRPr="00CF6F48" w:rsidRDefault="003C7BF9" w:rsidP="00617D40">
      <w:pPr>
        <w:spacing w:after="80" w:line="240" w:lineRule="exact"/>
        <w:rPr>
          <w:sz w:val="20"/>
          <w:szCs w:val="20"/>
          <w:lang w:val="fr-FR"/>
        </w:rPr>
      </w:pPr>
    </w:p>
    <w:p w14:paraId="2A092EB0" w14:textId="5C396F8E" w:rsidR="003C7BF9" w:rsidRPr="00CF6F48" w:rsidRDefault="003C7BF9" w:rsidP="003C7BF9">
      <w:pPr>
        <w:spacing w:after="80" w:line="240" w:lineRule="exact"/>
        <w:outlineLvl w:val="0"/>
        <w:rPr>
          <w:sz w:val="20"/>
          <w:lang w:val="fr-FR"/>
        </w:rPr>
      </w:pPr>
      <w:r w:rsidRPr="00CF6F48">
        <w:rPr>
          <w:b/>
          <w:sz w:val="20"/>
          <w:szCs w:val="20"/>
          <w:lang w:val="fr-FR"/>
        </w:rPr>
        <w:lastRenderedPageBreak/>
        <w:t>Appendix D</w:t>
      </w:r>
    </w:p>
    <w:p w14:paraId="2EF94BDC" w14:textId="5BDB4E8C" w:rsidR="003C7BF9" w:rsidRPr="00CF6F48" w:rsidRDefault="003C7BF9" w:rsidP="003C7BF9">
      <w:pPr>
        <w:spacing w:after="80" w:line="240" w:lineRule="exact"/>
        <w:rPr>
          <w:b/>
          <w:bCs/>
          <w:sz w:val="20"/>
          <w:szCs w:val="20"/>
          <w:lang w:val="fr-FR"/>
        </w:rPr>
      </w:pPr>
      <w:r w:rsidRPr="00CF6F48">
        <w:rPr>
          <w:rFonts w:cs="Arial"/>
          <w:bCs/>
          <w:noProof/>
          <w:sz w:val="24"/>
        </w:rPr>
        <w:drawing>
          <wp:anchor distT="0" distB="0" distL="114300" distR="114300" simplePos="0" relativeHeight="251661312" behindDoc="0" locked="0" layoutInCell="1" allowOverlap="1" wp14:anchorId="3131867D" wp14:editId="15009D56">
            <wp:simplePos x="0" y="0"/>
            <wp:positionH relativeFrom="margin">
              <wp:align>left</wp:align>
            </wp:positionH>
            <wp:positionV relativeFrom="paragraph">
              <wp:posOffset>200936</wp:posOffset>
            </wp:positionV>
            <wp:extent cx="3667125" cy="2752725"/>
            <wp:effectExtent l="0" t="0" r="9525" b="9525"/>
            <wp:wrapNone/>
            <wp:docPr id="3" name="Picture 3" descr="Logic_Numbers_Lett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ic_Numbers_Letters-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7125" cy="2752725"/>
                    </a:xfrm>
                    <a:prstGeom prst="rect">
                      <a:avLst/>
                    </a:prstGeom>
                    <a:noFill/>
                    <a:ln>
                      <a:noFill/>
                    </a:ln>
                  </pic:spPr>
                </pic:pic>
              </a:graphicData>
            </a:graphic>
          </wp:anchor>
        </w:drawing>
      </w:r>
      <w:r w:rsidR="00C869C6" w:rsidRPr="00CF6F48">
        <w:rPr>
          <w:b/>
          <w:bCs/>
          <w:sz w:val="20"/>
          <w:szCs w:val="20"/>
          <w:lang w:val="fr-FR"/>
        </w:rPr>
        <w:t>Sample question on L</w:t>
      </w:r>
      <w:r w:rsidRPr="00CF6F48">
        <w:rPr>
          <w:b/>
          <w:bCs/>
          <w:sz w:val="20"/>
          <w:szCs w:val="20"/>
          <w:lang w:val="fr-FR"/>
        </w:rPr>
        <w:t>ogic</w:t>
      </w:r>
    </w:p>
    <w:p w14:paraId="4D8180FA" w14:textId="77777777" w:rsidR="005C0CDE" w:rsidRPr="00CF6F48" w:rsidRDefault="005C0CDE" w:rsidP="003C7BF9">
      <w:pPr>
        <w:spacing w:after="80" w:line="240" w:lineRule="exact"/>
        <w:rPr>
          <w:b/>
          <w:bCs/>
          <w:sz w:val="20"/>
          <w:szCs w:val="20"/>
          <w:lang w:val="fr-FR"/>
        </w:rPr>
      </w:pPr>
    </w:p>
    <w:p w14:paraId="64451FE3" w14:textId="2EC9DFE5" w:rsidR="003C7BF9" w:rsidRPr="00CF6F48" w:rsidRDefault="003C7BF9" w:rsidP="003C7BF9">
      <w:pPr>
        <w:spacing w:after="80" w:line="240" w:lineRule="exact"/>
        <w:rPr>
          <w:b/>
          <w:bCs/>
          <w:sz w:val="20"/>
          <w:szCs w:val="20"/>
          <w:lang w:val="fr-FR"/>
        </w:rPr>
      </w:pPr>
    </w:p>
    <w:p w14:paraId="53A0A8C9" w14:textId="77777777" w:rsidR="003C7BF9" w:rsidRPr="00CF6F48" w:rsidRDefault="003C7BF9" w:rsidP="003C7BF9">
      <w:pPr>
        <w:spacing w:after="80" w:line="240" w:lineRule="exact"/>
        <w:rPr>
          <w:b/>
          <w:bCs/>
          <w:sz w:val="20"/>
          <w:szCs w:val="20"/>
          <w:lang w:val="fr-FR"/>
        </w:rPr>
      </w:pPr>
    </w:p>
    <w:p w14:paraId="3BBF87A4" w14:textId="77777777" w:rsidR="003C7BF9" w:rsidRPr="00CF6F48" w:rsidRDefault="003C7BF9" w:rsidP="003C7BF9">
      <w:pPr>
        <w:spacing w:after="80" w:line="240" w:lineRule="exact"/>
        <w:rPr>
          <w:b/>
          <w:bCs/>
          <w:sz w:val="20"/>
          <w:szCs w:val="20"/>
          <w:lang w:val="fr-FR"/>
        </w:rPr>
      </w:pPr>
    </w:p>
    <w:p w14:paraId="3DC371E6" w14:textId="77777777" w:rsidR="003C7BF9" w:rsidRPr="00CF6F48" w:rsidRDefault="003C7BF9" w:rsidP="003C7BF9">
      <w:pPr>
        <w:spacing w:after="80" w:line="240" w:lineRule="exact"/>
        <w:rPr>
          <w:b/>
          <w:bCs/>
          <w:sz w:val="20"/>
          <w:szCs w:val="20"/>
          <w:lang w:val="fr-FR"/>
        </w:rPr>
      </w:pPr>
    </w:p>
    <w:p w14:paraId="0DF55DCC" w14:textId="77777777" w:rsidR="003C7BF9" w:rsidRPr="00CF6F48" w:rsidRDefault="003C7BF9" w:rsidP="003C7BF9">
      <w:pPr>
        <w:spacing w:after="80" w:line="240" w:lineRule="exact"/>
        <w:rPr>
          <w:b/>
          <w:bCs/>
          <w:sz w:val="20"/>
          <w:szCs w:val="20"/>
          <w:lang w:val="fr-FR"/>
        </w:rPr>
      </w:pPr>
    </w:p>
    <w:p w14:paraId="191C1B67" w14:textId="77777777" w:rsidR="003C7BF9" w:rsidRPr="00CF6F48" w:rsidRDefault="003C7BF9" w:rsidP="003C7BF9">
      <w:pPr>
        <w:spacing w:after="80" w:line="240" w:lineRule="exact"/>
        <w:rPr>
          <w:b/>
          <w:bCs/>
          <w:sz w:val="20"/>
          <w:szCs w:val="20"/>
          <w:lang w:val="fr-FR"/>
        </w:rPr>
      </w:pPr>
    </w:p>
    <w:p w14:paraId="6653EC0C" w14:textId="0B123259" w:rsidR="003C7BF9" w:rsidRPr="00CF6F48" w:rsidRDefault="003C7BF9" w:rsidP="003C7BF9">
      <w:pPr>
        <w:spacing w:after="80" w:line="240" w:lineRule="exact"/>
        <w:rPr>
          <w:b/>
          <w:bCs/>
          <w:sz w:val="20"/>
          <w:szCs w:val="20"/>
          <w:lang w:val="fr-FR"/>
        </w:rPr>
      </w:pPr>
    </w:p>
    <w:p w14:paraId="3C9379F4" w14:textId="77777777" w:rsidR="003C7BF9" w:rsidRPr="00CF6F48" w:rsidRDefault="003C7BF9" w:rsidP="003C7BF9">
      <w:pPr>
        <w:spacing w:after="80" w:line="240" w:lineRule="exact"/>
        <w:rPr>
          <w:b/>
          <w:bCs/>
          <w:sz w:val="20"/>
          <w:szCs w:val="20"/>
          <w:lang w:val="fr-FR"/>
        </w:rPr>
      </w:pPr>
    </w:p>
    <w:p w14:paraId="00BA4735" w14:textId="63E82CA6" w:rsidR="003C7BF9" w:rsidRPr="00CF6F48" w:rsidRDefault="003C7BF9" w:rsidP="003C7BF9">
      <w:pPr>
        <w:spacing w:after="80" w:line="240" w:lineRule="exact"/>
        <w:rPr>
          <w:b/>
          <w:bCs/>
          <w:sz w:val="20"/>
          <w:szCs w:val="20"/>
          <w:lang w:val="fr-FR"/>
        </w:rPr>
      </w:pPr>
    </w:p>
    <w:p w14:paraId="22A1E122" w14:textId="197E1DFE" w:rsidR="003C7BF9" w:rsidRPr="00CF6F48" w:rsidRDefault="003C7BF9" w:rsidP="003C7BF9">
      <w:pPr>
        <w:spacing w:after="80" w:line="240" w:lineRule="exact"/>
        <w:rPr>
          <w:b/>
          <w:bCs/>
          <w:sz w:val="20"/>
          <w:szCs w:val="20"/>
          <w:lang w:val="fr-FR"/>
        </w:rPr>
      </w:pPr>
    </w:p>
    <w:p w14:paraId="37468921" w14:textId="2D4E4A1F" w:rsidR="003C7BF9" w:rsidRPr="00CF6F48" w:rsidRDefault="003C7BF9" w:rsidP="003C7BF9">
      <w:pPr>
        <w:spacing w:after="80" w:line="240" w:lineRule="exact"/>
        <w:rPr>
          <w:b/>
          <w:bCs/>
          <w:sz w:val="20"/>
          <w:szCs w:val="20"/>
          <w:lang w:val="fr-FR"/>
        </w:rPr>
      </w:pPr>
    </w:p>
    <w:p w14:paraId="28077E2C" w14:textId="45810E54" w:rsidR="003C7BF9" w:rsidRPr="00CF6F48" w:rsidRDefault="003C7BF9" w:rsidP="003C7BF9">
      <w:pPr>
        <w:spacing w:after="80" w:line="240" w:lineRule="exact"/>
        <w:rPr>
          <w:b/>
          <w:bCs/>
          <w:sz w:val="20"/>
          <w:szCs w:val="20"/>
          <w:lang w:val="fr-FR"/>
        </w:rPr>
      </w:pPr>
    </w:p>
    <w:p w14:paraId="428026E4" w14:textId="49ADAF47" w:rsidR="003C7BF9" w:rsidRPr="00CF6F48" w:rsidRDefault="003C7BF9" w:rsidP="003C7BF9">
      <w:pPr>
        <w:spacing w:after="80" w:line="240" w:lineRule="exact"/>
        <w:rPr>
          <w:b/>
          <w:bCs/>
          <w:sz w:val="20"/>
          <w:szCs w:val="20"/>
          <w:lang w:val="fr-FR"/>
        </w:rPr>
      </w:pPr>
    </w:p>
    <w:p w14:paraId="7AE714B3" w14:textId="7F43DE51" w:rsidR="003C7BF9" w:rsidRPr="00CF6F48" w:rsidRDefault="003C7BF9" w:rsidP="003C7BF9">
      <w:pPr>
        <w:spacing w:after="80" w:line="240" w:lineRule="exact"/>
        <w:outlineLvl w:val="0"/>
        <w:rPr>
          <w:sz w:val="20"/>
          <w:lang w:val="fr-FR"/>
        </w:rPr>
      </w:pPr>
      <w:r w:rsidRPr="00CF6F48">
        <w:rPr>
          <w:b/>
          <w:sz w:val="20"/>
          <w:szCs w:val="20"/>
          <w:lang w:val="fr-FR"/>
        </w:rPr>
        <w:t>Appendix E</w:t>
      </w:r>
    </w:p>
    <w:p w14:paraId="5588C47F" w14:textId="7C03C97B" w:rsidR="003C7BF9" w:rsidRPr="00CF6F48" w:rsidRDefault="003C7BF9" w:rsidP="003C7BF9">
      <w:pPr>
        <w:spacing w:after="80" w:line="240" w:lineRule="exact"/>
        <w:rPr>
          <w:b/>
          <w:bCs/>
          <w:sz w:val="20"/>
          <w:szCs w:val="20"/>
          <w:lang w:val="fr-FR"/>
        </w:rPr>
      </w:pPr>
      <w:r w:rsidRPr="00CF6F48">
        <w:rPr>
          <w:rFonts w:cs="Arial"/>
          <w:bCs/>
          <w:noProof/>
          <w:sz w:val="24"/>
        </w:rPr>
        <w:drawing>
          <wp:anchor distT="0" distB="0" distL="114300" distR="114300" simplePos="0" relativeHeight="251662336" behindDoc="0" locked="0" layoutInCell="1" allowOverlap="1" wp14:anchorId="665986B2" wp14:editId="3E597014">
            <wp:simplePos x="0" y="0"/>
            <wp:positionH relativeFrom="margin">
              <wp:align>left</wp:align>
            </wp:positionH>
            <wp:positionV relativeFrom="paragraph">
              <wp:posOffset>201516</wp:posOffset>
            </wp:positionV>
            <wp:extent cx="3581400" cy="2686050"/>
            <wp:effectExtent l="0" t="0" r="0" b="0"/>
            <wp:wrapNone/>
            <wp:docPr id="5" name="Picture 5" descr="Logic_Narra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ogic_Narrative-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81400" cy="2686050"/>
                    </a:xfrm>
                    <a:prstGeom prst="rect">
                      <a:avLst/>
                    </a:prstGeom>
                    <a:noFill/>
                    <a:ln>
                      <a:noFill/>
                    </a:ln>
                  </pic:spPr>
                </pic:pic>
              </a:graphicData>
            </a:graphic>
          </wp:anchor>
        </w:drawing>
      </w:r>
      <w:r w:rsidRPr="00CF6F48">
        <w:rPr>
          <w:b/>
          <w:bCs/>
          <w:sz w:val="20"/>
          <w:szCs w:val="20"/>
          <w:lang w:val="fr-FR"/>
        </w:rPr>
        <w:t xml:space="preserve">Sample question on </w:t>
      </w:r>
      <w:r w:rsidR="00C869C6" w:rsidRPr="00CF6F48">
        <w:rPr>
          <w:b/>
          <w:bCs/>
          <w:sz w:val="20"/>
          <w:szCs w:val="20"/>
          <w:lang w:val="fr-FR"/>
        </w:rPr>
        <w:t>L</w:t>
      </w:r>
      <w:r w:rsidRPr="00CF6F48">
        <w:rPr>
          <w:b/>
          <w:bCs/>
          <w:sz w:val="20"/>
          <w:szCs w:val="20"/>
          <w:lang w:val="fr-FR"/>
        </w:rPr>
        <w:t>ogic</w:t>
      </w:r>
      <w:r w:rsidR="00C869C6" w:rsidRPr="00CF6F48">
        <w:rPr>
          <w:b/>
          <w:bCs/>
          <w:sz w:val="20"/>
          <w:szCs w:val="20"/>
          <w:lang w:val="fr-FR"/>
        </w:rPr>
        <w:t xml:space="preserve"> N</w:t>
      </w:r>
      <w:r w:rsidRPr="00CF6F48">
        <w:rPr>
          <w:b/>
          <w:bCs/>
          <w:sz w:val="20"/>
          <w:szCs w:val="20"/>
          <w:lang w:val="fr-FR"/>
        </w:rPr>
        <w:t>arrative</w:t>
      </w:r>
    </w:p>
    <w:p w14:paraId="04266A96" w14:textId="75910C0A" w:rsidR="003C7BF9" w:rsidRPr="00CF6F48" w:rsidRDefault="003C7BF9" w:rsidP="003C7BF9">
      <w:pPr>
        <w:spacing w:after="80" w:line="240" w:lineRule="exact"/>
        <w:rPr>
          <w:b/>
          <w:bCs/>
          <w:sz w:val="20"/>
          <w:szCs w:val="20"/>
          <w:lang w:val="fr-FR"/>
        </w:rPr>
      </w:pPr>
    </w:p>
    <w:p w14:paraId="082D7FBE" w14:textId="77777777" w:rsidR="003C7BF9" w:rsidRPr="00CF6F48" w:rsidRDefault="003C7BF9" w:rsidP="003C7BF9">
      <w:pPr>
        <w:spacing w:after="80" w:line="240" w:lineRule="exact"/>
        <w:rPr>
          <w:b/>
          <w:bCs/>
          <w:sz w:val="20"/>
          <w:szCs w:val="20"/>
          <w:lang w:val="fr-FR"/>
        </w:rPr>
      </w:pPr>
    </w:p>
    <w:p w14:paraId="1C01F19E" w14:textId="77777777" w:rsidR="003C7BF9" w:rsidRPr="00CF6F48" w:rsidRDefault="003C7BF9" w:rsidP="003C7BF9">
      <w:pPr>
        <w:spacing w:after="80" w:line="240" w:lineRule="exact"/>
        <w:rPr>
          <w:b/>
          <w:bCs/>
          <w:sz w:val="20"/>
          <w:szCs w:val="20"/>
          <w:lang w:val="fr-FR"/>
        </w:rPr>
      </w:pPr>
    </w:p>
    <w:p w14:paraId="119F0BB3" w14:textId="77777777" w:rsidR="003C7BF9" w:rsidRPr="00CF6F48" w:rsidRDefault="003C7BF9" w:rsidP="003C7BF9">
      <w:pPr>
        <w:spacing w:after="80" w:line="240" w:lineRule="exact"/>
        <w:rPr>
          <w:b/>
          <w:bCs/>
          <w:sz w:val="20"/>
          <w:szCs w:val="20"/>
          <w:lang w:val="fr-FR"/>
        </w:rPr>
      </w:pPr>
    </w:p>
    <w:p w14:paraId="1D908894" w14:textId="77777777" w:rsidR="003C7BF9" w:rsidRPr="00CF6F48" w:rsidRDefault="003C7BF9" w:rsidP="003C7BF9">
      <w:pPr>
        <w:spacing w:after="80" w:line="240" w:lineRule="exact"/>
        <w:rPr>
          <w:b/>
          <w:bCs/>
          <w:sz w:val="20"/>
          <w:szCs w:val="20"/>
          <w:lang w:val="fr-FR"/>
        </w:rPr>
      </w:pPr>
    </w:p>
    <w:p w14:paraId="4CD4523B" w14:textId="77777777" w:rsidR="003C7BF9" w:rsidRPr="00CF6F48" w:rsidRDefault="003C7BF9" w:rsidP="003C7BF9">
      <w:pPr>
        <w:spacing w:after="80" w:line="240" w:lineRule="exact"/>
        <w:rPr>
          <w:b/>
          <w:bCs/>
          <w:sz w:val="20"/>
          <w:szCs w:val="20"/>
          <w:lang w:val="fr-FR"/>
        </w:rPr>
      </w:pPr>
    </w:p>
    <w:p w14:paraId="086391AE" w14:textId="77777777" w:rsidR="003C7BF9" w:rsidRPr="00CF6F48" w:rsidRDefault="003C7BF9" w:rsidP="003C7BF9">
      <w:pPr>
        <w:spacing w:after="80" w:line="240" w:lineRule="exact"/>
        <w:rPr>
          <w:b/>
          <w:bCs/>
          <w:sz w:val="20"/>
          <w:szCs w:val="20"/>
          <w:lang w:val="fr-FR"/>
        </w:rPr>
      </w:pPr>
    </w:p>
    <w:p w14:paraId="6ED8776E" w14:textId="77777777" w:rsidR="003C7BF9" w:rsidRPr="00CF6F48" w:rsidRDefault="003C7BF9" w:rsidP="003C7BF9">
      <w:pPr>
        <w:spacing w:after="80" w:line="240" w:lineRule="exact"/>
        <w:rPr>
          <w:b/>
          <w:bCs/>
          <w:sz w:val="20"/>
          <w:szCs w:val="20"/>
          <w:lang w:val="fr-FR"/>
        </w:rPr>
      </w:pPr>
    </w:p>
    <w:p w14:paraId="016AB226" w14:textId="77777777" w:rsidR="003C7BF9" w:rsidRPr="00CF6F48" w:rsidRDefault="003C7BF9" w:rsidP="003C7BF9">
      <w:pPr>
        <w:spacing w:after="80" w:line="240" w:lineRule="exact"/>
        <w:rPr>
          <w:b/>
          <w:bCs/>
          <w:sz w:val="20"/>
          <w:szCs w:val="20"/>
          <w:lang w:val="fr-FR"/>
        </w:rPr>
      </w:pPr>
    </w:p>
    <w:p w14:paraId="75410097" w14:textId="77777777" w:rsidR="003C7BF9" w:rsidRPr="00CF6F48" w:rsidRDefault="003C7BF9" w:rsidP="003C7BF9">
      <w:pPr>
        <w:spacing w:after="80" w:line="240" w:lineRule="exact"/>
        <w:rPr>
          <w:b/>
          <w:bCs/>
          <w:sz w:val="20"/>
          <w:szCs w:val="20"/>
          <w:lang w:val="fr-FR"/>
        </w:rPr>
      </w:pPr>
    </w:p>
    <w:p w14:paraId="665A1483" w14:textId="5A515BD0" w:rsidR="003C7BF9" w:rsidRPr="00CF6F48" w:rsidRDefault="003C7BF9" w:rsidP="003C7BF9">
      <w:pPr>
        <w:spacing w:after="80" w:line="240" w:lineRule="exact"/>
        <w:rPr>
          <w:b/>
          <w:bCs/>
          <w:sz w:val="20"/>
          <w:szCs w:val="20"/>
          <w:lang w:val="fr-FR"/>
        </w:rPr>
      </w:pPr>
    </w:p>
    <w:p w14:paraId="5D3089E9" w14:textId="77777777" w:rsidR="003C7BF9" w:rsidRPr="00CF6F48" w:rsidRDefault="003C7BF9" w:rsidP="003C7BF9">
      <w:pPr>
        <w:spacing w:after="80" w:line="240" w:lineRule="exact"/>
        <w:rPr>
          <w:b/>
          <w:bCs/>
          <w:sz w:val="20"/>
          <w:szCs w:val="20"/>
          <w:lang w:val="fr-FR"/>
        </w:rPr>
      </w:pPr>
    </w:p>
    <w:p w14:paraId="2A279194" w14:textId="1F529E7C" w:rsidR="003C7BF9" w:rsidRPr="00CF6F48" w:rsidRDefault="003C7BF9" w:rsidP="003C7BF9">
      <w:pPr>
        <w:spacing w:after="80" w:line="240" w:lineRule="exact"/>
        <w:rPr>
          <w:b/>
          <w:bCs/>
          <w:sz w:val="20"/>
          <w:szCs w:val="20"/>
          <w:lang w:val="fr-FR"/>
        </w:rPr>
      </w:pPr>
    </w:p>
    <w:p w14:paraId="4B089DC0" w14:textId="77777777" w:rsidR="003C7BF9" w:rsidRPr="00CF6F48" w:rsidRDefault="003C7BF9" w:rsidP="003C7BF9">
      <w:pPr>
        <w:spacing w:after="80" w:line="240" w:lineRule="exact"/>
        <w:rPr>
          <w:b/>
          <w:bCs/>
          <w:sz w:val="20"/>
          <w:szCs w:val="20"/>
          <w:lang w:val="fr-FR"/>
        </w:rPr>
      </w:pPr>
    </w:p>
    <w:p w14:paraId="733D7D87" w14:textId="77777777" w:rsidR="00CE4D38" w:rsidRPr="00CF6F48" w:rsidRDefault="00CE4D38">
      <w:pPr>
        <w:widowControl/>
        <w:jc w:val="left"/>
        <w:rPr>
          <w:b/>
          <w:sz w:val="20"/>
          <w:szCs w:val="20"/>
          <w:lang w:val="fr-FR"/>
        </w:rPr>
      </w:pPr>
      <w:r w:rsidRPr="00CF6F48">
        <w:rPr>
          <w:b/>
          <w:sz w:val="20"/>
          <w:szCs w:val="20"/>
          <w:lang w:val="fr-FR"/>
        </w:rPr>
        <w:br w:type="page"/>
      </w:r>
    </w:p>
    <w:p w14:paraId="140B31CC" w14:textId="4AEF5856" w:rsidR="00CE4D38" w:rsidRPr="00CF6F48" w:rsidRDefault="00CE4D38" w:rsidP="00CE4D38">
      <w:pPr>
        <w:spacing w:after="80" w:line="240" w:lineRule="exact"/>
        <w:outlineLvl w:val="0"/>
        <w:rPr>
          <w:sz w:val="20"/>
        </w:rPr>
      </w:pPr>
      <w:r w:rsidRPr="00CF6F48">
        <w:rPr>
          <w:b/>
          <w:sz w:val="20"/>
          <w:szCs w:val="20"/>
        </w:rPr>
        <w:lastRenderedPageBreak/>
        <w:t>Appendix F</w:t>
      </w:r>
    </w:p>
    <w:p w14:paraId="0C821BE1" w14:textId="2BDC9524" w:rsidR="00CE4D38" w:rsidRPr="00CF6F48" w:rsidRDefault="00CE4D38" w:rsidP="00CE4D38">
      <w:pPr>
        <w:spacing w:after="80" w:line="240" w:lineRule="exact"/>
        <w:rPr>
          <w:b/>
          <w:bCs/>
          <w:sz w:val="20"/>
          <w:szCs w:val="20"/>
        </w:rPr>
      </w:pPr>
      <w:r w:rsidRPr="00CF6F48">
        <w:rPr>
          <w:b/>
          <w:bCs/>
          <w:sz w:val="20"/>
          <w:szCs w:val="20"/>
        </w:rPr>
        <w:t xml:space="preserve">Item characteristic curves for Logic Narrative quiz with 10 items </w:t>
      </w:r>
    </w:p>
    <w:p w14:paraId="04A5DA6D" w14:textId="37805E59" w:rsidR="00CE4D38" w:rsidRPr="00CF6F48" w:rsidRDefault="00CE4D38" w:rsidP="00CE4D38">
      <w:pPr>
        <w:spacing w:after="80" w:line="240" w:lineRule="exact"/>
        <w:rPr>
          <w:b/>
          <w:bCs/>
          <w:sz w:val="20"/>
          <w:szCs w:val="20"/>
        </w:rPr>
      </w:pPr>
      <w:r w:rsidRPr="00CF6F48">
        <w:rPr>
          <w:noProof/>
        </w:rPr>
        <w:drawing>
          <wp:anchor distT="0" distB="0" distL="114300" distR="114300" simplePos="0" relativeHeight="251663360" behindDoc="1" locked="0" layoutInCell="1" allowOverlap="1" wp14:anchorId="7A028198" wp14:editId="09D460A9">
            <wp:simplePos x="0" y="0"/>
            <wp:positionH relativeFrom="column">
              <wp:posOffset>45720</wp:posOffset>
            </wp:positionH>
            <wp:positionV relativeFrom="paragraph">
              <wp:posOffset>9138</wp:posOffset>
            </wp:positionV>
            <wp:extent cx="3140765" cy="2355749"/>
            <wp:effectExtent l="0" t="0" r="254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40765" cy="2355749"/>
                    </a:xfrm>
                    <a:prstGeom prst="rect">
                      <a:avLst/>
                    </a:prstGeom>
                  </pic:spPr>
                </pic:pic>
              </a:graphicData>
            </a:graphic>
            <wp14:sizeRelH relativeFrom="margin">
              <wp14:pctWidth>0</wp14:pctWidth>
            </wp14:sizeRelH>
            <wp14:sizeRelV relativeFrom="margin">
              <wp14:pctHeight>0</wp14:pctHeight>
            </wp14:sizeRelV>
          </wp:anchor>
        </w:drawing>
      </w:r>
    </w:p>
    <w:p w14:paraId="69B94A82" w14:textId="130FAB6B" w:rsidR="00CE4D38" w:rsidRPr="00CF6F48" w:rsidRDefault="00CE4D38" w:rsidP="00CE4D38">
      <w:pPr>
        <w:spacing w:after="80" w:line="240" w:lineRule="exact"/>
        <w:rPr>
          <w:b/>
          <w:bCs/>
          <w:sz w:val="20"/>
          <w:szCs w:val="20"/>
        </w:rPr>
      </w:pPr>
    </w:p>
    <w:p w14:paraId="046C3EF0" w14:textId="77777777" w:rsidR="00CE4D38" w:rsidRPr="00CF6F48" w:rsidRDefault="00CE4D38" w:rsidP="00CE4D38">
      <w:pPr>
        <w:spacing w:after="80" w:line="240" w:lineRule="exact"/>
        <w:rPr>
          <w:b/>
          <w:bCs/>
          <w:sz w:val="20"/>
          <w:szCs w:val="20"/>
        </w:rPr>
      </w:pPr>
    </w:p>
    <w:p w14:paraId="47B72B45" w14:textId="4F927811" w:rsidR="00CE4D38" w:rsidRPr="00CF6F48" w:rsidRDefault="00CE4D38" w:rsidP="00CE4D38">
      <w:pPr>
        <w:spacing w:after="80" w:line="240" w:lineRule="exact"/>
        <w:rPr>
          <w:b/>
          <w:bCs/>
          <w:sz w:val="20"/>
          <w:szCs w:val="20"/>
        </w:rPr>
      </w:pPr>
    </w:p>
    <w:p w14:paraId="5903C4BD" w14:textId="77777777" w:rsidR="00CE4D38" w:rsidRPr="00CF6F48" w:rsidRDefault="00CE4D38" w:rsidP="00CE4D38">
      <w:pPr>
        <w:spacing w:after="80" w:line="240" w:lineRule="exact"/>
        <w:rPr>
          <w:b/>
          <w:bCs/>
          <w:sz w:val="20"/>
          <w:szCs w:val="20"/>
        </w:rPr>
      </w:pPr>
    </w:p>
    <w:p w14:paraId="009F7C3A" w14:textId="05145595" w:rsidR="00CE4D38" w:rsidRPr="00CF6F48" w:rsidRDefault="00CE4D38" w:rsidP="00CE4D38">
      <w:pPr>
        <w:spacing w:after="80" w:line="240" w:lineRule="exact"/>
        <w:rPr>
          <w:b/>
          <w:bCs/>
          <w:sz w:val="20"/>
          <w:szCs w:val="20"/>
        </w:rPr>
      </w:pPr>
    </w:p>
    <w:p w14:paraId="016D7053" w14:textId="77777777" w:rsidR="00CE4D38" w:rsidRPr="00CF6F48" w:rsidRDefault="00CE4D38" w:rsidP="00CE4D38">
      <w:pPr>
        <w:spacing w:after="80" w:line="240" w:lineRule="exact"/>
        <w:rPr>
          <w:b/>
          <w:bCs/>
          <w:sz w:val="20"/>
          <w:szCs w:val="20"/>
        </w:rPr>
      </w:pPr>
    </w:p>
    <w:p w14:paraId="5E7ADCEB" w14:textId="71BDC690" w:rsidR="00CE4D38" w:rsidRPr="00CF6F48" w:rsidRDefault="00CE4D38" w:rsidP="00CE4D38">
      <w:pPr>
        <w:spacing w:after="80" w:line="240" w:lineRule="exact"/>
        <w:rPr>
          <w:b/>
          <w:bCs/>
          <w:sz w:val="20"/>
          <w:szCs w:val="20"/>
        </w:rPr>
      </w:pPr>
    </w:p>
    <w:p w14:paraId="2A7A14A0" w14:textId="76801B55" w:rsidR="00CE4D38" w:rsidRPr="00CF6F48" w:rsidRDefault="00CE4D38" w:rsidP="00CE4D38">
      <w:pPr>
        <w:spacing w:after="80" w:line="240" w:lineRule="exact"/>
        <w:rPr>
          <w:b/>
          <w:bCs/>
          <w:sz w:val="20"/>
          <w:szCs w:val="20"/>
        </w:rPr>
      </w:pPr>
    </w:p>
    <w:p w14:paraId="287602E9" w14:textId="289033DC" w:rsidR="00CE4D38" w:rsidRPr="00CF6F48" w:rsidRDefault="00CE4D38" w:rsidP="00CE4D38">
      <w:pPr>
        <w:spacing w:after="80" w:line="240" w:lineRule="exact"/>
        <w:rPr>
          <w:b/>
          <w:bCs/>
          <w:sz w:val="20"/>
          <w:szCs w:val="20"/>
        </w:rPr>
      </w:pPr>
    </w:p>
    <w:p w14:paraId="06E6BAE2" w14:textId="7B7914F4" w:rsidR="00CE4D38" w:rsidRPr="00CF6F48" w:rsidRDefault="00CE4D38" w:rsidP="00CE4D38">
      <w:pPr>
        <w:spacing w:after="80" w:line="240" w:lineRule="exact"/>
        <w:rPr>
          <w:b/>
          <w:bCs/>
          <w:sz w:val="20"/>
          <w:szCs w:val="20"/>
        </w:rPr>
      </w:pPr>
    </w:p>
    <w:p w14:paraId="5C9C1710" w14:textId="354255ED" w:rsidR="00CE4D38" w:rsidRPr="00CF6F48" w:rsidRDefault="00CE4D38" w:rsidP="00CE4D38">
      <w:pPr>
        <w:spacing w:after="80" w:line="240" w:lineRule="exact"/>
        <w:rPr>
          <w:b/>
          <w:bCs/>
          <w:sz w:val="20"/>
          <w:szCs w:val="20"/>
        </w:rPr>
      </w:pPr>
    </w:p>
    <w:p w14:paraId="6B2DAC08" w14:textId="1774068A" w:rsidR="00CE4D38" w:rsidRPr="00CF6F48" w:rsidRDefault="00CE4D38" w:rsidP="00CE4D38">
      <w:pPr>
        <w:spacing w:after="80" w:line="240" w:lineRule="exact"/>
        <w:rPr>
          <w:b/>
          <w:bCs/>
          <w:sz w:val="20"/>
          <w:szCs w:val="20"/>
        </w:rPr>
      </w:pPr>
    </w:p>
    <w:p w14:paraId="4DDC4C4E" w14:textId="0EC1E6CF" w:rsidR="00CE4D38" w:rsidRPr="00CF6F48" w:rsidRDefault="00CE4D38" w:rsidP="00CE4D38">
      <w:pPr>
        <w:spacing w:after="80" w:line="240" w:lineRule="exact"/>
        <w:outlineLvl w:val="0"/>
        <w:rPr>
          <w:sz w:val="20"/>
        </w:rPr>
      </w:pPr>
      <w:r w:rsidRPr="00CF6F48">
        <w:rPr>
          <w:b/>
          <w:sz w:val="20"/>
          <w:szCs w:val="20"/>
        </w:rPr>
        <w:t>Appendix G</w:t>
      </w:r>
    </w:p>
    <w:p w14:paraId="522DAC56" w14:textId="3855686C" w:rsidR="00CE4D38" w:rsidRPr="00CF6F48" w:rsidRDefault="00CE4D38" w:rsidP="00CE4D38">
      <w:pPr>
        <w:spacing w:after="80" w:line="240" w:lineRule="exact"/>
        <w:rPr>
          <w:b/>
          <w:bCs/>
          <w:sz w:val="20"/>
          <w:szCs w:val="20"/>
        </w:rPr>
      </w:pPr>
      <w:r w:rsidRPr="00CF6F48">
        <w:rPr>
          <w:noProof/>
        </w:rPr>
        <w:drawing>
          <wp:anchor distT="0" distB="0" distL="114300" distR="114300" simplePos="0" relativeHeight="251665408" behindDoc="1" locked="0" layoutInCell="1" allowOverlap="1" wp14:anchorId="596D477A" wp14:editId="60AB2649">
            <wp:simplePos x="0" y="0"/>
            <wp:positionH relativeFrom="margin">
              <wp:align>left</wp:align>
            </wp:positionH>
            <wp:positionV relativeFrom="paragraph">
              <wp:posOffset>126696</wp:posOffset>
            </wp:positionV>
            <wp:extent cx="3188418" cy="2391489"/>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88418" cy="2391489"/>
                    </a:xfrm>
                    <a:prstGeom prst="rect">
                      <a:avLst/>
                    </a:prstGeom>
                  </pic:spPr>
                </pic:pic>
              </a:graphicData>
            </a:graphic>
            <wp14:sizeRelH relativeFrom="margin">
              <wp14:pctWidth>0</wp14:pctWidth>
            </wp14:sizeRelH>
            <wp14:sizeRelV relativeFrom="margin">
              <wp14:pctHeight>0</wp14:pctHeight>
            </wp14:sizeRelV>
          </wp:anchor>
        </w:drawing>
      </w:r>
      <w:r w:rsidRPr="00CF6F48">
        <w:rPr>
          <w:b/>
          <w:bCs/>
          <w:sz w:val="20"/>
          <w:szCs w:val="20"/>
        </w:rPr>
        <w:t>Item characteristic curves for Logic quiz with 10 items</w:t>
      </w:r>
    </w:p>
    <w:p w14:paraId="3D393BC7" w14:textId="418514E2" w:rsidR="00CE4D38" w:rsidRPr="00CF6F48" w:rsidRDefault="00CE4D38" w:rsidP="00CE4D38">
      <w:pPr>
        <w:spacing w:after="80" w:line="240" w:lineRule="exact"/>
        <w:rPr>
          <w:b/>
          <w:bCs/>
          <w:sz w:val="20"/>
          <w:szCs w:val="20"/>
        </w:rPr>
      </w:pPr>
    </w:p>
    <w:p w14:paraId="1084E9EC" w14:textId="1788D566" w:rsidR="00CE4D38" w:rsidRPr="00CF6F48" w:rsidRDefault="00CE4D38" w:rsidP="00CE4D38">
      <w:pPr>
        <w:spacing w:after="80" w:line="240" w:lineRule="exact"/>
        <w:rPr>
          <w:b/>
          <w:bCs/>
          <w:sz w:val="20"/>
          <w:szCs w:val="20"/>
        </w:rPr>
      </w:pPr>
    </w:p>
    <w:p w14:paraId="560EB144" w14:textId="226CCBDE" w:rsidR="00CE4D38" w:rsidRPr="00CF6F48" w:rsidRDefault="00CE4D38" w:rsidP="00CE4D38">
      <w:pPr>
        <w:spacing w:after="80" w:line="240" w:lineRule="exact"/>
        <w:rPr>
          <w:b/>
          <w:bCs/>
          <w:sz w:val="20"/>
          <w:szCs w:val="20"/>
        </w:rPr>
      </w:pPr>
    </w:p>
    <w:p w14:paraId="0CB34FD4" w14:textId="03EBC563" w:rsidR="00CE4D38" w:rsidRPr="00CF6F48" w:rsidRDefault="00CE4D38" w:rsidP="00CE4D38">
      <w:pPr>
        <w:spacing w:after="80" w:line="240" w:lineRule="exact"/>
        <w:rPr>
          <w:b/>
          <w:bCs/>
          <w:sz w:val="20"/>
          <w:szCs w:val="20"/>
        </w:rPr>
      </w:pPr>
    </w:p>
    <w:p w14:paraId="560A2E7D" w14:textId="33710107" w:rsidR="00CE4D38" w:rsidRPr="00CF6F48" w:rsidRDefault="00CE4D38" w:rsidP="00CE4D38">
      <w:pPr>
        <w:spacing w:after="80" w:line="240" w:lineRule="exact"/>
        <w:rPr>
          <w:b/>
          <w:bCs/>
          <w:sz w:val="20"/>
          <w:szCs w:val="20"/>
        </w:rPr>
      </w:pPr>
    </w:p>
    <w:p w14:paraId="5FA64D45" w14:textId="77777777" w:rsidR="00CE4D38" w:rsidRPr="00CF6F48" w:rsidRDefault="00CE4D38" w:rsidP="00CE4D38">
      <w:pPr>
        <w:spacing w:after="80" w:line="240" w:lineRule="exact"/>
        <w:rPr>
          <w:b/>
          <w:bCs/>
          <w:sz w:val="20"/>
          <w:szCs w:val="20"/>
        </w:rPr>
      </w:pPr>
    </w:p>
    <w:p w14:paraId="09EF446F" w14:textId="0D8AE338" w:rsidR="00CE4D38" w:rsidRPr="00CF6F48" w:rsidRDefault="00CE4D38" w:rsidP="00CE4D38">
      <w:pPr>
        <w:spacing w:after="80" w:line="240" w:lineRule="exact"/>
        <w:rPr>
          <w:b/>
          <w:bCs/>
          <w:sz w:val="20"/>
          <w:szCs w:val="20"/>
        </w:rPr>
      </w:pPr>
    </w:p>
    <w:p w14:paraId="3B210D2C" w14:textId="69B1CDC9" w:rsidR="00CE4D38" w:rsidRPr="00CF6F48" w:rsidRDefault="00CE4D38" w:rsidP="00CE4D38">
      <w:pPr>
        <w:spacing w:after="80" w:line="240" w:lineRule="exact"/>
        <w:rPr>
          <w:b/>
          <w:bCs/>
          <w:sz w:val="20"/>
          <w:szCs w:val="20"/>
        </w:rPr>
      </w:pPr>
    </w:p>
    <w:p w14:paraId="7E032952" w14:textId="0F1C3D6B" w:rsidR="00CE4D38" w:rsidRPr="00CF6F48" w:rsidRDefault="00CE4D38" w:rsidP="00CE4D38">
      <w:pPr>
        <w:spacing w:after="80" w:line="240" w:lineRule="exact"/>
        <w:rPr>
          <w:b/>
          <w:bCs/>
          <w:sz w:val="20"/>
          <w:szCs w:val="20"/>
        </w:rPr>
      </w:pPr>
      <w:bookmarkStart w:id="2" w:name="_GoBack"/>
      <w:bookmarkEnd w:id="2"/>
    </w:p>
    <w:p w14:paraId="57B727A5" w14:textId="03E1081A" w:rsidR="00CE4D38" w:rsidRPr="00CF6F48" w:rsidRDefault="00CE4D38" w:rsidP="00CE4D38">
      <w:pPr>
        <w:spacing w:after="80" w:line="240" w:lineRule="exact"/>
        <w:rPr>
          <w:b/>
          <w:bCs/>
          <w:sz w:val="20"/>
          <w:szCs w:val="20"/>
        </w:rPr>
      </w:pPr>
    </w:p>
    <w:p w14:paraId="2878C36E" w14:textId="4F877E3A" w:rsidR="00CE4D38" w:rsidRPr="00CF6F48" w:rsidRDefault="00CE4D38" w:rsidP="00CE4D38">
      <w:pPr>
        <w:spacing w:after="80" w:line="240" w:lineRule="exact"/>
        <w:rPr>
          <w:b/>
          <w:bCs/>
          <w:sz w:val="20"/>
          <w:szCs w:val="20"/>
        </w:rPr>
      </w:pPr>
    </w:p>
    <w:p w14:paraId="49EB19E7" w14:textId="0FFCCC39" w:rsidR="006E4AF1" w:rsidRPr="00CF6F48" w:rsidRDefault="006E4AF1" w:rsidP="00CE4D38">
      <w:pPr>
        <w:spacing w:after="80" w:line="240" w:lineRule="exact"/>
        <w:rPr>
          <w:b/>
          <w:bCs/>
          <w:sz w:val="20"/>
          <w:szCs w:val="20"/>
        </w:rPr>
      </w:pPr>
    </w:p>
    <w:p w14:paraId="5B4D94FF" w14:textId="6CF821DD" w:rsidR="006E4AF1" w:rsidRPr="00CF6F48" w:rsidRDefault="006E4AF1" w:rsidP="00CE4D38">
      <w:pPr>
        <w:spacing w:after="80" w:line="240" w:lineRule="exact"/>
        <w:rPr>
          <w:b/>
          <w:bCs/>
          <w:sz w:val="20"/>
          <w:szCs w:val="20"/>
        </w:rPr>
      </w:pPr>
    </w:p>
    <w:p w14:paraId="3B3266EF" w14:textId="076FD24A" w:rsidR="006E4AF1" w:rsidRPr="00CF6F48" w:rsidRDefault="006E4AF1" w:rsidP="006E4AF1">
      <w:pPr>
        <w:spacing w:after="80" w:line="240" w:lineRule="exact"/>
        <w:outlineLvl w:val="0"/>
        <w:rPr>
          <w:sz w:val="20"/>
        </w:rPr>
      </w:pPr>
      <w:r w:rsidRPr="00CF6F48">
        <w:rPr>
          <w:b/>
          <w:sz w:val="20"/>
          <w:szCs w:val="20"/>
        </w:rPr>
        <w:t>Appendix H</w:t>
      </w:r>
    </w:p>
    <w:p w14:paraId="4A59F1EC" w14:textId="05B772D7" w:rsidR="006E4AF1" w:rsidRPr="00CF6F48" w:rsidRDefault="006E4AF1" w:rsidP="006E4AF1">
      <w:pPr>
        <w:spacing w:after="80" w:line="240" w:lineRule="exact"/>
        <w:rPr>
          <w:b/>
          <w:bCs/>
          <w:sz w:val="20"/>
          <w:szCs w:val="20"/>
        </w:rPr>
      </w:pPr>
      <w:r w:rsidRPr="00CF6F48">
        <w:rPr>
          <w:b/>
          <w:bCs/>
          <w:sz w:val="20"/>
          <w:szCs w:val="20"/>
        </w:rPr>
        <w:t xml:space="preserve">Item characteristic curves for </w:t>
      </w:r>
      <w:proofErr w:type="spellStart"/>
      <w:r w:rsidRPr="00CF6F48">
        <w:rPr>
          <w:b/>
          <w:bCs/>
          <w:sz w:val="20"/>
          <w:szCs w:val="20"/>
        </w:rPr>
        <w:t>Abtraction</w:t>
      </w:r>
      <w:proofErr w:type="spellEnd"/>
      <w:r w:rsidRPr="00CF6F48">
        <w:rPr>
          <w:b/>
          <w:bCs/>
          <w:sz w:val="20"/>
          <w:szCs w:val="20"/>
        </w:rPr>
        <w:t xml:space="preserve"> quiz with 10 items</w:t>
      </w:r>
    </w:p>
    <w:p w14:paraId="77A2CB2A" w14:textId="766C107D" w:rsidR="006E4AF1" w:rsidRPr="00CF6F48" w:rsidRDefault="006E4AF1" w:rsidP="00CE4D38">
      <w:pPr>
        <w:spacing w:after="80" w:line="240" w:lineRule="exact"/>
        <w:rPr>
          <w:b/>
          <w:bCs/>
          <w:sz w:val="20"/>
          <w:szCs w:val="20"/>
        </w:rPr>
      </w:pPr>
      <w:r w:rsidRPr="00CF6F48">
        <w:rPr>
          <w:noProof/>
        </w:rPr>
        <w:drawing>
          <wp:anchor distT="0" distB="0" distL="114300" distR="114300" simplePos="0" relativeHeight="251666432" behindDoc="1" locked="0" layoutInCell="1" allowOverlap="1" wp14:anchorId="732BDCC5" wp14:editId="2AF14238">
            <wp:simplePos x="0" y="0"/>
            <wp:positionH relativeFrom="margin">
              <wp:posOffset>31805</wp:posOffset>
            </wp:positionH>
            <wp:positionV relativeFrom="paragraph">
              <wp:posOffset>7482</wp:posOffset>
            </wp:positionV>
            <wp:extent cx="3069204" cy="2302073"/>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69204" cy="2302073"/>
                    </a:xfrm>
                    <a:prstGeom prst="rect">
                      <a:avLst/>
                    </a:prstGeom>
                  </pic:spPr>
                </pic:pic>
              </a:graphicData>
            </a:graphic>
            <wp14:sizeRelH relativeFrom="margin">
              <wp14:pctWidth>0</wp14:pctWidth>
            </wp14:sizeRelH>
            <wp14:sizeRelV relativeFrom="margin">
              <wp14:pctHeight>0</wp14:pctHeight>
            </wp14:sizeRelV>
          </wp:anchor>
        </w:drawing>
      </w:r>
    </w:p>
    <w:p w14:paraId="6C0C8767" w14:textId="0D61A7B9" w:rsidR="006E4AF1" w:rsidRPr="00CF6F48" w:rsidRDefault="006E4AF1" w:rsidP="00CE4D38">
      <w:pPr>
        <w:spacing w:after="80" w:line="240" w:lineRule="exact"/>
        <w:rPr>
          <w:b/>
          <w:bCs/>
          <w:sz w:val="20"/>
          <w:szCs w:val="20"/>
        </w:rPr>
      </w:pPr>
    </w:p>
    <w:p w14:paraId="37B37081" w14:textId="77777777" w:rsidR="006E4AF1" w:rsidRPr="00CF6F48" w:rsidRDefault="006E4AF1" w:rsidP="00CE4D38">
      <w:pPr>
        <w:spacing w:after="80" w:line="240" w:lineRule="exact"/>
        <w:rPr>
          <w:b/>
          <w:bCs/>
          <w:sz w:val="20"/>
          <w:szCs w:val="20"/>
        </w:rPr>
      </w:pPr>
    </w:p>
    <w:p w14:paraId="79EFE8E4" w14:textId="77777777" w:rsidR="006E4AF1" w:rsidRPr="00CF6F48" w:rsidRDefault="006E4AF1" w:rsidP="00CE4D38">
      <w:pPr>
        <w:spacing w:after="80" w:line="240" w:lineRule="exact"/>
        <w:rPr>
          <w:b/>
          <w:bCs/>
          <w:sz w:val="20"/>
          <w:szCs w:val="20"/>
        </w:rPr>
      </w:pPr>
    </w:p>
    <w:p w14:paraId="03C65F7A" w14:textId="31690C6E" w:rsidR="006E4AF1" w:rsidRPr="00CF6F48" w:rsidRDefault="006E4AF1" w:rsidP="00CE4D38">
      <w:pPr>
        <w:spacing w:after="80" w:line="240" w:lineRule="exact"/>
        <w:rPr>
          <w:b/>
          <w:bCs/>
          <w:sz w:val="20"/>
          <w:szCs w:val="20"/>
        </w:rPr>
      </w:pPr>
    </w:p>
    <w:p w14:paraId="6C498D7B" w14:textId="77777777" w:rsidR="006E4AF1" w:rsidRPr="00CF6F48" w:rsidRDefault="006E4AF1" w:rsidP="00CE4D38">
      <w:pPr>
        <w:spacing w:after="80" w:line="240" w:lineRule="exact"/>
        <w:rPr>
          <w:b/>
          <w:bCs/>
          <w:sz w:val="20"/>
          <w:szCs w:val="20"/>
        </w:rPr>
      </w:pPr>
    </w:p>
    <w:p w14:paraId="5CC5906F" w14:textId="77777777" w:rsidR="006E4AF1" w:rsidRPr="00CF6F48" w:rsidRDefault="006E4AF1" w:rsidP="00CE4D38">
      <w:pPr>
        <w:spacing w:after="80" w:line="240" w:lineRule="exact"/>
        <w:rPr>
          <w:b/>
          <w:bCs/>
          <w:sz w:val="20"/>
          <w:szCs w:val="20"/>
        </w:rPr>
      </w:pPr>
    </w:p>
    <w:p w14:paraId="2242C9C5" w14:textId="77777777" w:rsidR="006E4AF1" w:rsidRPr="00CF6F48" w:rsidRDefault="006E4AF1" w:rsidP="00CE4D38">
      <w:pPr>
        <w:spacing w:after="80" w:line="240" w:lineRule="exact"/>
        <w:rPr>
          <w:b/>
          <w:bCs/>
          <w:sz w:val="20"/>
          <w:szCs w:val="20"/>
        </w:rPr>
      </w:pPr>
    </w:p>
    <w:p w14:paraId="77433D11" w14:textId="77777777" w:rsidR="006E4AF1" w:rsidRPr="00CF6F48" w:rsidRDefault="006E4AF1" w:rsidP="00CE4D38">
      <w:pPr>
        <w:spacing w:after="80" w:line="240" w:lineRule="exact"/>
        <w:rPr>
          <w:b/>
          <w:bCs/>
          <w:sz w:val="20"/>
          <w:szCs w:val="20"/>
        </w:rPr>
      </w:pPr>
    </w:p>
    <w:p w14:paraId="3B5901B2" w14:textId="77777777" w:rsidR="006E4AF1" w:rsidRPr="00CF6F48" w:rsidRDefault="006E4AF1" w:rsidP="00CE4D38">
      <w:pPr>
        <w:spacing w:after="80" w:line="240" w:lineRule="exact"/>
        <w:rPr>
          <w:b/>
          <w:bCs/>
          <w:sz w:val="20"/>
          <w:szCs w:val="20"/>
        </w:rPr>
      </w:pPr>
    </w:p>
    <w:p w14:paraId="6D6B8AD0" w14:textId="44346A87" w:rsidR="006E4AF1" w:rsidRPr="00CF6F48" w:rsidRDefault="006E4AF1" w:rsidP="006E4AF1">
      <w:pPr>
        <w:spacing w:after="80" w:line="240" w:lineRule="exact"/>
        <w:outlineLvl w:val="0"/>
        <w:rPr>
          <w:sz w:val="20"/>
        </w:rPr>
      </w:pPr>
      <w:r w:rsidRPr="00CF6F48">
        <w:rPr>
          <w:b/>
          <w:sz w:val="20"/>
          <w:szCs w:val="20"/>
        </w:rPr>
        <w:lastRenderedPageBreak/>
        <w:t>Appendix I</w:t>
      </w:r>
    </w:p>
    <w:p w14:paraId="51B94107" w14:textId="58E86479" w:rsidR="006E4AF1" w:rsidRPr="00CF6F48" w:rsidRDefault="00C869C6" w:rsidP="006E4AF1">
      <w:pPr>
        <w:spacing w:after="80" w:line="240" w:lineRule="exact"/>
        <w:rPr>
          <w:b/>
          <w:bCs/>
          <w:sz w:val="20"/>
          <w:szCs w:val="20"/>
        </w:rPr>
      </w:pPr>
      <w:r w:rsidRPr="00CF6F48">
        <w:rPr>
          <w:noProof/>
        </w:rPr>
        <w:drawing>
          <wp:anchor distT="0" distB="0" distL="114300" distR="114300" simplePos="0" relativeHeight="251669504" behindDoc="1" locked="0" layoutInCell="1" allowOverlap="1" wp14:anchorId="7B911D27" wp14:editId="3623C4E0">
            <wp:simplePos x="0" y="0"/>
            <wp:positionH relativeFrom="column">
              <wp:posOffset>29865</wp:posOffset>
            </wp:positionH>
            <wp:positionV relativeFrom="paragraph">
              <wp:posOffset>152649</wp:posOffset>
            </wp:positionV>
            <wp:extent cx="3132814" cy="234978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32814" cy="2349784"/>
                    </a:xfrm>
                    <a:prstGeom prst="rect">
                      <a:avLst/>
                    </a:prstGeom>
                  </pic:spPr>
                </pic:pic>
              </a:graphicData>
            </a:graphic>
            <wp14:sizeRelH relativeFrom="margin">
              <wp14:pctWidth>0</wp14:pctWidth>
            </wp14:sizeRelH>
            <wp14:sizeRelV relativeFrom="margin">
              <wp14:pctHeight>0</wp14:pctHeight>
            </wp14:sizeRelV>
          </wp:anchor>
        </w:drawing>
      </w:r>
      <w:r w:rsidR="006E4AF1" w:rsidRPr="00CF6F48">
        <w:rPr>
          <w:b/>
          <w:bCs/>
          <w:sz w:val="20"/>
          <w:szCs w:val="20"/>
        </w:rPr>
        <w:t xml:space="preserve">Item characteristic curves for </w:t>
      </w:r>
      <w:r w:rsidRPr="00CF6F48">
        <w:rPr>
          <w:b/>
          <w:bCs/>
          <w:sz w:val="20"/>
          <w:szCs w:val="20"/>
        </w:rPr>
        <w:t xml:space="preserve">Pattern numbers </w:t>
      </w:r>
      <w:r w:rsidR="006E4AF1" w:rsidRPr="00CF6F48">
        <w:rPr>
          <w:b/>
          <w:bCs/>
          <w:sz w:val="20"/>
          <w:szCs w:val="20"/>
        </w:rPr>
        <w:t>quiz with 10 items</w:t>
      </w:r>
    </w:p>
    <w:p w14:paraId="60A2D1D1" w14:textId="558CEF47" w:rsidR="006E4AF1" w:rsidRPr="00CF6F48" w:rsidRDefault="006E4AF1" w:rsidP="00CE4D38">
      <w:pPr>
        <w:spacing w:after="80" w:line="240" w:lineRule="exact"/>
        <w:rPr>
          <w:b/>
          <w:bCs/>
          <w:sz w:val="20"/>
          <w:szCs w:val="20"/>
        </w:rPr>
      </w:pPr>
    </w:p>
    <w:p w14:paraId="767957D0" w14:textId="79C75288" w:rsidR="006E4AF1" w:rsidRPr="00CF6F48" w:rsidRDefault="006E4AF1" w:rsidP="00CE4D38">
      <w:pPr>
        <w:spacing w:after="80" w:line="240" w:lineRule="exact"/>
        <w:rPr>
          <w:b/>
          <w:bCs/>
          <w:sz w:val="20"/>
          <w:szCs w:val="20"/>
        </w:rPr>
      </w:pPr>
    </w:p>
    <w:p w14:paraId="0D40DAF7" w14:textId="1A28E2CD" w:rsidR="006E4AF1" w:rsidRPr="00CF6F48" w:rsidRDefault="006E4AF1" w:rsidP="00CE4D38">
      <w:pPr>
        <w:spacing w:after="80" w:line="240" w:lineRule="exact"/>
        <w:rPr>
          <w:b/>
          <w:bCs/>
          <w:sz w:val="20"/>
          <w:szCs w:val="20"/>
        </w:rPr>
      </w:pPr>
    </w:p>
    <w:p w14:paraId="0C1CE8FC" w14:textId="4A0E3771" w:rsidR="006E4AF1" w:rsidRPr="00CF6F48" w:rsidRDefault="006E4AF1" w:rsidP="00CE4D38">
      <w:pPr>
        <w:spacing w:after="80" w:line="240" w:lineRule="exact"/>
        <w:rPr>
          <w:b/>
          <w:bCs/>
          <w:sz w:val="20"/>
          <w:szCs w:val="20"/>
        </w:rPr>
      </w:pPr>
    </w:p>
    <w:p w14:paraId="4C22C850" w14:textId="493B882F" w:rsidR="006E4AF1" w:rsidRPr="00CF6F48" w:rsidRDefault="006E4AF1" w:rsidP="00CE4D38">
      <w:pPr>
        <w:spacing w:after="80" w:line="240" w:lineRule="exact"/>
        <w:rPr>
          <w:b/>
          <w:bCs/>
          <w:sz w:val="20"/>
          <w:szCs w:val="20"/>
        </w:rPr>
      </w:pPr>
    </w:p>
    <w:p w14:paraId="070F8E5D" w14:textId="778A63AF" w:rsidR="002072E1" w:rsidRPr="00CF6F48" w:rsidRDefault="002072E1" w:rsidP="00CE4D38">
      <w:pPr>
        <w:spacing w:after="80" w:line="240" w:lineRule="exact"/>
        <w:rPr>
          <w:b/>
          <w:bCs/>
          <w:sz w:val="20"/>
          <w:szCs w:val="20"/>
        </w:rPr>
      </w:pPr>
    </w:p>
    <w:p w14:paraId="7AD54027" w14:textId="697D1CCB" w:rsidR="002072E1" w:rsidRPr="00CF6F48" w:rsidRDefault="002072E1" w:rsidP="00CE4D38">
      <w:pPr>
        <w:spacing w:after="80" w:line="240" w:lineRule="exact"/>
        <w:rPr>
          <w:b/>
          <w:bCs/>
          <w:sz w:val="20"/>
          <w:szCs w:val="20"/>
        </w:rPr>
      </w:pPr>
    </w:p>
    <w:p w14:paraId="620B051D" w14:textId="44DDE38E" w:rsidR="002072E1" w:rsidRPr="00CF6F48" w:rsidRDefault="002072E1" w:rsidP="00CE4D38">
      <w:pPr>
        <w:spacing w:after="80" w:line="240" w:lineRule="exact"/>
        <w:rPr>
          <w:b/>
          <w:bCs/>
          <w:sz w:val="20"/>
          <w:szCs w:val="20"/>
        </w:rPr>
      </w:pPr>
    </w:p>
    <w:p w14:paraId="5BD00792" w14:textId="787F8A28" w:rsidR="002072E1" w:rsidRPr="00CF6F48" w:rsidRDefault="002072E1" w:rsidP="00CE4D38">
      <w:pPr>
        <w:spacing w:after="80" w:line="240" w:lineRule="exact"/>
        <w:rPr>
          <w:b/>
          <w:bCs/>
          <w:sz w:val="20"/>
          <w:szCs w:val="20"/>
        </w:rPr>
      </w:pPr>
    </w:p>
    <w:p w14:paraId="56BF444E" w14:textId="175AE13D" w:rsidR="002072E1" w:rsidRPr="00CF6F48" w:rsidRDefault="002072E1" w:rsidP="00CE4D38">
      <w:pPr>
        <w:spacing w:after="80" w:line="240" w:lineRule="exact"/>
        <w:rPr>
          <w:b/>
          <w:bCs/>
          <w:sz w:val="20"/>
          <w:szCs w:val="20"/>
        </w:rPr>
      </w:pPr>
    </w:p>
    <w:p w14:paraId="02AC3D21" w14:textId="3B291F71" w:rsidR="002072E1" w:rsidRPr="00CF6F48" w:rsidRDefault="002072E1" w:rsidP="00CE4D38">
      <w:pPr>
        <w:spacing w:after="80" w:line="240" w:lineRule="exact"/>
        <w:rPr>
          <w:b/>
          <w:bCs/>
          <w:sz w:val="20"/>
          <w:szCs w:val="20"/>
        </w:rPr>
      </w:pPr>
    </w:p>
    <w:p w14:paraId="24B1D7D5" w14:textId="7764FA6B" w:rsidR="002072E1" w:rsidRPr="00CF6F48" w:rsidRDefault="002072E1" w:rsidP="00CE4D38">
      <w:pPr>
        <w:spacing w:after="80" w:line="240" w:lineRule="exact"/>
        <w:rPr>
          <w:b/>
          <w:bCs/>
          <w:sz w:val="20"/>
          <w:szCs w:val="20"/>
        </w:rPr>
      </w:pPr>
    </w:p>
    <w:p w14:paraId="55B1CCBD" w14:textId="4BEFB48B" w:rsidR="002072E1" w:rsidRPr="00CF6F48" w:rsidRDefault="002072E1" w:rsidP="00CE4D38">
      <w:pPr>
        <w:spacing w:after="80" w:line="240" w:lineRule="exact"/>
        <w:rPr>
          <w:b/>
          <w:bCs/>
          <w:sz w:val="20"/>
          <w:szCs w:val="20"/>
        </w:rPr>
      </w:pPr>
    </w:p>
    <w:p w14:paraId="7F0681D4" w14:textId="08D0EDCD" w:rsidR="002072E1" w:rsidRPr="00CF6F48" w:rsidRDefault="002072E1" w:rsidP="002072E1">
      <w:pPr>
        <w:spacing w:after="80" w:line="240" w:lineRule="exact"/>
        <w:outlineLvl w:val="0"/>
        <w:rPr>
          <w:sz w:val="20"/>
        </w:rPr>
      </w:pPr>
      <w:r w:rsidRPr="00CF6F48">
        <w:rPr>
          <w:b/>
          <w:sz w:val="20"/>
          <w:szCs w:val="20"/>
        </w:rPr>
        <w:t>Appendix J</w:t>
      </w:r>
    </w:p>
    <w:p w14:paraId="37AFA969" w14:textId="45EE2405" w:rsidR="002072E1" w:rsidRPr="00CF6F48" w:rsidRDefault="002A0BA5" w:rsidP="002072E1">
      <w:pPr>
        <w:spacing w:after="80" w:line="240" w:lineRule="exact"/>
        <w:rPr>
          <w:b/>
          <w:bCs/>
          <w:sz w:val="20"/>
          <w:szCs w:val="20"/>
        </w:rPr>
      </w:pPr>
      <w:r w:rsidRPr="00CF6F48">
        <w:rPr>
          <w:rFonts w:cs="Arial"/>
          <w:noProof/>
          <w:sz w:val="24"/>
        </w:rPr>
        <w:drawing>
          <wp:anchor distT="0" distB="0" distL="114300" distR="114300" simplePos="0" relativeHeight="251670528" behindDoc="1" locked="0" layoutInCell="1" allowOverlap="1" wp14:anchorId="1C344F4B" wp14:editId="231FAFE0">
            <wp:simplePos x="0" y="0"/>
            <wp:positionH relativeFrom="column">
              <wp:posOffset>-59182</wp:posOffset>
            </wp:positionH>
            <wp:positionV relativeFrom="paragraph">
              <wp:posOffset>200914</wp:posOffset>
            </wp:positionV>
            <wp:extent cx="3211373" cy="2408707"/>
            <wp:effectExtent l="0" t="0" r="825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19841" cy="2415058"/>
                    </a:xfrm>
                    <a:prstGeom prst="rect">
                      <a:avLst/>
                    </a:prstGeom>
                  </pic:spPr>
                </pic:pic>
              </a:graphicData>
            </a:graphic>
            <wp14:sizeRelH relativeFrom="margin">
              <wp14:pctWidth>0</wp14:pctWidth>
            </wp14:sizeRelH>
            <wp14:sizeRelV relativeFrom="margin">
              <wp14:pctHeight>0</wp14:pctHeight>
            </wp14:sizeRelV>
          </wp:anchor>
        </w:drawing>
      </w:r>
      <w:r w:rsidR="002072E1" w:rsidRPr="00CF6F48">
        <w:rPr>
          <w:b/>
          <w:bCs/>
          <w:sz w:val="20"/>
          <w:szCs w:val="20"/>
        </w:rPr>
        <w:t xml:space="preserve">Item characteristic curves for </w:t>
      </w:r>
      <w:r w:rsidR="00C869C6" w:rsidRPr="00CF6F48">
        <w:rPr>
          <w:b/>
          <w:bCs/>
          <w:sz w:val="20"/>
          <w:szCs w:val="20"/>
        </w:rPr>
        <w:t>Pattern figures</w:t>
      </w:r>
      <w:r w:rsidR="002072E1" w:rsidRPr="00CF6F48">
        <w:rPr>
          <w:b/>
          <w:bCs/>
          <w:sz w:val="20"/>
          <w:szCs w:val="20"/>
        </w:rPr>
        <w:t xml:space="preserve"> quiz with 10 items</w:t>
      </w:r>
    </w:p>
    <w:p w14:paraId="21084EA5" w14:textId="592FE428" w:rsidR="002072E1" w:rsidRPr="00CF6F48" w:rsidRDefault="002072E1" w:rsidP="00CE4D38">
      <w:pPr>
        <w:spacing w:after="80" w:line="240" w:lineRule="exact"/>
        <w:rPr>
          <w:b/>
          <w:bCs/>
          <w:sz w:val="20"/>
          <w:szCs w:val="20"/>
        </w:rPr>
      </w:pPr>
    </w:p>
    <w:p w14:paraId="0B13E20E" w14:textId="77777777" w:rsidR="002072E1" w:rsidRPr="00CF6F48" w:rsidRDefault="002072E1" w:rsidP="00CE4D38">
      <w:pPr>
        <w:spacing w:after="80" w:line="240" w:lineRule="exact"/>
        <w:rPr>
          <w:b/>
          <w:bCs/>
          <w:sz w:val="20"/>
          <w:szCs w:val="20"/>
        </w:rPr>
      </w:pPr>
    </w:p>
    <w:p w14:paraId="14D3DFD2" w14:textId="16EBC879" w:rsidR="002072E1" w:rsidRPr="00CF6F48" w:rsidRDefault="002072E1" w:rsidP="00CE4D38">
      <w:pPr>
        <w:spacing w:after="80" w:line="240" w:lineRule="exact"/>
        <w:rPr>
          <w:b/>
          <w:bCs/>
          <w:sz w:val="20"/>
          <w:szCs w:val="20"/>
        </w:rPr>
      </w:pPr>
    </w:p>
    <w:p w14:paraId="1F3E3FA0" w14:textId="77777777" w:rsidR="002072E1" w:rsidRPr="00CF6F48" w:rsidRDefault="002072E1" w:rsidP="00CE4D38">
      <w:pPr>
        <w:spacing w:after="80" w:line="240" w:lineRule="exact"/>
        <w:rPr>
          <w:b/>
          <w:bCs/>
          <w:sz w:val="20"/>
          <w:szCs w:val="20"/>
        </w:rPr>
      </w:pPr>
    </w:p>
    <w:p w14:paraId="321BA9C7" w14:textId="77777777" w:rsidR="002072E1" w:rsidRPr="00CF6F48" w:rsidRDefault="002072E1" w:rsidP="00CE4D38">
      <w:pPr>
        <w:spacing w:after="80" w:line="240" w:lineRule="exact"/>
        <w:rPr>
          <w:b/>
          <w:bCs/>
          <w:sz w:val="20"/>
          <w:szCs w:val="20"/>
        </w:rPr>
      </w:pPr>
    </w:p>
    <w:p w14:paraId="6A4D0A29" w14:textId="77777777" w:rsidR="002072E1" w:rsidRPr="00CF6F48" w:rsidRDefault="002072E1" w:rsidP="00CE4D38">
      <w:pPr>
        <w:spacing w:after="80" w:line="240" w:lineRule="exact"/>
        <w:rPr>
          <w:b/>
          <w:bCs/>
          <w:sz w:val="20"/>
          <w:szCs w:val="20"/>
        </w:rPr>
      </w:pPr>
    </w:p>
    <w:p w14:paraId="288BC30D" w14:textId="77777777" w:rsidR="002072E1" w:rsidRPr="00CF6F48" w:rsidRDefault="002072E1" w:rsidP="00CE4D38">
      <w:pPr>
        <w:spacing w:after="80" w:line="240" w:lineRule="exact"/>
        <w:rPr>
          <w:b/>
          <w:bCs/>
          <w:sz w:val="20"/>
          <w:szCs w:val="20"/>
        </w:rPr>
      </w:pPr>
    </w:p>
    <w:p w14:paraId="14C6A2BE" w14:textId="77777777" w:rsidR="002072E1" w:rsidRPr="00CF6F48" w:rsidRDefault="002072E1" w:rsidP="00CE4D38">
      <w:pPr>
        <w:spacing w:after="80" w:line="240" w:lineRule="exact"/>
        <w:rPr>
          <w:b/>
          <w:bCs/>
          <w:sz w:val="20"/>
          <w:szCs w:val="20"/>
        </w:rPr>
      </w:pPr>
    </w:p>
    <w:p w14:paraId="235DFE69" w14:textId="77777777" w:rsidR="002072E1" w:rsidRPr="00CF6F48" w:rsidRDefault="002072E1" w:rsidP="00CE4D38">
      <w:pPr>
        <w:spacing w:after="80" w:line="240" w:lineRule="exact"/>
        <w:rPr>
          <w:b/>
          <w:bCs/>
          <w:sz w:val="20"/>
          <w:szCs w:val="20"/>
        </w:rPr>
      </w:pPr>
    </w:p>
    <w:p w14:paraId="67F5BC23" w14:textId="77777777" w:rsidR="002072E1" w:rsidRPr="00CF6F48" w:rsidRDefault="002072E1" w:rsidP="00CE4D38">
      <w:pPr>
        <w:spacing w:after="80" w:line="240" w:lineRule="exact"/>
        <w:rPr>
          <w:b/>
          <w:bCs/>
          <w:sz w:val="20"/>
          <w:szCs w:val="20"/>
        </w:rPr>
      </w:pPr>
    </w:p>
    <w:p w14:paraId="593F7B2E" w14:textId="77777777" w:rsidR="002072E1" w:rsidRPr="00CF6F48" w:rsidRDefault="002072E1" w:rsidP="00CE4D38">
      <w:pPr>
        <w:spacing w:after="80" w:line="240" w:lineRule="exact"/>
        <w:rPr>
          <w:b/>
          <w:bCs/>
          <w:sz w:val="20"/>
          <w:szCs w:val="20"/>
        </w:rPr>
      </w:pPr>
    </w:p>
    <w:p w14:paraId="73658633" w14:textId="77777777" w:rsidR="002072E1" w:rsidRPr="00CF6F48" w:rsidRDefault="002072E1" w:rsidP="00CE4D38">
      <w:pPr>
        <w:spacing w:after="80" w:line="240" w:lineRule="exact"/>
        <w:rPr>
          <w:b/>
          <w:bCs/>
          <w:sz w:val="20"/>
          <w:szCs w:val="20"/>
        </w:rPr>
      </w:pPr>
    </w:p>
    <w:p w14:paraId="56BDDD91" w14:textId="77777777" w:rsidR="002072E1" w:rsidRPr="00CF6F48" w:rsidRDefault="002072E1" w:rsidP="00CE4D38">
      <w:pPr>
        <w:spacing w:after="80" w:line="240" w:lineRule="exact"/>
        <w:rPr>
          <w:b/>
          <w:bCs/>
          <w:sz w:val="20"/>
          <w:szCs w:val="20"/>
        </w:rPr>
      </w:pPr>
    </w:p>
    <w:p w14:paraId="68033A63" w14:textId="77777777" w:rsidR="00D54432" w:rsidRPr="00CF6F48" w:rsidRDefault="002369AA" w:rsidP="00617D40">
      <w:pPr>
        <w:spacing w:after="80" w:line="240" w:lineRule="exact"/>
        <w:outlineLvl w:val="0"/>
        <w:rPr>
          <w:b/>
          <w:sz w:val="20"/>
          <w:szCs w:val="20"/>
          <w:lang w:eastAsia="en-US"/>
        </w:rPr>
      </w:pPr>
      <w:r w:rsidRPr="00CF6F48">
        <w:rPr>
          <w:b/>
          <w:sz w:val="20"/>
          <w:szCs w:val="20"/>
          <w:lang w:eastAsia="en-US"/>
        </w:rPr>
        <w:t>Copyr</w:t>
      </w:r>
      <w:r w:rsidR="00D50489" w:rsidRPr="00CF6F48">
        <w:rPr>
          <w:b/>
          <w:sz w:val="20"/>
          <w:szCs w:val="20"/>
          <w:lang w:eastAsia="en-US"/>
        </w:rPr>
        <w:t>i</w:t>
      </w:r>
      <w:r w:rsidRPr="00CF6F48">
        <w:rPr>
          <w:b/>
          <w:sz w:val="20"/>
          <w:szCs w:val="20"/>
          <w:lang w:eastAsia="en-US"/>
        </w:rPr>
        <w:t>ghts</w:t>
      </w:r>
    </w:p>
    <w:p w14:paraId="5EE3E684" w14:textId="77777777" w:rsidR="00D54432" w:rsidRPr="00CF6F48" w:rsidRDefault="002369AA" w:rsidP="00E700B1">
      <w:pPr>
        <w:spacing w:after="80" w:line="240" w:lineRule="exact"/>
        <w:rPr>
          <w:sz w:val="20"/>
          <w:szCs w:val="20"/>
          <w:lang w:eastAsia="en-US"/>
        </w:rPr>
      </w:pPr>
      <w:bookmarkStart w:id="3" w:name="OLE_LINK9"/>
      <w:bookmarkStart w:id="4" w:name="OLE_LINK10"/>
      <w:r w:rsidRPr="00CF6F48">
        <w:rPr>
          <w:sz w:val="20"/>
          <w:szCs w:val="20"/>
          <w:lang w:eastAsia="en-US"/>
        </w:rPr>
        <w:t>Copyright</w:t>
      </w:r>
      <w:r w:rsidR="008804B8" w:rsidRPr="00CF6F48">
        <w:rPr>
          <w:sz w:val="20"/>
          <w:szCs w:val="20"/>
          <w:lang w:eastAsia="en-US"/>
        </w:rPr>
        <w:t xml:space="preserve"> for this article</w:t>
      </w:r>
      <w:r w:rsidRPr="00CF6F48">
        <w:rPr>
          <w:sz w:val="20"/>
          <w:szCs w:val="20"/>
          <w:lang w:eastAsia="en-US"/>
        </w:rPr>
        <w:t xml:space="preserve"> </w:t>
      </w:r>
      <w:r w:rsidR="00A02B0D" w:rsidRPr="00CF6F48">
        <w:rPr>
          <w:sz w:val="20"/>
          <w:szCs w:val="20"/>
          <w:lang w:eastAsia="en-US"/>
        </w:rPr>
        <w:t>is</w:t>
      </w:r>
      <w:r w:rsidRPr="00CF6F48">
        <w:rPr>
          <w:sz w:val="20"/>
          <w:szCs w:val="20"/>
          <w:lang w:eastAsia="en-US"/>
        </w:rPr>
        <w:t xml:space="preserve"> retained by the author</w:t>
      </w:r>
      <w:r w:rsidR="0077572C" w:rsidRPr="00CF6F48">
        <w:rPr>
          <w:sz w:val="20"/>
          <w:szCs w:val="20"/>
          <w:lang w:eastAsia="en-US"/>
        </w:rPr>
        <w:t>(</w:t>
      </w:r>
      <w:r w:rsidRPr="00CF6F48">
        <w:rPr>
          <w:sz w:val="20"/>
          <w:szCs w:val="20"/>
          <w:lang w:eastAsia="en-US"/>
        </w:rPr>
        <w:t>s</w:t>
      </w:r>
      <w:r w:rsidR="0077572C" w:rsidRPr="00CF6F48">
        <w:rPr>
          <w:sz w:val="20"/>
          <w:szCs w:val="20"/>
          <w:lang w:eastAsia="en-US"/>
        </w:rPr>
        <w:t>)</w:t>
      </w:r>
      <w:r w:rsidRPr="00CF6F48">
        <w:rPr>
          <w:sz w:val="20"/>
          <w:szCs w:val="20"/>
          <w:lang w:eastAsia="en-US"/>
        </w:rPr>
        <w:t>, with first publication rights granted to the journal.</w:t>
      </w:r>
    </w:p>
    <w:p w14:paraId="680F4E23" w14:textId="77777777" w:rsidR="00A5737A" w:rsidRPr="00D85042" w:rsidRDefault="00A5737A" w:rsidP="00E700B1">
      <w:pPr>
        <w:spacing w:after="80" w:line="240" w:lineRule="exact"/>
        <w:rPr>
          <w:sz w:val="20"/>
          <w:szCs w:val="20"/>
          <w:lang w:eastAsia="en-US"/>
        </w:rPr>
      </w:pPr>
      <w:r w:rsidRPr="00CF6F48">
        <w:rPr>
          <w:sz w:val="20"/>
          <w:szCs w:val="20"/>
          <w:lang w:eastAsia="en-US"/>
        </w:rPr>
        <w:t>This is an open-access article distributed under the terms and conditions of the Creative Commons Attribution license (http://creativecommons.org/licenses/by/3.0/).</w:t>
      </w:r>
    </w:p>
    <w:bookmarkEnd w:id="0"/>
    <w:bookmarkEnd w:id="1"/>
    <w:bookmarkEnd w:id="3"/>
    <w:bookmarkEnd w:id="4"/>
    <w:p w14:paraId="2E357C0B" w14:textId="77777777" w:rsidR="006B1071" w:rsidRPr="00D85042" w:rsidRDefault="006B1071" w:rsidP="00E700B1">
      <w:pPr>
        <w:spacing w:after="80" w:line="240" w:lineRule="exact"/>
        <w:rPr>
          <w:sz w:val="20"/>
          <w:szCs w:val="20"/>
        </w:rPr>
      </w:pPr>
    </w:p>
    <w:sectPr w:rsidR="006B1071" w:rsidRPr="00D85042" w:rsidSect="00A34EC4">
      <w:footnotePr>
        <w:numRestart w:val="eachPage"/>
      </w:footnotePr>
      <w:pgSz w:w="11907" w:h="16160" w:code="9"/>
      <w:pgMar w:top="1418" w:right="1418" w:bottom="1134" w:left="1418" w:header="794" w:footer="510"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7FDE7" w14:textId="77777777" w:rsidR="002841D2" w:rsidRDefault="002841D2">
      <w:r>
        <w:separator/>
      </w:r>
    </w:p>
  </w:endnote>
  <w:endnote w:type="continuationSeparator" w:id="0">
    <w:p w14:paraId="6FAF340E" w14:textId="77777777" w:rsidR="002841D2" w:rsidRDefault="0028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142E6" w14:textId="77777777" w:rsidR="002841D2" w:rsidRDefault="002841D2">
      <w:r>
        <w:separator/>
      </w:r>
    </w:p>
  </w:footnote>
  <w:footnote w:type="continuationSeparator" w:id="0">
    <w:p w14:paraId="6B709E27" w14:textId="77777777" w:rsidR="002841D2" w:rsidRDefault="00284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14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A64C2B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2692952"/>
    <w:multiLevelType w:val="hybridMultilevel"/>
    <w:tmpl w:val="AA7C0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384634"/>
    <w:multiLevelType w:val="hybridMultilevel"/>
    <w:tmpl w:val="D7740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72DA4"/>
    <w:multiLevelType w:val="hybridMultilevel"/>
    <w:tmpl w:val="C9985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863E8D"/>
    <w:multiLevelType w:val="hybridMultilevel"/>
    <w:tmpl w:val="AA7C0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7243F1"/>
    <w:multiLevelType w:val="hybridMultilevel"/>
    <w:tmpl w:val="92705F58"/>
    <w:lvl w:ilvl="0" w:tplc="39DAD544">
      <w:numFmt w:val="bullet"/>
      <w:suff w:val="space"/>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E0F6BDD"/>
    <w:multiLevelType w:val="hybridMultilevel"/>
    <w:tmpl w:val="7392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A95CAD"/>
    <w:multiLevelType w:val="hybridMultilevel"/>
    <w:tmpl w:val="D7740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54309A"/>
    <w:multiLevelType w:val="hybridMultilevel"/>
    <w:tmpl w:val="7A92ABE0"/>
    <w:lvl w:ilvl="0" w:tplc="3FF027F6">
      <w:start w:val="1"/>
      <w:numFmt w:val="decimal"/>
      <w:lvlText w:val="%1."/>
      <w:lvlJc w:val="left"/>
      <w:pPr>
        <w:ind w:left="720" w:hanging="360"/>
      </w:pPr>
      <w:rPr>
        <w:rFonts w:ascii="Arial" w:hAnsi="Arial" w:cs="Arial" w:hint="default"/>
        <w:color w:val="222222"/>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E82A8A"/>
    <w:multiLevelType w:val="hybridMultilevel"/>
    <w:tmpl w:val="C9985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D17049"/>
    <w:multiLevelType w:val="hybridMultilevel"/>
    <w:tmpl w:val="A5CAAC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6A9527FD"/>
    <w:multiLevelType w:val="hybridMultilevel"/>
    <w:tmpl w:val="3C2C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3"/>
  </w:num>
  <w:num w:numId="3">
    <w:abstractNumId w:val="6"/>
  </w:num>
  <w:num w:numId="4">
    <w:abstractNumId w:val="0"/>
  </w:num>
  <w:num w:numId="5">
    <w:abstractNumId w:val="11"/>
  </w:num>
  <w:num w:numId="6">
    <w:abstractNumId w:val="4"/>
  </w:num>
  <w:num w:numId="7">
    <w:abstractNumId w:val="10"/>
  </w:num>
  <w:num w:numId="8">
    <w:abstractNumId w:val="12"/>
  </w:num>
  <w:num w:numId="9">
    <w:abstractNumId w:val="3"/>
  </w:num>
  <w:num w:numId="10">
    <w:abstractNumId w:val="7"/>
  </w:num>
  <w:num w:numId="11">
    <w:abstractNumId w:val="8"/>
  </w:num>
  <w:num w:numId="12">
    <w:abstractNumId w:val="5"/>
  </w:num>
  <w:num w:numId="13">
    <w:abstractNumId w:val="2"/>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80"/>
    <w:rsid w:val="00003E8B"/>
    <w:rsid w:val="000041B0"/>
    <w:rsid w:val="00004708"/>
    <w:rsid w:val="0000655C"/>
    <w:rsid w:val="00006E88"/>
    <w:rsid w:val="00012F0F"/>
    <w:rsid w:val="000419E1"/>
    <w:rsid w:val="00043B19"/>
    <w:rsid w:val="00050B31"/>
    <w:rsid w:val="0006414C"/>
    <w:rsid w:val="000668F0"/>
    <w:rsid w:val="00066EF0"/>
    <w:rsid w:val="00067EC4"/>
    <w:rsid w:val="000717CE"/>
    <w:rsid w:val="00074B18"/>
    <w:rsid w:val="00076C9B"/>
    <w:rsid w:val="00076CA7"/>
    <w:rsid w:val="00084BC4"/>
    <w:rsid w:val="000858E7"/>
    <w:rsid w:val="00085F90"/>
    <w:rsid w:val="000865EC"/>
    <w:rsid w:val="000A6AFC"/>
    <w:rsid w:val="000B17BB"/>
    <w:rsid w:val="000C1DF4"/>
    <w:rsid w:val="000C3BA0"/>
    <w:rsid w:val="000C5313"/>
    <w:rsid w:val="000D54AC"/>
    <w:rsid w:val="000D6E17"/>
    <w:rsid w:val="000E71D2"/>
    <w:rsid w:val="000F12BF"/>
    <w:rsid w:val="001001ED"/>
    <w:rsid w:val="00105B5E"/>
    <w:rsid w:val="00105D4F"/>
    <w:rsid w:val="0010704A"/>
    <w:rsid w:val="00114708"/>
    <w:rsid w:val="00115B43"/>
    <w:rsid w:val="00116BEA"/>
    <w:rsid w:val="00130CF4"/>
    <w:rsid w:val="001325D1"/>
    <w:rsid w:val="00133F22"/>
    <w:rsid w:val="00140C95"/>
    <w:rsid w:val="00140EF2"/>
    <w:rsid w:val="0014402D"/>
    <w:rsid w:val="00152265"/>
    <w:rsid w:val="00161378"/>
    <w:rsid w:val="00182BA9"/>
    <w:rsid w:val="00186742"/>
    <w:rsid w:val="00187E1A"/>
    <w:rsid w:val="0019013D"/>
    <w:rsid w:val="00191BAA"/>
    <w:rsid w:val="001965D3"/>
    <w:rsid w:val="001A400D"/>
    <w:rsid w:val="001A5418"/>
    <w:rsid w:val="001B6AB3"/>
    <w:rsid w:val="001B72D5"/>
    <w:rsid w:val="001C3532"/>
    <w:rsid w:val="001C54F1"/>
    <w:rsid w:val="001D0D94"/>
    <w:rsid w:val="001D7E0E"/>
    <w:rsid w:val="001E0A26"/>
    <w:rsid w:val="001E1C23"/>
    <w:rsid w:val="001E4288"/>
    <w:rsid w:val="001F48C2"/>
    <w:rsid w:val="001F5799"/>
    <w:rsid w:val="001F6988"/>
    <w:rsid w:val="00206D59"/>
    <w:rsid w:val="002072E1"/>
    <w:rsid w:val="00212B4E"/>
    <w:rsid w:val="002160B6"/>
    <w:rsid w:val="00220DC9"/>
    <w:rsid w:val="00221907"/>
    <w:rsid w:val="0022229D"/>
    <w:rsid w:val="002228C1"/>
    <w:rsid w:val="002303FB"/>
    <w:rsid w:val="002369AA"/>
    <w:rsid w:val="00237A75"/>
    <w:rsid w:val="00244679"/>
    <w:rsid w:val="00245753"/>
    <w:rsid w:val="002502C3"/>
    <w:rsid w:val="00256D6C"/>
    <w:rsid w:val="002575A9"/>
    <w:rsid w:val="00257DB4"/>
    <w:rsid w:val="002613D3"/>
    <w:rsid w:val="00272773"/>
    <w:rsid w:val="00274E18"/>
    <w:rsid w:val="002825E4"/>
    <w:rsid w:val="00282D08"/>
    <w:rsid w:val="002841D2"/>
    <w:rsid w:val="0029741D"/>
    <w:rsid w:val="002A0BA5"/>
    <w:rsid w:val="002A5A8C"/>
    <w:rsid w:val="002B2CD1"/>
    <w:rsid w:val="002B690D"/>
    <w:rsid w:val="002C2687"/>
    <w:rsid w:val="002C5AB7"/>
    <w:rsid w:val="002D01BF"/>
    <w:rsid w:val="002D4FF6"/>
    <w:rsid w:val="002E3EB6"/>
    <w:rsid w:val="002E6501"/>
    <w:rsid w:val="002E74FD"/>
    <w:rsid w:val="002E780D"/>
    <w:rsid w:val="002F0143"/>
    <w:rsid w:val="002F17B7"/>
    <w:rsid w:val="002F2CC3"/>
    <w:rsid w:val="002F5330"/>
    <w:rsid w:val="002F591F"/>
    <w:rsid w:val="003016F6"/>
    <w:rsid w:val="00302EA5"/>
    <w:rsid w:val="00303574"/>
    <w:rsid w:val="003039D0"/>
    <w:rsid w:val="00303C41"/>
    <w:rsid w:val="00305E9E"/>
    <w:rsid w:val="00306367"/>
    <w:rsid w:val="0031075A"/>
    <w:rsid w:val="00310E76"/>
    <w:rsid w:val="00315657"/>
    <w:rsid w:val="0032225F"/>
    <w:rsid w:val="003246BA"/>
    <w:rsid w:val="003326DF"/>
    <w:rsid w:val="00341EAE"/>
    <w:rsid w:val="003468F3"/>
    <w:rsid w:val="003517AD"/>
    <w:rsid w:val="003571CB"/>
    <w:rsid w:val="00357BBD"/>
    <w:rsid w:val="003613E7"/>
    <w:rsid w:val="003666EB"/>
    <w:rsid w:val="00367744"/>
    <w:rsid w:val="003679F6"/>
    <w:rsid w:val="00371029"/>
    <w:rsid w:val="003741C1"/>
    <w:rsid w:val="00376491"/>
    <w:rsid w:val="00376E3D"/>
    <w:rsid w:val="0038260D"/>
    <w:rsid w:val="0039370D"/>
    <w:rsid w:val="003A11A5"/>
    <w:rsid w:val="003A1DDC"/>
    <w:rsid w:val="003A72D3"/>
    <w:rsid w:val="003B04C6"/>
    <w:rsid w:val="003B6C36"/>
    <w:rsid w:val="003C1013"/>
    <w:rsid w:val="003C6EBD"/>
    <w:rsid w:val="003C7BF9"/>
    <w:rsid w:val="003D023F"/>
    <w:rsid w:val="003D0CB1"/>
    <w:rsid w:val="003D0FD6"/>
    <w:rsid w:val="003D1EAF"/>
    <w:rsid w:val="003D2D75"/>
    <w:rsid w:val="003D6027"/>
    <w:rsid w:val="003E35E1"/>
    <w:rsid w:val="003E4E38"/>
    <w:rsid w:val="003E63C4"/>
    <w:rsid w:val="003F63DB"/>
    <w:rsid w:val="003F6FF9"/>
    <w:rsid w:val="003F757F"/>
    <w:rsid w:val="00407279"/>
    <w:rsid w:val="0040729B"/>
    <w:rsid w:val="0041108A"/>
    <w:rsid w:val="004116FE"/>
    <w:rsid w:val="00413EF2"/>
    <w:rsid w:val="00416177"/>
    <w:rsid w:val="00417791"/>
    <w:rsid w:val="0042141B"/>
    <w:rsid w:val="00423B27"/>
    <w:rsid w:val="004277A5"/>
    <w:rsid w:val="00427B3B"/>
    <w:rsid w:val="00427CA0"/>
    <w:rsid w:val="0043692E"/>
    <w:rsid w:val="0043744C"/>
    <w:rsid w:val="00443FB8"/>
    <w:rsid w:val="004523A6"/>
    <w:rsid w:val="004553EB"/>
    <w:rsid w:val="00457F43"/>
    <w:rsid w:val="00462552"/>
    <w:rsid w:val="00472B13"/>
    <w:rsid w:val="00473A71"/>
    <w:rsid w:val="00473E7B"/>
    <w:rsid w:val="00476C8F"/>
    <w:rsid w:val="004807D5"/>
    <w:rsid w:val="00483BE5"/>
    <w:rsid w:val="00485669"/>
    <w:rsid w:val="00485770"/>
    <w:rsid w:val="004901BF"/>
    <w:rsid w:val="004B06CA"/>
    <w:rsid w:val="004B3B0C"/>
    <w:rsid w:val="004B4080"/>
    <w:rsid w:val="004B797F"/>
    <w:rsid w:val="004C37CB"/>
    <w:rsid w:val="004C60A1"/>
    <w:rsid w:val="004C7E08"/>
    <w:rsid w:val="004C7FAD"/>
    <w:rsid w:val="004D1D9F"/>
    <w:rsid w:val="004D2106"/>
    <w:rsid w:val="004D3467"/>
    <w:rsid w:val="004D399E"/>
    <w:rsid w:val="004D3AF7"/>
    <w:rsid w:val="004F0BC3"/>
    <w:rsid w:val="00507EE7"/>
    <w:rsid w:val="00513C04"/>
    <w:rsid w:val="0051533A"/>
    <w:rsid w:val="0051647C"/>
    <w:rsid w:val="00517150"/>
    <w:rsid w:val="00520617"/>
    <w:rsid w:val="00521383"/>
    <w:rsid w:val="00531C05"/>
    <w:rsid w:val="00546F10"/>
    <w:rsid w:val="0055154E"/>
    <w:rsid w:val="00561CE7"/>
    <w:rsid w:val="00572847"/>
    <w:rsid w:val="00572F38"/>
    <w:rsid w:val="00577CB5"/>
    <w:rsid w:val="0058105F"/>
    <w:rsid w:val="00581388"/>
    <w:rsid w:val="005831F3"/>
    <w:rsid w:val="005934FF"/>
    <w:rsid w:val="0059377C"/>
    <w:rsid w:val="0059484B"/>
    <w:rsid w:val="00595C83"/>
    <w:rsid w:val="00596FAB"/>
    <w:rsid w:val="005A0020"/>
    <w:rsid w:val="005A03DF"/>
    <w:rsid w:val="005B2047"/>
    <w:rsid w:val="005B54F3"/>
    <w:rsid w:val="005B7430"/>
    <w:rsid w:val="005C0CDE"/>
    <w:rsid w:val="005C436A"/>
    <w:rsid w:val="005D6811"/>
    <w:rsid w:val="005D707C"/>
    <w:rsid w:val="005E2C97"/>
    <w:rsid w:val="005E465D"/>
    <w:rsid w:val="005E4A15"/>
    <w:rsid w:val="005F0488"/>
    <w:rsid w:val="005F3677"/>
    <w:rsid w:val="005F7246"/>
    <w:rsid w:val="0060032F"/>
    <w:rsid w:val="00602404"/>
    <w:rsid w:val="006035FC"/>
    <w:rsid w:val="00614220"/>
    <w:rsid w:val="006163EB"/>
    <w:rsid w:val="00617D40"/>
    <w:rsid w:val="006240BA"/>
    <w:rsid w:val="00627B45"/>
    <w:rsid w:val="00631746"/>
    <w:rsid w:val="006319B3"/>
    <w:rsid w:val="00633C3D"/>
    <w:rsid w:val="0063553F"/>
    <w:rsid w:val="00644FDD"/>
    <w:rsid w:val="00646DBD"/>
    <w:rsid w:val="00650361"/>
    <w:rsid w:val="00650766"/>
    <w:rsid w:val="00656381"/>
    <w:rsid w:val="00661082"/>
    <w:rsid w:val="00661B8F"/>
    <w:rsid w:val="0066439B"/>
    <w:rsid w:val="006657E2"/>
    <w:rsid w:val="00671099"/>
    <w:rsid w:val="00673D7D"/>
    <w:rsid w:val="00674223"/>
    <w:rsid w:val="00675FD4"/>
    <w:rsid w:val="00676DB5"/>
    <w:rsid w:val="006810E1"/>
    <w:rsid w:val="00687F67"/>
    <w:rsid w:val="00693231"/>
    <w:rsid w:val="006A05A7"/>
    <w:rsid w:val="006A4D79"/>
    <w:rsid w:val="006B05F4"/>
    <w:rsid w:val="006B0CCD"/>
    <w:rsid w:val="006B1071"/>
    <w:rsid w:val="006B1C4A"/>
    <w:rsid w:val="006B2EA7"/>
    <w:rsid w:val="006C0111"/>
    <w:rsid w:val="006C383A"/>
    <w:rsid w:val="006C6BD1"/>
    <w:rsid w:val="006D182E"/>
    <w:rsid w:val="006D4374"/>
    <w:rsid w:val="006E4AF1"/>
    <w:rsid w:val="006E7877"/>
    <w:rsid w:val="006F120C"/>
    <w:rsid w:val="006F4A2E"/>
    <w:rsid w:val="006F7600"/>
    <w:rsid w:val="00700ADF"/>
    <w:rsid w:val="0070392C"/>
    <w:rsid w:val="00703E55"/>
    <w:rsid w:val="00710B6D"/>
    <w:rsid w:val="00716235"/>
    <w:rsid w:val="007215BA"/>
    <w:rsid w:val="00722A80"/>
    <w:rsid w:val="00724C99"/>
    <w:rsid w:val="007361FE"/>
    <w:rsid w:val="00736FAD"/>
    <w:rsid w:val="007414CB"/>
    <w:rsid w:val="00741AE5"/>
    <w:rsid w:val="00752B87"/>
    <w:rsid w:val="00753B12"/>
    <w:rsid w:val="0075640D"/>
    <w:rsid w:val="00757C65"/>
    <w:rsid w:val="007634B4"/>
    <w:rsid w:val="0076466E"/>
    <w:rsid w:val="00766287"/>
    <w:rsid w:val="0076666D"/>
    <w:rsid w:val="00766A89"/>
    <w:rsid w:val="007707BE"/>
    <w:rsid w:val="007736F6"/>
    <w:rsid w:val="0077572C"/>
    <w:rsid w:val="007769BF"/>
    <w:rsid w:val="007906EF"/>
    <w:rsid w:val="00793DD5"/>
    <w:rsid w:val="007A2312"/>
    <w:rsid w:val="007A7738"/>
    <w:rsid w:val="007B3EE7"/>
    <w:rsid w:val="007C14A2"/>
    <w:rsid w:val="007C5530"/>
    <w:rsid w:val="007D5914"/>
    <w:rsid w:val="007D65C9"/>
    <w:rsid w:val="007E19EF"/>
    <w:rsid w:val="007E2809"/>
    <w:rsid w:val="007F2062"/>
    <w:rsid w:val="007F278E"/>
    <w:rsid w:val="007F4199"/>
    <w:rsid w:val="00806D28"/>
    <w:rsid w:val="00806E66"/>
    <w:rsid w:val="00810C48"/>
    <w:rsid w:val="00810F54"/>
    <w:rsid w:val="00811D32"/>
    <w:rsid w:val="00813027"/>
    <w:rsid w:val="008152A4"/>
    <w:rsid w:val="0081563F"/>
    <w:rsid w:val="00817B2F"/>
    <w:rsid w:val="00826214"/>
    <w:rsid w:val="00827638"/>
    <w:rsid w:val="00836CC9"/>
    <w:rsid w:val="008414BA"/>
    <w:rsid w:val="00842584"/>
    <w:rsid w:val="0084381F"/>
    <w:rsid w:val="00851714"/>
    <w:rsid w:val="00856A3B"/>
    <w:rsid w:val="00863DDC"/>
    <w:rsid w:val="008659B9"/>
    <w:rsid w:val="00865D4D"/>
    <w:rsid w:val="00871703"/>
    <w:rsid w:val="0087229E"/>
    <w:rsid w:val="008739D8"/>
    <w:rsid w:val="008804B8"/>
    <w:rsid w:val="00882D65"/>
    <w:rsid w:val="00884CD1"/>
    <w:rsid w:val="008A062B"/>
    <w:rsid w:val="008B156B"/>
    <w:rsid w:val="008B5338"/>
    <w:rsid w:val="008B59B9"/>
    <w:rsid w:val="008B6C4C"/>
    <w:rsid w:val="008C1596"/>
    <w:rsid w:val="008D0523"/>
    <w:rsid w:val="008D18C2"/>
    <w:rsid w:val="008D31AB"/>
    <w:rsid w:val="008D696C"/>
    <w:rsid w:val="008E1C9B"/>
    <w:rsid w:val="008E3E92"/>
    <w:rsid w:val="008E4B95"/>
    <w:rsid w:val="008E766F"/>
    <w:rsid w:val="008E7985"/>
    <w:rsid w:val="008F303F"/>
    <w:rsid w:val="008F7190"/>
    <w:rsid w:val="0090013F"/>
    <w:rsid w:val="009002A0"/>
    <w:rsid w:val="009041B6"/>
    <w:rsid w:val="00911D2F"/>
    <w:rsid w:val="00911E19"/>
    <w:rsid w:val="00912179"/>
    <w:rsid w:val="00925E7C"/>
    <w:rsid w:val="0092730D"/>
    <w:rsid w:val="00927909"/>
    <w:rsid w:val="009303C4"/>
    <w:rsid w:val="00930D43"/>
    <w:rsid w:val="0093126D"/>
    <w:rsid w:val="009347AA"/>
    <w:rsid w:val="009355CA"/>
    <w:rsid w:val="00942D64"/>
    <w:rsid w:val="0095054A"/>
    <w:rsid w:val="00950BDB"/>
    <w:rsid w:val="00956137"/>
    <w:rsid w:val="009567CA"/>
    <w:rsid w:val="00960B45"/>
    <w:rsid w:val="009613F5"/>
    <w:rsid w:val="009627EC"/>
    <w:rsid w:val="009744AB"/>
    <w:rsid w:val="0098511C"/>
    <w:rsid w:val="00985A4D"/>
    <w:rsid w:val="00993E45"/>
    <w:rsid w:val="00993E6B"/>
    <w:rsid w:val="00994F45"/>
    <w:rsid w:val="009971CD"/>
    <w:rsid w:val="00997B5A"/>
    <w:rsid w:val="00997DF1"/>
    <w:rsid w:val="009A3C78"/>
    <w:rsid w:val="009B5F7D"/>
    <w:rsid w:val="009C0DD8"/>
    <w:rsid w:val="009D0CD7"/>
    <w:rsid w:val="009D1B45"/>
    <w:rsid w:val="009E7238"/>
    <w:rsid w:val="009E7589"/>
    <w:rsid w:val="009F47C6"/>
    <w:rsid w:val="009F7922"/>
    <w:rsid w:val="00A00E03"/>
    <w:rsid w:val="00A02B0D"/>
    <w:rsid w:val="00A03B95"/>
    <w:rsid w:val="00A03FC9"/>
    <w:rsid w:val="00A063C6"/>
    <w:rsid w:val="00A064B7"/>
    <w:rsid w:val="00A079C1"/>
    <w:rsid w:val="00A10323"/>
    <w:rsid w:val="00A17AFF"/>
    <w:rsid w:val="00A216DA"/>
    <w:rsid w:val="00A22EC8"/>
    <w:rsid w:val="00A32A83"/>
    <w:rsid w:val="00A32F2E"/>
    <w:rsid w:val="00A34EC4"/>
    <w:rsid w:val="00A355EE"/>
    <w:rsid w:val="00A3642D"/>
    <w:rsid w:val="00A37209"/>
    <w:rsid w:val="00A4339E"/>
    <w:rsid w:val="00A44642"/>
    <w:rsid w:val="00A4682C"/>
    <w:rsid w:val="00A56597"/>
    <w:rsid w:val="00A5737A"/>
    <w:rsid w:val="00A6014C"/>
    <w:rsid w:val="00A62A20"/>
    <w:rsid w:val="00A66688"/>
    <w:rsid w:val="00A66B52"/>
    <w:rsid w:val="00A70603"/>
    <w:rsid w:val="00A81E23"/>
    <w:rsid w:val="00A83669"/>
    <w:rsid w:val="00A932CC"/>
    <w:rsid w:val="00A94DAE"/>
    <w:rsid w:val="00AA0502"/>
    <w:rsid w:val="00AA1913"/>
    <w:rsid w:val="00AA19EE"/>
    <w:rsid w:val="00AA4F6E"/>
    <w:rsid w:val="00AA5A1B"/>
    <w:rsid w:val="00AB7238"/>
    <w:rsid w:val="00AC2A55"/>
    <w:rsid w:val="00AC5567"/>
    <w:rsid w:val="00AD0463"/>
    <w:rsid w:val="00AD3C3D"/>
    <w:rsid w:val="00AD3E2F"/>
    <w:rsid w:val="00AD4F5C"/>
    <w:rsid w:val="00AD6F99"/>
    <w:rsid w:val="00AD70A4"/>
    <w:rsid w:val="00AF3344"/>
    <w:rsid w:val="00B04E60"/>
    <w:rsid w:val="00B0750B"/>
    <w:rsid w:val="00B15D60"/>
    <w:rsid w:val="00B16BE1"/>
    <w:rsid w:val="00B17884"/>
    <w:rsid w:val="00B22B2F"/>
    <w:rsid w:val="00B25982"/>
    <w:rsid w:val="00B2644B"/>
    <w:rsid w:val="00B367F8"/>
    <w:rsid w:val="00B37038"/>
    <w:rsid w:val="00B377D5"/>
    <w:rsid w:val="00B42883"/>
    <w:rsid w:val="00B448D6"/>
    <w:rsid w:val="00B50D4A"/>
    <w:rsid w:val="00B545AF"/>
    <w:rsid w:val="00B60B0D"/>
    <w:rsid w:val="00B64396"/>
    <w:rsid w:val="00B6449C"/>
    <w:rsid w:val="00B644B0"/>
    <w:rsid w:val="00B650DC"/>
    <w:rsid w:val="00B6530B"/>
    <w:rsid w:val="00B65EB9"/>
    <w:rsid w:val="00B71CBC"/>
    <w:rsid w:val="00B74B57"/>
    <w:rsid w:val="00B76487"/>
    <w:rsid w:val="00B80534"/>
    <w:rsid w:val="00B81ED3"/>
    <w:rsid w:val="00B82753"/>
    <w:rsid w:val="00B828EB"/>
    <w:rsid w:val="00B82F63"/>
    <w:rsid w:val="00B83BFF"/>
    <w:rsid w:val="00B85B69"/>
    <w:rsid w:val="00B93E3F"/>
    <w:rsid w:val="00B94108"/>
    <w:rsid w:val="00B958B9"/>
    <w:rsid w:val="00BA0F2D"/>
    <w:rsid w:val="00BA3EC6"/>
    <w:rsid w:val="00BA72E8"/>
    <w:rsid w:val="00BB3FCB"/>
    <w:rsid w:val="00BB5964"/>
    <w:rsid w:val="00BC1866"/>
    <w:rsid w:val="00BD33DE"/>
    <w:rsid w:val="00BD43DF"/>
    <w:rsid w:val="00BD662D"/>
    <w:rsid w:val="00BD792E"/>
    <w:rsid w:val="00BE20B1"/>
    <w:rsid w:val="00BE3806"/>
    <w:rsid w:val="00BE5751"/>
    <w:rsid w:val="00BF0A68"/>
    <w:rsid w:val="00BF190D"/>
    <w:rsid w:val="00BF4625"/>
    <w:rsid w:val="00BF48BD"/>
    <w:rsid w:val="00BF7FFB"/>
    <w:rsid w:val="00C0024D"/>
    <w:rsid w:val="00C069FA"/>
    <w:rsid w:val="00C1530F"/>
    <w:rsid w:val="00C1722A"/>
    <w:rsid w:val="00C17A91"/>
    <w:rsid w:val="00C20246"/>
    <w:rsid w:val="00C264FC"/>
    <w:rsid w:val="00C279A8"/>
    <w:rsid w:val="00C323E2"/>
    <w:rsid w:val="00C446E3"/>
    <w:rsid w:val="00C51778"/>
    <w:rsid w:val="00C52094"/>
    <w:rsid w:val="00C6234C"/>
    <w:rsid w:val="00C66599"/>
    <w:rsid w:val="00C67804"/>
    <w:rsid w:val="00C77177"/>
    <w:rsid w:val="00C774D2"/>
    <w:rsid w:val="00C802D1"/>
    <w:rsid w:val="00C82661"/>
    <w:rsid w:val="00C849AA"/>
    <w:rsid w:val="00C84DC3"/>
    <w:rsid w:val="00C867EB"/>
    <w:rsid w:val="00C869C6"/>
    <w:rsid w:val="00C91AA4"/>
    <w:rsid w:val="00C950C1"/>
    <w:rsid w:val="00C96929"/>
    <w:rsid w:val="00C96C8B"/>
    <w:rsid w:val="00CB0CB0"/>
    <w:rsid w:val="00CB1192"/>
    <w:rsid w:val="00CB6182"/>
    <w:rsid w:val="00CB6FD4"/>
    <w:rsid w:val="00CC04F3"/>
    <w:rsid w:val="00CC2706"/>
    <w:rsid w:val="00CC402A"/>
    <w:rsid w:val="00CC59A1"/>
    <w:rsid w:val="00CD6627"/>
    <w:rsid w:val="00CE11CC"/>
    <w:rsid w:val="00CE4D38"/>
    <w:rsid w:val="00CF28C9"/>
    <w:rsid w:val="00CF6F48"/>
    <w:rsid w:val="00CF75E1"/>
    <w:rsid w:val="00D01486"/>
    <w:rsid w:val="00D01D2E"/>
    <w:rsid w:val="00D03CE2"/>
    <w:rsid w:val="00D05126"/>
    <w:rsid w:val="00D05CF9"/>
    <w:rsid w:val="00D122B7"/>
    <w:rsid w:val="00D12E39"/>
    <w:rsid w:val="00D141D6"/>
    <w:rsid w:val="00D15956"/>
    <w:rsid w:val="00D213B2"/>
    <w:rsid w:val="00D22829"/>
    <w:rsid w:val="00D22852"/>
    <w:rsid w:val="00D25361"/>
    <w:rsid w:val="00D25C39"/>
    <w:rsid w:val="00D35FAF"/>
    <w:rsid w:val="00D462BF"/>
    <w:rsid w:val="00D46BBE"/>
    <w:rsid w:val="00D4737D"/>
    <w:rsid w:val="00D50489"/>
    <w:rsid w:val="00D513C7"/>
    <w:rsid w:val="00D54432"/>
    <w:rsid w:val="00D619A0"/>
    <w:rsid w:val="00D7023A"/>
    <w:rsid w:val="00D72850"/>
    <w:rsid w:val="00D803DE"/>
    <w:rsid w:val="00D8469D"/>
    <w:rsid w:val="00D84A1D"/>
    <w:rsid w:val="00D85042"/>
    <w:rsid w:val="00D95A84"/>
    <w:rsid w:val="00D977ED"/>
    <w:rsid w:val="00D97ACB"/>
    <w:rsid w:val="00DA11D2"/>
    <w:rsid w:val="00DA3387"/>
    <w:rsid w:val="00DA5B31"/>
    <w:rsid w:val="00DA6CF8"/>
    <w:rsid w:val="00DC2A94"/>
    <w:rsid w:val="00DC5FDA"/>
    <w:rsid w:val="00DC75EB"/>
    <w:rsid w:val="00DD034E"/>
    <w:rsid w:val="00DD3336"/>
    <w:rsid w:val="00DD4CDD"/>
    <w:rsid w:val="00DE0834"/>
    <w:rsid w:val="00DE5B38"/>
    <w:rsid w:val="00E04658"/>
    <w:rsid w:val="00E05EE9"/>
    <w:rsid w:val="00E10380"/>
    <w:rsid w:val="00E113D9"/>
    <w:rsid w:val="00E117AF"/>
    <w:rsid w:val="00E1693A"/>
    <w:rsid w:val="00E21F7D"/>
    <w:rsid w:val="00E340C6"/>
    <w:rsid w:val="00E45346"/>
    <w:rsid w:val="00E46083"/>
    <w:rsid w:val="00E50116"/>
    <w:rsid w:val="00E5083C"/>
    <w:rsid w:val="00E509DF"/>
    <w:rsid w:val="00E53A0C"/>
    <w:rsid w:val="00E64CE3"/>
    <w:rsid w:val="00E700B1"/>
    <w:rsid w:val="00E70296"/>
    <w:rsid w:val="00E72B00"/>
    <w:rsid w:val="00E73654"/>
    <w:rsid w:val="00E75720"/>
    <w:rsid w:val="00E830EA"/>
    <w:rsid w:val="00E85F7B"/>
    <w:rsid w:val="00E94E64"/>
    <w:rsid w:val="00EA78B0"/>
    <w:rsid w:val="00EA7C54"/>
    <w:rsid w:val="00EB0077"/>
    <w:rsid w:val="00EB0286"/>
    <w:rsid w:val="00EB1C97"/>
    <w:rsid w:val="00EB60B0"/>
    <w:rsid w:val="00EB7F73"/>
    <w:rsid w:val="00EC18E9"/>
    <w:rsid w:val="00EC5E3D"/>
    <w:rsid w:val="00EC638B"/>
    <w:rsid w:val="00ED7264"/>
    <w:rsid w:val="00ED7427"/>
    <w:rsid w:val="00EE4137"/>
    <w:rsid w:val="00EE60A0"/>
    <w:rsid w:val="00EE68F9"/>
    <w:rsid w:val="00EE6A00"/>
    <w:rsid w:val="00EF0E77"/>
    <w:rsid w:val="00EF1062"/>
    <w:rsid w:val="00EF18D6"/>
    <w:rsid w:val="00F043E4"/>
    <w:rsid w:val="00F0662E"/>
    <w:rsid w:val="00F11140"/>
    <w:rsid w:val="00F1237C"/>
    <w:rsid w:val="00F15DCE"/>
    <w:rsid w:val="00F311E8"/>
    <w:rsid w:val="00F40BBD"/>
    <w:rsid w:val="00F42C1F"/>
    <w:rsid w:val="00F471FE"/>
    <w:rsid w:val="00F532AB"/>
    <w:rsid w:val="00F55BAA"/>
    <w:rsid w:val="00F619F6"/>
    <w:rsid w:val="00F641B2"/>
    <w:rsid w:val="00F71667"/>
    <w:rsid w:val="00F7378D"/>
    <w:rsid w:val="00F74614"/>
    <w:rsid w:val="00F74B2E"/>
    <w:rsid w:val="00F762C4"/>
    <w:rsid w:val="00F8352C"/>
    <w:rsid w:val="00F91003"/>
    <w:rsid w:val="00F94D3B"/>
    <w:rsid w:val="00F9668A"/>
    <w:rsid w:val="00F96FC3"/>
    <w:rsid w:val="00FA1464"/>
    <w:rsid w:val="00FA3EB0"/>
    <w:rsid w:val="00FA3F02"/>
    <w:rsid w:val="00FB0A0B"/>
    <w:rsid w:val="00FB6430"/>
    <w:rsid w:val="00FB64A2"/>
    <w:rsid w:val="00FC141C"/>
    <w:rsid w:val="00FC1CC4"/>
    <w:rsid w:val="00FC37CC"/>
    <w:rsid w:val="00FC3A95"/>
    <w:rsid w:val="00FC4133"/>
    <w:rsid w:val="00FD1A47"/>
    <w:rsid w:val="00FE7FAD"/>
    <w:rsid w:val="00FF0D46"/>
    <w:rsid w:val="00FF5799"/>
    <w:rsid w:val="00FF66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7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eastAsia="zh-CN"/>
    </w:rPr>
  </w:style>
  <w:style w:type="paragraph" w:styleId="Heading1">
    <w:name w:val="heading 1"/>
    <w:basedOn w:val="Normal"/>
    <w:next w:val="Normal"/>
    <w:qFormat/>
    <w:pPr>
      <w:keepNext/>
      <w:widowControl/>
      <w:overflowPunct w:val="0"/>
      <w:autoSpaceDE w:val="0"/>
      <w:autoSpaceDN w:val="0"/>
      <w:adjustRightInd w:val="0"/>
      <w:spacing w:after="160" w:line="280" w:lineRule="exact"/>
      <w:textAlignment w:val="baseline"/>
      <w:outlineLvl w:val="0"/>
    </w:pPr>
    <w:rPr>
      <w:b/>
      <w:bCs/>
      <w:kern w:val="0"/>
      <w:sz w:val="22"/>
      <w:szCs w:val="22"/>
    </w:rPr>
  </w:style>
  <w:style w:type="paragraph" w:styleId="Heading2">
    <w:name w:val="heading 2"/>
    <w:basedOn w:val="Normal"/>
    <w:next w:val="Normal"/>
    <w:qFormat/>
    <w:pPr>
      <w:keepNext/>
      <w:jc w:val="center"/>
      <w:outlineLvl w:val="1"/>
    </w:pPr>
    <w:rPr>
      <w:spacing w:val="-20"/>
      <w:sz w:val="40"/>
      <w:szCs w:val="40"/>
    </w:rPr>
  </w:style>
  <w:style w:type="paragraph" w:styleId="Heading3">
    <w:name w:val="heading 3"/>
    <w:basedOn w:val="Normal"/>
    <w:next w:val="Normal"/>
    <w:qFormat/>
    <w:pPr>
      <w:keepNext/>
      <w:spacing w:after="120" w:line="220" w:lineRule="exact"/>
      <w:outlineLvl w:val="2"/>
    </w:pPr>
    <w:rPr>
      <w:b/>
      <w:color w:val="000000"/>
      <w:sz w:val="22"/>
      <w:szCs w:val="22"/>
    </w:rPr>
  </w:style>
  <w:style w:type="paragraph" w:styleId="Heading4">
    <w:name w:val="heading 4"/>
    <w:basedOn w:val="Normal"/>
    <w:next w:val="Normal"/>
    <w:qFormat/>
    <w:pPr>
      <w:keepNext/>
      <w:ind w:firstLine="284"/>
      <w:outlineLvl w:val="3"/>
    </w:pPr>
    <w:rPr>
      <w:b/>
      <w:bCs/>
      <w:sz w:val="18"/>
    </w:rPr>
  </w:style>
  <w:style w:type="paragraph" w:styleId="Heading5">
    <w:name w:val="heading 5"/>
    <w:basedOn w:val="Normal"/>
    <w:next w:val="Normal"/>
    <w:qFormat/>
    <w:pPr>
      <w:keepNext/>
      <w:widowControl/>
      <w:overflowPunct w:val="0"/>
      <w:autoSpaceDE w:val="0"/>
      <w:autoSpaceDN w:val="0"/>
      <w:adjustRightInd w:val="0"/>
      <w:spacing w:after="160" w:line="280" w:lineRule="exact"/>
      <w:textAlignment w:val="baseline"/>
      <w:outlineLvl w:val="4"/>
    </w:pPr>
    <w:rPr>
      <w:i/>
      <w:iCs/>
      <w:kern w:val="0"/>
      <w:sz w:val="22"/>
      <w:szCs w:val="22"/>
    </w:rPr>
  </w:style>
  <w:style w:type="paragraph" w:styleId="Heading6">
    <w:name w:val="heading 6"/>
    <w:basedOn w:val="Normal"/>
    <w:next w:val="Normal"/>
    <w:qFormat/>
    <w:pPr>
      <w:keepNext/>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Footer">
    <w:name w:val="footer"/>
    <w:basedOn w:val="Normal"/>
    <w:link w:val="FooterChar"/>
    <w:pPr>
      <w:tabs>
        <w:tab w:val="center" w:pos="4153"/>
        <w:tab w:val="right" w:pos="8306"/>
      </w:tabs>
      <w:snapToGrid w:val="0"/>
      <w:jc w:val="left"/>
    </w:pPr>
    <w:rPr>
      <w:sz w:val="18"/>
      <w:szCs w:val="18"/>
      <w:lang w:val="x-none" w:eastAsia="x-none"/>
    </w:rPr>
  </w:style>
  <w:style w:type="character" w:styleId="PageNumber">
    <w:name w:val="page number"/>
    <w:basedOn w:val="DefaultParagraphFont"/>
  </w:style>
  <w:style w:type="paragraph" w:customStyle="1" w:styleId="HHeaderspecial2">
    <w:name w:val="HHeader special 2"/>
    <w:basedOn w:val="Normal"/>
    <w:pPr>
      <w:widowControl/>
      <w:overflowPunct w:val="0"/>
      <w:autoSpaceDE w:val="0"/>
      <w:autoSpaceDN w:val="0"/>
      <w:adjustRightInd w:val="0"/>
      <w:spacing w:after="260" w:line="260" w:lineRule="atLeast"/>
      <w:textAlignment w:val="baseline"/>
    </w:pPr>
    <w:rPr>
      <w:rFonts w:ascii="Arial" w:hAnsi="Arial"/>
      <w:b/>
      <w:kern w:val="0"/>
      <w:sz w:val="36"/>
      <w:szCs w:val="20"/>
      <w:lang w:eastAsia="en-US"/>
    </w:rPr>
  </w:style>
  <w:style w:type="paragraph" w:styleId="FootnoteText">
    <w:name w:val="footnote text"/>
    <w:basedOn w:val="Normal"/>
    <w:semiHidden/>
    <w:pPr>
      <w:snapToGrid w:val="0"/>
      <w:jc w:val="left"/>
    </w:pPr>
    <w:rPr>
      <w:sz w:val="18"/>
      <w:szCs w:val="18"/>
    </w:rPr>
  </w:style>
  <w:style w:type="character" w:styleId="FootnoteReference">
    <w:name w:val="footnote reference"/>
    <w:semiHidden/>
    <w:rPr>
      <w:vertAlign w:val="superscript"/>
    </w:rPr>
  </w:style>
  <w:style w:type="paragraph" w:styleId="DocumentMap">
    <w:name w:val="Document Map"/>
    <w:basedOn w:val="Normal"/>
    <w:link w:val="DocumentMapChar"/>
    <w:pPr>
      <w:shd w:val="clear" w:color="auto" w:fill="000080"/>
    </w:pPr>
    <w:rPr>
      <w:lang w:val="x-none" w:eastAsia="x-none"/>
    </w:rPr>
  </w:style>
  <w:style w:type="character" w:styleId="Strong">
    <w:name w:val="Strong"/>
    <w:qFormat/>
    <w:rPr>
      <w:b/>
      <w:bCs/>
    </w:rPr>
  </w:style>
  <w:style w:type="paragraph" w:styleId="BodyTextIndent">
    <w:name w:val="Body Text Indent"/>
    <w:basedOn w:val="Normal"/>
    <w:link w:val="BodyTextIndentChar"/>
    <w:pPr>
      <w:ind w:firstLine="425"/>
      <w:jc w:val="left"/>
    </w:pPr>
    <w:rPr>
      <w:sz w:val="28"/>
      <w:szCs w:val="20"/>
      <w:lang w:val="x-none" w:eastAsia="x-none"/>
    </w:rPr>
  </w:style>
  <w:style w:type="paragraph" w:styleId="BodyTextIndent2">
    <w:name w:val="Body Text Indent 2"/>
    <w:basedOn w:val="Normal"/>
    <w:pPr>
      <w:spacing w:after="120" w:line="480" w:lineRule="auto"/>
      <w:ind w:leftChars="200" w:left="420"/>
    </w:pPr>
  </w:style>
  <w:style w:type="paragraph" w:styleId="Title">
    <w:name w:val="Title"/>
    <w:basedOn w:val="Normal"/>
    <w:qFormat/>
    <w:pPr>
      <w:jc w:val="center"/>
    </w:pPr>
    <w:rPr>
      <w:sz w:val="40"/>
      <w:szCs w:val="40"/>
    </w:rPr>
  </w:style>
  <w:style w:type="character" w:customStyle="1" w:styleId="1Char">
    <w:name w:val="标题 1 Char"/>
    <w:rPr>
      <w:rFonts w:eastAsia="SimSun"/>
      <w:b/>
      <w:bCs/>
      <w:kern w:val="44"/>
      <w:sz w:val="44"/>
      <w:szCs w:val="44"/>
      <w:lang w:val="en-US" w:eastAsia="zh-CN" w:bidi="ar-SA"/>
    </w:rPr>
  </w:style>
  <w:style w:type="paragraph" w:styleId="NormalWeb">
    <w:name w:val="Normal (Web)"/>
    <w:basedOn w:val="Normal"/>
    <w:pPr>
      <w:widowControl/>
      <w:spacing w:before="100" w:beforeAutospacing="1" w:after="100" w:afterAutospacing="1"/>
      <w:jc w:val="left"/>
    </w:pPr>
    <w:rPr>
      <w:rFonts w:ascii="SimSun" w:hAnsi="SimSun"/>
      <w:color w:val="000000"/>
      <w:kern w:val="0"/>
      <w:sz w:val="24"/>
    </w:rPr>
  </w:style>
  <w:style w:type="paragraph" w:styleId="BodyText2">
    <w:name w:val="Body Text 2"/>
    <w:basedOn w:val="Normal"/>
    <w:pPr>
      <w:spacing w:after="160" w:line="280" w:lineRule="exact"/>
      <w:jc w:val="left"/>
    </w:pPr>
    <w:rPr>
      <w:sz w:val="22"/>
      <w:szCs w:val="21"/>
    </w:rPr>
  </w:style>
  <w:style w:type="paragraph" w:customStyle="1" w:styleId="Abstract">
    <w:name w:val="Abstract"/>
    <w:basedOn w:val="BodyText"/>
    <w:pPr>
      <w:widowControl/>
      <w:overflowPunct w:val="0"/>
      <w:autoSpaceDE w:val="0"/>
      <w:autoSpaceDN w:val="0"/>
      <w:adjustRightInd w:val="0"/>
      <w:ind w:left="567" w:right="567"/>
      <w:jc w:val="both"/>
      <w:textAlignment w:val="baseline"/>
    </w:pPr>
    <w:rPr>
      <w:rFonts w:eastAsia="PMingLiU"/>
      <w:bCs w:val="0"/>
      <w:kern w:val="0"/>
      <w:sz w:val="20"/>
      <w:szCs w:val="20"/>
      <w:lang w:eastAsia="en-US"/>
    </w:rPr>
  </w:style>
  <w:style w:type="paragraph" w:styleId="BodyText">
    <w:name w:val="Body Text"/>
    <w:basedOn w:val="Normal"/>
    <w:link w:val="BodyTextChar"/>
    <w:pPr>
      <w:jc w:val="center"/>
    </w:pPr>
    <w:rPr>
      <w:bCs/>
      <w:lang w:val="x-none" w:eastAsia="x-none"/>
    </w:rPr>
  </w:style>
  <w:style w:type="character" w:customStyle="1" w:styleId="MSPMincho">
    <w:name w:val="样式 (中文) MS PMincho"/>
    <w:rPr>
      <w:rFonts w:eastAsia="Times New Roman"/>
    </w:rPr>
  </w:style>
  <w:style w:type="character" w:customStyle="1" w:styleId="f281">
    <w:name w:val="f281"/>
    <w:rPr>
      <w:sz w:val="18"/>
      <w:szCs w:val="18"/>
    </w:rPr>
  </w:style>
  <w:style w:type="paragraph" w:styleId="EndnoteText">
    <w:name w:val="endnote text"/>
    <w:basedOn w:val="Normal"/>
    <w:semiHidden/>
    <w:pPr>
      <w:snapToGrid w:val="0"/>
      <w:jc w:val="left"/>
    </w:pPr>
  </w:style>
  <w:style w:type="paragraph" w:styleId="BodyText3">
    <w:name w:val="Body Text 3"/>
    <w:basedOn w:val="Normal"/>
    <w:pPr>
      <w:spacing w:after="160" w:line="280" w:lineRule="exact"/>
    </w:pPr>
    <w:rPr>
      <w:i/>
      <w:iCs/>
      <w:sz w:val="22"/>
    </w:rPr>
  </w:style>
  <w:style w:type="character" w:styleId="Hyperlink">
    <w:name w:val="Hyperlink"/>
    <w:rsid w:val="00427CA0"/>
    <w:rPr>
      <w:color w:val="0000FF"/>
      <w:u w:val="single"/>
    </w:rPr>
  </w:style>
  <w:style w:type="numbering" w:customStyle="1" w:styleId="1">
    <w:name w:val="无列表1"/>
    <w:next w:val="NoList"/>
    <w:semiHidden/>
    <w:rsid w:val="00871703"/>
  </w:style>
  <w:style w:type="paragraph" w:customStyle="1" w:styleId="AuthorNames">
    <w:name w:val="Author Names"/>
    <w:basedOn w:val="Normal"/>
    <w:next w:val="AuthorAffiliations"/>
    <w:rsid w:val="00871703"/>
    <w:pPr>
      <w:widowControl/>
      <w:jc w:val="center"/>
    </w:pPr>
    <w:rPr>
      <w:kern w:val="0"/>
      <w:sz w:val="20"/>
      <w:szCs w:val="20"/>
      <w:lang w:eastAsia="en-US"/>
    </w:rPr>
  </w:style>
  <w:style w:type="paragraph" w:customStyle="1" w:styleId="Nomenclature">
    <w:name w:val="Nomenclature"/>
    <w:basedOn w:val="Normal"/>
    <w:rsid w:val="00871703"/>
    <w:pPr>
      <w:tabs>
        <w:tab w:val="left" w:pos="864"/>
        <w:tab w:val="left" w:pos="1152"/>
      </w:tabs>
    </w:pPr>
    <w:rPr>
      <w:kern w:val="0"/>
      <w:sz w:val="20"/>
      <w:szCs w:val="20"/>
      <w:lang w:eastAsia="en-US"/>
    </w:rPr>
  </w:style>
  <w:style w:type="paragraph" w:customStyle="1" w:styleId="AuthorAffiliations">
    <w:name w:val="Author Affiliations"/>
    <w:basedOn w:val="Normal"/>
    <w:next w:val="AuthorNames"/>
    <w:rsid w:val="00871703"/>
    <w:pPr>
      <w:widowControl/>
      <w:spacing w:after="240"/>
      <w:jc w:val="center"/>
    </w:pPr>
    <w:rPr>
      <w:i/>
      <w:iCs/>
      <w:kern w:val="0"/>
      <w:sz w:val="20"/>
      <w:szCs w:val="20"/>
      <w:lang w:eastAsia="en-US"/>
    </w:rPr>
  </w:style>
  <w:style w:type="paragraph" w:customStyle="1" w:styleId="Text">
    <w:name w:val="Text"/>
    <w:basedOn w:val="Normal"/>
    <w:rsid w:val="00871703"/>
    <w:pPr>
      <w:widowControl/>
      <w:tabs>
        <w:tab w:val="left" w:pos="288"/>
      </w:tabs>
      <w:ind w:firstLine="288"/>
    </w:pPr>
    <w:rPr>
      <w:kern w:val="0"/>
      <w:sz w:val="20"/>
      <w:szCs w:val="20"/>
      <w:lang w:eastAsia="en-US"/>
    </w:rPr>
  </w:style>
  <w:style w:type="paragraph" w:customStyle="1" w:styleId="Equation">
    <w:name w:val="Equation"/>
    <w:basedOn w:val="Normal"/>
    <w:next w:val="Text"/>
    <w:autoRedefine/>
    <w:rsid w:val="00871703"/>
    <w:pPr>
      <w:widowControl/>
      <w:tabs>
        <w:tab w:val="center" w:pos="4680"/>
        <w:tab w:val="right" w:pos="9360"/>
      </w:tabs>
      <w:spacing w:before="240" w:after="240"/>
    </w:pPr>
    <w:rPr>
      <w:kern w:val="0"/>
      <w:sz w:val="20"/>
      <w:szCs w:val="20"/>
      <w:lang w:eastAsia="en-US"/>
    </w:rPr>
  </w:style>
  <w:style w:type="paragraph" w:customStyle="1" w:styleId="BibliographicalReferenceNumbers">
    <w:name w:val="Bibliographical Reference Numbers"/>
    <w:basedOn w:val="Normal"/>
    <w:next w:val="Text"/>
    <w:rsid w:val="00871703"/>
    <w:pPr>
      <w:widowControl/>
    </w:pPr>
    <w:rPr>
      <w:kern w:val="0"/>
      <w:sz w:val="20"/>
      <w:szCs w:val="20"/>
      <w:vertAlign w:val="superscript"/>
      <w:lang w:eastAsia="en-US"/>
    </w:rPr>
  </w:style>
  <w:style w:type="paragraph" w:customStyle="1" w:styleId="Figure">
    <w:name w:val="Figure"/>
    <w:basedOn w:val="Normal"/>
    <w:next w:val="Text"/>
    <w:rsid w:val="00871703"/>
    <w:pPr>
      <w:framePr w:hSpace="187" w:vSpace="187" w:wrap="auto" w:vAnchor="text" w:hAnchor="text" w:y="1"/>
      <w:widowControl/>
    </w:pPr>
    <w:rPr>
      <w:b/>
      <w:bCs/>
      <w:kern w:val="0"/>
      <w:sz w:val="20"/>
      <w:szCs w:val="20"/>
      <w:lang w:eastAsia="en-US"/>
    </w:rPr>
  </w:style>
  <w:style w:type="paragraph" w:customStyle="1" w:styleId="References">
    <w:name w:val="References"/>
    <w:basedOn w:val="Normal"/>
    <w:rsid w:val="00871703"/>
    <w:pPr>
      <w:widowControl/>
      <w:ind w:firstLine="288"/>
    </w:pPr>
    <w:rPr>
      <w:kern w:val="0"/>
      <w:sz w:val="18"/>
      <w:szCs w:val="18"/>
      <w:lang w:eastAsia="en-US"/>
    </w:rPr>
  </w:style>
  <w:style w:type="paragraph" w:customStyle="1" w:styleId="Footnote">
    <w:name w:val="Footnote"/>
    <w:basedOn w:val="Normal"/>
    <w:rsid w:val="00871703"/>
    <w:pPr>
      <w:widowControl/>
    </w:pPr>
    <w:rPr>
      <w:kern w:val="0"/>
      <w:sz w:val="20"/>
      <w:szCs w:val="20"/>
      <w:lang w:eastAsia="en-US"/>
    </w:rPr>
  </w:style>
  <w:style w:type="character" w:styleId="FollowedHyperlink">
    <w:name w:val="FollowedHyperlink"/>
    <w:rsid w:val="00871703"/>
    <w:rPr>
      <w:color w:val="800080"/>
      <w:u w:val="single"/>
    </w:rPr>
  </w:style>
  <w:style w:type="paragraph" w:customStyle="1" w:styleId="text0">
    <w:name w:val="text"/>
    <w:basedOn w:val="Normal"/>
    <w:rsid w:val="00871703"/>
    <w:pPr>
      <w:widowControl/>
      <w:ind w:firstLine="288"/>
    </w:pPr>
    <w:rPr>
      <w:kern w:val="0"/>
      <w:sz w:val="20"/>
      <w:szCs w:val="20"/>
      <w:lang w:eastAsia="en-US"/>
    </w:rPr>
  </w:style>
  <w:style w:type="paragraph" w:customStyle="1" w:styleId="ExtendedQuote">
    <w:name w:val="Extended Quote"/>
    <w:basedOn w:val="Text"/>
    <w:rsid w:val="00871703"/>
    <w:pPr>
      <w:ind w:left="576" w:firstLine="0"/>
    </w:pPr>
    <w:rPr>
      <w:sz w:val="18"/>
      <w:szCs w:val="18"/>
    </w:rPr>
  </w:style>
  <w:style w:type="character" w:customStyle="1" w:styleId="msoins0">
    <w:name w:val="msoins"/>
    <w:rsid w:val="00871703"/>
    <w:rPr>
      <w:u w:val="single"/>
    </w:rPr>
  </w:style>
  <w:style w:type="paragraph" w:customStyle="1" w:styleId="BAnormal">
    <w:name w:val="BA normal"/>
    <w:basedOn w:val="Normal"/>
    <w:rsid w:val="00871703"/>
    <w:pPr>
      <w:widowControl/>
      <w:jc w:val="left"/>
    </w:pPr>
    <w:rPr>
      <w:rFonts w:ascii="Book Antiqua" w:hAnsi="Book Antiqua"/>
      <w:kern w:val="0"/>
      <w:sz w:val="24"/>
      <w:lang w:eastAsia="en-US"/>
    </w:rPr>
  </w:style>
  <w:style w:type="paragraph" w:styleId="BodyTextFirstIndent">
    <w:name w:val="Body Text First Indent"/>
    <w:basedOn w:val="Normal"/>
    <w:link w:val="BodyTextFirstIndentChar1"/>
    <w:rsid w:val="00871703"/>
    <w:pPr>
      <w:widowControl/>
      <w:spacing w:after="120"/>
      <w:ind w:firstLine="720"/>
      <w:jc w:val="left"/>
    </w:pPr>
    <w:rPr>
      <w:rFonts w:ascii="Arial" w:hAnsi="Arial" w:cs="Arial"/>
      <w:kern w:val="0"/>
      <w:sz w:val="20"/>
      <w:szCs w:val="20"/>
      <w:lang w:eastAsia="en-US"/>
    </w:rPr>
  </w:style>
  <w:style w:type="character" w:customStyle="1" w:styleId="BodyTextChar">
    <w:name w:val="Body Text Char"/>
    <w:link w:val="BodyText"/>
    <w:rsid w:val="00871703"/>
    <w:rPr>
      <w:bCs/>
      <w:kern w:val="2"/>
      <w:sz w:val="21"/>
      <w:szCs w:val="24"/>
    </w:rPr>
  </w:style>
  <w:style w:type="character" w:customStyle="1" w:styleId="BodyTextFirstIndentChar1">
    <w:name w:val="Body Text First Indent Char1"/>
    <w:basedOn w:val="BodyTextChar"/>
    <w:link w:val="BodyTextFirstIndent"/>
    <w:rsid w:val="00871703"/>
    <w:rPr>
      <w:bCs/>
      <w:kern w:val="2"/>
      <w:sz w:val="21"/>
      <w:szCs w:val="24"/>
    </w:rPr>
  </w:style>
  <w:style w:type="paragraph" w:customStyle="1" w:styleId="StyleBodyTextFirstIndentTimesNewRomanJustified">
    <w:name w:val="Style Body Text First Indent + Times New Roman Justified"/>
    <w:basedOn w:val="BodyTextFirstIndent"/>
    <w:autoRedefine/>
    <w:rsid w:val="00871703"/>
    <w:pPr>
      <w:jc w:val="both"/>
    </w:pPr>
    <w:rPr>
      <w:rFonts w:ascii="Times New Roman" w:hAnsi="Times New Roman" w:cs="Times New Roman"/>
    </w:rPr>
  </w:style>
  <w:style w:type="character" w:customStyle="1" w:styleId="BodyTextFirstIndentChar">
    <w:name w:val="Body Text First Indent Char"/>
    <w:rsid w:val="00871703"/>
    <w:rPr>
      <w:rFonts w:ascii="Arial" w:hAnsi="Arial" w:cs="Arial"/>
      <w:lang w:val="en-US" w:eastAsia="en-US" w:bidi="ar-SA"/>
    </w:rPr>
  </w:style>
  <w:style w:type="character" w:customStyle="1" w:styleId="EquationCaption">
    <w:name w:val="_Equation Caption"/>
    <w:rsid w:val="00871703"/>
  </w:style>
  <w:style w:type="character" w:customStyle="1" w:styleId="MTEquationSection">
    <w:name w:val="MTEquationSection"/>
    <w:rsid w:val="00871703"/>
    <w:rPr>
      <w:vanish/>
      <w:color w:val="FF0000"/>
      <w:spacing w:val="-3"/>
    </w:rPr>
  </w:style>
  <w:style w:type="paragraph" w:customStyle="1" w:styleId="MTDisplayEquation">
    <w:name w:val="MTDisplayEquation"/>
    <w:basedOn w:val="Normal"/>
    <w:next w:val="Normal"/>
    <w:rsid w:val="00871703"/>
    <w:pPr>
      <w:widowControl/>
      <w:tabs>
        <w:tab w:val="center" w:pos="4320"/>
        <w:tab w:val="right" w:pos="8640"/>
      </w:tabs>
      <w:spacing w:line="480" w:lineRule="atLeast"/>
    </w:pPr>
    <w:rPr>
      <w:rFonts w:eastAsia="MS Mincho"/>
      <w:kern w:val="0"/>
      <w:sz w:val="24"/>
      <w:lang w:eastAsia="ja-JP"/>
    </w:rPr>
  </w:style>
  <w:style w:type="paragraph" w:styleId="BalloonText">
    <w:name w:val="Balloon Text"/>
    <w:basedOn w:val="Normal"/>
    <w:link w:val="BalloonTextChar"/>
    <w:rsid w:val="00871703"/>
    <w:pPr>
      <w:widowControl/>
      <w:jc w:val="left"/>
    </w:pPr>
    <w:rPr>
      <w:rFonts w:ascii="Tahoma" w:eastAsia="MS Mincho" w:hAnsi="Tahoma"/>
      <w:kern w:val="0"/>
      <w:sz w:val="16"/>
      <w:szCs w:val="16"/>
      <w:lang w:val="x-none" w:eastAsia="ja-JP"/>
    </w:rPr>
  </w:style>
  <w:style w:type="character" w:customStyle="1" w:styleId="BalloonTextChar">
    <w:name w:val="Balloon Text Char"/>
    <w:link w:val="BalloonText"/>
    <w:rsid w:val="00871703"/>
    <w:rPr>
      <w:rFonts w:ascii="Tahoma" w:eastAsia="MS Mincho" w:hAnsi="Tahoma" w:cs="Tahoma"/>
      <w:sz w:val="16"/>
      <w:szCs w:val="16"/>
      <w:lang w:eastAsia="ja-JP"/>
    </w:rPr>
  </w:style>
  <w:style w:type="paragraph" w:styleId="Caption">
    <w:name w:val="caption"/>
    <w:basedOn w:val="Normal"/>
    <w:next w:val="Normal"/>
    <w:qFormat/>
    <w:rsid w:val="00871703"/>
    <w:pPr>
      <w:widowControl/>
      <w:jc w:val="center"/>
    </w:pPr>
    <w:rPr>
      <w:b/>
      <w:bCs/>
      <w:kern w:val="0"/>
      <w:sz w:val="20"/>
      <w:szCs w:val="20"/>
      <w:lang w:eastAsia="en-US"/>
    </w:rPr>
  </w:style>
  <w:style w:type="paragraph" w:styleId="BodyTextIndent3">
    <w:name w:val="Body Text Indent 3"/>
    <w:basedOn w:val="Normal"/>
    <w:link w:val="BodyTextIndent3Char"/>
    <w:rsid w:val="00912179"/>
    <w:pPr>
      <w:widowControl/>
      <w:tabs>
        <w:tab w:val="center" w:pos="0"/>
      </w:tabs>
      <w:suppressAutoHyphens/>
      <w:spacing w:line="480" w:lineRule="auto"/>
      <w:ind w:left="720" w:hanging="720"/>
      <w:jc w:val="left"/>
    </w:pPr>
    <w:rPr>
      <w:rFonts w:ascii="Arial" w:eastAsia="Times New Roman" w:hAnsi="Arial"/>
      <w:kern w:val="0"/>
      <w:sz w:val="24"/>
      <w:szCs w:val="20"/>
      <w:lang w:val="x-none" w:eastAsia="ru-RU"/>
    </w:rPr>
  </w:style>
  <w:style w:type="character" w:customStyle="1" w:styleId="BodyTextIndent3Char">
    <w:name w:val="Body Text Indent 3 Char"/>
    <w:link w:val="BodyTextIndent3"/>
    <w:rsid w:val="00912179"/>
    <w:rPr>
      <w:rFonts w:ascii="Arial" w:eastAsia="Times New Roman" w:hAnsi="Arial"/>
      <w:sz w:val="24"/>
      <w:lang w:eastAsia="ru-RU"/>
    </w:rPr>
  </w:style>
  <w:style w:type="character" w:customStyle="1" w:styleId="aps-heading">
    <w:name w:val="aps-heading"/>
    <w:basedOn w:val="DefaultParagraphFont"/>
    <w:rsid w:val="00912179"/>
  </w:style>
  <w:style w:type="paragraph" w:customStyle="1" w:styleId="Corps">
    <w:name w:val="Corps"/>
    <w:basedOn w:val="Normal"/>
    <w:rsid w:val="00912179"/>
    <w:pPr>
      <w:widowControl/>
      <w:jc w:val="left"/>
    </w:pPr>
    <w:rPr>
      <w:rFonts w:eastAsia="Times New Roman"/>
      <w:kern w:val="0"/>
      <w:sz w:val="24"/>
      <w:szCs w:val="20"/>
      <w:lang w:eastAsia="ru-RU"/>
    </w:rPr>
  </w:style>
  <w:style w:type="character" w:customStyle="1" w:styleId="HeaderChar">
    <w:name w:val="Header Char"/>
    <w:link w:val="Header"/>
    <w:uiPriority w:val="99"/>
    <w:rsid w:val="00912179"/>
    <w:rPr>
      <w:kern w:val="2"/>
      <w:sz w:val="18"/>
      <w:szCs w:val="18"/>
    </w:rPr>
  </w:style>
  <w:style w:type="character" w:customStyle="1" w:styleId="FooterChar">
    <w:name w:val="Footer Char"/>
    <w:link w:val="Footer"/>
    <w:rsid w:val="00912179"/>
    <w:rPr>
      <w:kern w:val="2"/>
      <w:sz w:val="18"/>
      <w:szCs w:val="18"/>
    </w:rPr>
  </w:style>
  <w:style w:type="numbering" w:customStyle="1" w:styleId="2">
    <w:name w:val="无列表2"/>
    <w:next w:val="NoList"/>
    <w:semiHidden/>
    <w:rsid w:val="00AD0463"/>
  </w:style>
  <w:style w:type="paragraph" w:customStyle="1" w:styleId="MapleOutput1">
    <w:name w:val="Maple Output1"/>
    <w:next w:val="Normal"/>
    <w:rsid w:val="00AD0463"/>
    <w:pPr>
      <w:autoSpaceDE w:val="0"/>
      <w:autoSpaceDN w:val="0"/>
      <w:adjustRightInd w:val="0"/>
      <w:spacing w:line="360" w:lineRule="auto"/>
    </w:pPr>
    <w:rPr>
      <w:color w:val="000000"/>
      <w:sz w:val="24"/>
      <w:szCs w:val="24"/>
      <w:lang w:val="en-US" w:eastAsia="ru-RU"/>
    </w:rPr>
  </w:style>
  <w:style w:type="paragraph" w:customStyle="1" w:styleId="MapleOutput">
    <w:name w:val="Maple Output"/>
    <w:next w:val="Normal"/>
    <w:rsid w:val="00AD0463"/>
    <w:pPr>
      <w:autoSpaceDE w:val="0"/>
      <w:autoSpaceDN w:val="0"/>
      <w:adjustRightInd w:val="0"/>
      <w:spacing w:line="360" w:lineRule="auto"/>
      <w:jc w:val="center"/>
    </w:pPr>
    <w:rPr>
      <w:color w:val="000000"/>
      <w:sz w:val="24"/>
      <w:szCs w:val="24"/>
      <w:lang w:val="en-US" w:eastAsia="ru-RU"/>
    </w:rPr>
  </w:style>
  <w:style w:type="character" w:customStyle="1" w:styleId="MapleInput">
    <w:name w:val="Maple Input"/>
    <w:rsid w:val="00AD0463"/>
    <w:rPr>
      <w:rFonts w:ascii="Courier New" w:hAnsi="Courier New" w:cs="Courier New"/>
      <w:b/>
      <w:bCs/>
      <w:color w:val="FF0000"/>
      <w:sz w:val="24"/>
    </w:rPr>
  </w:style>
  <w:style w:type="table" w:customStyle="1" w:styleId="10">
    <w:name w:val="Стиль таблицы1"/>
    <w:basedOn w:val="TableGrid1"/>
    <w:rsid w:val="00AD0463"/>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rsid w:val="00AD04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AD0463"/>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39"/>
    <w:rsid w:val="00AD04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AD04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DocumentMapChar">
    <w:name w:val="Document Map Char"/>
    <w:link w:val="DocumentMap"/>
    <w:rsid w:val="00AD0463"/>
    <w:rPr>
      <w:kern w:val="2"/>
      <w:sz w:val="21"/>
      <w:szCs w:val="24"/>
      <w:shd w:val="clear" w:color="auto" w:fill="000080"/>
    </w:rPr>
  </w:style>
  <w:style w:type="numbering" w:customStyle="1" w:styleId="3">
    <w:name w:val="无列表3"/>
    <w:next w:val="NoList"/>
    <w:semiHidden/>
    <w:rsid w:val="006035FC"/>
  </w:style>
  <w:style w:type="paragraph" w:customStyle="1" w:styleId="Author">
    <w:name w:val="Author"/>
    <w:basedOn w:val="Normal"/>
    <w:next w:val="Normal"/>
    <w:rsid w:val="006035FC"/>
    <w:pPr>
      <w:wordWrap w:val="0"/>
      <w:ind w:firstLine="284"/>
      <w:jc w:val="center"/>
    </w:pPr>
    <w:rPr>
      <w:rFonts w:eastAsia="DotumChe"/>
      <w:sz w:val="20"/>
      <w:szCs w:val="20"/>
      <w:lang w:eastAsia="ko-KR"/>
    </w:rPr>
  </w:style>
  <w:style w:type="paragraph" w:styleId="List2">
    <w:name w:val="List 2"/>
    <w:basedOn w:val="Normal"/>
    <w:rsid w:val="006035FC"/>
    <w:pPr>
      <w:widowControl/>
      <w:ind w:left="566" w:hanging="283"/>
      <w:jc w:val="left"/>
    </w:pPr>
    <w:rPr>
      <w:kern w:val="0"/>
      <w:sz w:val="24"/>
      <w:lang w:val="fr-FR" w:eastAsia="fr-FR"/>
    </w:rPr>
  </w:style>
  <w:style w:type="paragraph" w:styleId="ListBullet2">
    <w:name w:val="List Bullet 2"/>
    <w:basedOn w:val="Normal"/>
    <w:rsid w:val="006035FC"/>
    <w:pPr>
      <w:widowControl/>
      <w:numPr>
        <w:numId w:val="1"/>
      </w:numPr>
      <w:jc w:val="left"/>
    </w:pPr>
    <w:rPr>
      <w:kern w:val="0"/>
      <w:sz w:val="24"/>
      <w:lang w:val="fr-FR" w:eastAsia="fr-FR"/>
    </w:rPr>
  </w:style>
  <w:style w:type="paragraph" w:styleId="Subtitle">
    <w:name w:val="Subtitle"/>
    <w:basedOn w:val="Normal"/>
    <w:link w:val="SubtitleChar"/>
    <w:qFormat/>
    <w:rsid w:val="006035FC"/>
    <w:pPr>
      <w:widowControl/>
      <w:spacing w:after="60"/>
      <w:jc w:val="center"/>
      <w:outlineLvl w:val="1"/>
    </w:pPr>
    <w:rPr>
      <w:rFonts w:ascii="Arial" w:hAnsi="Arial"/>
      <w:kern w:val="0"/>
      <w:sz w:val="24"/>
      <w:lang w:val="fr-FR" w:eastAsia="fr-FR"/>
    </w:rPr>
  </w:style>
  <w:style w:type="character" w:customStyle="1" w:styleId="SubtitleChar">
    <w:name w:val="Subtitle Char"/>
    <w:link w:val="Subtitle"/>
    <w:rsid w:val="006035FC"/>
    <w:rPr>
      <w:rFonts w:ascii="Arial" w:hAnsi="Arial" w:cs="Arial"/>
      <w:sz w:val="24"/>
      <w:szCs w:val="24"/>
      <w:lang w:val="fr-FR" w:eastAsia="fr-FR"/>
    </w:rPr>
  </w:style>
  <w:style w:type="paragraph" w:styleId="NormalIndent">
    <w:name w:val="Normal Indent"/>
    <w:basedOn w:val="Normal"/>
    <w:rsid w:val="006035FC"/>
    <w:pPr>
      <w:widowControl/>
      <w:ind w:left="708"/>
      <w:jc w:val="left"/>
    </w:pPr>
    <w:rPr>
      <w:kern w:val="0"/>
      <w:sz w:val="24"/>
      <w:lang w:val="fr-FR" w:eastAsia="fr-FR"/>
    </w:rPr>
  </w:style>
  <w:style w:type="paragraph" w:styleId="BodyTextFirstIndent2">
    <w:name w:val="Body Text First Indent 2"/>
    <w:basedOn w:val="BodyTextIndent"/>
    <w:link w:val="BodyTextFirstIndent2Char"/>
    <w:rsid w:val="006035FC"/>
    <w:pPr>
      <w:widowControl/>
      <w:spacing w:after="120"/>
      <w:ind w:left="283" w:firstLine="210"/>
    </w:pPr>
    <w:rPr>
      <w:kern w:val="0"/>
      <w:sz w:val="24"/>
      <w:szCs w:val="24"/>
      <w:lang w:val="fr-FR" w:eastAsia="fr-FR"/>
    </w:rPr>
  </w:style>
  <w:style w:type="character" w:customStyle="1" w:styleId="BodyTextIndentChar">
    <w:name w:val="Body Text Indent Char"/>
    <w:link w:val="BodyTextIndent"/>
    <w:rsid w:val="006035FC"/>
    <w:rPr>
      <w:kern w:val="2"/>
      <w:sz w:val="28"/>
    </w:rPr>
  </w:style>
  <w:style w:type="character" w:customStyle="1" w:styleId="BodyTextFirstIndent2Char">
    <w:name w:val="Body Text First Indent 2 Char"/>
    <w:basedOn w:val="BodyTextIndentChar"/>
    <w:link w:val="BodyTextFirstIndent2"/>
    <w:rsid w:val="006035FC"/>
    <w:rPr>
      <w:kern w:val="2"/>
      <w:sz w:val="28"/>
    </w:rPr>
  </w:style>
  <w:style w:type="paragraph" w:customStyle="1" w:styleId="Style1">
    <w:name w:val="Style1"/>
    <w:basedOn w:val="Normal"/>
    <w:rsid w:val="006035FC"/>
    <w:pPr>
      <w:widowControl/>
      <w:spacing w:line="240" w:lineRule="exact"/>
    </w:pPr>
    <w:rPr>
      <w:kern w:val="0"/>
      <w:sz w:val="20"/>
      <w:szCs w:val="20"/>
      <w:lang w:eastAsia="fr-FR"/>
    </w:rPr>
  </w:style>
  <w:style w:type="paragraph" w:customStyle="1" w:styleId="Style2">
    <w:name w:val="Style2"/>
    <w:basedOn w:val="Normal"/>
    <w:next w:val="Style1"/>
    <w:rsid w:val="006035FC"/>
    <w:pPr>
      <w:widowControl/>
      <w:spacing w:line="240" w:lineRule="exact"/>
    </w:pPr>
    <w:rPr>
      <w:kern w:val="0"/>
      <w:sz w:val="20"/>
      <w:szCs w:val="20"/>
      <w:lang w:eastAsia="fr-FR"/>
    </w:rPr>
  </w:style>
  <w:style w:type="character" w:styleId="Emphasis">
    <w:name w:val="Emphasis"/>
    <w:qFormat/>
    <w:rsid w:val="00115B43"/>
    <w:rPr>
      <w:b/>
      <w:bCs/>
      <w:i w:val="0"/>
      <w:iCs w:val="0"/>
    </w:rPr>
  </w:style>
  <w:style w:type="paragraph" w:customStyle="1" w:styleId="last">
    <w:name w:val="last"/>
    <w:basedOn w:val="Normal"/>
    <w:rsid w:val="00115B43"/>
    <w:pPr>
      <w:widowControl/>
      <w:spacing w:after="240"/>
      <w:jc w:val="left"/>
    </w:pPr>
    <w:rPr>
      <w:kern w:val="0"/>
      <w:sz w:val="24"/>
      <w:lang w:eastAsia="en-US"/>
    </w:rPr>
  </w:style>
  <w:style w:type="character" w:customStyle="1" w:styleId="authors1">
    <w:name w:val="authors1"/>
    <w:rsid w:val="00E830EA"/>
    <w:rPr>
      <w:rFonts w:ascii="Arial" w:hAnsi="Arial" w:cs="Arial" w:hint="default"/>
      <w:color w:val="4D555D"/>
      <w:sz w:val="18"/>
      <w:szCs w:val="18"/>
    </w:rPr>
  </w:style>
  <w:style w:type="paragraph" w:customStyle="1" w:styleId="ColorfulGrid-Accent11">
    <w:name w:val="Colorful Grid - Accent 11"/>
    <w:basedOn w:val="Normal"/>
    <w:link w:val="ColorfulGrid-Accent1Char"/>
    <w:qFormat/>
    <w:rsid w:val="00E830EA"/>
    <w:pPr>
      <w:autoSpaceDE w:val="0"/>
      <w:autoSpaceDN w:val="0"/>
      <w:adjustRightInd w:val="0"/>
      <w:ind w:left="446" w:firstLine="144"/>
      <w:textAlignment w:val="baseline"/>
    </w:pPr>
    <w:rPr>
      <w:rFonts w:eastAsia="BatangChe"/>
      <w:kern w:val="0"/>
      <w:sz w:val="20"/>
      <w:szCs w:val="20"/>
      <w:lang w:val="x-none" w:eastAsia="ko-KR"/>
    </w:rPr>
  </w:style>
  <w:style w:type="character" w:customStyle="1" w:styleId="ColorfulGrid-Accent1Char">
    <w:name w:val="Colorful Grid - Accent 1 Char"/>
    <w:link w:val="ColorfulGrid-Accent11"/>
    <w:rsid w:val="00E830EA"/>
    <w:rPr>
      <w:rFonts w:eastAsia="BatangChe"/>
      <w:lang w:eastAsia="ko-KR"/>
    </w:rPr>
  </w:style>
  <w:style w:type="character" w:customStyle="1" w:styleId="mediumtext1">
    <w:name w:val="medium_text1"/>
    <w:rsid w:val="00E830EA"/>
    <w:rPr>
      <w:sz w:val="24"/>
      <w:szCs w:val="24"/>
    </w:rPr>
  </w:style>
  <w:style w:type="character" w:customStyle="1" w:styleId="longtext1">
    <w:name w:val="long_text1"/>
    <w:rsid w:val="00E830EA"/>
    <w:rPr>
      <w:sz w:val="20"/>
      <w:szCs w:val="20"/>
    </w:rPr>
  </w:style>
  <w:style w:type="character" w:styleId="CommentReference">
    <w:name w:val="annotation reference"/>
    <w:rsid w:val="00004708"/>
    <w:rPr>
      <w:sz w:val="21"/>
      <w:szCs w:val="21"/>
    </w:rPr>
  </w:style>
  <w:style w:type="paragraph" w:styleId="CommentText">
    <w:name w:val="annotation text"/>
    <w:basedOn w:val="Normal"/>
    <w:link w:val="CommentTextChar"/>
    <w:rsid w:val="00004708"/>
    <w:pPr>
      <w:jc w:val="left"/>
    </w:pPr>
    <w:rPr>
      <w:lang w:val="x-none" w:eastAsia="x-none"/>
    </w:rPr>
  </w:style>
  <w:style w:type="character" w:customStyle="1" w:styleId="CommentTextChar">
    <w:name w:val="Comment Text Char"/>
    <w:link w:val="CommentText"/>
    <w:rsid w:val="00004708"/>
    <w:rPr>
      <w:kern w:val="2"/>
      <w:sz w:val="21"/>
      <w:szCs w:val="24"/>
    </w:rPr>
  </w:style>
  <w:style w:type="paragraph" w:styleId="CommentSubject">
    <w:name w:val="annotation subject"/>
    <w:basedOn w:val="CommentText"/>
    <w:next w:val="CommentText"/>
    <w:link w:val="CommentSubjectChar"/>
    <w:rsid w:val="00004708"/>
    <w:rPr>
      <w:b/>
      <w:bCs/>
    </w:rPr>
  </w:style>
  <w:style w:type="character" w:customStyle="1" w:styleId="CommentSubjectChar">
    <w:name w:val="Comment Subject Char"/>
    <w:link w:val="CommentSubject"/>
    <w:rsid w:val="00004708"/>
    <w:rPr>
      <w:b/>
      <w:bCs/>
      <w:kern w:val="2"/>
      <w:sz w:val="21"/>
      <w:szCs w:val="24"/>
    </w:rPr>
  </w:style>
  <w:style w:type="paragraph" w:styleId="ListParagraph">
    <w:name w:val="List Paragraph"/>
    <w:basedOn w:val="Normal"/>
    <w:uiPriority w:val="34"/>
    <w:qFormat/>
    <w:rsid w:val="00B0750B"/>
    <w:pPr>
      <w:ind w:left="720"/>
      <w:contextualSpacing/>
    </w:pPr>
  </w:style>
  <w:style w:type="paragraph" w:styleId="NoSpacing">
    <w:name w:val="No Spacing"/>
    <w:link w:val="NoSpacingChar"/>
    <w:uiPriority w:val="1"/>
    <w:qFormat/>
    <w:rsid w:val="00A34EC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4EC4"/>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eastAsia="zh-CN"/>
    </w:rPr>
  </w:style>
  <w:style w:type="paragraph" w:styleId="Heading1">
    <w:name w:val="heading 1"/>
    <w:basedOn w:val="Normal"/>
    <w:next w:val="Normal"/>
    <w:qFormat/>
    <w:pPr>
      <w:keepNext/>
      <w:widowControl/>
      <w:overflowPunct w:val="0"/>
      <w:autoSpaceDE w:val="0"/>
      <w:autoSpaceDN w:val="0"/>
      <w:adjustRightInd w:val="0"/>
      <w:spacing w:after="160" w:line="280" w:lineRule="exact"/>
      <w:textAlignment w:val="baseline"/>
      <w:outlineLvl w:val="0"/>
    </w:pPr>
    <w:rPr>
      <w:b/>
      <w:bCs/>
      <w:kern w:val="0"/>
      <w:sz w:val="22"/>
      <w:szCs w:val="22"/>
    </w:rPr>
  </w:style>
  <w:style w:type="paragraph" w:styleId="Heading2">
    <w:name w:val="heading 2"/>
    <w:basedOn w:val="Normal"/>
    <w:next w:val="Normal"/>
    <w:qFormat/>
    <w:pPr>
      <w:keepNext/>
      <w:jc w:val="center"/>
      <w:outlineLvl w:val="1"/>
    </w:pPr>
    <w:rPr>
      <w:spacing w:val="-20"/>
      <w:sz w:val="40"/>
      <w:szCs w:val="40"/>
    </w:rPr>
  </w:style>
  <w:style w:type="paragraph" w:styleId="Heading3">
    <w:name w:val="heading 3"/>
    <w:basedOn w:val="Normal"/>
    <w:next w:val="Normal"/>
    <w:qFormat/>
    <w:pPr>
      <w:keepNext/>
      <w:spacing w:after="120" w:line="220" w:lineRule="exact"/>
      <w:outlineLvl w:val="2"/>
    </w:pPr>
    <w:rPr>
      <w:b/>
      <w:color w:val="000000"/>
      <w:sz w:val="22"/>
      <w:szCs w:val="22"/>
    </w:rPr>
  </w:style>
  <w:style w:type="paragraph" w:styleId="Heading4">
    <w:name w:val="heading 4"/>
    <w:basedOn w:val="Normal"/>
    <w:next w:val="Normal"/>
    <w:qFormat/>
    <w:pPr>
      <w:keepNext/>
      <w:ind w:firstLine="284"/>
      <w:outlineLvl w:val="3"/>
    </w:pPr>
    <w:rPr>
      <w:b/>
      <w:bCs/>
      <w:sz w:val="18"/>
    </w:rPr>
  </w:style>
  <w:style w:type="paragraph" w:styleId="Heading5">
    <w:name w:val="heading 5"/>
    <w:basedOn w:val="Normal"/>
    <w:next w:val="Normal"/>
    <w:qFormat/>
    <w:pPr>
      <w:keepNext/>
      <w:widowControl/>
      <w:overflowPunct w:val="0"/>
      <w:autoSpaceDE w:val="0"/>
      <w:autoSpaceDN w:val="0"/>
      <w:adjustRightInd w:val="0"/>
      <w:spacing w:after="160" w:line="280" w:lineRule="exact"/>
      <w:textAlignment w:val="baseline"/>
      <w:outlineLvl w:val="4"/>
    </w:pPr>
    <w:rPr>
      <w:i/>
      <w:iCs/>
      <w:kern w:val="0"/>
      <w:sz w:val="22"/>
      <w:szCs w:val="22"/>
    </w:rPr>
  </w:style>
  <w:style w:type="paragraph" w:styleId="Heading6">
    <w:name w:val="heading 6"/>
    <w:basedOn w:val="Normal"/>
    <w:next w:val="Normal"/>
    <w:qFormat/>
    <w:pPr>
      <w:keepNext/>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Footer">
    <w:name w:val="footer"/>
    <w:basedOn w:val="Normal"/>
    <w:link w:val="FooterChar"/>
    <w:pPr>
      <w:tabs>
        <w:tab w:val="center" w:pos="4153"/>
        <w:tab w:val="right" w:pos="8306"/>
      </w:tabs>
      <w:snapToGrid w:val="0"/>
      <w:jc w:val="left"/>
    </w:pPr>
    <w:rPr>
      <w:sz w:val="18"/>
      <w:szCs w:val="18"/>
      <w:lang w:val="x-none" w:eastAsia="x-none"/>
    </w:rPr>
  </w:style>
  <w:style w:type="character" w:styleId="PageNumber">
    <w:name w:val="page number"/>
    <w:basedOn w:val="DefaultParagraphFont"/>
  </w:style>
  <w:style w:type="paragraph" w:customStyle="1" w:styleId="HHeaderspecial2">
    <w:name w:val="HHeader special 2"/>
    <w:basedOn w:val="Normal"/>
    <w:pPr>
      <w:widowControl/>
      <w:overflowPunct w:val="0"/>
      <w:autoSpaceDE w:val="0"/>
      <w:autoSpaceDN w:val="0"/>
      <w:adjustRightInd w:val="0"/>
      <w:spacing w:after="260" w:line="260" w:lineRule="atLeast"/>
      <w:textAlignment w:val="baseline"/>
    </w:pPr>
    <w:rPr>
      <w:rFonts w:ascii="Arial" w:hAnsi="Arial"/>
      <w:b/>
      <w:kern w:val="0"/>
      <w:sz w:val="36"/>
      <w:szCs w:val="20"/>
      <w:lang w:eastAsia="en-US"/>
    </w:rPr>
  </w:style>
  <w:style w:type="paragraph" w:styleId="FootnoteText">
    <w:name w:val="footnote text"/>
    <w:basedOn w:val="Normal"/>
    <w:semiHidden/>
    <w:pPr>
      <w:snapToGrid w:val="0"/>
      <w:jc w:val="left"/>
    </w:pPr>
    <w:rPr>
      <w:sz w:val="18"/>
      <w:szCs w:val="18"/>
    </w:rPr>
  </w:style>
  <w:style w:type="character" w:styleId="FootnoteReference">
    <w:name w:val="footnote reference"/>
    <w:semiHidden/>
    <w:rPr>
      <w:vertAlign w:val="superscript"/>
    </w:rPr>
  </w:style>
  <w:style w:type="paragraph" w:styleId="DocumentMap">
    <w:name w:val="Document Map"/>
    <w:basedOn w:val="Normal"/>
    <w:link w:val="DocumentMapChar"/>
    <w:pPr>
      <w:shd w:val="clear" w:color="auto" w:fill="000080"/>
    </w:pPr>
    <w:rPr>
      <w:lang w:val="x-none" w:eastAsia="x-none"/>
    </w:rPr>
  </w:style>
  <w:style w:type="character" w:styleId="Strong">
    <w:name w:val="Strong"/>
    <w:qFormat/>
    <w:rPr>
      <w:b/>
      <w:bCs/>
    </w:rPr>
  </w:style>
  <w:style w:type="paragraph" w:styleId="BodyTextIndent">
    <w:name w:val="Body Text Indent"/>
    <w:basedOn w:val="Normal"/>
    <w:link w:val="BodyTextIndentChar"/>
    <w:pPr>
      <w:ind w:firstLine="425"/>
      <w:jc w:val="left"/>
    </w:pPr>
    <w:rPr>
      <w:sz w:val="28"/>
      <w:szCs w:val="20"/>
      <w:lang w:val="x-none" w:eastAsia="x-none"/>
    </w:rPr>
  </w:style>
  <w:style w:type="paragraph" w:styleId="BodyTextIndent2">
    <w:name w:val="Body Text Indent 2"/>
    <w:basedOn w:val="Normal"/>
    <w:pPr>
      <w:spacing w:after="120" w:line="480" w:lineRule="auto"/>
      <w:ind w:leftChars="200" w:left="420"/>
    </w:pPr>
  </w:style>
  <w:style w:type="paragraph" w:styleId="Title">
    <w:name w:val="Title"/>
    <w:basedOn w:val="Normal"/>
    <w:qFormat/>
    <w:pPr>
      <w:jc w:val="center"/>
    </w:pPr>
    <w:rPr>
      <w:sz w:val="40"/>
      <w:szCs w:val="40"/>
    </w:rPr>
  </w:style>
  <w:style w:type="character" w:customStyle="1" w:styleId="1Char">
    <w:name w:val="标题 1 Char"/>
    <w:rPr>
      <w:rFonts w:eastAsia="SimSun"/>
      <w:b/>
      <w:bCs/>
      <w:kern w:val="44"/>
      <w:sz w:val="44"/>
      <w:szCs w:val="44"/>
      <w:lang w:val="en-US" w:eastAsia="zh-CN" w:bidi="ar-SA"/>
    </w:rPr>
  </w:style>
  <w:style w:type="paragraph" w:styleId="NormalWeb">
    <w:name w:val="Normal (Web)"/>
    <w:basedOn w:val="Normal"/>
    <w:pPr>
      <w:widowControl/>
      <w:spacing w:before="100" w:beforeAutospacing="1" w:after="100" w:afterAutospacing="1"/>
      <w:jc w:val="left"/>
    </w:pPr>
    <w:rPr>
      <w:rFonts w:ascii="SimSun" w:hAnsi="SimSun"/>
      <w:color w:val="000000"/>
      <w:kern w:val="0"/>
      <w:sz w:val="24"/>
    </w:rPr>
  </w:style>
  <w:style w:type="paragraph" w:styleId="BodyText2">
    <w:name w:val="Body Text 2"/>
    <w:basedOn w:val="Normal"/>
    <w:pPr>
      <w:spacing w:after="160" w:line="280" w:lineRule="exact"/>
      <w:jc w:val="left"/>
    </w:pPr>
    <w:rPr>
      <w:sz w:val="22"/>
      <w:szCs w:val="21"/>
    </w:rPr>
  </w:style>
  <w:style w:type="paragraph" w:customStyle="1" w:styleId="Abstract">
    <w:name w:val="Abstract"/>
    <w:basedOn w:val="BodyText"/>
    <w:pPr>
      <w:widowControl/>
      <w:overflowPunct w:val="0"/>
      <w:autoSpaceDE w:val="0"/>
      <w:autoSpaceDN w:val="0"/>
      <w:adjustRightInd w:val="0"/>
      <w:ind w:left="567" w:right="567"/>
      <w:jc w:val="both"/>
      <w:textAlignment w:val="baseline"/>
    </w:pPr>
    <w:rPr>
      <w:rFonts w:eastAsia="PMingLiU"/>
      <w:bCs w:val="0"/>
      <w:kern w:val="0"/>
      <w:sz w:val="20"/>
      <w:szCs w:val="20"/>
      <w:lang w:eastAsia="en-US"/>
    </w:rPr>
  </w:style>
  <w:style w:type="paragraph" w:styleId="BodyText">
    <w:name w:val="Body Text"/>
    <w:basedOn w:val="Normal"/>
    <w:link w:val="BodyTextChar"/>
    <w:pPr>
      <w:jc w:val="center"/>
    </w:pPr>
    <w:rPr>
      <w:bCs/>
      <w:lang w:val="x-none" w:eastAsia="x-none"/>
    </w:rPr>
  </w:style>
  <w:style w:type="character" w:customStyle="1" w:styleId="MSPMincho">
    <w:name w:val="样式 (中文) MS PMincho"/>
    <w:rPr>
      <w:rFonts w:eastAsia="Times New Roman"/>
    </w:rPr>
  </w:style>
  <w:style w:type="character" w:customStyle="1" w:styleId="f281">
    <w:name w:val="f281"/>
    <w:rPr>
      <w:sz w:val="18"/>
      <w:szCs w:val="18"/>
    </w:rPr>
  </w:style>
  <w:style w:type="paragraph" w:styleId="EndnoteText">
    <w:name w:val="endnote text"/>
    <w:basedOn w:val="Normal"/>
    <w:semiHidden/>
    <w:pPr>
      <w:snapToGrid w:val="0"/>
      <w:jc w:val="left"/>
    </w:pPr>
  </w:style>
  <w:style w:type="paragraph" w:styleId="BodyText3">
    <w:name w:val="Body Text 3"/>
    <w:basedOn w:val="Normal"/>
    <w:pPr>
      <w:spacing w:after="160" w:line="280" w:lineRule="exact"/>
    </w:pPr>
    <w:rPr>
      <w:i/>
      <w:iCs/>
      <w:sz w:val="22"/>
    </w:rPr>
  </w:style>
  <w:style w:type="character" w:styleId="Hyperlink">
    <w:name w:val="Hyperlink"/>
    <w:rsid w:val="00427CA0"/>
    <w:rPr>
      <w:color w:val="0000FF"/>
      <w:u w:val="single"/>
    </w:rPr>
  </w:style>
  <w:style w:type="numbering" w:customStyle="1" w:styleId="1">
    <w:name w:val="无列表1"/>
    <w:next w:val="NoList"/>
    <w:semiHidden/>
    <w:rsid w:val="00871703"/>
  </w:style>
  <w:style w:type="paragraph" w:customStyle="1" w:styleId="AuthorNames">
    <w:name w:val="Author Names"/>
    <w:basedOn w:val="Normal"/>
    <w:next w:val="AuthorAffiliations"/>
    <w:rsid w:val="00871703"/>
    <w:pPr>
      <w:widowControl/>
      <w:jc w:val="center"/>
    </w:pPr>
    <w:rPr>
      <w:kern w:val="0"/>
      <w:sz w:val="20"/>
      <w:szCs w:val="20"/>
      <w:lang w:eastAsia="en-US"/>
    </w:rPr>
  </w:style>
  <w:style w:type="paragraph" w:customStyle="1" w:styleId="Nomenclature">
    <w:name w:val="Nomenclature"/>
    <w:basedOn w:val="Normal"/>
    <w:rsid w:val="00871703"/>
    <w:pPr>
      <w:tabs>
        <w:tab w:val="left" w:pos="864"/>
        <w:tab w:val="left" w:pos="1152"/>
      </w:tabs>
    </w:pPr>
    <w:rPr>
      <w:kern w:val="0"/>
      <w:sz w:val="20"/>
      <w:szCs w:val="20"/>
      <w:lang w:eastAsia="en-US"/>
    </w:rPr>
  </w:style>
  <w:style w:type="paragraph" w:customStyle="1" w:styleId="AuthorAffiliations">
    <w:name w:val="Author Affiliations"/>
    <w:basedOn w:val="Normal"/>
    <w:next w:val="AuthorNames"/>
    <w:rsid w:val="00871703"/>
    <w:pPr>
      <w:widowControl/>
      <w:spacing w:after="240"/>
      <w:jc w:val="center"/>
    </w:pPr>
    <w:rPr>
      <w:i/>
      <w:iCs/>
      <w:kern w:val="0"/>
      <w:sz w:val="20"/>
      <w:szCs w:val="20"/>
      <w:lang w:eastAsia="en-US"/>
    </w:rPr>
  </w:style>
  <w:style w:type="paragraph" w:customStyle="1" w:styleId="Text">
    <w:name w:val="Text"/>
    <w:basedOn w:val="Normal"/>
    <w:rsid w:val="00871703"/>
    <w:pPr>
      <w:widowControl/>
      <w:tabs>
        <w:tab w:val="left" w:pos="288"/>
      </w:tabs>
      <w:ind w:firstLine="288"/>
    </w:pPr>
    <w:rPr>
      <w:kern w:val="0"/>
      <w:sz w:val="20"/>
      <w:szCs w:val="20"/>
      <w:lang w:eastAsia="en-US"/>
    </w:rPr>
  </w:style>
  <w:style w:type="paragraph" w:customStyle="1" w:styleId="Equation">
    <w:name w:val="Equation"/>
    <w:basedOn w:val="Normal"/>
    <w:next w:val="Text"/>
    <w:autoRedefine/>
    <w:rsid w:val="00871703"/>
    <w:pPr>
      <w:widowControl/>
      <w:tabs>
        <w:tab w:val="center" w:pos="4680"/>
        <w:tab w:val="right" w:pos="9360"/>
      </w:tabs>
      <w:spacing w:before="240" w:after="240"/>
    </w:pPr>
    <w:rPr>
      <w:kern w:val="0"/>
      <w:sz w:val="20"/>
      <w:szCs w:val="20"/>
      <w:lang w:eastAsia="en-US"/>
    </w:rPr>
  </w:style>
  <w:style w:type="paragraph" w:customStyle="1" w:styleId="BibliographicalReferenceNumbers">
    <w:name w:val="Bibliographical Reference Numbers"/>
    <w:basedOn w:val="Normal"/>
    <w:next w:val="Text"/>
    <w:rsid w:val="00871703"/>
    <w:pPr>
      <w:widowControl/>
    </w:pPr>
    <w:rPr>
      <w:kern w:val="0"/>
      <w:sz w:val="20"/>
      <w:szCs w:val="20"/>
      <w:vertAlign w:val="superscript"/>
      <w:lang w:eastAsia="en-US"/>
    </w:rPr>
  </w:style>
  <w:style w:type="paragraph" w:customStyle="1" w:styleId="Figure">
    <w:name w:val="Figure"/>
    <w:basedOn w:val="Normal"/>
    <w:next w:val="Text"/>
    <w:rsid w:val="00871703"/>
    <w:pPr>
      <w:framePr w:hSpace="187" w:vSpace="187" w:wrap="auto" w:vAnchor="text" w:hAnchor="text" w:y="1"/>
      <w:widowControl/>
    </w:pPr>
    <w:rPr>
      <w:b/>
      <w:bCs/>
      <w:kern w:val="0"/>
      <w:sz w:val="20"/>
      <w:szCs w:val="20"/>
      <w:lang w:eastAsia="en-US"/>
    </w:rPr>
  </w:style>
  <w:style w:type="paragraph" w:customStyle="1" w:styleId="References">
    <w:name w:val="References"/>
    <w:basedOn w:val="Normal"/>
    <w:rsid w:val="00871703"/>
    <w:pPr>
      <w:widowControl/>
      <w:ind w:firstLine="288"/>
    </w:pPr>
    <w:rPr>
      <w:kern w:val="0"/>
      <w:sz w:val="18"/>
      <w:szCs w:val="18"/>
      <w:lang w:eastAsia="en-US"/>
    </w:rPr>
  </w:style>
  <w:style w:type="paragraph" w:customStyle="1" w:styleId="Footnote">
    <w:name w:val="Footnote"/>
    <w:basedOn w:val="Normal"/>
    <w:rsid w:val="00871703"/>
    <w:pPr>
      <w:widowControl/>
    </w:pPr>
    <w:rPr>
      <w:kern w:val="0"/>
      <w:sz w:val="20"/>
      <w:szCs w:val="20"/>
      <w:lang w:eastAsia="en-US"/>
    </w:rPr>
  </w:style>
  <w:style w:type="character" w:styleId="FollowedHyperlink">
    <w:name w:val="FollowedHyperlink"/>
    <w:rsid w:val="00871703"/>
    <w:rPr>
      <w:color w:val="800080"/>
      <w:u w:val="single"/>
    </w:rPr>
  </w:style>
  <w:style w:type="paragraph" w:customStyle="1" w:styleId="text0">
    <w:name w:val="text"/>
    <w:basedOn w:val="Normal"/>
    <w:rsid w:val="00871703"/>
    <w:pPr>
      <w:widowControl/>
      <w:ind w:firstLine="288"/>
    </w:pPr>
    <w:rPr>
      <w:kern w:val="0"/>
      <w:sz w:val="20"/>
      <w:szCs w:val="20"/>
      <w:lang w:eastAsia="en-US"/>
    </w:rPr>
  </w:style>
  <w:style w:type="paragraph" w:customStyle="1" w:styleId="ExtendedQuote">
    <w:name w:val="Extended Quote"/>
    <w:basedOn w:val="Text"/>
    <w:rsid w:val="00871703"/>
    <w:pPr>
      <w:ind w:left="576" w:firstLine="0"/>
    </w:pPr>
    <w:rPr>
      <w:sz w:val="18"/>
      <w:szCs w:val="18"/>
    </w:rPr>
  </w:style>
  <w:style w:type="character" w:customStyle="1" w:styleId="msoins0">
    <w:name w:val="msoins"/>
    <w:rsid w:val="00871703"/>
    <w:rPr>
      <w:u w:val="single"/>
    </w:rPr>
  </w:style>
  <w:style w:type="paragraph" w:customStyle="1" w:styleId="BAnormal">
    <w:name w:val="BA normal"/>
    <w:basedOn w:val="Normal"/>
    <w:rsid w:val="00871703"/>
    <w:pPr>
      <w:widowControl/>
      <w:jc w:val="left"/>
    </w:pPr>
    <w:rPr>
      <w:rFonts w:ascii="Book Antiqua" w:hAnsi="Book Antiqua"/>
      <w:kern w:val="0"/>
      <w:sz w:val="24"/>
      <w:lang w:eastAsia="en-US"/>
    </w:rPr>
  </w:style>
  <w:style w:type="paragraph" w:styleId="BodyTextFirstIndent">
    <w:name w:val="Body Text First Indent"/>
    <w:basedOn w:val="Normal"/>
    <w:link w:val="BodyTextFirstIndentChar1"/>
    <w:rsid w:val="00871703"/>
    <w:pPr>
      <w:widowControl/>
      <w:spacing w:after="120"/>
      <w:ind w:firstLine="720"/>
      <w:jc w:val="left"/>
    </w:pPr>
    <w:rPr>
      <w:rFonts w:ascii="Arial" w:hAnsi="Arial" w:cs="Arial"/>
      <w:kern w:val="0"/>
      <w:sz w:val="20"/>
      <w:szCs w:val="20"/>
      <w:lang w:eastAsia="en-US"/>
    </w:rPr>
  </w:style>
  <w:style w:type="character" w:customStyle="1" w:styleId="BodyTextChar">
    <w:name w:val="Body Text Char"/>
    <w:link w:val="BodyText"/>
    <w:rsid w:val="00871703"/>
    <w:rPr>
      <w:bCs/>
      <w:kern w:val="2"/>
      <w:sz w:val="21"/>
      <w:szCs w:val="24"/>
    </w:rPr>
  </w:style>
  <w:style w:type="character" w:customStyle="1" w:styleId="BodyTextFirstIndentChar1">
    <w:name w:val="Body Text First Indent Char1"/>
    <w:basedOn w:val="BodyTextChar"/>
    <w:link w:val="BodyTextFirstIndent"/>
    <w:rsid w:val="00871703"/>
    <w:rPr>
      <w:bCs/>
      <w:kern w:val="2"/>
      <w:sz w:val="21"/>
      <w:szCs w:val="24"/>
    </w:rPr>
  </w:style>
  <w:style w:type="paragraph" w:customStyle="1" w:styleId="StyleBodyTextFirstIndentTimesNewRomanJustified">
    <w:name w:val="Style Body Text First Indent + Times New Roman Justified"/>
    <w:basedOn w:val="BodyTextFirstIndent"/>
    <w:autoRedefine/>
    <w:rsid w:val="00871703"/>
    <w:pPr>
      <w:jc w:val="both"/>
    </w:pPr>
    <w:rPr>
      <w:rFonts w:ascii="Times New Roman" w:hAnsi="Times New Roman" w:cs="Times New Roman"/>
    </w:rPr>
  </w:style>
  <w:style w:type="character" w:customStyle="1" w:styleId="BodyTextFirstIndentChar">
    <w:name w:val="Body Text First Indent Char"/>
    <w:rsid w:val="00871703"/>
    <w:rPr>
      <w:rFonts w:ascii="Arial" w:hAnsi="Arial" w:cs="Arial"/>
      <w:lang w:val="en-US" w:eastAsia="en-US" w:bidi="ar-SA"/>
    </w:rPr>
  </w:style>
  <w:style w:type="character" w:customStyle="1" w:styleId="EquationCaption">
    <w:name w:val="_Equation Caption"/>
    <w:rsid w:val="00871703"/>
  </w:style>
  <w:style w:type="character" w:customStyle="1" w:styleId="MTEquationSection">
    <w:name w:val="MTEquationSection"/>
    <w:rsid w:val="00871703"/>
    <w:rPr>
      <w:vanish/>
      <w:color w:val="FF0000"/>
      <w:spacing w:val="-3"/>
    </w:rPr>
  </w:style>
  <w:style w:type="paragraph" w:customStyle="1" w:styleId="MTDisplayEquation">
    <w:name w:val="MTDisplayEquation"/>
    <w:basedOn w:val="Normal"/>
    <w:next w:val="Normal"/>
    <w:rsid w:val="00871703"/>
    <w:pPr>
      <w:widowControl/>
      <w:tabs>
        <w:tab w:val="center" w:pos="4320"/>
        <w:tab w:val="right" w:pos="8640"/>
      </w:tabs>
      <w:spacing w:line="480" w:lineRule="atLeast"/>
    </w:pPr>
    <w:rPr>
      <w:rFonts w:eastAsia="MS Mincho"/>
      <w:kern w:val="0"/>
      <w:sz w:val="24"/>
      <w:lang w:eastAsia="ja-JP"/>
    </w:rPr>
  </w:style>
  <w:style w:type="paragraph" w:styleId="BalloonText">
    <w:name w:val="Balloon Text"/>
    <w:basedOn w:val="Normal"/>
    <w:link w:val="BalloonTextChar"/>
    <w:rsid w:val="00871703"/>
    <w:pPr>
      <w:widowControl/>
      <w:jc w:val="left"/>
    </w:pPr>
    <w:rPr>
      <w:rFonts w:ascii="Tahoma" w:eastAsia="MS Mincho" w:hAnsi="Tahoma"/>
      <w:kern w:val="0"/>
      <w:sz w:val="16"/>
      <w:szCs w:val="16"/>
      <w:lang w:val="x-none" w:eastAsia="ja-JP"/>
    </w:rPr>
  </w:style>
  <w:style w:type="character" w:customStyle="1" w:styleId="BalloonTextChar">
    <w:name w:val="Balloon Text Char"/>
    <w:link w:val="BalloonText"/>
    <w:rsid w:val="00871703"/>
    <w:rPr>
      <w:rFonts w:ascii="Tahoma" w:eastAsia="MS Mincho" w:hAnsi="Tahoma" w:cs="Tahoma"/>
      <w:sz w:val="16"/>
      <w:szCs w:val="16"/>
      <w:lang w:eastAsia="ja-JP"/>
    </w:rPr>
  </w:style>
  <w:style w:type="paragraph" w:styleId="Caption">
    <w:name w:val="caption"/>
    <w:basedOn w:val="Normal"/>
    <w:next w:val="Normal"/>
    <w:qFormat/>
    <w:rsid w:val="00871703"/>
    <w:pPr>
      <w:widowControl/>
      <w:jc w:val="center"/>
    </w:pPr>
    <w:rPr>
      <w:b/>
      <w:bCs/>
      <w:kern w:val="0"/>
      <w:sz w:val="20"/>
      <w:szCs w:val="20"/>
      <w:lang w:eastAsia="en-US"/>
    </w:rPr>
  </w:style>
  <w:style w:type="paragraph" w:styleId="BodyTextIndent3">
    <w:name w:val="Body Text Indent 3"/>
    <w:basedOn w:val="Normal"/>
    <w:link w:val="BodyTextIndent3Char"/>
    <w:rsid w:val="00912179"/>
    <w:pPr>
      <w:widowControl/>
      <w:tabs>
        <w:tab w:val="center" w:pos="0"/>
      </w:tabs>
      <w:suppressAutoHyphens/>
      <w:spacing w:line="480" w:lineRule="auto"/>
      <w:ind w:left="720" w:hanging="720"/>
      <w:jc w:val="left"/>
    </w:pPr>
    <w:rPr>
      <w:rFonts w:ascii="Arial" w:eastAsia="Times New Roman" w:hAnsi="Arial"/>
      <w:kern w:val="0"/>
      <w:sz w:val="24"/>
      <w:szCs w:val="20"/>
      <w:lang w:val="x-none" w:eastAsia="ru-RU"/>
    </w:rPr>
  </w:style>
  <w:style w:type="character" w:customStyle="1" w:styleId="BodyTextIndent3Char">
    <w:name w:val="Body Text Indent 3 Char"/>
    <w:link w:val="BodyTextIndent3"/>
    <w:rsid w:val="00912179"/>
    <w:rPr>
      <w:rFonts w:ascii="Arial" w:eastAsia="Times New Roman" w:hAnsi="Arial"/>
      <w:sz w:val="24"/>
      <w:lang w:eastAsia="ru-RU"/>
    </w:rPr>
  </w:style>
  <w:style w:type="character" w:customStyle="1" w:styleId="aps-heading">
    <w:name w:val="aps-heading"/>
    <w:basedOn w:val="DefaultParagraphFont"/>
    <w:rsid w:val="00912179"/>
  </w:style>
  <w:style w:type="paragraph" w:customStyle="1" w:styleId="Corps">
    <w:name w:val="Corps"/>
    <w:basedOn w:val="Normal"/>
    <w:rsid w:val="00912179"/>
    <w:pPr>
      <w:widowControl/>
      <w:jc w:val="left"/>
    </w:pPr>
    <w:rPr>
      <w:rFonts w:eastAsia="Times New Roman"/>
      <w:kern w:val="0"/>
      <w:sz w:val="24"/>
      <w:szCs w:val="20"/>
      <w:lang w:eastAsia="ru-RU"/>
    </w:rPr>
  </w:style>
  <w:style w:type="character" w:customStyle="1" w:styleId="HeaderChar">
    <w:name w:val="Header Char"/>
    <w:link w:val="Header"/>
    <w:uiPriority w:val="99"/>
    <w:rsid w:val="00912179"/>
    <w:rPr>
      <w:kern w:val="2"/>
      <w:sz w:val="18"/>
      <w:szCs w:val="18"/>
    </w:rPr>
  </w:style>
  <w:style w:type="character" w:customStyle="1" w:styleId="FooterChar">
    <w:name w:val="Footer Char"/>
    <w:link w:val="Footer"/>
    <w:rsid w:val="00912179"/>
    <w:rPr>
      <w:kern w:val="2"/>
      <w:sz w:val="18"/>
      <w:szCs w:val="18"/>
    </w:rPr>
  </w:style>
  <w:style w:type="numbering" w:customStyle="1" w:styleId="2">
    <w:name w:val="无列表2"/>
    <w:next w:val="NoList"/>
    <w:semiHidden/>
    <w:rsid w:val="00AD0463"/>
  </w:style>
  <w:style w:type="paragraph" w:customStyle="1" w:styleId="MapleOutput1">
    <w:name w:val="Maple Output1"/>
    <w:next w:val="Normal"/>
    <w:rsid w:val="00AD0463"/>
    <w:pPr>
      <w:autoSpaceDE w:val="0"/>
      <w:autoSpaceDN w:val="0"/>
      <w:adjustRightInd w:val="0"/>
      <w:spacing w:line="360" w:lineRule="auto"/>
    </w:pPr>
    <w:rPr>
      <w:color w:val="000000"/>
      <w:sz w:val="24"/>
      <w:szCs w:val="24"/>
      <w:lang w:val="en-US" w:eastAsia="ru-RU"/>
    </w:rPr>
  </w:style>
  <w:style w:type="paragraph" w:customStyle="1" w:styleId="MapleOutput">
    <w:name w:val="Maple Output"/>
    <w:next w:val="Normal"/>
    <w:rsid w:val="00AD0463"/>
    <w:pPr>
      <w:autoSpaceDE w:val="0"/>
      <w:autoSpaceDN w:val="0"/>
      <w:adjustRightInd w:val="0"/>
      <w:spacing w:line="360" w:lineRule="auto"/>
      <w:jc w:val="center"/>
    </w:pPr>
    <w:rPr>
      <w:color w:val="000000"/>
      <w:sz w:val="24"/>
      <w:szCs w:val="24"/>
      <w:lang w:val="en-US" w:eastAsia="ru-RU"/>
    </w:rPr>
  </w:style>
  <w:style w:type="character" w:customStyle="1" w:styleId="MapleInput">
    <w:name w:val="Maple Input"/>
    <w:rsid w:val="00AD0463"/>
    <w:rPr>
      <w:rFonts w:ascii="Courier New" w:hAnsi="Courier New" w:cs="Courier New"/>
      <w:b/>
      <w:bCs/>
      <w:color w:val="FF0000"/>
      <w:sz w:val="24"/>
    </w:rPr>
  </w:style>
  <w:style w:type="table" w:customStyle="1" w:styleId="10">
    <w:name w:val="Стиль таблицы1"/>
    <w:basedOn w:val="TableGrid1"/>
    <w:rsid w:val="00AD0463"/>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rsid w:val="00AD04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AD0463"/>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39"/>
    <w:rsid w:val="00AD04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AD04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DocumentMapChar">
    <w:name w:val="Document Map Char"/>
    <w:link w:val="DocumentMap"/>
    <w:rsid w:val="00AD0463"/>
    <w:rPr>
      <w:kern w:val="2"/>
      <w:sz w:val="21"/>
      <w:szCs w:val="24"/>
      <w:shd w:val="clear" w:color="auto" w:fill="000080"/>
    </w:rPr>
  </w:style>
  <w:style w:type="numbering" w:customStyle="1" w:styleId="3">
    <w:name w:val="无列表3"/>
    <w:next w:val="NoList"/>
    <w:semiHidden/>
    <w:rsid w:val="006035FC"/>
  </w:style>
  <w:style w:type="paragraph" w:customStyle="1" w:styleId="Author">
    <w:name w:val="Author"/>
    <w:basedOn w:val="Normal"/>
    <w:next w:val="Normal"/>
    <w:rsid w:val="006035FC"/>
    <w:pPr>
      <w:wordWrap w:val="0"/>
      <w:ind w:firstLine="284"/>
      <w:jc w:val="center"/>
    </w:pPr>
    <w:rPr>
      <w:rFonts w:eastAsia="DotumChe"/>
      <w:sz w:val="20"/>
      <w:szCs w:val="20"/>
      <w:lang w:eastAsia="ko-KR"/>
    </w:rPr>
  </w:style>
  <w:style w:type="paragraph" w:styleId="List2">
    <w:name w:val="List 2"/>
    <w:basedOn w:val="Normal"/>
    <w:rsid w:val="006035FC"/>
    <w:pPr>
      <w:widowControl/>
      <w:ind w:left="566" w:hanging="283"/>
      <w:jc w:val="left"/>
    </w:pPr>
    <w:rPr>
      <w:kern w:val="0"/>
      <w:sz w:val="24"/>
      <w:lang w:val="fr-FR" w:eastAsia="fr-FR"/>
    </w:rPr>
  </w:style>
  <w:style w:type="paragraph" w:styleId="ListBullet2">
    <w:name w:val="List Bullet 2"/>
    <w:basedOn w:val="Normal"/>
    <w:rsid w:val="006035FC"/>
    <w:pPr>
      <w:widowControl/>
      <w:numPr>
        <w:numId w:val="1"/>
      </w:numPr>
      <w:jc w:val="left"/>
    </w:pPr>
    <w:rPr>
      <w:kern w:val="0"/>
      <w:sz w:val="24"/>
      <w:lang w:val="fr-FR" w:eastAsia="fr-FR"/>
    </w:rPr>
  </w:style>
  <w:style w:type="paragraph" w:styleId="Subtitle">
    <w:name w:val="Subtitle"/>
    <w:basedOn w:val="Normal"/>
    <w:link w:val="SubtitleChar"/>
    <w:qFormat/>
    <w:rsid w:val="006035FC"/>
    <w:pPr>
      <w:widowControl/>
      <w:spacing w:after="60"/>
      <w:jc w:val="center"/>
      <w:outlineLvl w:val="1"/>
    </w:pPr>
    <w:rPr>
      <w:rFonts w:ascii="Arial" w:hAnsi="Arial"/>
      <w:kern w:val="0"/>
      <w:sz w:val="24"/>
      <w:lang w:val="fr-FR" w:eastAsia="fr-FR"/>
    </w:rPr>
  </w:style>
  <w:style w:type="character" w:customStyle="1" w:styleId="SubtitleChar">
    <w:name w:val="Subtitle Char"/>
    <w:link w:val="Subtitle"/>
    <w:rsid w:val="006035FC"/>
    <w:rPr>
      <w:rFonts w:ascii="Arial" w:hAnsi="Arial" w:cs="Arial"/>
      <w:sz w:val="24"/>
      <w:szCs w:val="24"/>
      <w:lang w:val="fr-FR" w:eastAsia="fr-FR"/>
    </w:rPr>
  </w:style>
  <w:style w:type="paragraph" w:styleId="NormalIndent">
    <w:name w:val="Normal Indent"/>
    <w:basedOn w:val="Normal"/>
    <w:rsid w:val="006035FC"/>
    <w:pPr>
      <w:widowControl/>
      <w:ind w:left="708"/>
      <w:jc w:val="left"/>
    </w:pPr>
    <w:rPr>
      <w:kern w:val="0"/>
      <w:sz w:val="24"/>
      <w:lang w:val="fr-FR" w:eastAsia="fr-FR"/>
    </w:rPr>
  </w:style>
  <w:style w:type="paragraph" w:styleId="BodyTextFirstIndent2">
    <w:name w:val="Body Text First Indent 2"/>
    <w:basedOn w:val="BodyTextIndent"/>
    <w:link w:val="BodyTextFirstIndent2Char"/>
    <w:rsid w:val="006035FC"/>
    <w:pPr>
      <w:widowControl/>
      <w:spacing w:after="120"/>
      <w:ind w:left="283" w:firstLine="210"/>
    </w:pPr>
    <w:rPr>
      <w:kern w:val="0"/>
      <w:sz w:val="24"/>
      <w:szCs w:val="24"/>
      <w:lang w:val="fr-FR" w:eastAsia="fr-FR"/>
    </w:rPr>
  </w:style>
  <w:style w:type="character" w:customStyle="1" w:styleId="BodyTextIndentChar">
    <w:name w:val="Body Text Indent Char"/>
    <w:link w:val="BodyTextIndent"/>
    <w:rsid w:val="006035FC"/>
    <w:rPr>
      <w:kern w:val="2"/>
      <w:sz w:val="28"/>
    </w:rPr>
  </w:style>
  <w:style w:type="character" w:customStyle="1" w:styleId="BodyTextFirstIndent2Char">
    <w:name w:val="Body Text First Indent 2 Char"/>
    <w:basedOn w:val="BodyTextIndentChar"/>
    <w:link w:val="BodyTextFirstIndent2"/>
    <w:rsid w:val="006035FC"/>
    <w:rPr>
      <w:kern w:val="2"/>
      <w:sz w:val="28"/>
    </w:rPr>
  </w:style>
  <w:style w:type="paragraph" w:customStyle="1" w:styleId="Style1">
    <w:name w:val="Style1"/>
    <w:basedOn w:val="Normal"/>
    <w:rsid w:val="006035FC"/>
    <w:pPr>
      <w:widowControl/>
      <w:spacing w:line="240" w:lineRule="exact"/>
    </w:pPr>
    <w:rPr>
      <w:kern w:val="0"/>
      <w:sz w:val="20"/>
      <w:szCs w:val="20"/>
      <w:lang w:eastAsia="fr-FR"/>
    </w:rPr>
  </w:style>
  <w:style w:type="paragraph" w:customStyle="1" w:styleId="Style2">
    <w:name w:val="Style2"/>
    <w:basedOn w:val="Normal"/>
    <w:next w:val="Style1"/>
    <w:rsid w:val="006035FC"/>
    <w:pPr>
      <w:widowControl/>
      <w:spacing w:line="240" w:lineRule="exact"/>
    </w:pPr>
    <w:rPr>
      <w:kern w:val="0"/>
      <w:sz w:val="20"/>
      <w:szCs w:val="20"/>
      <w:lang w:eastAsia="fr-FR"/>
    </w:rPr>
  </w:style>
  <w:style w:type="character" w:styleId="Emphasis">
    <w:name w:val="Emphasis"/>
    <w:qFormat/>
    <w:rsid w:val="00115B43"/>
    <w:rPr>
      <w:b/>
      <w:bCs/>
      <w:i w:val="0"/>
      <w:iCs w:val="0"/>
    </w:rPr>
  </w:style>
  <w:style w:type="paragraph" w:customStyle="1" w:styleId="last">
    <w:name w:val="last"/>
    <w:basedOn w:val="Normal"/>
    <w:rsid w:val="00115B43"/>
    <w:pPr>
      <w:widowControl/>
      <w:spacing w:after="240"/>
      <w:jc w:val="left"/>
    </w:pPr>
    <w:rPr>
      <w:kern w:val="0"/>
      <w:sz w:val="24"/>
      <w:lang w:eastAsia="en-US"/>
    </w:rPr>
  </w:style>
  <w:style w:type="character" w:customStyle="1" w:styleId="authors1">
    <w:name w:val="authors1"/>
    <w:rsid w:val="00E830EA"/>
    <w:rPr>
      <w:rFonts w:ascii="Arial" w:hAnsi="Arial" w:cs="Arial" w:hint="default"/>
      <w:color w:val="4D555D"/>
      <w:sz w:val="18"/>
      <w:szCs w:val="18"/>
    </w:rPr>
  </w:style>
  <w:style w:type="paragraph" w:customStyle="1" w:styleId="ColorfulGrid-Accent11">
    <w:name w:val="Colorful Grid - Accent 11"/>
    <w:basedOn w:val="Normal"/>
    <w:link w:val="ColorfulGrid-Accent1Char"/>
    <w:qFormat/>
    <w:rsid w:val="00E830EA"/>
    <w:pPr>
      <w:autoSpaceDE w:val="0"/>
      <w:autoSpaceDN w:val="0"/>
      <w:adjustRightInd w:val="0"/>
      <w:ind w:left="446" w:firstLine="144"/>
      <w:textAlignment w:val="baseline"/>
    </w:pPr>
    <w:rPr>
      <w:rFonts w:eastAsia="BatangChe"/>
      <w:kern w:val="0"/>
      <w:sz w:val="20"/>
      <w:szCs w:val="20"/>
      <w:lang w:val="x-none" w:eastAsia="ko-KR"/>
    </w:rPr>
  </w:style>
  <w:style w:type="character" w:customStyle="1" w:styleId="ColorfulGrid-Accent1Char">
    <w:name w:val="Colorful Grid - Accent 1 Char"/>
    <w:link w:val="ColorfulGrid-Accent11"/>
    <w:rsid w:val="00E830EA"/>
    <w:rPr>
      <w:rFonts w:eastAsia="BatangChe"/>
      <w:lang w:eastAsia="ko-KR"/>
    </w:rPr>
  </w:style>
  <w:style w:type="character" w:customStyle="1" w:styleId="mediumtext1">
    <w:name w:val="medium_text1"/>
    <w:rsid w:val="00E830EA"/>
    <w:rPr>
      <w:sz w:val="24"/>
      <w:szCs w:val="24"/>
    </w:rPr>
  </w:style>
  <w:style w:type="character" w:customStyle="1" w:styleId="longtext1">
    <w:name w:val="long_text1"/>
    <w:rsid w:val="00E830EA"/>
    <w:rPr>
      <w:sz w:val="20"/>
      <w:szCs w:val="20"/>
    </w:rPr>
  </w:style>
  <w:style w:type="character" w:styleId="CommentReference">
    <w:name w:val="annotation reference"/>
    <w:rsid w:val="00004708"/>
    <w:rPr>
      <w:sz w:val="21"/>
      <w:szCs w:val="21"/>
    </w:rPr>
  </w:style>
  <w:style w:type="paragraph" w:styleId="CommentText">
    <w:name w:val="annotation text"/>
    <w:basedOn w:val="Normal"/>
    <w:link w:val="CommentTextChar"/>
    <w:rsid w:val="00004708"/>
    <w:pPr>
      <w:jc w:val="left"/>
    </w:pPr>
    <w:rPr>
      <w:lang w:val="x-none" w:eastAsia="x-none"/>
    </w:rPr>
  </w:style>
  <w:style w:type="character" w:customStyle="1" w:styleId="CommentTextChar">
    <w:name w:val="Comment Text Char"/>
    <w:link w:val="CommentText"/>
    <w:rsid w:val="00004708"/>
    <w:rPr>
      <w:kern w:val="2"/>
      <w:sz w:val="21"/>
      <w:szCs w:val="24"/>
    </w:rPr>
  </w:style>
  <w:style w:type="paragraph" w:styleId="CommentSubject">
    <w:name w:val="annotation subject"/>
    <w:basedOn w:val="CommentText"/>
    <w:next w:val="CommentText"/>
    <w:link w:val="CommentSubjectChar"/>
    <w:rsid w:val="00004708"/>
    <w:rPr>
      <w:b/>
      <w:bCs/>
    </w:rPr>
  </w:style>
  <w:style w:type="character" w:customStyle="1" w:styleId="CommentSubjectChar">
    <w:name w:val="Comment Subject Char"/>
    <w:link w:val="CommentSubject"/>
    <w:rsid w:val="00004708"/>
    <w:rPr>
      <w:b/>
      <w:bCs/>
      <w:kern w:val="2"/>
      <w:sz w:val="21"/>
      <w:szCs w:val="24"/>
    </w:rPr>
  </w:style>
  <w:style w:type="paragraph" w:styleId="ListParagraph">
    <w:name w:val="List Paragraph"/>
    <w:basedOn w:val="Normal"/>
    <w:uiPriority w:val="34"/>
    <w:qFormat/>
    <w:rsid w:val="00B0750B"/>
    <w:pPr>
      <w:ind w:left="720"/>
      <w:contextualSpacing/>
    </w:pPr>
  </w:style>
  <w:style w:type="paragraph" w:styleId="NoSpacing">
    <w:name w:val="No Spacing"/>
    <w:link w:val="NoSpacingChar"/>
    <w:uiPriority w:val="1"/>
    <w:qFormat/>
    <w:rsid w:val="00A34EC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4EC4"/>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0555">
      <w:bodyDiv w:val="1"/>
      <w:marLeft w:val="125"/>
      <w:marRight w:val="125"/>
      <w:marTop w:val="125"/>
      <w:marBottom w:val="125"/>
      <w:divBdr>
        <w:top w:val="none" w:sz="0" w:space="0" w:color="auto"/>
        <w:left w:val="none" w:sz="0" w:space="0" w:color="auto"/>
        <w:bottom w:val="none" w:sz="0" w:space="0" w:color="auto"/>
        <w:right w:val="none" w:sz="0" w:space="0" w:color="auto"/>
      </w:divBdr>
      <w:divsChild>
        <w:div w:id="350106751">
          <w:marLeft w:val="0"/>
          <w:marRight w:val="0"/>
          <w:marTop w:val="0"/>
          <w:marBottom w:val="0"/>
          <w:divBdr>
            <w:top w:val="none" w:sz="0" w:space="0" w:color="auto"/>
            <w:left w:val="none" w:sz="0" w:space="0" w:color="auto"/>
            <w:bottom w:val="none" w:sz="0" w:space="0" w:color="auto"/>
            <w:right w:val="none" w:sz="0" w:space="0" w:color="auto"/>
          </w:divBdr>
        </w:div>
        <w:div w:id="1632788480">
          <w:marLeft w:val="0"/>
          <w:marRight w:val="0"/>
          <w:marTop w:val="0"/>
          <w:marBottom w:val="0"/>
          <w:divBdr>
            <w:top w:val="none" w:sz="0" w:space="0" w:color="auto"/>
            <w:left w:val="none" w:sz="0" w:space="0" w:color="auto"/>
            <w:bottom w:val="none" w:sz="0" w:space="0" w:color="auto"/>
            <w:right w:val="none" w:sz="0" w:space="0" w:color="auto"/>
          </w:divBdr>
        </w:div>
      </w:divsChild>
    </w:div>
    <w:div w:id="694697603">
      <w:bodyDiv w:val="1"/>
      <w:marLeft w:val="0"/>
      <w:marRight w:val="0"/>
      <w:marTop w:val="0"/>
      <w:marBottom w:val="0"/>
      <w:divBdr>
        <w:top w:val="none" w:sz="0" w:space="0" w:color="auto"/>
        <w:left w:val="none" w:sz="0" w:space="0" w:color="auto"/>
        <w:bottom w:val="none" w:sz="0" w:space="0" w:color="auto"/>
        <w:right w:val="none" w:sz="0" w:space="0" w:color="auto"/>
      </w:divBdr>
    </w:div>
    <w:div w:id="1510021423">
      <w:bodyDiv w:val="1"/>
      <w:marLeft w:val="125"/>
      <w:marRight w:val="125"/>
      <w:marTop w:val="125"/>
      <w:marBottom w:val="125"/>
      <w:divBdr>
        <w:top w:val="none" w:sz="0" w:space="0" w:color="auto"/>
        <w:left w:val="none" w:sz="0" w:space="0" w:color="auto"/>
        <w:bottom w:val="none" w:sz="0" w:space="0" w:color="auto"/>
        <w:right w:val="none" w:sz="0" w:space="0" w:color="auto"/>
      </w:divBdr>
      <w:divsChild>
        <w:div w:id="741753800">
          <w:marLeft w:val="0"/>
          <w:marRight w:val="0"/>
          <w:marTop w:val="0"/>
          <w:marBottom w:val="0"/>
          <w:divBdr>
            <w:top w:val="none" w:sz="0" w:space="0" w:color="auto"/>
            <w:left w:val="none" w:sz="0" w:space="0" w:color="auto"/>
            <w:bottom w:val="none" w:sz="0" w:space="0" w:color="auto"/>
            <w:right w:val="none" w:sz="0" w:space="0" w:color="auto"/>
          </w:divBdr>
        </w:div>
        <w:div w:id="894313632">
          <w:marLeft w:val="0"/>
          <w:marRight w:val="0"/>
          <w:marTop w:val="0"/>
          <w:marBottom w:val="0"/>
          <w:divBdr>
            <w:top w:val="none" w:sz="0" w:space="0" w:color="auto"/>
            <w:left w:val="none" w:sz="0" w:space="0" w:color="auto"/>
            <w:bottom w:val="none" w:sz="0" w:space="0" w:color="auto"/>
            <w:right w:val="none" w:sz="0" w:space="0" w:color="auto"/>
          </w:divBdr>
        </w:div>
      </w:divsChild>
    </w:div>
    <w:div w:id="159983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39D119-F56A-4A1C-A459-E8200822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21767</Words>
  <Characters>124074</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IJCSES 2019 </vt:lpstr>
    </vt:vector>
  </TitlesOfParts>
  <Company/>
  <LinksUpToDate>false</LinksUpToDate>
  <CharactersWithSpaces>145550</CharactersWithSpaces>
  <SharedDoc>false</SharedDoc>
  <HLinks>
    <vt:vector size="18" baseType="variant">
      <vt:variant>
        <vt:i4>917586</vt:i4>
      </vt:variant>
      <vt:variant>
        <vt:i4>3</vt:i4>
      </vt:variant>
      <vt:variant>
        <vt:i4>0</vt:i4>
      </vt:variant>
      <vt:variant>
        <vt:i4>5</vt:i4>
      </vt:variant>
      <vt:variant>
        <vt:lpwstr>http://www.iceis.org/iceis2005/abstracts_2005.htm</vt:lpwstr>
      </vt:variant>
      <vt:variant>
        <vt:lpwstr/>
      </vt:variant>
      <vt:variant>
        <vt:i4>7929971</vt:i4>
      </vt:variant>
      <vt:variant>
        <vt:i4>21018</vt:i4>
      </vt:variant>
      <vt:variant>
        <vt:i4>1025</vt:i4>
      </vt:variant>
      <vt:variant>
        <vt:i4>1</vt:i4>
      </vt:variant>
      <vt:variant>
        <vt:lpwstr>figure</vt:lpwstr>
      </vt:variant>
      <vt:variant>
        <vt:lpwstr/>
      </vt:variant>
      <vt:variant>
        <vt:i4>7929971</vt:i4>
      </vt:variant>
      <vt:variant>
        <vt:i4>28584</vt:i4>
      </vt:variant>
      <vt:variant>
        <vt:i4>1027</vt:i4>
      </vt:variant>
      <vt:variant>
        <vt:i4>1</vt:i4>
      </vt:variant>
      <vt:variant>
        <vt:lpwstr>figure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IJCSES 2019 </dc:title>
  <dc:subject>for the working group</dc:subject>
  <dc:creator/>
  <cp:keywords/>
  <cp:lastModifiedBy/>
  <cp:revision>1</cp:revision>
  <dcterms:created xsi:type="dcterms:W3CDTF">2019-01-17T12:26:00Z</dcterms:created>
  <dcterms:modified xsi:type="dcterms:W3CDTF">2019-02-11T13:01:00Z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yerkhan@gmail.com@www.mendeley.com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