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5D35F" w14:textId="0C35F82E" w:rsidR="00BB7A33" w:rsidRPr="00732FAA" w:rsidRDefault="00B847D9" w:rsidP="00A977EF">
      <w:pPr>
        <w:pStyle w:val="PlainText"/>
        <w:rPr>
          <w:b/>
          <w:bCs/>
          <w:sz w:val="28"/>
          <w:szCs w:val="28"/>
        </w:rPr>
      </w:pPr>
      <w:r w:rsidRPr="00732FAA">
        <w:rPr>
          <w:b/>
          <w:bCs/>
          <w:sz w:val="28"/>
          <w:szCs w:val="28"/>
        </w:rPr>
        <w:t>A multicentre,</w:t>
      </w:r>
      <w:r w:rsidR="00BE6F25" w:rsidRPr="00732FAA">
        <w:rPr>
          <w:b/>
          <w:bCs/>
          <w:sz w:val="28"/>
          <w:szCs w:val="28"/>
        </w:rPr>
        <w:t xml:space="preserve"> </w:t>
      </w:r>
      <w:r w:rsidR="00F53A04" w:rsidRPr="00732FAA">
        <w:rPr>
          <w:b/>
          <w:bCs/>
          <w:sz w:val="28"/>
          <w:szCs w:val="28"/>
        </w:rPr>
        <w:t xml:space="preserve">randomised controlled trial of </w:t>
      </w:r>
      <w:r w:rsidR="00C7579C" w:rsidRPr="00732FAA">
        <w:rPr>
          <w:b/>
          <w:bCs/>
          <w:sz w:val="28"/>
          <w:szCs w:val="28"/>
        </w:rPr>
        <w:t xml:space="preserve">PDSAFE, </w:t>
      </w:r>
      <w:r w:rsidR="00F53A04" w:rsidRPr="00732FAA">
        <w:rPr>
          <w:b/>
          <w:bCs/>
          <w:sz w:val="28"/>
          <w:szCs w:val="28"/>
        </w:rPr>
        <w:t>a physiotherapist-delivered fall prevention programme</w:t>
      </w:r>
      <w:r w:rsidR="00037E5E" w:rsidRPr="00732FAA">
        <w:rPr>
          <w:b/>
          <w:bCs/>
          <w:sz w:val="28"/>
          <w:szCs w:val="28"/>
        </w:rPr>
        <w:t xml:space="preserve"> for people with Parkinson’s  </w:t>
      </w:r>
    </w:p>
    <w:p w14:paraId="6DB78AF1" w14:textId="77777777" w:rsidR="00295824" w:rsidRPr="00732FAA" w:rsidRDefault="00295824" w:rsidP="00295824">
      <w:pPr>
        <w:rPr>
          <w:sz w:val="24"/>
          <w:szCs w:val="24"/>
        </w:rPr>
      </w:pPr>
    </w:p>
    <w:p w14:paraId="355A38DC" w14:textId="2D26B4D3" w:rsidR="00295824" w:rsidRPr="00295824" w:rsidRDefault="00295824" w:rsidP="00295824">
      <w:r w:rsidRPr="00295824">
        <w:t>Kim Chivers Seymour</w:t>
      </w:r>
      <w:r w:rsidRPr="00295824">
        <w:rPr>
          <w:vertAlign w:val="superscript"/>
        </w:rPr>
        <w:t xml:space="preserve">1 </w:t>
      </w:r>
      <w:r w:rsidRPr="00295824">
        <w:t>(Trial Manager/Senior Research Fellow), Ruth Pickering</w:t>
      </w:r>
      <w:r w:rsidRPr="00295824">
        <w:rPr>
          <w:vertAlign w:val="superscript"/>
        </w:rPr>
        <w:t>2</w:t>
      </w:r>
      <w:r w:rsidRPr="00295824">
        <w:t xml:space="preserve"> (Professor Medical Statistics), Lynn Rochester</w:t>
      </w:r>
      <w:r w:rsidRPr="00295824">
        <w:rPr>
          <w:vertAlign w:val="superscript"/>
        </w:rPr>
        <w:t>3</w:t>
      </w:r>
      <w:r w:rsidRPr="00295824">
        <w:t xml:space="preserve"> (Professor of Human Movement Science and Director of Clinical Ageing </w:t>
      </w:r>
      <w:r w:rsidRPr="00732FAA">
        <w:t>Research Unit), Helen C Roberts</w:t>
      </w:r>
      <w:r w:rsidRPr="00732FAA">
        <w:rPr>
          <w:vertAlign w:val="superscript"/>
        </w:rPr>
        <w:t>2</w:t>
      </w:r>
      <w:r w:rsidRPr="00732FAA">
        <w:t xml:space="preserve"> (Professor of Medicine for Older People), Claire Ballinger</w:t>
      </w:r>
      <w:r w:rsidRPr="00732FAA">
        <w:rPr>
          <w:vertAlign w:val="superscript"/>
        </w:rPr>
        <w:t>2</w:t>
      </w:r>
      <w:r w:rsidRPr="00732FAA">
        <w:t xml:space="preserve"> (Wessex </w:t>
      </w:r>
      <w:r w:rsidRPr="00295824">
        <w:t>Public Involvement Network (PIN) Strategic Lead), Sophia Hulbert</w:t>
      </w:r>
      <w:r w:rsidRPr="00295824">
        <w:rPr>
          <w:vertAlign w:val="superscript"/>
        </w:rPr>
        <w:t>1</w:t>
      </w:r>
      <w:r w:rsidRPr="00295824">
        <w:t xml:space="preserve"> (Research Fellow), Dorit Kunkel</w:t>
      </w:r>
      <w:r w:rsidRPr="00295824">
        <w:rPr>
          <w:vertAlign w:val="superscript"/>
        </w:rPr>
        <w:t>1</w:t>
      </w:r>
      <w:r w:rsidRPr="00295824">
        <w:t xml:space="preserve"> (Senior Research Fellow), Ioana Mari</w:t>
      </w:r>
      <w:r w:rsidR="00E62E53">
        <w:t>a</w:t>
      </w:r>
      <w:r w:rsidRPr="00295824">
        <w:t>n</w:t>
      </w:r>
      <w:r w:rsidRPr="00295824">
        <w:rPr>
          <w:vertAlign w:val="superscript"/>
        </w:rPr>
        <w:t>2</w:t>
      </w:r>
      <w:r w:rsidRPr="00295824">
        <w:t xml:space="preserve"> (Statistician), Carolyn Fitton</w:t>
      </w:r>
      <w:r w:rsidRPr="00295824">
        <w:rPr>
          <w:vertAlign w:val="superscript"/>
        </w:rPr>
        <w:t>1</w:t>
      </w:r>
      <w:r w:rsidRPr="00295824">
        <w:t xml:space="preserve"> (Research Fellow), Emma McIntosh</w:t>
      </w:r>
      <w:r w:rsidRPr="00295824">
        <w:rPr>
          <w:vertAlign w:val="superscript"/>
        </w:rPr>
        <w:t>4</w:t>
      </w:r>
      <w:r w:rsidRPr="00295824">
        <w:t xml:space="preserve"> (Professor of Health Economics), Victoria A Goodwin</w:t>
      </w:r>
      <w:r w:rsidRPr="00295824">
        <w:rPr>
          <w:vertAlign w:val="superscript"/>
        </w:rPr>
        <w:t>5</w:t>
      </w:r>
      <w:r w:rsidRPr="00295824">
        <w:t xml:space="preserve"> (Associate Professor of Ageing and Rehabilitation), Alice Nieuwboer</w:t>
      </w:r>
      <w:r w:rsidRPr="00295824">
        <w:rPr>
          <w:vertAlign w:val="superscript"/>
        </w:rPr>
        <w:t>6</w:t>
      </w:r>
      <w:r w:rsidRPr="00295824">
        <w:t xml:space="preserve"> (Professor of Rehabilitation Sciences), Sarah E Lamb</w:t>
      </w:r>
      <w:r w:rsidRPr="00295824">
        <w:rPr>
          <w:vertAlign w:val="superscript"/>
        </w:rPr>
        <w:t>7</w:t>
      </w:r>
      <w:r w:rsidRPr="00295824">
        <w:t xml:space="preserve"> (Director of Oxford Clinical Trials Research Unit), and Ann Ashburn*</w:t>
      </w:r>
      <w:r w:rsidRPr="00295824">
        <w:rPr>
          <w:vertAlign w:val="superscript"/>
        </w:rPr>
        <w:t>1</w:t>
      </w:r>
      <w:r w:rsidRPr="00295824">
        <w:t xml:space="preserve"> (Professor of Rehabilitation). </w:t>
      </w:r>
    </w:p>
    <w:p w14:paraId="61442CC2" w14:textId="77777777" w:rsidR="00295824" w:rsidRPr="00295824" w:rsidRDefault="00295824" w:rsidP="00295824"/>
    <w:p w14:paraId="0F75EA58" w14:textId="77777777" w:rsidR="00295824" w:rsidRPr="00295824" w:rsidRDefault="00295824" w:rsidP="00295824">
      <w:pPr>
        <w:spacing w:after="0" w:line="240" w:lineRule="auto"/>
        <w:rPr>
          <w:szCs w:val="24"/>
        </w:rPr>
      </w:pPr>
      <w:r w:rsidRPr="00295824">
        <w:rPr>
          <w:szCs w:val="24"/>
        </w:rPr>
        <w:t>* Corresponding author - ann@soton.ac.uk / Professor Ashburn/ 023 8120 6469</w:t>
      </w:r>
    </w:p>
    <w:p w14:paraId="39ABD99B" w14:textId="77777777" w:rsidR="00295824" w:rsidRPr="00295824" w:rsidRDefault="00295824" w:rsidP="00295824">
      <w:pPr>
        <w:spacing w:after="0"/>
        <w:rPr>
          <w:szCs w:val="24"/>
        </w:rPr>
      </w:pPr>
      <w:r w:rsidRPr="00295824">
        <w:rPr>
          <w:szCs w:val="24"/>
          <w:vertAlign w:val="superscript"/>
        </w:rPr>
        <w:t xml:space="preserve">1 </w:t>
      </w:r>
      <w:r w:rsidRPr="00295824">
        <w:rPr>
          <w:szCs w:val="24"/>
        </w:rPr>
        <w:t>Faculty of Health Science, University of Southampton, Southampton UK</w:t>
      </w:r>
    </w:p>
    <w:p w14:paraId="10C7EC86" w14:textId="77777777" w:rsidR="00295824" w:rsidRPr="00295824" w:rsidRDefault="00295824" w:rsidP="00295824">
      <w:pPr>
        <w:spacing w:after="0"/>
        <w:rPr>
          <w:szCs w:val="24"/>
        </w:rPr>
      </w:pPr>
      <w:r w:rsidRPr="00295824">
        <w:rPr>
          <w:szCs w:val="24"/>
          <w:vertAlign w:val="superscript"/>
        </w:rPr>
        <w:t>2</w:t>
      </w:r>
      <w:r w:rsidRPr="00295824">
        <w:rPr>
          <w:szCs w:val="24"/>
        </w:rPr>
        <w:t xml:space="preserve"> Faculty of Medicine, University of Southampton, Southampton, UK</w:t>
      </w:r>
    </w:p>
    <w:p w14:paraId="60C982A8" w14:textId="77777777" w:rsidR="00295824" w:rsidRPr="00295824" w:rsidRDefault="00295824" w:rsidP="00295824">
      <w:pPr>
        <w:spacing w:after="0"/>
        <w:rPr>
          <w:szCs w:val="24"/>
        </w:rPr>
      </w:pPr>
      <w:r w:rsidRPr="00295824">
        <w:rPr>
          <w:szCs w:val="24"/>
          <w:vertAlign w:val="superscript"/>
        </w:rPr>
        <w:t>3</w:t>
      </w:r>
      <w:r w:rsidRPr="00295824">
        <w:rPr>
          <w:szCs w:val="24"/>
        </w:rPr>
        <w:t xml:space="preserve"> Institute of Neuroscience, Newcastle University, </w:t>
      </w:r>
      <w:r w:rsidRPr="00295824">
        <w:rPr>
          <w:rFonts w:cs="Helvetica"/>
          <w:szCs w:val="24"/>
        </w:rPr>
        <w:t>Newcastle upon Tyne, NE4 5PL, UK</w:t>
      </w:r>
      <w:r w:rsidRPr="00295824">
        <w:rPr>
          <w:szCs w:val="24"/>
        </w:rPr>
        <w:t xml:space="preserve"> </w:t>
      </w:r>
    </w:p>
    <w:p w14:paraId="2DA646CB" w14:textId="77777777" w:rsidR="00295824" w:rsidRPr="00295824" w:rsidRDefault="00295824" w:rsidP="00295824">
      <w:pPr>
        <w:spacing w:after="0"/>
        <w:rPr>
          <w:szCs w:val="24"/>
        </w:rPr>
      </w:pPr>
      <w:r w:rsidRPr="00295824">
        <w:rPr>
          <w:szCs w:val="24"/>
          <w:vertAlign w:val="superscript"/>
        </w:rPr>
        <w:t>4</w:t>
      </w:r>
      <w:r w:rsidRPr="00295824">
        <w:rPr>
          <w:szCs w:val="24"/>
        </w:rPr>
        <w:t xml:space="preserve"> Health Economics and Health Technology Assessment, Institute of Health &amp; Wellbeing, University of </w:t>
      </w:r>
      <w:r w:rsidRPr="00295824">
        <w:rPr>
          <w:color w:val="222222"/>
          <w:szCs w:val="24"/>
        </w:rPr>
        <w:t>Glasgow, Glasgow</w:t>
      </w:r>
      <w:r w:rsidRPr="00295824">
        <w:rPr>
          <w:rFonts w:cs="Helvetica"/>
          <w:color w:val="222222"/>
          <w:szCs w:val="24"/>
        </w:rPr>
        <w:t>, G12 8RZ, UK</w:t>
      </w:r>
    </w:p>
    <w:p w14:paraId="5EF69277" w14:textId="562A9FA7" w:rsidR="00295824" w:rsidRPr="00295824" w:rsidRDefault="00295824" w:rsidP="00295824">
      <w:pPr>
        <w:spacing w:after="0"/>
        <w:rPr>
          <w:szCs w:val="24"/>
        </w:rPr>
      </w:pPr>
      <w:r w:rsidRPr="00295824">
        <w:rPr>
          <w:szCs w:val="24"/>
          <w:vertAlign w:val="superscript"/>
        </w:rPr>
        <w:t>5</w:t>
      </w:r>
      <w:r w:rsidRPr="00295824">
        <w:rPr>
          <w:szCs w:val="24"/>
        </w:rPr>
        <w:t xml:space="preserve"> </w:t>
      </w:r>
      <w:r w:rsidR="00D82E87" w:rsidRPr="00732FAA">
        <w:rPr>
          <w:szCs w:val="24"/>
        </w:rPr>
        <w:t>College of Medicine and Health</w:t>
      </w:r>
      <w:r w:rsidRPr="00295824">
        <w:rPr>
          <w:szCs w:val="24"/>
        </w:rPr>
        <w:t xml:space="preserve">, University of Exeter, Exeter, </w:t>
      </w:r>
      <w:r w:rsidRPr="00295824">
        <w:rPr>
          <w:rFonts w:cs="Helvetica"/>
          <w:color w:val="333333"/>
          <w:szCs w:val="24"/>
        </w:rPr>
        <w:t>EX1 2LU UK</w:t>
      </w:r>
      <w:r w:rsidRPr="00295824">
        <w:rPr>
          <w:szCs w:val="24"/>
        </w:rPr>
        <w:t xml:space="preserve"> </w:t>
      </w:r>
    </w:p>
    <w:p w14:paraId="345DCC54" w14:textId="77777777" w:rsidR="00295824" w:rsidRPr="00295824" w:rsidRDefault="00295824" w:rsidP="00295824">
      <w:pPr>
        <w:spacing w:after="0"/>
        <w:rPr>
          <w:szCs w:val="24"/>
        </w:rPr>
      </w:pPr>
      <w:r w:rsidRPr="00295824">
        <w:rPr>
          <w:szCs w:val="24"/>
          <w:vertAlign w:val="superscript"/>
        </w:rPr>
        <w:t>6</w:t>
      </w:r>
      <w:r w:rsidRPr="00295824">
        <w:rPr>
          <w:szCs w:val="24"/>
        </w:rPr>
        <w:t xml:space="preserve"> Department of Rehabilitation Sciences, KU Leuven, 3001 Leuven, Belgium</w:t>
      </w:r>
    </w:p>
    <w:p w14:paraId="0D7477FA" w14:textId="77777777" w:rsidR="00295824" w:rsidRDefault="00295824" w:rsidP="00295824">
      <w:pPr>
        <w:spacing w:after="0"/>
        <w:rPr>
          <w:szCs w:val="24"/>
        </w:rPr>
      </w:pPr>
      <w:r w:rsidRPr="00295824">
        <w:rPr>
          <w:szCs w:val="24"/>
          <w:vertAlign w:val="superscript"/>
        </w:rPr>
        <w:t>7</w:t>
      </w:r>
      <w:r w:rsidRPr="00295824">
        <w:rPr>
          <w:szCs w:val="24"/>
        </w:rPr>
        <w:t xml:space="preserve"> Oxford Clinical Trials Research Unit, University of Oxford Medical Sciences Division,</w:t>
      </w:r>
      <w:r w:rsidRPr="00295824">
        <w:rPr>
          <w:szCs w:val="24"/>
          <w:vertAlign w:val="superscript"/>
        </w:rPr>
        <w:t xml:space="preserve"> </w:t>
      </w:r>
      <w:r w:rsidRPr="00295824">
        <w:rPr>
          <w:szCs w:val="24"/>
        </w:rPr>
        <w:t>Oxford, OX3 7LD, UK</w:t>
      </w:r>
    </w:p>
    <w:p w14:paraId="781C25CD" w14:textId="77777777" w:rsidR="004860F4" w:rsidRDefault="004860F4" w:rsidP="00295824">
      <w:pPr>
        <w:spacing w:after="0"/>
        <w:rPr>
          <w:szCs w:val="24"/>
        </w:rPr>
      </w:pPr>
    </w:p>
    <w:p w14:paraId="6AE32374" w14:textId="77777777" w:rsidR="004860F4" w:rsidRDefault="004860F4" w:rsidP="00295824">
      <w:pPr>
        <w:spacing w:after="0"/>
        <w:rPr>
          <w:szCs w:val="24"/>
        </w:rPr>
      </w:pPr>
    </w:p>
    <w:p w14:paraId="26D40E41" w14:textId="77777777" w:rsidR="004860F4" w:rsidRDefault="004860F4" w:rsidP="00295824">
      <w:pPr>
        <w:spacing w:after="0"/>
        <w:rPr>
          <w:szCs w:val="24"/>
        </w:rPr>
      </w:pPr>
    </w:p>
    <w:p w14:paraId="3033A9DB" w14:textId="2106CEE5" w:rsidR="004860F4" w:rsidRDefault="00DD3F09" w:rsidP="00295824">
      <w:pPr>
        <w:spacing w:after="0"/>
        <w:rPr>
          <w:szCs w:val="24"/>
        </w:rPr>
      </w:pPr>
      <w:r>
        <w:rPr>
          <w:szCs w:val="24"/>
        </w:rPr>
        <w:t>References 41</w:t>
      </w:r>
    </w:p>
    <w:p w14:paraId="49081305" w14:textId="62F5D9E6" w:rsidR="004860F4" w:rsidRPr="00295824" w:rsidRDefault="004860F4" w:rsidP="00295824">
      <w:pPr>
        <w:spacing w:after="0"/>
        <w:rPr>
          <w:szCs w:val="24"/>
        </w:rPr>
      </w:pPr>
      <w:r>
        <w:rPr>
          <w:szCs w:val="24"/>
        </w:rPr>
        <w:t>Word count Intro</w:t>
      </w:r>
      <w:r w:rsidR="00AA4059">
        <w:rPr>
          <w:szCs w:val="24"/>
        </w:rPr>
        <w:t>duction</w:t>
      </w:r>
      <w:r>
        <w:rPr>
          <w:szCs w:val="24"/>
        </w:rPr>
        <w:t xml:space="preserve"> to conclusion </w:t>
      </w:r>
      <w:r w:rsidR="00AA4059">
        <w:rPr>
          <w:szCs w:val="24"/>
        </w:rPr>
        <w:t>–</w:t>
      </w:r>
      <w:r>
        <w:rPr>
          <w:szCs w:val="24"/>
        </w:rPr>
        <w:t xml:space="preserve"> </w:t>
      </w:r>
      <w:r w:rsidR="00AA4059">
        <w:rPr>
          <w:szCs w:val="24"/>
        </w:rPr>
        <w:t>4</w:t>
      </w:r>
      <w:r w:rsidR="00DD3F09">
        <w:rPr>
          <w:szCs w:val="24"/>
        </w:rPr>
        <w:t>325</w:t>
      </w:r>
      <w:r w:rsidR="00AA4059">
        <w:rPr>
          <w:szCs w:val="24"/>
        </w:rPr>
        <w:t xml:space="preserve"> words</w:t>
      </w:r>
    </w:p>
    <w:p w14:paraId="482B73E8" w14:textId="3114C298" w:rsidR="00295824" w:rsidRPr="00295824" w:rsidRDefault="004860F4" w:rsidP="00295824">
      <w:r>
        <w:t>Abstract</w:t>
      </w:r>
      <w:r w:rsidR="00AA4059">
        <w:t xml:space="preserve"> -252 words</w:t>
      </w:r>
    </w:p>
    <w:p w14:paraId="1906DA3A" w14:textId="41F4C2E9" w:rsidR="00295824" w:rsidRPr="004860F4" w:rsidRDefault="00295824" w:rsidP="00295824">
      <w:pPr>
        <w:rPr>
          <w:b/>
          <w:color w:val="FF0000"/>
          <w:sz w:val="28"/>
          <w:szCs w:val="28"/>
        </w:rPr>
      </w:pPr>
      <w:r w:rsidRPr="007D179A">
        <w:rPr>
          <w:b/>
          <w:color w:val="FF0000"/>
          <w:sz w:val="28"/>
          <w:szCs w:val="28"/>
        </w:rPr>
        <w:br w:type="page"/>
      </w:r>
      <w:r w:rsidRPr="00295824">
        <w:rPr>
          <w:b/>
          <w:sz w:val="24"/>
          <w:szCs w:val="24"/>
        </w:rPr>
        <w:lastRenderedPageBreak/>
        <w:t xml:space="preserve">ABSTRACT  </w:t>
      </w:r>
    </w:p>
    <w:p w14:paraId="36EEADA0" w14:textId="24D27A64" w:rsidR="00295824" w:rsidRPr="00295824" w:rsidRDefault="00295824" w:rsidP="00295824">
      <w:pPr>
        <w:spacing w:line="360" w:lineRule="auto"/>
        <w:rPr>
          <w:rFonts w:cs="Times New Roman"/>
        </w:rPr>
      </w:pPr>
      <w:r w:rsidRPr="00295824">
        <w:rPr>
          <w:rFonts w:cs="Times New Roman"/>
          <w:b/>
        </w:rPr>
        <w:t>Objective</w:t>
      </w:r>
      <w:r w:rsidR="001B44DE">
        <w:rPr>
          <w:rFonts w:cs="Times New Roman"/>
        </w:rPr>
        <w:t xml:space="preserve">: </w:t>
      </w:r>
      <w:r w:rsidR="006809FC">
        <w:rPr>
          <w:rFonts w:cs="Times New Roman"/>
        </w:rPr>
        <w:t>To e</w:t>
      </w:r>
      <w:r w:rsidRPr="00295824">
        <w:rPr>
          <w:rFonts w:cs="Times New Roman"/>
        </w:rPr>
        <w:t>stim</w:t>
      </w:r>
      <w:r w:rsidR="001B44DE">
        <w:rPr>
          <w:rFonts w:cs="Times New Roman"/>
        </w:rPr>
        <w:t xml:space="preserve">ate the effect of a </w:t>
      </w:r>
      <w:r w:rsidR="001B44DE" w:rsidRPr="00732FAA">
        <w:rPr>
          <w:rFonts w:cs="Times New Roman"/>
        </w:rPr>
        <w:t>physiotherapist-delivered fall</w:t>
      </w:r>
      <w:r w:rsidR="003F5151" w:rsidRPr="00732FAA">
        <w:rPr>
          <w:rFonts w:cs="Times New Roman"/>
        </w:rPr>
        <w:t>-</w:t>
      </w:r>
      <w:r w:rsidR="001B44DE" w:rsidRPr="00732FAA">
        <w:rPr>
          <w:rFonts w:cs="Times New Roman"/>
        </w:rPr>
        <w:t>prevention progra</w:t>
      </w:r>
      <w:r w:rsidRPr="00732FAA">
        <w:rPr>
          <w:rFonts w:cs="Times New Roman"/>
        </w:rPr>
        <w:t xml:space="preserve">mme for </w:t>
      </w:r>
      <w:r w:rsidRPr="00295824">
        <w:rPr>
          <w:rFonts w:cs="Times New Roman"/>
        </w:rPr>
        <w:t>people with Parkinson’s</w:t>
      </w:r>
      <w:r w:rsidR="001B44DE">
        <w:rPr>
          <w:rFonts w:cs="Times New Roman"/>
        </w:rPr>
        <w:t xml:space="preserve"> (PwP)</w:t>
      </w:r>
      <w:r w:rsidRPr="00295824">
        <w:rPr>
          <w:rFonts w:cs="Times New Roman"/>
        </w:rPr>
        <w:t xml:space="preserve">. </w:t>
      </w:r>
    </w:p>
    <w:p w14:paraId="28B58885" w14:textId="14575681" w:rsidR="00295824" w:rsidRPr="00295824" w:rsidRDefault="004860F4" w:rsidP="00295824">
      <w:pPr>
        <w:spacing w:line="360" w:lineRule="auto"/>
        <w:rPr>
          <w:rFonts w:cs="Times New Roman"/>
        </w:rPr>
      </w:pPr>
      <w:r>
        <w:rPr>
          <w:rFonts w:cs="Times New Roman"/>
          <w:b/>
        </w:rPr>
        <w:t>Methods</w:t>
      </w:r>
      <w:r w:rsidR="00295824" w:rsidRPr="00295824">
        <w:rPr>
          <w:rFonts w:cs="Times New Roman"/>
          <w:b/>
        </w:rPr>
        <w:t>:</w:t>
      </w:r>
      <w:r w:rsidR="00295824" w:rsidRPr="00295824">
        <w:rPr>
          <w:rFonts w:cs="Times New Roman"/>
        </w:rPr>
        <w:t xml:space="preserve"> </w:t>
      </w:r>
      <w:r w:rsidR="006809FC">
        <w:rPr>
          <w:rFonts w:cs="Times New Roman"/>
        </w:rPr>
        <w:t>People at risk of falls with confirmed Parkinson’s were recruited to this m</w:t>
      </w:r>
      <w:r w:rsidR="00295824" w:rsidRPr="00295824">
        <w:rPr>
          <w:rFonts w:cs="Times New Roman"/>
        </w:rPr>
        <w:t xml:space="preserve">ulti-centre, pragmatic, investigator </w:t>
      </w:r>
      <w:r w:rsidR="000B165B">
        <w:rPr>
          <w:rFonts w:cs="Times New Roman"/>
        </w:rPr>
        <w:t>blind</w:t>
      </w:r>
      <w:r w:rsidR="00295824" w:rsidRPr="00295824">
        <w:rPr>
          <w:rFonts w:cs="Times New Roman"/>
        </w:rPr>
        <w:t>, individually randomised controlled trial with pre-specified sub-group analyses</w:t>
      </w:r>
      <w:r w:rsidR="006809FC">
        <w:rPr>
          <w:rFonts w:cs="Times New Roman"/>
        </w:rPr>
        <w:t xml:space="preserve">. </w:t>
      </w:r>
      <w:r w:rsidR="00295824" w:rsidRPr="00295824">
        <w:rPr>
          <w:rFonts w:cs="Times New Roman"/>
        </w:rPr>
        <w:t xml:space="preserve">474 </w:t>
      </w:r>
      <w:r w:rsidR="001B44DE">
        <w:rPr>
          <w:rFonts w:cs="Times New Roman"/>
        </w:rPr>
        <w:t>PwP</w:t>
      </w:r>
      <w:r w:rsidR="00295824" w:rsidRPr="00295824">
        <w:rPr>
          <w:rFonts w:cs="Times New Roman"/>
        </w:rPr>
        <w:t xml:space="preserve"> (Hoehn and Yahr 1-4)</w:t>
      </w:r>
      <w:r w:rsidR="00AC540B">
        <w:rPr>
          <w:rFonts w:cs="Times New Roman"/>
        </w:rPr>
        <w:t xml:space="preserve"> were randomised</w:t>
      </w:r>
      <w:r w:rsidR="00295824" w:rsidRPr="00295824">
        <w:rPr>
          <w:rFonts w:cs="Times New Roman"/>
        </w:rPr>
        <w:t xml:space="preserve">: 238 </w:t>
      </w:r>
      <w:r w:rsidR="007D179A" w:rsidRPr="00732FAA">
        <w:rPr>
          <w:rFonts w:cs="Times New Roman"/>
        </w:rPr>
        <w:t xml:space="preserve">allocated </w:t>
      </w:r>
      <w:r w:rsidR="00295824" w:rsidRPr="00295824">
        <w:rPr>
          <w:rFonts w:cs="Times New Roman"/>
        </w:rPr>
        <w:t xml:space="preserve">to a physiotherapy programme and 236 to </w:t>
      </w:r>
      <w:r w:rsidR="008B2FB4">
        <w:rPr>
          <w:rFonts w:cs="Times New Roman"/>
        </w:rPr>
        <w:t>control</w:t>
      </w:r>
      <w:r w:rsidR="00295824" w:rsidRPr="00295824">
        <w:rPr>
          <w:rFonts w:cs="Times New Roman"/>
        </w:rPr>
        <w:t>.</w:t>
      </w:r>
      <w:r w:rsidR="006809FC">
        <w:rPr>
          <w:rFonts w:cs="Times New Roman"/>
        </w:rPr>
        <w:t xml:space="preserve"> All participants </w:t>
      </w:r>
      <w:r w:rsidR="001B44DE">
        <w:rPr>
          <w:rFonts w:cs="Times New Roman"/>
        </w:rPr>
        <w:t>had rou</w:t>
      </w:r>
      <w:r w:rsidR="00295824" w:rsidRPr="00295824">
        <w:rPr>
          <w:rFonts w:cs="Times New Roman"/>
        </w:rPr>
        <w:t xml:space="preserve">tine care; the </w:t>
      </w:r>
      <w:r w:rsidR="008B2FB4">
        <w:rPr>
          <w:rFonts w:cs="Times New Roman"/>
        </w:rPr>
        <w:t>control</w:t>
      </w:r>
      <w:r w:rsidR="00295824" w:rsidRPr="00295824">
        <w:rPr>
          <w:rFonts w:cs="Times New Roman"/>
        </w:rPr>
        <w:t xml:space="preserve"> group received </w:t>
      </w:r>
      <w:r w:rsidR="00295824" w:rsidRPr="00732FAA">
        <w:rPr>
          <w:rFonts w:cs="Times New Roman"/>
        </w:rPr>
        <w:t xml:space="preserve">a DVD </w:t>
      </w:r>
      <w:r w:rsidR="005F587A" w:rsidRPr="00732FAA">
        <w:rPr>
          <w:rFonts w:cs="Times New Roman"/>
        </w:rPr>
        <w:t>about</w:t>
      </w:r>
      <w:r w:rsidR="00295824" w:rsidRPr="00732FAA">
        <w:rPr>
          <w:rFonts w:cs="Times New Roman"/>
        </w:rPr>
        <w:t xml:space="preserve"> Parkinson’s </w:t>
      </w:r>
      <w:r w:rsidR="00295824" w:rsidRPr="00295824">
        <w:rPr>
          <w:rFonts w:cs="Times New Roman"/>
        </w:rPr>
        <w:t xml:space="preserve">and single advice session at trial completion. The intervention group </w:t>
      </w:r>
      <w:r w:rsidR="000C29B5" w:rsidRPr="00732FAA">
        <w:rPr>
          <w:rFonts w:cs="Times New Roman"/>
        </w:rPr>
        <w:t>(PDSAFE)</w:t>
      </w:r>
      <w:r w:rsidR="00E32434" w:rsidRPr="00732FAA">
        <w:rPr>
          <w:rFonts w:cs="Times New Roman"/>
        </w:rPr>
        <w:t xml:space="preserve"> </w:t>
      </w:r>
      <w:r w:rsidR="00295824" w:rsidRPr="00295824">
        <w:rPr>
          <w:rFonts w:cs="Times New Roman"/>
        </w:rPr>
        <w:t xml:space="preserve">had an individually tailored, progressive home-based fall-avoidance strategy training programme with balance and strengthening exercises.  </w:t>
      </w:r>
    </w:p>
    <w:p w14:paraId="57430DB0" w14:textId="13D33704" w:rsidR="00295824" w:rsidRPr="00295824" w:rsidRDefault="006809FC" w:rsidP="00295824">
      <w:pPr>
        <w:spacing w:line="360" w:lineRule="auto"/>
        <w:rPr>
          <w:rFonts w:cs="Times New Roman"/>
        </w:rPr>
      </w:pPr>
      <w:r>
        <w:rPr>
          <w:rFonts w:cs="Times New Roman"/>
        </w:rPr>
        <w:t>The p</w:t>
      </w:r>
      <w:r w:rsidR="00295824" w:rsidRPr="00295824">
        <w:rPr>
          <w:rFonts w:cs="Times New Roman"/>
        </w:rPr>
        <w:t>rimary ou</w:t>
      </w:r>
      <w:r w:rsidR="001B44DE">
        <w:rPr>
          <w:rFonts w:cs="Times New Roman"/>
        </w:rPr>
        <w:t xml:space="preserve">tcome was </w:t>
      </w:r>
      <w:r w:rsidR="00295824" w:rsidRPr="00295824">
        <w:rPr>
          <w:rFonts w:cs="Times New Roman"/>
        </w:rPr>
        <w:t>risk of repeat-falling</w:t>
      </w:r>
      <w:r w:rsidR="003F5151">
        <w:rPr>
          <w:rFonts w:cs="Times New Roman"/>
        </w:rPr>
        <w:t>, collected by self-report</w:t>
      </w:r>
      <w:r w:rsidR="00295824" w:rsidRPr="00295824">
        <w:rPr>
          <w:rFonts w:cs="Times New Roman"/>
        </w:rPr>
        <w:t xml:space="preserve"> monthly diaries</w:t>
      </w:r>
      <w:r w:rsidR="002A4D6F">
        <w:rPr>
          <w:rFonts w:cs="Times New Roman"/>
        </w:rPr>
        <w:t xml:space="preserve">, </w:t>
      </w:r>
      <w:r w:rsidR="00295824" w:rsidRPr="00295824">
        <w:rPr>
          <w:rFonts w:cs="Times New Roman"/>
        </w:rPr>
        <w:t xml:space="preserve">0 </w:t>
      </w:r>
      <w:r w:rsidR="002A4D6F">
        <w:rPr>
          <w:rFonts w:cs="Times New Roman"/>
        </w:rPr>
        <w:t>to</w:t>
      </w:r>
      <w:r w:rsidR="00295824" w:rsidRPr="00295824">
        <w:rPr>
          <w:rFonts w:cs="Times New Roman"/>
        </w:rPr>
        <w:t xml:space="preserve"> 6 months </w:t>
      </w:r>
      <w:r w:rsidR="003F5151">
        <w:rPr>
          <w:rFonts w:cs="Times New Roman"/>
        </w:rPr>
        <w:t>post-</w:t>
      </w:r>
      <w:r w:rsidR="00295824" w:rsidRPr="00295824">
        <w:rPr>
          <w:rFonts w:cs="Times New Roman"/>
        </w:rPr>
        <w:t>randomisation. Secondary outcomes included</w:t>
      </w:r>
      <w:r w:rsidR="00F53A04">
        <w:rPr>
          <w:rFonts w:cs="Times New Roman"/>
        </w:rPr>
        <w:t>,</w:t>
      </w:r>
      <w:r w:rsidR="00A62D2F">
        <w:rPr>
          <w:rFonts w:cs="Times New Roman"/>
        </w:rPr>
        <w:t xml:space="preserve"> </w:t>
      </w:r>
      <w:r w:rsidR="00295824" w:rsidRPr="00295824">
        <w:rPr>
          <w:rFonts w:cs="Times New Roman"/>
        </w:rPr>
        <w:t>Mini-BESTest for balance, chair stand test, Falls Efficacy, freezing of gait, health related quality of life</w:t>
      </w:r>
      <w:r w:rsidR="004B4EF9">
        <w:rPr>
          <w:rFonts w:cs="Times New Roman"/>
        </w:rPr>
        <w:t xml:space="preserve"> </w:t>
      </w:r>
      <w:r w:rsidR="007131E2" w:rsidRPr="00732FAA">
        <w:rPr>
          <w:rFonts w:cs="Times New Roman"/>
        </w:rPr>
        <w:t xml:space="preserve">(Euroqol EQ-5D), </w:t>
      </w:r>
      <w:r w:rsidR="00295824" w:rsidRPr="00295824">
        <w:rPr>
          <w:rFonts w:cs="Times New Roman"/>
        </w:rPr>
        <w:t>Geriatric Depression Scale</w:t>
      </w:r>
      <w:r w:rsidR="00F53A04">
        <w:rPr>
          <w:rFonts w:cs="Times New Roman"/>
        </w:rPr>
        <w:t xml:space="preserve">, </w:t>
      </w:r>
      <w:r w:rsidR="00295824" w:rsidRPr="00295824">
        <w:rPr>
          <w:rFonts w:cs="Times New Roman"/>
        </w:rPr>
        <w:t>Physical Activity Scale for the Elderly and Pa</w:t>
      </w:r>
      <w:r w:rsidR="00F53A04">
        <w:rPr>
          <w:rFonts w:cs="Times New Roman"/>
        </w:rPr>
        <w:t xml:space="preserve">rkinson’s disease Questionnaire, </w:t>
      </w:r>
      <w:r w:rsidR="00F53A04" w:rsidRPr="00295824">
        <w:t>fractures</w:t>
      </w:r>
      <w:r w:rsidR="00F53A04">
        <w:t xml:space="preserve"> and </w:t>
      </w:r>
      <w:r w:rsidR="00F53A04" w:rsidRPr="00295824">
        <w:t>rate of near</w:t>
      </w:r>
      <w:r w:rsidR="00F53A04">
        <w:t>-</w:t>
      </w:r>
      <w:r w:rsidR="00F53A04" w:rsidRPr="00295824">
        <w:t>falling</w:t>
      </w:r>
      <w:r w:rsidR="00F53A04">
        <w:rPr>
          <w:rFonts w:cs="Times New Roman"/>
        </w:rPr>
        <w:t>.</w:t>
      </w:r>
    </w:p>
    <w:p w14:paraId="4270FBB1" w14:textId="6AD803B8" w:rsidR="00295824" w:rsidRPr="00732FAA" w:rsidRDefault="00295824" w:rsidP="00295824">
      <w:pPr>
        <w:spacing w:line="360" w:lineRule="auto"/>
        <w:rPr>
          <w:rFonts w:cs="Times New Roman"/>
        </w:rPr>
      </w:pPr>
      <w:r w:rsidRPr="00295824">
        <w:rPr>
          <w:rFonts w:cs="Times New Roman"/>
          <w:b/>
        </w:rPr>
        <w:t>Results:</w:t>
      </w:r>
      <w:r w:rsidRPr="00295824">
        <w:rPr>
          <w:rFonts w:cs="Times New Roman"/>
        </w:rPr>
        <w:t xml:space="preserve"> Average age</w:t>
      </w:r>
      <w:r w:rsidR="002A4D6F">
        <w:rPr>
          <w:rFonts w:cs="Times New Roman"/>
        </w:rPr>
        <w:t>,</w:t>
      </w:r>
      <w:r w:rsidRPr="00295824">
        <w:rPr>
          <w:rFonts w:cs="Times New Roman"/>
        </w:rPr>
        <w:t xml:space="preserve"> 72 years and </w:t>
      </w:r>
      <w:r w:rsidRPr="00732FAA">
        <w:rPr>
          <w:rFonts w:cs="Times New Roman"/>
        </w:rPr>
        <w:t xml:space="preserve">266 (56%) </w:t>
      </w:r>
      <w:r w:rsidRPr="00295824">
        <w:rPr>
          <w:rFonts w:cs="Times New Roman"/>
        </w:rPr>
        <w:t xml:space="preserve">were men. By 6 months </w:t>
      </w:r>
      <w:r w:rsidRPr="00732FAA">
        <w:rPr>
          <w:rFonts w:cs="Times New Roman"/>
        </w:rPr>
        <w:t>116</w:t>
      </w:r>
      <w:r w:rsidR="007131E2" w:rsidRPr="00732FAA">
        <w:rPr>
          <w:rFonts w:cs="Times New Roman"/>
        </w:rPr>
        <w:t xml:space="preserve"> (55%)</w:t>
      </w:r>
      <w:r w:rsidRPr="00732FAA">
        <w:rPr>
          <w:rFonts w:cs="Times New Roman"/>
        </w:rPr>
        <w:t xml:space="preserve"> </w:t>
      </w:r>
      <w:r w:rsidR="007131E2">
        <w:rPr>
          <w:rFonts w:cs="Times New Roman"/>
        </w:rPr>
        <w:t>of</w:t>
      </w:r>
      <w:r w:rsidRPr="00295824">
        <w:rPr>
          <w:rFonts w:cs="Times New Roman"/>
        </w:rPr>
        <w:t xml:space="preserve"> the control group, and </w:t>
      </w:r>
      <w:r w:rsidRPr="00732FAA">
        <w:rPr>
          <w:rFonts w:cs="Times New Roman"/>
        </w:rPr>
        <w:t>1</w:t>
      </w:r>
      <w:r w:rsidR="007131E2" w:rsidRPr="00732FAA">
        <w:rPr>
          <w:rFonts w:cs="Times New Roman"/>
        </w:rPr>
        <w:t>25 (61.5%) of</w:t>
      </w:r>
      <w:r w:rsidRPr="00295824">
        <w:rPr>
          <w:rFonts w:cs="Times New Roman"/>
        </w:rPr>
        <w:t xml:space="preserve"> the intervention group reported repeat falls (</w:t>
      </w:r>
      <w:r w:rsidR="000B165B">
        <w:rPr>
          <w:rFonts w:cs="Times New Roman"/>
        </w:rPr>
        <w:t xml:space="preserve">controlled </w:t>
      </w:r>
      <w:r w:rsidRPr="00295824">
        <w:rPr>
          <w:rFonts w:cs="Times New Roman"/>
        </w:rPr>
        <w:t>odds ratio 1.21, 95% confidence interval 0.74 to 1.98, P=0.447</w:t>
      </w:r>
      <w:r w:rsidRPr="00732FAA">
        <w:rPr>
          <w:rFonts w:cs="Times New Roman"/>
        </w:rPr>
        <w:t xml:space="preserve">).  Secondary sub-group analyses suggested </w:t>
      </w:r>
      <w:r w:rsidR="003F5151" w:rsidRPr="00732FAA">
        <w:rPr>
          <w:rFonts w:cs="Times New Roman"/>
        </w:rPr>
        <w:t>a</w:t>
      </w:r>
      <w:r w:rsidRPr="00732FAA">
        <w:rPr>
          <w:rFonts w:cs="Times New Roman"/>
        </w:rPr>
        <w:t xml:space="preserve"> di</w:t>
      </w:r>
      <w:r w:rsidR="008B2FB4" w:rsidRPr="00732FAA">
        <w:rPr>
          <w:rFonts w:cs="Times New Roman"/>
        </w:rPr>
        <w:t>fferent</w:t>
      </w:r>
      <w:r w:rsidRPr="00732FAA">
        <w:rPr>
          <w:rFonts w:cs="Times New Roman"/>
        </w:rPr>
        <w:t xml:space="preserve"> response to the intervention between moderate and severe disease severity groups. Balance, falls efficacy and chair stand time improved </w:t>
      </w:r>
      <w:r w:rsidR="003F5151" w:rsidRPr="00732FAA">
        <w:rPr>
          <w:rFonts w:cs="Times New Roman"/>
        </w:rPr>
        <w:t>with</w:t>
      </w:r>
      <w:r w:rsidRPr="00732FAA">
        <w:rPr>
          <w:rFonts w:cs="Times New Roman"/>
        </w:rPr>
        <w:t xml:space="preserve"> near-falls </w:t>
      </w:r>
      <w:r w:rsidR="007131E2" w:rsidRPr="00732FAA">
        <w:rPr>
          <w:rFonts w:cs="Times New Roman"/>
        </w:rPr>
        <w:t xml:space="preserve">reduced </w:t>
      </w:r>
      <w:r w:rsidRPr="00732FAA">
        <w:rPr>
          <w:rFonts w:cs="Times New Roman"/>
        </w:rPr>
        <w:t>in the intervention arm</w:t>
      </w:r>
      <w:r w:rsidR="00D64381" w:rsidRPr="00732FAA">
        <w:rPr>
          <w:rFonts w:cs="Times New Roman"/>
        </w:rPr>
        <w:t>.</w:t>
      </w:r>
    </w:p>
    <w:p w14:paraId="03749E94" w14:textId="7BAE7FC8" w:rsidR="00295824" w:rsidRPr="00732FAA" w:rsidRDefault="004860F4" w:rsidP="00295824">
      <w:pPr>
        <w:spacing w:line="360" w:lineRule="auto"/>
        <w:rPr>
          <w:rFonts w:cs="Times New Roman"/>
        </w:rPr>
      </w:pPr>
      <w:r>
        <w:rPr>
          <w:rFonts w:cs="Times New Roman"/>
          <w:b/>
        </w:rPr>
        <w:t>Conclusion</w:t>
      </w:r>
      <w:r w:rsidR="00295824" w:rsidRPr="00732FAA">
        <w:rPr>
          <w:rFonts w:cs="Times New Roman"/>
          <w:b/>
        </w:rPr>
        <w:t>:</w:t>
      </w:r>
      <w:r w:rsidR="00295824" w:rsidRPr="00732FAA">
        <w:t xml:space="preserve"> PDSAFE did not reduce </w:t>
      </w:r>
      <w:r w:rsidR="000B165B" w:rsidRPr="00732FAA">
        <w:t xml:space="preserve">falling </w:t>
      </w:r>
      <w:r w:rsidR="00295824" w:rsidRPr="00732FAA">
        <w:t xml:space="preserve">in </w:t>
      </w:r>
      <w:r w:rsidR="001B44DE" w:rsidRPr="00732FAA">
        <w:t>this</w:t>
      </w:r>
      <w:r w:rsidR="00295824" w:rsidRPr="00732FAA">
        <w:t xml:space="preserve"> </w:t>
      </w:r>
      <w:r w:rsidR="001B44DE" w:rsidRPr="00732FAA">
        <w:t xml:space="preserve">pragmatic trial of </w:t>
      </w:r>
      <w:r w:rsidR="00295824" w:rsidRPr="00732FAA">
        <w:t>PwP</w:t>
      </w:r>
      <w:r w:rsidR="008B2FB4" w:rsidRPr="00732FAA">
        <w:t xml:space="preserve">. </w:t>
      </w:r>
      <w:r w:rsidR="00295824" w:rsidRPr="00732FAA">
        <w:rPr>
          <w:rFonts w:cs="Times New Roman"/>
        </w:rPr>
        <w:t xml:space="preserve"> Other functional tasks improved and </w:t>
      </w:r>
      <w:r w:rsidR="005F587A" w:rsidRPr="00732FAA">
        <w:rPr>
          <w:rFonts w:cs="Times New Roman"/>
        </w:rPr>
        <w:t>re</w:t>
      </w:r>
      <w:r w:rsidR="003F5151" w:rsidRPr="00732FAA">
        <w:rPr>
          <w:rFonts w:cs="Times New Roman"/>
        </w:rPr>
        <w:t xml:space="preserve">duced fall rates were apparent </w:t>
      </w:r>
      <w:r w:rsidR="001B44DE" w:rsidRPr="00732FAA">
        <w:rPr>
          <w:rFonts w:cs="Times New Roman"/>
        </w:rPr>
        <w:t xml:space="preserve">among those </w:t>
      </w:r>
      <w:r w:rsidR="005F587A" w:rsidRPr="00732FAA">
        <w:rPr>
          <w:rFonts w:cs="Times New Roman"/>
        </w:rPr>
        <w:t>with moderate disease.</w:t>
      </w:r>
      <w:r w:rsidR="00295824" w:rsidRPr="00732FAA">
        <w:rPr>
          <w:rFonts w:cs="Times New Roman"/>
        </w:rPr>
        <w:t xml:space="preserve"> </w:t>
      </w:r>
    </w:p>
    <w:p w14:paraId="2BF44F1C" w14:textId="77777777" w:rsidR="00295824" w:rsidRPr="00295824" w:rsidRDefault="00295824" w:rsidP="00295824">
      <w:pPr>
        <w:spacing w:line="276" w:lineRule="auto"/>
      </w:pPr>
      <w:r w:rsidRPr="00295824">
        <w:rPr>
          <w:b/>
        </w:rPr>
        <w:t>Trial registration:</w:t>
      </w:r>
      <w:r w:rsidRPr="00295824">
        <w:t xml:space="preserve"> Trial registration reference is ISRCTN48152791.</w:t>
      </w:r>
    </w:p>
    <w:p w14:paraId="568BB99D" w14:textId="77777777" w:rsidR="00295824" w:rsidRPr="00295824" w:rsidRDefault="00295824" w:rsidP="00295824">
      <w:pPr>
        <w:rPr>
          <w:b/>
        </w:rPr>
      </w:pPr>
    </w:p>
    <w:p w14:paraId="495CB113" w14:textId="77777777" w:rsidR="00295824" w:rsidRPr="00295824" w:rsidRDefault="00295824" w:rsidP="00295824">
      <w:pPr>
        <w:rPr>
          <w:b/>
        </w:rPr>
      </w:pPr>
    </w:p>
    <w:p w14:paraId="3AC951F6" w14:textId="77777777" w:rsidR="003F5151" w:rsidRDefault="003F5151" w:rsidP="00295824">
      <w:pPr>
        <w:rPr>
          <w:b/>
          <w:sz w:val="24"/>
          <w:szCs w:val="24"/>
        </w:rPr>
      </w:pPr>
    </w:p>
    <w:p w14:paraId="1D3BE3A9" w14:textId="77777777" w:rsidR="00DD3F09" w:rsidRDefault="00DD3F09" w:rsidP="00295824">
      <w:pPr>
        <w:rPr>
          <w:b/>
          <w:sz w:val="24"/>
          <w:szCs w:val="24"/>
        </w:rPr>
      </w:pPr>
    </w:p>
    <w:p w14:paraId="1E5618E8" w14:textId="77777777" w:rsidR="00517D39" w:rsidRDefault="00517D39" w:rsidP="00295824">
      <w:pPr>
        <w:rPr>
          <w:b/>
          <w:sz w:val="24"/>
          <w:szCs w:val="24"/>
        </w:rPr>
      </w:pPr>
    </w:p>
    <w:p w14:paraId="68063E11" w14:textId="77777777" w:rsidR="00517D39" w:rsidRDefault="00517D39" w:rsidP="00295824">
      <w:pPr>
        <w:rPr>
          <w:b/>
          <w:sz w:val="24"/>
          <w:szCs w:val="24"/>
        </w:rPr>
      </w:pPr>
    </w:p>
    <w:p w14:paraId="5287FE72" w14:textId="77777777" w:rsidR="00517D39" w:rsidRDefault="00517D39" w:rsidP="00295824">
      <w:pPr>
        <w:rPr>
          <w:b/>
          <w:sz w:val="24"/>
          <w:szCs w:val="24"/>
        </w:rPr>
      </w:pPr>
    </w:p>
    <w:p w14:paraId="46394750" w14:textId="77777777" w:rsidR="00517D39" w:rsidRDefault="00517D39" w:rsidP="00295824">
      <w:pPr>
        <w:rPr>
          <w:b/>
          <w:sz w:val="24"/>
          <w:szCs w:val="24"/>
        </w:rPr>
      </w:pPr>
    </w:p>
    <w:p w14:paraId="25D130BA" w14:textId="77777777" w:rsidR="00263399" w:rsidRDefault="00263399" w:rsidP="00295824">
      <w:pPr>
        <w:rPr>
          <w:b/>
          <w:sz w:val="24"/>
          <w:szCs w:val="24"/>
        </w:rPr>
      </w:pPr>
    </w:p>
    <w:p w14:paraId="65470C56" w14:textId="77777777" w:rsidR="00263399" w:rsidRDefault="00263399" w:rsidP="00295824">
      <w:pPr>
        <w:rPr>
          <w:b/>
          <w:sz w:val="24"/>
          <w:szCs w:val="24"/>
        </w:rPr>
      </w:pPr>
    </w:p>
    <w:p w14:paraId="78072A0D" w14:textId="77777777" w:rsidR="00295824" w:rsidRPr="00295824" w:rsidRDefault="00295824" w:rsidP="00295824">
      <w:pPr>
        <w:rPr>
          <w:b/>
          <w:sz w:val="24"/>
          <w:szCs w:val="24"/>
        </w:rPr>
      </w:pPr>
      <w:r w:rsidRPr="00295824">
        <w:rPr>
          <w:b/>
          <w:sz w:val="24"/>
          <w:szCs w:val="24"/>
        </w:rPr>
        <w:lastRenderedPageBreak/>
        <w:t xml:space="preserve">INTRODUCTION </w:t>
      </w:r>
    </w:p>
    <w:p w14:paraId="3716A9F3" w14:textId="76E73EB2" w:rsidR="00517D39" w:rsidRDefault="00517D39" w:rsidP="00517D39">
      <w:pPr>
        <w:spacing w:line="360" w:lineRule="auto"/>
      </w:pPr>
      <w:r w:rsidRPr="00295824">
        <w:t>Parkinson’s disease is a progressive neurological condition that affects more than 10 million people worldwide</w:t>
      </w:r>
      <w:r>
        <w:t>; falls are common in this group. Prior to the start of the PDSAFE trial,</w:t>
      </w:r>
      <w:r w:rsidRPr="00295824">
        <w:t xml:space="preserve"> </w:t>
      </w:r>
      <w:r>
        <w:t>a meta-analysis of</w:t>
      </w:r>
      <w:r w:rsidRPr="00295824">
        <w:t xml:space="preserve"> fall </w:t>
      </w:r>
      <w:r>
        <w:t>reduction amo</w:t>
      </w:r>
      <w:r w:rsidRPr="00295824">
        <w:t>ng the general older populatio[1]</w:t>
      </w:r>
      <w:r>
        <w:t xml:space="preserve"> demonstrated a positive</w:t>
      </w:r>
      <w:r w:rsidRPr="00295824">
        <w:t xml:space="preserve"> exercise effect</w:t>
      </w:r>
      <w:r w:rsidRPr="00B222A9">
        <w:t xml:space="preserve"> </w:t>
      </w:r>
      <w:r>
        <w:t xml:space="preserve">but it was not until during PDSAFE that </w:t>
      </w:r>
      <w:r w:rsidRPr="00295824">
        <w:t xml:space="preserve">a meta-analysis </w:t>
      </w:r>
      <w:r>
        <w:t xml:space="preserve">of fall prevention among PwP </w:t>
      </w:r>
      <w:r w:rsidRPr="00295824">
        <w:t>was published</w:t>
      </w:r>
      <w:r>
        <w:t xml:space="preserve">[2]; findings were </w:t>
      </w:r>
      <w:r w:rsidRPr="00295824">
        <w:t>inconsistent</w:t>
      </w:r>
      <w:r>
        <w:t xml:space="preserve"> with</w:t>
      </w:r>
      <w:r w:rsidRPr="00295824">
        <w:t xml:space="preserve"> small overall effect sizes on fall rate ratios</w:t>
      </w:r>
      <w:r>
        <w:t xml:space="preserve"> and group-based training more favourable than home-based interventions[3-8</w:t>
      </w:r>
      <w:r w:rsidRPr="00295824">
        <w:t>]</w:t>
      </w:r>
      <w:r w:rsidRPr="00295824">
        <w:rPr>
          <w:b/>
        </w:rPr>
        <w:t>.</w:t>
      </w:r>
      <w:r w:rsidRPr="00295824">
        <w:t xml:space="preserve">  </w:t>
      </w:r>
    </w:p>
    <w:p w14:paraId="7B82A6A4" w14:textId="77777777" w:rsidR="00517D39" w:rsidRDefault="00517D39" w:rsidP="00517D39">
      <w:pPr>
        <w:spacing w:line="360" w:lineRule="auto"/>
      </w:pPr>
    </w:p>
    <w:p w14:paraId="5E3FD9D6" w14:textId="438CBAEC" w:rsidR="00517D39" w:rsidRDefault="00517D39" w:rsidP="00517D39">
      <w:pPr>
        <w:spacing w:line="360" w:lineRule="auto"/>
      </w:pPr>
      <w:r>
        <w:t>Falls are twice as common among PwP as the healthy aged</w:t>
      </w:r>
      <w:r w:rsidRPr="00295824">
        <w:t>[1,</w:t>
      </w:r>
      <w:r>
        <w:t xml:space="preserve"> 7-10</w:t>
      </w:r>
      <w:r w:rsidRPr="00295824">
        <w:t xml:space="preserve">]. Impairments of gait, including freezing of gait, cognition and loss of postural control are common risk factors for falling in </w:t>
      </w:r>
      <w:r>
        <w:t xml:space="preserve">this population, balance and falls </w:t>
      </w:r>
      <w:r w:rsidRPr="00295824">
        <w:t>are not easily remedied by medication[1</w:t>
      </w:r>
      <w:r>
        <w:t>1, 12</w:t>
      </w:r>
      <w:r w:rsidRPr="00295824">
        <w:t>]. The effects of falls in PwP can be profound including loss of mobility, poor function in activities of daily living, fracture</w:t>
      </w:r>
      <w:r>
        <w:t>s and</w:t>
      </w:r>
      <w:r w:rsidRPr="00295824">
        <w:t xml:space="preserve"> increased care needs[</w:t>
      </w:r>
      <w:r>
        <w:t>7</w:t>
      </w:r>
      <w:r w:rsidRPr="00295824">
        <w:t>-</w:t>
      </w:r>
      <w:r>
        <w:t>9</w:t>
      </w:r>
      <w:r w:rsidRPr="00295824">
        <w:t>, 1</w:t>
      </w:r>
      <w:r>
        <w:t>2-13]</w:t>
      </w:r>
      <w:r w:rsidRPr="00295824">
        <w:t xml:space="preserve"> as well as </w:t>
      </w:r>
      <w:r>
        <w:t xml:space="preserve">being </w:t>
      </w:r>
      <w:r w:rsidRPr="00295824">
        <w:t>costly to both individuals and health services[1</w:t>
      </w:r>
      <w:r>
        <w:t>4</w:t>
      </w:r>
      <w:r w:rsidRPr="00295824">
        <w:t>].</w:t>
      </w:r>
      <w:r>
        <w:t xml:space="preserve"> T</w:t>
      </w:r>
      <w:r w:rsidRPr="00295824">
        <w:t>here is some evidence that exercise may be useful for falls prevention in PwP</w:t>
      </w:r>
      <w:r>
        <w:t xml:space="preserve">[2]. However, trials </w:t>
      </w:r>
      <w:r w:rsidRPr="00295824">
        <w:t xml:space="preserve">conducted to date have usually been small, </w:t>
      </w:r>
      <w:r>
        <w:t>only 6 out of 25 trials in the meta-analysis recruited 100 or more participants. Most of the larger trials were negative[2] but there were differences in sub-group responses[</w:t>
      </w:r>
      <w:r w:rsidRPr="00295824">
        <w:t>6</w:t>
      </w:r>
      <w:r>
        <w:t xml:space="preserve"> ,7, 8]; b</w:t>
      </w:r>
      <w:r w:rsidRPr="00295824">
        <w:t xml:space="preserve">enefits </w:t>
      </w:r>
      <w:r>
        <w:t xml:space="preserve">were </w:t>
      </w:r>
      <w:r w:rsidRPr="00295824">
        <w:t>demonstrated in higher functioning groups, particularly in people who ha</w:t>
      </w:r>
      <w:r>
        <w:t xml:space="preserve">d </w:t>
      </w:r>
      <w:r w:rsidRPr="00295824">
        <w:t xml:space="preserve">sufficient function to enable them to travel to exercise venues and participate in group programmes[6]. Canning at el[6] recruited 231 PwP to an RCT and reported non-significant overall effect but significant interaction </w:t>
      </w:r>
      <w:r>
        <w:t>with</w:t>
      </w:r>
      <w:r w:rsidRPr="00295824">
        <w:t xml:space="preserve"> disease severity; those with </w:t>
      </w:r>
      <w:r>
        <w:t>more severe</w:t>
      </w:r>
      <w:r w:rsidRPr="00295824">
        <w:t xml:space="preserve"> disease had </w:t>
      </w:r>
      <w:r w:rsidRPr="00EC3690">
        <w:rPr>
          <w:color w:val="000000" w:themeColor="text1"/>
        </w:rPr>
        <w:t>a greater number of</w:t>
      </w:r>
      <w:r>
        <w:rPr>
          <w:color w:val="FF0000"/>
        </w:rPr>
        <w:t xml:space="preserve"> </w:t>
      </w:r>
      <w:r w:rsidRPr="00295824">
        <w:t xml:space="preserve">falls </w:t>
      </w:r>
      <w:r>
        <w:t xml:space="preserve">following intervention, while there was </w:t>
      </w:r>
      <w:r w:rsidRPr="00295824">
        <w:t xml:space="preserve">significant improvement for those with less </w:t>
      </w:r>
      <w:r>
        <w:t xml:space="preserve">severe </w:t>
      </w:r>
      <w:r w:rsidRPr="00295824">
        <w:t>disease.</w:t>
      </w:r>
    </w:p>
    <w:p w14:paraId="5294D51C" w14:textId="77777777" w:rsidR="00517D39" w:rsidRDefault="00517D39" w:rsidP="00517D39">
      <w:pPr>
        <w:spacing w:line="360" w:lineRule="auto"/>
      </w:pPr>
    </w:p>
    <w:p w14:paraId="32C0825E" w14:textId="77777777" w:rsidR="00517D39" w:rsidRPr="00732FAA" w:rsidRDefault="00517D39" w:rsidP="00517D39">
      <w:pPr>
        <w:spacing w:line="360" w:lineRule="auto"/>
      </w:pPr>
      <w:r w:rsidRPr="00732FAA">
        <w:t xml:space="preserve">Our aim was to compare the effect on repeat falling outcomes and other outcomes of an individualised, progressive exercise intervention delivered in people’s own home, in addition to </w:t>
      </w:r>
      <w:r>
        <w:t>u</w:t>
      </w:r>
      <w:r w:rsidRPr="00732FAA">
        <w:t xml:space="preserve">sual care. We aimed to recruit a large, pragmatic sample of PwP, and used pre-specified and exploratory sub-group analysis to examine variation in the intervention effect according to baseline disease severity and freezing of gait. </w:t>
      </w:r>
    </w:p>
    <w:p w14:paraId="3757F33F" w14:textId="77777777" w:rsidR="00295824" w:rsidRPr="00732FAA" w:rsidRDefault="00295824" w:rsidP="00295824"/>
    <w:p w14:paraId="05D90990" w14:textId="77777777" w:rsidR="00517D39" w:rsidRDefault="00517D39" w:rsidP="00295824">
      <w:pPr>
        <w:rPr>
          <w:b/>
          <w:sz w:val="24"/>
          <w:szCs w:val="24"/>
        </w:rPr>
      </w:pPr>
    </w:p>
    <w:p w14:paraId="71B124FE" w14:textId="77777777" w:rsidR="00263399" w:rsidRDefault="00263399" w:rsidP="00295824">
      <w:pPr>
        <w:rPr>
          <w:b/>
          <w:sz w:val="24"/>
          <w:szCs w:val="24"/>
        </w:rPr>
      </w:pPr>
    </w:p>
    <w:p w14:paraId="33E517BD" w14:textId="77777777" w:rsidR="00263399" w:rsidRDefault="00263399" w:rsidP="00295824">
      <w:pPr>
        <w:rPr>
          <w:b/>
          <w:sz w:val="24"/>
          <w:szCs w:val="24"/>
        </w:rPr>
      </w:pPr>
    </w:p>
    <w:p w14:paraId="72508EBC" w14:textId="77777777" w:rsidR="00517D39" w:rsidRDefault="00517D39" w:rsidP="00295824">
      <w:pPr>
        <w:rPr>
          <w:b/>
          <w:sz w:val="24"/>
          <w:szCs w:val="24"/>
        </w:rPr>
      </w:pPr>
    </w:p>
    <w:p w14:paraId="441B92ED" w14:textId="77777777" w:rsidR="00295824" w:rsidRPr="00732FAA" w:rsidRDefault="00295824" w:rsidP="00295824">
      <w:pPr>
        <w:rPr>
          <w:b/>
          <w:sz w:val="24"/>
          <w:szCs w:val="24"/>
        </w:rPr>
      </w:pPr>
      <w:r w:rsidRPr="00732FAA">
        <w:rPr>
          <w:b/>
          <w:sz w:val="24"/>
          <w:szCs w:val="24"/>
        </w:rPr>
        <w:lastRenderedPageBreak/>
        <w:t>METHODS</w:t>
      </w:r>
    </w:p>
    <w:p w14:paraId="70E05C2C" w14:textId="77777777" w:rsidR="00295824" w:rsidRPr="00732FAA" w:rsidRDefault="00295824" w:rsidP="00295824">
      <w:pPr>
        <w:spacing w:after="0" w:line="360" w:lineRule="auto"/>
        <w:rPr>
          <w:b/>
          <w:iCs/>
        </w:rPr>
      </w:pPr>
      <w:r w:rsidRPr="00732FAA">
        <w:rPr>
          <w:b/>
          <w:iCs/>
        </w:rPr>
        <w:t>Study design</w:t>
      </w:r>
    </w:p>
    <w:p w14:paraId="6A3CE829" w14:textId="08EBD51E" w:rsidR="00295824" w:rsidRPr="00732FAA" w:rsidRDefault="00295824" w:rsidP="00295824">
      <w:pPr>
        <w:spacing w:line="360" w:lineRule="auto"/>
        <w:rPr>
          <w:bCs/>
          <w:iCs/>
        </w:rPr>
      </w:pPr>
      <w:r w:rsidRPr="00732FAA">
        <w:rPr>
          <w:bCs/>
          <w:iCs/>
        </w:rPr>
        <w:t>A full</w:t>
      </w:r>
      <w:r w:rsidR="00433F59" w:rsidRPr="00732FAA">
        <w:rPr>
          <w:bCs/>
          <w:iCs/>
        </w:rPr>
        <w:t xml:space="preserve"> protocol has been published[15</w:t>
      </w:r>
      <w:r w:rsidRPr="00732FAA">
        <w:rPr>
          <w:bCs/>
          <w:iCs/>
        </w:rPr>
        <w:t>].  This was a multi-centre, pragmatic, investigator masked randomised controlled trial.  Participants were recruited from Parkinson’s services in NHS hospital and clinics, community and social services in eight regions across England: Bournemouth and Poole, Truro, Plymouth, Exeter, Winchester and Basingstoke, Newcastle, Portsmouth and Southampton. We also identified recruits via the study web-site. We delivered interventions in the participant’s home.</w:t>
      </w:r>
      <w:r w:rsidRPr="00732FAA" w:rsidDel="000F351C">
        <w:t xml:space="preserve"> </w:t>
      </w:r>
      <w:r w:rsidRPr="00732FAA">
        <w:t xml:space="preserve">The primary </w:t>
      </w:r>
      <w:r w:rsidR="00443B42" w:rsidRPr="00732FAA">
        <w:t>end</w:t>
      </w:r>
      <w:r w:rsidRPr="00732FAA">
        <w:t>point for the trial was 6 months</w:t>
      </w:r>
      <w:r w:rsidR="00443B42" w:rsidRPr="00732FAA">
        <w:t xml:space="preserve"> after randomisation</w:t>
      </w:r>
      <w:r w:rsidRPr="00732FAA">
        <w:t>. We received funding to allow 12 month follow up on the first 34</w:t>
      </w:r>
      <w:r w:rsidR="004836DD" w:rsidRPr="00732FAA">
        <w:t>2</w:t>
      </w:r>
      <w:r w:rsidRPr="00732FAA">
        <w:t xml:space="preserve"> recruited into the trial. </w:t>
      </w:r>
      <w:r w:rsidRPr="00732FAA">
        <w:rPr>
          <w:bCs/>
          <w:iCs/>
        </w:rPr>
        <w:t xml:space="preserve">An economic evaluation and a nested qualitative study of the views of participants will be published elsewhere as will details of the intervention. </w:t>
      </w:r>
      <w:r w:rsidRPr="00732FAA">
        <w:t>Trial management, data monitoring and statistical analyses were coordinated at the PDSAFE Trial office, University of Southampton, UK and supported by the Oxford Clinical Trials Unit OCTRU. Ethics approval was granted by the NRES South Central Hampshire B Committee (REC reference 14/SC/0039). Trial registration number is ISRCTN48152791.</w:t>
      </w:r>
    </w:p>
    <w:p w14:paraId="40C87353" w14:textId="77777777" w:rsidR="00295824" w:rsidRPr="00732FAA" w:rsidRDefault="00295824" w:rsidP="00295824">
      <w:pPr>
        <w:spacing w:line="360" w:lineRule="auto"/>
        <w:jc w:val="both"/>
        <w:rPr>
          <w:b/>
        </w:rPr>
      </w:pPr>
    </w:p>
    <w:p w14:paraId="64FD0E97" w14:textId="77777777" w:rsidR="00295824" w:rsidRPr="00732FAA" w:rsidRDefault="00295824" w:rsidP="00295824">
      <w:pPr>
        <w:spacing w:line="360" w:lineRule="auto"/>
        <w:jc w:val="both"/>
        <w:rPr>
          <w:b/>
        </w:rPr>
      </w:pPr>
      <w:r w:rsidRPr="00732FAA">
        <w:rPr>
          <w:b/>
        </w:rPr>
        <w:t>Participants</w:t>
      </w:r>
    </w:p>
    <w:p w14:paraId="5B25B615" w14:textId="04D00B75" w:rsidR="00295824" w:rsidRPr="00732FAA" w:rsidRDefault="00295824" w:rsidP="00295824">
      <w:pPr>
        <w:spacing w:line="360" w:lineRule="auto"/>
        <w:jc w:val="both"/>
      </w:pPr>
      <w:r w:rsidRPr="00732FAA">
        <w:t>People were eligible if they had a clinically confirmed diagnosis of Parkinson’s disease in accordance with UK Brain Bank criteria</w:t>
      </w:r>
      <w:r w:rsidR="00FB7751">
        <w:t>[16]</w:t>
      </w:r>
      <w:r w:rsidRPr="00732FAA">
        <w:t>; were living in their own home; independently mobile with or without an aid; experienced at least 1 fall in the previous 12 months; scored 24 or more on Mini-</w:t>
      </w:r>
      <w:r w:rsidR="00FB7751">
        <w:t>Mental State Examinatio</w:t>
      </w:r>
      <w:r w:rsidR="00E83225">
        <w:t>n</w:t>
      </w:r>
      <w:r w:rsidR="00FB7751">
        <w:t xml:space="preserve"> [17</w:t>
      </w:r>
      <w:r w:rsidRPr="00732FAA">
        <w:t xml:space="preserve">] (MMSE); had the cognitive ability to give informed consent; were able to understand and follow commands; and considered able to participate in an exercise and strategy programme. </w:t>
      </w:r>
    </w:p>
    <w:p w14:paraId="50C72DCD" w14:textId="77777777" w:rsidR="00295824" w:rsidRPr="00732FAA" w:rsidRDefault="00295824" w:rsidP="00295824">
      <w:pPr>
        <w:spacing w:after="0" w:line="360" w:lineRule="auto"/>
        <w:rPr>
          <w:b/>
        </w:rPr>
      </w:pPr>
    </w:p>
    <w:p w14:paraId="0434FA14" w14:textId="77777777" w:rsidR="00295824" w:rsidRPr="00732FAA" w:rsidRDefault="00295824" w:rsidP="00295824">
      <w:pPr>
        <w:spacing w:after="0" w:line="360" w:lineRule="auto"/>
        <w:rPr>
          <w:b/>
        </w:rPr>
      </w:pPr>
      <w:r w:rsidRPr="00732FAA">
        <w:rPr>
          <w:b/>
        </w:rPr>
        <w:t>Interventions</w:t>
      </w:r>
    </w:p>
    <w:p w14:paraId="7F6A7441" w14:textId="6B3E4416" w:rsidR="00295824" w:rsidRPr="00732FAA" w:rsidRDefault="00295824" w:rsidP="00295824">
      <w:pPr>
        <w:autoSpaceDE w:val="0"/>
        <w:autoSpaceDN w:val="0"/>
        <w:adjustRightInd w:val="0"/>
        <w:spacing w:line="360" w:lineRule="auto"/>
        <w:rPr>
          <w:rFonts w:cs="HpthkdAdvTT86d47313"/>
        </w:rPr>
      </w:pPr>
      <w:r w:rsidRPr="00732FAA">
        <w:rPr>
          <w:rFonts w:cs="HpthkdAdvTT86d47313"/>
        </w:rPr>
        <w:t xml:space="preserve">All participants continued to receive usual care including medication management, and took part in their usual activities, such as exercise or social groups. Participants assigned to </w:t>
      </w:r>
      <w:r w:rsidR="001406C6" w:rsidRPr="00732FAA">
        <w:rPr>
          <w:rFonts w:cs="HpthkdAdvTT86d47313"/>
        </w:rPr>
        <w:t xml:space="preserve">the control group </w:t>
      </w:r>
      <w:r w:rsidRPr="00732FAA">
        <w:rPr>
          <w:rFonts w:cs="HpthkdAdvTT86d47313"/>
        </w:rPr>
        <w:t xml:space="preserve">were given a Parkinson’s UK DVD with information about Parkinson’s. At the end of their time </w:t>
      </w:r>
      <w:r w:rsidR="004836DD" w:rsidRPr="00732FAA">
        <w:rPr>
          <w:rFonts w:cs="HpthkdAdvTT86d47313"/>
        </w:rPr>
        <w:t>in</w:t>
      </w:r>
      <w:r w:rsidR="00765059" w:rsidRPr="00732FAA">
        <w:rPr>
          <w:rFonts w:cs="HpthkdAdvTT86d47313"/>
        </w:rPr>
        <w:t xml:space="preserve"> </w:t>
      </w:r>
      <w:r w:rsidRPr="00732FAA">
        <w:rPr>
          <w:rFonts w:cs="HpthkdAdvTT86d47313"/>
        </w:rPr>
        <w:t>the trial</w:t>
      </w:r>
      <w:r w:rsidR="004836DD" w:rsidRPr="00732FAA">
        <w:rPr>
          <w:rFonts w:cs="HpthkdAdvTT86d47313"/>
        </w:rPr>
        <w:t>,</w:t>
      </w:r>
      <w:r w:rsidRPr="00732FAA">
        <w:rPr>
          <w:rFonts w:cs="HpthkdAdvTT86d47313"/>
        </w:rPr>
        <w:t xml:space="preserve"> </w:t>
      </w:r>
      <w:r w:rsidR="004836DD" w:rsidRPr="00732FAA">
        <w:rPr>
          <w:rFonts w:cs="HpthkdAdvTT86d47313"/>
        </w:rPr>
        <w:t>control participants</w:t>
      </w:r>
      <w:r w:rsidR="00765059" w:rsidRPr="00732FAA">
        <w:rPr>
          <w:rFonts w:cs="HpthkdAdvTT86d47313"/>
        </w:rPr>
        <w:t xml:space="preserve"> </w:t>
      </w:r>
      <w:r w:rsidRPr="00732FAA">
        <w:rPr>
          <w:rFonts w:cs="HpthkdAdvTT86d47313"/>
        </w:rPr>
        <w:t xml:space="preserve">received a single session on fall avoidance and a booklet on </w:t>
      </w:r>
      <w:r w:rsidRPr="00732FAA">
        <w:t xml:space="preserve">falls management. </w:t>
      </w:r>
      <w:r w:rsidRPr="00732FAA">
        <w:rPr>
          <w:rFonts w:cs="HpthkdAdvTT86d47313"/>
        </w:rPr>
        <w:t xml:space="preserve">                                                                       </w:t>
      </w:r>
    </w:p>
    <w:p w14:paraId="31FADB26" w14:textId="3C5442B3" w:rsidR="00295824" w:rsidRPr="00732FAA" w:rsidRDefault="00FB7751" w:rsidP="00295824">
      <w:pPr>
        <w:autoSpaceDE w:val="0"/>
        <w:autoSpaceDN w:val="0"/>
        <w:adjustRightInd w:val="0"/>
        <w:spacing w:line="360" w:lineRule="auto"/>
        <w:rPr>
          <w:rFonts w:cs="HpthkdAdvTT86d47313"/>
        </w:rPr>
      </w:pPr>
      <w:r>
        <w:rPr>
          <w:rFonts w:cs="HpthkdAdvTT86d47313"/>
        </w:rPr>
        <w:t>PDSAFE[18</w:t>
      </w:r>
      <w:r w:rsidR="00295824" w:rsidRPr="00732FAA">
        <w:rPr>
          <w:rFonts w:cs="HpthkdAdvTT86d47313"/>
        </w:rPr>
        <w:t xml:space="preserve">] comprised individually tailored, progressive home-based exercise and strategies to avoid falls eg. ‘Stepping patterns and sideways stepping in small complex areas to avoid tripping’. Registered physiotherapists made visits to the participants’ home to provide 12 supervised sessions of 1 to 1.5 hours duration </w:t>
      </w:r>
      <w:r w:rsidR="00295824" w:rsidRPr="00732FAA">
        <w:rPr>
          <w:bCs/>
          <w:iCs/>
        </w:rPr>
        <w:t xml:space="preserve">over 6 months. </w:t>
      </w:r>
      <w:r w:rsidR="00295824" w:rsidRPr="00732FAA">
        <w:rPr>
          <w:rFonts w:cs="HpthkdAdvTT86d47313"/>
        </w:rPr>
        <w:t xml:space="preserve"> More supervised sessions were delivered early in the programme, and gradually tapered over time. From the start of the programme, participants were expected to </w:t>
      </w:r>
      <w:r w:rsidR="004836DD" w:rsidRPr="00732FAA">
        <w:rPr>
          <w:rFonts w:cs="HpthkdAdvTT86d47313"/>
        </w:rPr>
        <w:t>engage in</w:t>
      </w:r>
      <w:r w:rsidR="008D0738" w:rsidRPr="00732FAA">
        <w:rPr>
          <w:rFonts w:cs="HpthkdAdvTT86d47313"/>
        </w:rPr>
        <w:t xml:space="preserve"> </w:t>
      </w:r>
      <w:r w:rsidR="00295824" w:rsidRPr="00732FAA">
        <w:rPr>
          <w:rFonts w:cs="HpthkdAdvTT86d47313"/>
        </w:rPr>
        <w:t xml:space="preserve">daily, </w:t>
      </w:r>
      <w:r w:rsidR="00295824" w:rsidRPr="00732FAA">
        <w:rPr>
          <w:rFonts w:cs="HpthkdAdvTT86d47313"/>
        </w:rPr>
        <w:lastRenderedPageBreak/>
        <w:t xml:space="preserve">unsupervised exercise for about 30 minutes, and were provided with a prescription for these and strategies to maximise adherence, such as integration into daily routines.  </w:t>
      </w:r>
      <w:r w:rsidR="00295824" w:rsidRPr="00732FAA">
        <w:rPr>
          <w:rFonts w:cs="VfjphkAdvTT43ccf47d"/>
        </w:rPr>
        <w:t xml:space="preserve">Participants were given a folder with pictures and descriptions of exercises, a rating of perceived exertion scale, an exercise log, and DVDs of both exercise demonstrations and personal videos taken by their physiotherapist of them doing the exercises. </w:t>
      </w:r>
      <w:r w:rsidR="00295824" w:rsidRPr="00732FAA">
        <w:rPr>
          <w:rFonts w:cs="HpthkdAdvTT86d47313"/>
        </w:rPr>
        <w:t xml:space="preserve">Programmes were based on an individualised assessment of fall risk factors, including the home environment and </w:t>
      </w:r>
      <w:r w:rsidR="004836DD" w:rsidRPr="00732FAA">
        <w:rPr>
          <w:rFonts w:cs="HpthkdAdvTT86d47313"/>
        </w:rPr>
        <w:t xml:space="preserve">high-risk </w:t>
      </w:r>
      <w:r w:rsidR="00295824" w:rsidRPr="00732FAA">
        <w:rPr>
          <w:rFonts w:cs="HpthkdAdvTT86d47313"/>
        </w:rPr>
        <w:t xml:space="preserve">activities.  Exercises included balance training with a gradual decrease in the area of support and use of foam standing pads. Strength training used body weight resistance, and if appropriate, weighted vests, during functional exercises (sit to stand). Strategies for fall and freezing avoidance included transfer practice (turning) in complex environments such as bathrooms and kitchen and adopting wide-based positions during functional task practice.  </w:t>
      </w:r>
    </w:p>
    <w:p w14:paraId="7FB60C41" w14:textId="77777777" w:rsidR="00295824" w:rsidRPr="00732FAA" w:rsidRDefault="00295824" w:rsidP="00295824">
      <w:pPr>
        <w:autoSpaceDE w:val="0"/>
        <w:autoSpaceDN w:val="0"/>
        <w:adjustRightInd w:val="0"/>
        <w:spacing w:line="360" w:lineRule="auto"/>
        <w:rPr>
          <w:rFonts w:cs="HpthkdAdvTT86d47313"/>
        </w:rPr>
      </w:pPr>
      <w:r w:rsidRPr="00732FAA">
        <w:t xml:space="preserve">Intervention fidelity was promoted through a two-day training session, and subsequent observation and feedback during sessions by a specialist physiotherapist with expertise in Parkinson’s management All but one physiotherapist had a background in neurological practice. Monthly ‘master classes’, weekly teleconferences and regular clinical supervision sessions were implemented. Fidelity checks were undertaken three times during a therapist’s first three months of delivering the intervention, and three monthly thereafter. We considered that people who attended the assessment and received one home session to have engaged with the intervention. Those who had 7 or more sessions were considered to have complied with the intervention. </w:t>
      </w:r>
    </w:p>
    <w:p w14:paraId="72616BFC" w14:textId="77777777" w:rsidR="00BB4EE2" w:rsidRPr="00732FAA" w:rsidRDefault="00BB4EE2" w:rsidP="00295824">
      <w:pPr>
        <w:spacing w:after="0" w:line="360" w:lineRule="auto"/>
        <w:rPr>
          <w:b/>
        </w:rPr>
      </w:pPr>
    </w:p>
    <w:p w14:paraId="2BC3BF7E" w14:textId="77777777" w:rsidR="00295824" w:rsidRPr="00732FAA" w:rsidRDefault="00295824" w:rsidP="00295824">
      <w:pPr>
        <w:spacing w:after="0" w:line="360" w:lineRule="auto"/>
        <w:rPr>
          <w:b/>
        </w:rPr>
      </w:pPr>
      <w:r w:rsidRPr="00732FAA">
        <w:rPr>
          <w:b/>
        </w:rPr>
        <w:t>Outcomes</w:t>
      </w:r>
    </w:p>
    <w:p w14:paraId="0F95FDDF" w14:textId="246B1975" w:rsidR="00295824" w:rsidRPr="00732FAA" w:rsidRDefault="00295824" w:rsidP="00295824">
      <w:pPr>
        <w:autoSpaceDE w:val="0"/>
        <w:autoSpaceDN w:val="0"/>
        <w:adjustRightInd w:val="0"/>
        <w:spacing w:line="360" w:lineRule="auto"/>
      </w:pPr>
      <w:r w:rsidRPr="00732FAA">
        <w:t>The primary outcome was risk of repeat falling in the first six months after randomisation.  A fall was defined as an event which resulted in a person coming to rest unintentionally on the ground or lower level[1</w:t>
      </w:r>
      <w:r w:rsidR="00FB7751">
        <w:t>9</w:t>
      </w:r>
      <w:r w:rsidRPr="00732FAA">
        <w:t>].  Secondary outcomes were fractures and the rate of near falling, the Mini</w:t>
      </w:r>
      <w:r w:rsidR="00FB7751">
        <w:t>-BESTest[20</w:t>
      </w:r>
      <w:r w:rsidRPr="00732FAA">
        <w:t>] (high values – good, a test of balance co</w:t>
      </w:r>
      <w:r w:rsidR="00433F59" w:rsidRPr="00732FAA">
        <w:t>ntrol); the chair stand test[2</w:t>
      </w:r>
      <w:r w:rsidR="00FB7751">
        <w:t>1</w:t>
      </w:r>
      <w:r w:rsidRPr="00732FAA">
        <w:t>] (low timing - good) ; medication use; the Ger</w:t>
      </w:r>
      <w:r w:rsidR="00FB7751">
        <w:t>iatric Depression Scale, GDS[22</w:t>
      </w:r>
      <w:r w:rsidRPr="00732FAA">
        <w:t>] (15 question version; low scores - good); the International version of the Falls Efficac</w:t>
      </w:r>
      <w:r w:rsidR="00FB7751">
        <w:t>y Scale, FES[23</w:t>
      </w:r>
      <w:r w:rsidRPr="00732FAA">
        <w:t>] (low scores - good); the New Freezing</w:t>
      </w:r>
      <w:r w:rsidR="00FB7751">
        <w:t xml:space="preserve"> of Gait questionnaire, NFoG[24</w:t>
      </w:r>
      <w:r w:rsidRPr="00732FAA">
        <w:t>] (low scores - good); the Parkinson’s Disease Questionnaire, PDQ-39[2</w:t>
      </w:r>
      <w:r w:rsidR="00FB7751">
        <w:t>5</w:t>
      </w:r>
      <w:r w:rsidRPr="00732FAA">
        <w:t>] (low scores - good, a quality of life measure designed specifically for PwP); the Physical Activity</w:t>
      </w:r>
      <w:r w:rsidR="00BB4EE2" w:rsidRPr="00732FAA">
        <w:t xml:space="preserve"> Scale for the Elderly, PASE[</w:t>
      </w:r>
      <w:r w:rsidR="00FB7751">
        <w:t>26</w:t>
      </w:r>
      <w:r w:rsidRPr="00732FAA">
        <w:t>]; high scores - good) at 6 months</w:t>
      </w:r>
      <w:r w:rsidR="004836DD" w:rsidRPr="00732FAA">
        <w:t xml:space="preserve">; the Euroqol (EQ5D 3L) health related quality of life </w:t>
      </w:r>
      <w:r w:rsidR="00701FFD" w:rsidRPr="00732FAA">
        <w:t>instrument</w:t>
      </w:r>
      <w:r w:rsidR="00FB7751">
        <w:t>[27</w:t>
      </w:r>
      <w:r w:rsidR="00BB4EE2" w:rsidRPr="00732FAA">
        <w:t>]</w:t>
      </w:r>
      <w:r w:rsidR="00701FFD" w:rsidRPr="00732FAA">
        <w:t xml:space="preserve">. </w:t>
      </w:r>
      <w:r w:rsidRPr="00732FAA">
        <w:t>We recorded all deaths, any hospitalisations were recorded at assessment and serious adverse events were reviewed by medical physician, HR.</w:t>
      </w:r>
      <w:r w:rsidR="002A1B7B" w:rsidRPr="00732FAA">
        <w:t xml:space="preserve"> The PASE, PDQ-39 and GDS were self-completed and returned by post.</w:t>
      </w:r>
    </w:p>
    <w:p w14:paraId="0839173A" w14:textId="77777777" w:rsidR="00295824" w:rsidRPr="00732FAA" w:rsidRDefault="00295824" w:rsidP="00295824">
      <w:pPr>
        <w:spacing w:after="0" w:line="360" w:lineRule="auto"/>
        <w:rPr>
          <w:b/>
          <w:iCs/>
        </w:rPr>
      </w:pPr>
    </w:p>
    <w:p w14:paraId="76CC840D" w14:textId="77777777" w:rsidR="00263399" w:rsidRDefault="00263399" w:rsidP="00295824">
      <w:pPr>
        <w:spacing w:after="0" w:line="360" w:lineRule="auto"/>
        <w:rPr>
          <w:b/>
          <w:iCs/>
        </w:rPr>
      </w:pPr>
    </w:p>
    <w:p w14:paraId="113CBCED" w14:textId="77777777" w:rsidR="00295824" w:rsidRPr="00732FAA" w:rsidRDefault="00295824" w:rsidP="00295824">
      <w:pPr>
        <w:spacing w:after="0" w:line="360" w:lineRule="auto"/>
        <w:rPr>
          <w:b/>
          <w:iCs/>
        </w:rPr>
      </w:pPr>
      <w:r w:rsidRPr="00732FAA">
        <w:rPr>
          <w:b/>
          <w:iCs/>
        </w:rPr>
        <w:lastRenderedPageBreak/>
        <w:t>Randomisation and blinding</w:t>
      </w:r>
    </w:p>
    <w:p w14:paraId="6228940E" w14:textId="3B14C82B" w:rsidR="00295824" w:rsidRPr="00732FAA" w:rsidRDefault="00295824" w:rsidP="00295824">
      <w:pPr>
        <w:spacing w:line="360" w:lineRule="auto"/>
      </w:pPr>
      <w:r w:rsidRPr="00732FAA">
        <w:t>Prior to randomisation, participants completed three months of fall diaries. We then did a baseline assessment after which participants were randomly assigned (50:50) to either the intervention or control group, using an online procedure set up by OCTRU (a UKCRC registered trials unit). The allocations were sent to the trial manager who informed a treating therapist</w:t>
      </w:r>
      <w:r w:rsidR="00443B42" w:rsidRPr="00732FAA">
        <w:t xml:space="preserve">, </w:t>
      </w:r>
      <w:r w:rsidR="00701FFD" w:rsidRPr="00732FAA">
        <w:t xml:space="preserve">to ensure </w:t>
      </w:r>
      <w:r w:rsidRPr="00732FAA">
        <w:t xml:space="preserve">allocation concealment from trial </w:t>
      </w:r>
      <w:r w:rsidR="00443B42" w:rsidRPr="00732FAA">
        <w:t>recruiters</w:t>
      </w:r>
      <w:r w:rsidR="00FB19E8" w:rsidRPr="00732FAA">
        <w:t xml:space="preserve"> </w:t>
      </w:r>
      <w:r w:rsidR="00443B42" w:rsidRPr="00732FAA">
        <w:t xml:space="preserve">and </w:t>
      </w:r>
      <w:r w:rsidRPr="00732FAA">
        <w:t>assessors. Random allocations were computer-generated, stratified by centre and allocated in blocks with random size of 2, 4, 6 or 8. The trial manager, the treating therapists and the participants were not blinded to the allocated group. At each point of contact, participants were asked not to divulge their group allocation to trial assessors</w:t>
      </w:r>
      <w:r w:rsidR="00701FFD" w:rsidRPr="00732FAA">
        <w:t xml:space="preserve"> who were blind to group allocation</w:t>
      </w:r>
      <w:r w:rsidRPr="00732FAA">
        <w:t>.</w:t>
      </w:r>
    </w:p>
    <w:p w14:paraId="49C4D39F" w14:textId="77777777" w:rsidR="00295824" w:rsidRPr="00732FAA" w:rsidRDefault="00295824" w:rsidP="00295824">
      <w:pPr>
        <w:spacing w:after="0" w:line="360" w:lineRule="auto"/>
        <w:rPr>
          <w:b/>
          <w:iCs/>
        </w:rPr>
      </w:pPr>
    </w:p>
    <w:p w14:paraId="1EF7623D" w14:textId="77777777" w:rsidR="00295824" w:rsidRPr="00732FAA" w:rsidRDefault="00295824" w:rsidP="00295824">
      <w:pPr>
        <w:spacing w:after="0" w:line="360" w:lineRule="auto"/>
        <w:rPr>
          <w:b/>
          <w:iCs/>
        </w:rPr>
      </w:pPr>
      <w:r w:rsidRPr="00732FAA">
        <w:rPr>
          <w:b/>
          <w:iCs/>
        </w:rPr>
        <w:t>Procedure</w:t>
      </w:r>
    </w:p>
    <w:p w14:paraId="13809215" w14:textId="678F8286" w:rsidR="00295824" w:rsidRPr="00732FAA" w:rsidRDefault="00295824" w:rsidP="00295824">
      <w:pPr>
        <w:spacing w:line="360" w:lineRule="auto"/>
      </w:pPr>
      <w:r w:rsidRPr="00732FAA">
        <w:t>We trained registered health care professionals to assess eligibility of potential participants, to register and randomise participants, to collect baseline information and administer outcome measures during the follow up period; fidelity checks were routinely made. We collected eligibility and baseline data over two visits, separated by a three month period in which we asked participants to collects falls diary data. At the first eligibility visit we collected the Montreal</w:t>
      </w:r>
      <w:r w:rsidR="00FB7751">
        <w:t xml:space="preserve"> Cognitive Assessment (MoCA)[28</w:t>
      </w:r>
      <w:r w:rsidRPr="00732FAA">
        <w:t>], the number of falls experienced over the previous 12 months, the Mini-Men</w:t>
      </w:r>
      <w:r w:rsidR="00FB7751">
        <w:t>tal State Examination (MMSE)[17</w:t>
      </w:r>
      <w:r w:rsidRPr="00732FAA">
        <w:t>], the Hoehn &amp; Ya</w:t>
      </w:r>
      <w:r w:rsidR="00BB4EE2" w:rsidRPr="00732FAA">
        <w:t>hr Scale of Disease severity[2</w:t>
      </w:r>
      <w:r w:rsidR="00E83225">
        <w:t>9</w:t>
      </w:r>
      <w:r w:rsidRPr="00732FAA">
        <w:t xml:space="preserve">], demographics and medical history. At the second visit, we re-checked consent, collected the Unified </w:t>
      </w:r>
      <w:r w:rsidR="00FB19E8" w:rsidRPr="00732FAA">
        <w:t>Parkinson’s disease</w:t>
      </w:r>
      <w:r w:rsidR="00FB7751">
        <w:t xml:space="preserve"> Rating Scale, UPDRS[30</w:t>
      </w:r>
      <w:r w:rsidRPr="00732FAA">
        <w:t>] (low scores</w:t>
      </w:r>
      <w:r w:rsidR="00BB4EE2" w:rsidRPr="00732FAA">
        <w:t xml:space="preserve"> - good, motor section only) </w:t>
      </w:r>
      <w:r w:rsidRPr="00732FAA">
        <w:t xml:space="preserve">and enrolled and randomised the participant. Participants were asked to complete monthly diaries through the follow up period and face to face assessments were taken to collect all other data during home visits at 6 and, for those completing the extend follow up, at 12 months.  </w:t>
      </w:r>
    </w:p>
    <w:p w14:paraId="71E37394" w14:textId="77777777" w:rsidR="00295824" w:rsidRPr="00732FAA" w:rsidRDefault="00295824" w:rsidP="00295824">
      <w:pPr>
        <w:spacing w:line="360" w:lineRule="auto"/>
      </w:pPr>
    </w:p>
    <w:p w14:paraId="3DD5F09F" w14:textId="77777777" w:rsidR="00295824" w:rsidRPr="00732FAA" w:rsidRDefault="00295824" w:rsidP="00295824">
      <w:pPr>
        <w:spacing w:line="360" w:lineRule="auto"/>
        <w:rPr>
          <w:b/>
        </w:rPr>
      </w:pPr>
      <w:r w:rsidRPr="00732FAA">
        <w:rPr>
          <w:b/>
        </w:rPr>
        <w:t xml:space="preserve">Sample size calculation </w:t>
      </w:r>
    </w:p>
    <w:p w14:paraId="537CE757" w14:textId="078F2EE4" w:rsidR="00295824" w:rsidRPr="00732FAA" w:rsidRDefault="00295824" w:rsidP="009E67D3">
      <w:pPr>
        <w:spacing w:line="360" w:lineRule="auto"/>
      </w:pPr>
      <w:r w:rsidRPr="00732FAA">
        <w:t>Based on the results of a p</w:t>
      </w:r>
      <w:r w:rsidR="00BB4EE2" w:rsidRPr="00732FAA">
        <w:t>revious trial[8</w:t>
      </w:r>
      <w:r w:rsidRPr="00732FAA">
        <w:t>] we assumed the risk of repeat falling between 0 and 6 to be 50% in the intervention group and 63% in the control group, yielding a sample size requirement of 228 participants per group at 80% power in a two-sided 5% comparison of proportions. Allowing for 15% (10% before randomisation and 5% after) loss to foll</w:t>
      </w:r>
      <w:r w:rsidR="009E67D3" w:rsidRPr="00732FAA">
        <w:t>ow up</w:t>
      </w:r>
      <w:r w:rsidRPr="00732FAA">
        <w:t>, for these participants, between approach, randomisation and 6 months, we aimed to recruit 534 participants to the pre-randomisation falls collection period.</w:t>
      </w:r>
    </w:p>
    <w:p w14:paraId="79C3DDCD" w14:textId="77777777" w:rsidR="00295824" w:rsidRPr="00732FAA" w:rsidRDefault="00295824" w:rsidP="00295824">
      <w:pPr>
        <w:spacing w:after="0" w:line="360" w:lineRule="auto"/>
        <w:rPr>
          <w:b/>
        </w:rPr>
      </w:pPr>
    </w:p>
    <w:p w14:paraId="1EF2D120" w14:textId="77777777" w:rsidR="00263399" w:rsidRDefault="00263399" w:rsidP="00295824">
      <w:pPr>
        <w:spacing w:after="0" w:line="360" w:lineRule="auto"/>
        <w:rPr>
          <w:b/>
          <w:iCs/>
        </w:rPr>
      </w:pPr>
    </w:p>
    <w:p w14:paraId="6A210292" w14:textId="77777777" w:rsidR="00295824" w:rsidRPr="00732FAA" w:rsidRDefault="00295824" w:rsidP="00295824">
      <w:pPr>
        <w:spacing w:after="0" w:line="360" w:lineRule="auto"/>
        <w:rPr>
          <w:b/>
          <w:iCs/>
        </w:rPr>
      </w:pPr>
      <w:r w:rsidRPr="00732FAA">
        <w:rPr>
          <w:b/>
          <w:iCs/>
        </w:rPr>
        <w:lastRenderedPageBreak/>
        <w:t xml:space="preserve">Statistical analysis </w:t>
      </w:r>
    </w:p>
    <w:p w14:paraId="0F6C9A0C" w14:textId="1B069D00" w:rsidR="00295824" w:rsidRPr="00732FAA" w:rsidRDefault="00295824" w:rsidP="00295824">
      <w:pPr>
        <w:spacing w:line="360" w:lineRule="auto"/>
      </w:pPr>
      <w:r w:rsidRPr="00732FAA">
        <w:rPr>
          <w:rFonts w:cs="AdvOT35fdff1a"/>
        </w:rPr>
        <w:t xml:space="preserve">A statistical analysis plan was finalised before the dataset was locked. </w:t>
      </w:r>
      <w:r w:rsidRPr="00732FAA">
        <w:t xml:space="preserve">The analysis was intention to treat in that all participants were analysed in the group to which they were randomised. For the primary outcome we included participants who had completed a minimum of 50% of diaries, </w:t>
      </w:r>
      <w:r w:rsidR="00701FFD" w:rsidRPr="00732FAA">
        <w:t xml:space="preserve">(as recommended by </w:t>
      </w:r>
      <w:r w:rsidR="00BB4EE2" w:rsidRPr="00732FAA">
        <w:t>Goodwin et al[7</w:t>
      </w:r>
      <w:r w:rsidRPr="00732FAA">
        <w:t>]</w:t>
      </w:r>
      <w:r w:rsidR="00701FFD" w:rsidRPr="00732FAA">
        <w:t>)</w:t>
      </w:r>
      <w:r w:rsidRPr="00732FAA">
        <w:t xml:space="preserve"> and missing falls diary</w:t>
      </w:r>
      <w:r w:rsidR="00701FFD" w:rsidRPr="00732FAA">
        <w:t xml:space="preserve"> </w:t>
      </w:r>
      <w:r w:rsidRPr="00732FAA">
        <w:t xml:space="preserve">data, for these participants, by imputing the binary indicator of repeat faller (yes/no) from the final assessment if this data were available. The analysis of rates of falling included all participants with any degree of diary completion. </w:t>
      </w:r>
    </w:p>
    <w:p w14:paraId="545E6D43" w14:textId="77777777" w:rsidR="00295824" w:rsidRPr="00732FAA" w:rsidRDefault="00295824" w:rsidP="00295824">
      <w:pPr>
        <w:spacing w:line="360" w:lineRule="auto"/>
      </w:pPr>
    </w:p>
    <w:p w14:paraId="4592984E" w14:textId="58005B2E" w:rsidR="00295824" w:rsidRPr="00732FAA" w:rsidRDefault="00295824" w:rsidP="00295824">
      <w:pPr>
        <w:autoSpaceDE w:val="0"/>
        <w:autoSpaceDN w:val="0"/>
        <w:adjustRightInd w:val="0"/>
        <w:spacing w:line="360" w:lineRule="auto"/>
        <w:rPr>
          <w:rFonts w:cs="AdvOT35fdff1a"/>
        </w:rPr>
      </w:pPr>
      <w:r w:rsidRPr="00732FAA">
        <w:t>We used logistic regression controlling for site, age, gender, Hoehn and Yahr, the logarithm of retrospectively collected number of falls in the year prior to screening, repeat fall status prior screening, and the logarithm of the prospectively collected rate of falling during the 3 months period prior to randomisation with 0.5 added to numerators so that participants with zero falls during the period were included.</w:t>
      </w:r>
      <w:r w:rsidRPr="00732FAA">
        <w:rPr>
          <w:rFonts w:cs="AdvOT35fdff1a"/>
        </w:rPr>
        <w:t xml:space="preserve"> These controlling variables were finalised in a blind analysis without access to the group indicator, as specified in the analysis plan. Rates of falling during the periods 0 to 6 and 6 to 12 months post randomisation were examined in negative binomial models with the logarithm of a participant’s days of diary follow-up included as an offset. Odds Ratios (OR) and Fall Rate Ratios (FRR) are presented with 95% confidence intervals (CI). The geometric mean of individual participant rates (with 0.5 added to the numerator as before) of falling during 6 month follow-up periods are presented as rates per 6 months to accommodate the skewed distribution across participants. We pre-specified subgroup analysis for falling between 0 and 6 months to MoCA</w:t>
      </w:r>
      <w:r w:rsidR="00FB7751">
        <w:rPr>
          <w:rFonts w:cs="AdvOT35fdff1a"/>
        </w:rPr>
        <w:t>[28</w:t>
      </w:r>
      <w:r w:rsidRPr="00732FAA">
        <w:rPr>
          <w:rFonts w:cs="AdvOT35fdff1a"/>
        </w:rPr>
        <w:t>] status (≤25 and ≥26), freezing status</w:t>
      </w:r>
      <w:r w:rsidR="00BB4EE2" w:rsidRPr="00732FAA">
        <w:rPr>
          <w:rFonts w:cs="AdvOT35fdff1a"/>
        </w:rPr>
        <w:t>, and disease severity U</w:t>
      </w:r>
      <w:r w:rsidR="00FB7751">
        <w:rPr>
          <w:rFonts w:cs="AdvOT35fdff1a"/>
        </w:rPr>
        <w:t>PDRS[30] and Hoehn and Yahr [29]</w:t>
      </w:r>
      <w:r w:rsidRPr="00732FAA">
        <w:rPr>
          <w:rFonts w:cs="AdvOT35fdff1a"/>
        </w:rPr>
        <w:t>. In addition,  and informed by the findings of Morris et al[3,5] we explored sub-group analyses for MoCA, UPDRS and number of falls in the year prior to screening using the tertiles of the baseline distribution. We tested for sub-group effects using statistical tests of interaction</w:t>
      </w:r>
      <w:r w:rsidRPr="00732FAA">
        <w:rPr>
          <w:rFonts w:cs="AdvOT35fdff1a"/>
          <w:b/>
        </w:rPr>
        <w:t xml:space="preserve">. </w:t>
      </w:r>
      <w:r w:rsidRPr="00732FAA">
        <w:rPr>
          <w:rFonts w:cs="AdvOT35fdff1a"/>
        </w:rPr>
        <w:t xml:space="preserve">A secondary per protocol analysis excluded participants from the PDSAFE group who received less than 7 of the planned 12 sessions. Analysis was conducted in SPSS (IBM </w:t>
      </w:r>
      <w:r w:rsidR="00FB7751">
        <w:rPr>
          <w:rFonts w:cs="AdvOT35fdff1a"/>
        </w:rPr>
        <w:t>Corp., Armonk, NY) and Stata[31</w:t>
      </w:r>
      <w:r w:rsidRPr="00732FAA">
        <w:rPr>
          <w:rFonts w:cs="AdvOT35fdff1a"/>
        </w:rPr>
        <w:t>].</w:t>
      </w:r>
    </w:p>
    <w:p w14:paraId="22A906E7" w14:textId="77777777" w:rsidR="00295824" w:rsidRPr="00732FAA" w:rsidRDefault="00295824" w:rsidP="00295824">
      <w:pPr>
        <w:autoSpaceDE w:val="0"/>
        <w:autoSpaceDN w:val="0"/>
        <w:adjustRightInd w:val="0"/>
        <w:spacing w:line="360" w:lineRule="auto"/>
        <w:rPr>
          <w:b/>
          <w:iCs/>
        </w:rPr>
      </w:pPr>
    </w:p>
    <w:p w14:paraId="497A8ED4" w14:textId="77777777" w:rsidR="00295824" w:rsidRPr="00732FAA" w:rsidRDefault="00295824" w:rsidP="00295824">
      <w:pPr>
        <w:autoSpaceDE w:val="0"/>
        <w:autoSpaceDN w:val="0"/>
        <w:adjustRightInd w:val="0"/>
        <w:spacing w:line="360" w:lineRule="auto"/>
        <w:rPr>
          <w:b/>
          <w:iCs/>
        </w:rPr>
      </w:pPr>
      <w:r w:rsidRPr="00732FAA">
        <w:rPr>
          <w:b/>
          <w:iCs/>
        </w:rPr>
        <w:t>Patient Involvement</w:t>
      </w:r>
    </w:p>
    <w:p w14:paraId="7DC63CB8" w14:textId="77777777" w:rsidR="00295824" w:rsidRPr="00732FAA" w:rsidRDefault="00295824" w:rsidP="00295824">
      <w:pPr>
        <w:autoSpaceDE w:val="0"/>
        <w:autoSpaceDN w:val="0"/>
        <w:adjustRightInd w:val="0"/>
        <w:spacing w:line="360" w:lineRule="auto"/>
        <w:rPr>
          <w:iCs/>
        </w:rPr>
      </w:pPr>
      <w:r w:rsidRPr="00732FAA">
        <w:rPr>
          <w:iCs/>
        </w:rPr>
        <w:t xml:space="preserve">PPI representatives were involved in the design of the study, the development of participant information sheets, consent forms and intervention resources. A PPI representative was a member of the Trial Steering Committee. The trial was discussed at several Local Parkinson’s support groups and representatives were invited to a meeting on interpretation of results and key messages. </w:t>
      </w:r>
    </w:p>
    <w:p w14:paraId="5553CC6E" w14:textId="77777777" w:rsidR="00F53A04" w:rsidRPr="00732FAA" w:rsidRDefault="00F53A04" w:rsidP="00295824">
      <w:pPr>
        <w:autoSpaceDE w:val="0"/>
        <w:autoSpaceDN w:val="0"/>
        <w:adjustRightInd w:val="0"/>
        <w:spacing w:line="360" w:lineRule="auto"/>
        <w:rPr>
          <w:iCs/>
        </w:rPr>
      </w:pPr>
    </w:p>
    <w:p w14:paraId="391459A7" w14:textId="77777777" w:rsidR="00295824" w:rsidRPr="00732FAA" w:rsidRDefault="00295824" w:rsidP="00295824">
      <w:pPr>
        <w:spacing w:line="276" w:lineRule="auto"/>
        <w:rPr>
          <w:b/>
          <w:sz w:val="28"/>
          <w:szCs w:val="28"/>
        </w:rPr>
      </w:pPr>
      <w:r w:rsidRPr="00732FAA">
        <w:rPr>
          <w:b/>
          <w:sz w:val="28"/>
          <w:szCs w:val="28"/>
        </w:rPr>
        <w:lastRenderedPageBreak/>
        <w:t>RESULTS</w:t>
      </w:r>
    </w:p>
    <w:p w14:paraId="5CC02A6B" w14:textId="77777777" w:rsidR="00295824" w:rsidRPr="00732FAA" w:rsidRDefault="00295824" w:rsidP="00295824">
      <w:pPr>
        <w:spacing w:line="276" w:lineRule="auto"/>
        <w:rPr>
          <w:b/>
        </w:rPr>
      </w:pPr>
      <w:r w:rsidRPr="00732FAA">
        <w:rPr>
          <w:b/>
        </w:rPr>
        <w:t>Trial progression and recruitment</w:t>
      </w:r>
    </w:p>
    <w:p w14:paraId="5328210A" w14:textId="4D526702" w:rsidR="00295824" w:rsidRPr="00732FAA" w:rsidRDefault="00295824" w:rsidP="00295824">
      <w:pPr>
        <w:spacing w:line="360" w:lineRule="auto"/>
        <w:rPr>
          <w:iCs/>
        </w:rPr>
      </w:pPr>
      <w:r w:rsidRPr="00732FAA">
        <w:rPr>
          <w:iCs/>
        </w:rPr>
        <w:t>Recruitment was from July 2014 to August 2016 (study flow summarised in Figure 1). A total of 640 PwP were invited to participate, 99 either did not respond or did not meet the eligibility criteria leaving 541 for consent and completion of the first eligibility visit. At this point, a further 7 people did not reach the MMSE requirement and were excluded. The remainder went on to second eligibility check after which a further 60 people were excluded (reasons provided in Figure 1). The remaining 474 completed a baseline assessment and were randomised to usual care (n= 236) or PDSAFE (n= 238). Withdrawal rates were low at the primary time point, and equivalent across the groups. Falls diary completion was good at the primary time point, with 203/238 (85%) of the usual care group, and 211/236 (89%) of the intervention group providing usable data</w:t>
      </w:r>
      <w:r w:rsidR="001C0122" w:rsidRPr="00732FAA">
        <w:rPr>
          <w:iCs/>
        </w:rPr>
        <w:t>, see supplementary table</w:t>
      </w:r>
      <w:r w:rsidRPr="00732FAA">
        <w:rPr>
          <w:iCs/>
        </w:rPr>
        <w:t>. The IQR for the number of diary completion days over the primary 6 month period were 174-183 and 153-183 days</w:t>
      </w:r>
      <w:r w:rsidR="00443B42" w:rsidRPr="00732FAA">
        <w:rPr>
          <w:iCs/>
        </w:rPr>
        <w:t xml:space="preserve"> in the control and intervention groups</w:t>
      </w:r>
      <w:r w:rsidRPr="00732FAA">
        <w:rPr>
          <w:iCs/>
        </w:rPr>
        <w:t xml:space="preserve"> respectively. Fourteen trained assessors completed blinded data collection.</w:t>
      </w:r>
    </w:p>
    <w:p w14:paraId="45885220" w14:textId="77777777" w:rsidR="00295824" w:rsidRPr="00732FAA" w:rsidRDefault="00295824" w:rsidP="00295824">
      <w:pPr>
        <w:spacing w:line="360" w:lineRule="auto"/>
        <w:rPr>
          <w:iCs/>
        </w:rPr>
      </w:pPr>
    </w:p>
    <w:p w14:paraId="19C37922" w14:textId="77777777" w:rsidR="00295824" w:rsidRPr="00732FAA" w:rsidRDefault="00295824" w:rsidP="00295824">
      <w:pPr>
        <w:spacing w:line="360" w:lineRule="auto"/>
        <w:rPr>
          <w:b/>
          <w:iCs/>
        </w:rPr>
      </w:pPr>
      <w:r w:rsidRPr="00732FAA">
        <w:rPr>
          <w:b/>
          <w:iCs/>
        </w:rPr>
        <w:t>Intervention</w:t>
      </w:r>
    </w:p>
    <w:p w14:paraId="7B0AC937" w14:textId="735D8F6E" w:rsidR="00295824" w:rsidRPr="00732FAA" w:rsidRDefault="00295824" w:rsidP="00295824">
      <w:pPr>
        <w:spacing w:before="240" w:line="360" w:lineRule="auto"/>
      </w:pPr>
      <w:r w:rsidRPr="00732FAA">
        <w:t xml:space="preserve">Eighteen physiotherapists delivered PDSAFE and compliance with the intervention was good. 217/238 (91%) participants received per protocol, 7 or more supervised treatment sessions and 75% (162) of those received the maximum number. The median number of supervised sessions for all participants randomised to the intervention was 12 (IQR 11 to 12). The majority of participants, 236/238, received the exercise assessment and at least one supervised session. Two participants did not start due to a change of mind, 19 received less than 7 sessions. Reasons for withdrawal from the trial </w:t>
      </w:r>
      <w:r w:rsidR="000F5A29" w:rsidRPr="00732FAA">
        <w:t xml:space="preserve">included: </w:t>
      </w:r>
      <w:r w:rsidRPr="00732FAA">
        <w:rPr>
          <w:iCs/>
        </w:rPr>
        <w:t xml:space="preserve">admission to a nursing home, deteriorating health, commitment was too much, no reason given and caring for others </w:t>
      </w:r>
      <w:r w:rsidR="001C0122" w:rsidRPr="00732FAA">
        <w:rPr>
          <w:iCs/>
        </w:rPr>
        <w:t>(see fi</w:t>
      </w:r>
      <w:r w:rsidRPr="00732FAA">
        <w:rPr>
          <w:iCs/>
        </w:rPr>
        <w:t>g</w:t>
      </w:r>
      <w:r w:rsidR="00D82E87" w:rsidRPr="00732FAA">
        <w:rPr>
          <w:iCs/>
        </w:rPr>
        <w:t>ure</w:t>
      </w:r>
      <w:r w:rsidRPr="00732FAA">
        <w:rPr>
          <w:iCs/>
        </w:rPr>
        <w:t xml:space="preserve"> 1</w:t>
      </w:r>
      <w:r w:rsidR="00D82E87" w:rsidRPr="00732FAA">
        <w:rPr>
          <w:iCs/>
        </w:rPr>
        <w:t>)</w:t>
      </w:r>
      <w:r w:rsidRPr="00732FAA">
        <w:rPr>
          <w:iCs/>
        </w:rPr>
        <w:t xml:space="preserve">. </w:t>
      </w:r>
    </w:p>
    <w:p w14:paraId="67D64833" w14:textId="77777777" w:rsidR="00295824" w:rsidRPr="00732FAA" w:rsidRDefault="00295824" w:rsidP="00295824">
      <w:pPr>
        <w:spacing w:line="360" w:lineRule="auto"/>
        <w:rPr>
          <w:iCs/>
        </w:rPr>
      </w:pPr>
    </w:p>
    <w:p w14:paraId="229CCB3C" w14:textId="77777777" w:rsidR="00295824" w:rsidRPr="00732FAA" w:rsidRDefault="00295824" w:rsidP="00295824">
      <w:pPr>
        <w:spacing w:line="360" w:lineRule="auto"/>
        <w:rPr>
          <w:iCs/>
        </w:rPr>
      </w:pPr>
      <w:r w:rsidRPr="00732FAA">
        <w:rPr>
          <w:iCs/>
        </w:rPr>
        <w:t>Figure 1</w:t>
      </w:r>
    </w:p>
    <w:p w14:paraId="67CDD12D" w14:textId="77777777" w:rsidR="00FB7751" w:rsidRDefault="00FB7751" w:rsidP="00295824">
      <w:pPr>
        <w:spacing w:line="360" w:lineRule="auto"/>
        <w:rPr>
          <w:b/>
          <w:iCs/>
        </w:rPr>
      </w:pPr>
    </w:p>
    <w:p w14:paraId="742D7630" w14:textId="77777777" w:rsidR="00295824" w:rsidRPr="00732FAA" w:rsidRDefault="00295824" w:rsidP="00295824">
      <w:pPr>
        <w:spacing w:line="360" w:lineRule="auto"/>
        <w:rPr>
          <w:b/>
          <w:iCs/>
        </w:rPr>
      </w:pPr>
      <w:r w:rsidRPr="00732FAA">
        <w:rPr>
          <w:b/>
          <w:iCs/>
        </w:rPr>
        <w:t>Sample</w:t>
      </w:r>
    </w:p>
    <w:p w14:paraId="0F1C14E3" w14:textId="675451CA" w:rsidR="00295824" w:rsidRPr="00732FAA" w:rsidRDefault="00295824" w:rsidP="00295824">
      <w:pPr>
        <w:spacing w:line="360" w:lineRule="auto"/>
        <w:rPr>
          <w:rFonts w:eastAsia="Calibri" w:cs="Arial"/>
          <w:szCs w:val="24"/>
        </w:rPr>
      </w:pPr>
      <w:r w:rsidRPr="00732FAA">
        <w:rPr>
          <w:iCs/>
        </w:rPr>
        <w:t xml:space="preserve">The baseline characteristics of randomised groups were </w:t>
      </w:r>
      <w:r w:rsidR="000F5A29" w:rsidRPr="00732FAA">
        <w:rPr>
          <w:iCs/>
        </w:rPr>
        <w:t>balanced</w:t>
      </w:r>
      <w:r w:rsidRPr="00732FAA">
        <w:rPr>
          <w:iCs/>
        </w:rPr>
        <w:t xml:space="preserve"> (Table 1). There was a difference in the rate of falling in the run-in-period.</w:t>
      </w:r>
      <w:r w:rsidRPr="00732FAA">
        <w:rPr>
          <w:rFonts w:eastAsia="Calibri" w:cs="Arial"/>
          <w:szCs w:val="24"/>
        </w:rPr>
        <w:t xml:space="preserve"> </w:t>
      </w:r>
    </w:p>
    <w:p w14:paraId="435A0F46" w14:textId="77777777" w:rsidR="00295824" w:rsidRPr="00732FAA" w:rsidRDefault="00295824" w:rsidP="00295824">
      <w:pPr>
        <w:spacing w:line="360" w:lineRule="auto"/>
        <w:rPr>
          <w:iCs/>
        </w:rPr>
      </w:pPr>
    </w:p>
    <w:p w14:paraId="7108BCDB" w14:textId="77777777" w:rsidR="00295824" w:rsidRPr="00732FAA" w:rsidRDefault="00295824" w:rsidP="00295824">
      <w:pPr>
        <w:spacing w:line="360" w:lineRule="auto"/>
        <w:rPr>
          <w:iCs/>
        </w:rPr>
      </w:pPr>
      <w:r w:rsidRPr="00732FAA">
        <w:rPr>
          <w:iCs/>
        </w:rPr>
        <w:t>Table 1</w:t>
      </w:r>
    </w:p>
    <w:p w14:paraId="3A4F43B2" w14:textId="77777777" w:rsidR="00295824" w:rsidRPr="00732FAA" w:rsidRDefault="00295824" w:rsidP="00295824">
      <w:pPr>
        <w:spacing w:line="360" w:lineRule="auto"/>
        <w:rPr>
          <w:iCs/>
        </w:rPr>
      </w:pPr>
      <w:r w:rsidRPr="00732FAA">
        <w:rPr>
          <w:iCs/>
        </w:rPr>
        <w:lastRenderedPageBreak/>
        <w:t>Table 2</w:t>
      </w:r>
    </w:p>
    <w:p w14:paraId="0DE4E29A" w14:textId="77777777" w:rsidR="00295824" w:rsidRPr="00732FAA" w:rsidRDefault="00295824" w:rsidP="00295824">
      <w:pPr>
        <w:spacing w:line="360" w:lineRule="auto"/>
        <w:rPr>
          <w:iCs/>
        </w:rPr>
      </w:pPr>
    </w:p>
    <w:p w14:paraId="7A3B34A3" w14:textId="77777777" w:rsidR="00BB4EE2" w:rsidRPr="00732FAA" w:rsidRDefault="00BB4EE2" w:rsidP="00295824">
      <w:pPr>
        <w:spacing w:line="360" w:lineRule="auto"/>
        <w:rPr>
          <w:iCs/>
        </w:rPr>
      </w:pPr>
    </w:p>
    <w:p w14:paraId="4901D4B9" w14:textId="77777777" w:rsidR="00295824" w:rsidRPr="00732FAA" w:rsidRDefault="00295824" w:rsidP="00295824">
      <w:pPr>
        <w:spacing w:line="360" w:lineRule="auto"/>
        <w:rPr>
          <w:b/>
          <w:iCs/>
        </w:rPr>
      </w:pPr>
      <w:r w:rsidRPr="00732FAA">
        <w:rPr>
          <w:b/>
          <w:iCs/>
        </w:rPr>
        <w:t>Outcomes</w:t>
      </w:r>
    </w:p>
    <w:p w14:paraId="664AA4E8" w14:textId="0FEC5EBA" w:rsidR="00295824" w:rsidRPr="00732FAA" w:rsidRDefault="00295824" w:rsidP="00295824">
      <w:pPr>
        <w:spacing w:line="360" w:lineRule="auto"/>
      </w:pPr>
      <w:r w:rsidRPr="00732FAA">
        <w:t xml:space="preserve">There was little difference in the rate of falling between groups in the first 6 months (Table 2). Table 3 shows the treatment effect estimates for the primary time point including the primary outcome. Repeat falling in the PDSAFE group at 6 months was slightly higher than in the </w:t>
      </w:r>
      <w:r w:rsidR="001406C6" w:rsidRPr="00732FAA">
        <w:t xml:space="preserve">control </w:t>
      </w:r>
      <w:r w:rsidRPr="00732FAA">
        <w:t>group (OR 1.21 (95% CI 0.74 to 1.98, P=0.447)). There was significantly lower risk of near falling (0.67, (95% CI 0.53 to 0.86, P=0.001)) in the PDSAFE compared to control group.</w:t>
      </w:r>
    </w:p>
    <w:p w14:paraId="58A5411B" w14:textId="77777777" w:rsidR="00295824" w:rsidRPr="00732FAA" w:rsidRDefault="00295824" w:rsidP="00295824">
      <w:pPr>
        <w:spacing w:line="276" w:lineRule="auto"/>
      </w:pPr>
    </w:p>
    <w:p w14:paraId="56BF8711" w14:textId="77777777" w:rsidR="00295824" w:rsidRPr="00732FAA" w:rsidRDefault="00295824" w:rsidP="00295824">
      <w:pPr>
        <w:spacing w:line="276" w:lineRule="auto"/>
      </w:pPr>
      <w:r w:rsidRPr="00732FAA">
        <w:t>Tables 3 &amp; 4</w:t>
      </w:r>
    </w:p>
    <w:p w14:paraId="0CAD845A" w14:textId="77777777" w:rsidR="00295824" w:rsidRPr="00732FAA" w:rsidRDefault="00295824" w:rsidP="00295824">
      <w:pPr>
        <w:spacing w:line="360" w:lineRule="auto"/>
      </w:pPr>
    </w:p>
    <w:p w14:paraId="77BB16C1" w14:textId="0639A2F8" w:rsidR="00295824" w:rsidRPr="00732FAA" w:rsidRDefault="00295824" w:rsidP="00295824">
      <w:pPr>
        <w:spacing w:line="360" w:lineRule="auto"/>
      </w:pPr>
      <w:r w:rsidRPr="00732FAA">
        <w:t>For the secondary outcomes collected at 6 months</w:t>
      </w:r>
      <w:r w:rsidR="00E87E5D">
        <w:t xml:space="preserve"> (table 3)</w:t>
      </w:r>
      <w:r w:rsidRPr="00732FAA">
        <w:t>, the exercise group had better balance (between group difference Mini-BEST score 0.95 points (95% CI 0.24 to 1.67 P=0.009); better falls confidence (between group difference 1.60 points (95% CI 3.00 to 0.19, P=0.026); and improved balance and functional strength as assessed by the Chair stand test, CST (P=0.041)</w:t>
      </w:r>
      <w:r w:rsidR="00E87E5D">
        <w:t xml:space="preserve"> (table 4)</w:t>
      </w:r>
      <w:r w:rsidRPr="00732FAA">
        <w:t>. No material differences from those reported above were found when analyses were repeated on a per protocol basis.</w:t>
      </w:r>
    </w:p>
    <w:p w14:paraId="5F64F4CE" w14:textId="77777777" w:rsidR="00295824" w:rsidRPr="00732FAA" w:rsidRDefault="00295824" w:rsidP="00295824">
      <w:pPr>
        <w:spacing w:line="360" w:lineRule="auto"/>
      </w:pPr>
    </w:p>
    <w:p w14:paraId="3F106511" w14:textId="77777777" w:rsidR="00295824" w:rsidRPr="00732FAA" w:rsidRDefault="00295824" w:rsidP="00295824">
      <w:pPr>
        <w:spacing w:line="360" w:lineRule="auto"/>
      </w:pPr>
      <w:r w:rsidRPr="00732FAA">
        <w:t>Fig 2</w:t>
      </w:r>
    </w:p>
    <w:p w14:paraId="4C5F4DE5" w14:textId="77777777" w:rsidR="00BB4EE2" w:rsidRPr="00732FAA" w:rsidRDefault="00BB4EE2" w:rsidP="00295824">
      <w:pPr>
        <w:spacing w:line="360" w:lineRule="auto"/>
        <w:rPr>
          <w:b/>
        </w:rPr>
      </w:pPr>
    </w:p>
    <w:p w14:paraId="7F3C2D9E" w14:textId="77777777" w:rsidR="00BB4EE2" w:rsidRPr="00732FAA" w:rsidRDefault="00BB4EE2" w:rsidP="00295824">
      <w:pPr>
        <w:spacing w:line="360" w:lineRule="auto"/>
        <w:rPr>
          <w:b/>
        </w:rPr>
      </w:pPr>
    </w:p>
    <w:p w14:paraId="73021C08" w14:textId="461AE727" w:rsidR="00295824" w:rsidRPr="00732FAA" w:rsidRDefault="00295824" w:rsidP="00295824">
      <w:pPr>
        <w:spacing w:line="360" w:lineRule="auto"/>
        <w:rPr>
          <w:b/>
        </w:rPr>
      </w:pPr>
      <w:r w:rsidRPr="00732FAA">
        <w:rPr>
          <w:b/>
        </w:rPr>
        <w:t xml:space="preserve">Pre-specified </w:t>
      </w:r>
      <w:r w:rsidR="001B4B2F" w:rsidRPr="00732FAA">
        <w:rPr>
          <w:b/>
        </w:rPr>
        <w:t xml:space="preserve">and exploratory </w:t>
      </w:r>
      <w:r w:rsidRPr="00732FAA">
        <w:rPr>
          <w:b/>
        </w:rPr>
        <w:t>sub-group analysis - 6 months</w:t>
      </w:r>
    </w:p>
    <w:p w14:paraId="32FA5D76" w14:textId="3C3F3826" w:rsidR="00295824" w:rsidRPr="00732FAA" w:rsidRDefault="00295824" w:rsidP="00295824">
      <w:pPr>
        <w:spacing w:line="360" w:lineRule="auto"/>
      </w:pPr>
      <w:r w:rsidRPr="00732FAA">
        <w:t xml:space="preserve">The results of pre-specified sub-group analyses </w:t>
      </w:r>
      <w:r w:rsidR="001B4B2F" w:rsidRPr="00732FAA">
        <w:t xml:space="preserve">for MoCA and freezing of gait </w:t>
      </w:r>
      <w:r w:rsidRPr="00732FAA">
        <w:t xml:space="preserve">are shown in Figure 2, along with </w:t>
      </w:r>
      <w:r w:rsidR="001B4B2F" w:rsidRPr="00732FAA">
        <w:t>further analysis of subgroups defined by tertiles</w:t>
      </w:r>
      <w:r w:rsidRPr="00732FAA">
        <w:t xml:space="preserve">. People who had freezing of gait at study entry did not respond well to the intervention, and this interaction effect estimate was statistically significant (P=0.025) There </w:t>
      </w:r>
      <w:r w:rsidR="001B4B2F" w:rsidRPr="00732FAA">
        <w:t xml:space="preserve">were </w:t>
      </w:r>
      <w:r w:rsidRPr="00732FAA">
        <w:t>trend</w:t>
      </w:r>
      <w:r w:rsidR="001B4B2F" w:rsidRPr="00732FAA">
        <w:t>s</w:t>
      </w:r>
      <w:r w:rsidRPr="00732FAA">
        <w:t xml:space="preserve"> toward </w:t>
      </w:r>
      <w:r w:rsidR="001B4B2F" w:rsidRPr="00732FAA">
        <w:t xml:space="preserve">worse </w:t>
      </w:r>
      <w:r w:rsidRPr="00732FAA">
        <w:t>response to treatment in people with cognitive impairment (as measured by the MoCA) (</w:t>
      </w:r>
      <w:r w:rsidR="001B4B2F" w:rsidRPr="00732FAA">
        <w:t xml:space="preserve">P=0.111 and </w:t>
      </w:r>
      <w:r w:rsidRPr="00732FAA">
        <w:t>P=0.088</w:t>
      </w:r>
      <w:r w:rsidR="001B4B2F" w:rsidRPr="00732FAA">
        <w:t xml:space="preserve"> for the analyses of repeat falls and rate of falling respectively</w:t>
      </w:r>
      <w:r w:rsidRPr="00732FAA">
        <w:t>)</w:t>
      </w:r>
      <w:r w:rsidR="001B4B2F" w:rsidRPr="00732FAA">
        <w:t>.</w:t>
      </w:r>
      <w:r w:rsidRPr="00732FAA">
        <w:t xml:space="preserve">  </w:t>
      </w:r>
    </w:p>
    <w:p w14:paraId="49E049C3" w14:textId="77777777" w:rsidR="00295824" w:rsidRPr="00732FAA" w:rsidRDefault="00295824" w:rsidP="00295824">
      <w:pPr>
        <w:spacing w:line="360" w:lineRule="auto"/>
      </w:pPr>
    </w:p>
    <w:p w14:paraId="3C7AAC23" w14:textId="6059EA03" w:rsidR="00295824" w:rsidRPr="00732FAA" w:rsidRDefault="00295824" w:rsidP="00295824">
      <w:pPr>
        <w:spacing w:line="360" w:lineRule="auto"/>
      </w:pPr>
      <w:r w:rsidRPr="00732FAA">
        <w:lastRenderedPageBreak/>
        <w:t xml:space="preserve">Statistically significant differences in the PDSAFE effect in relation to </w:t>
      </w:r>
      <w:r w:rsidR="001B4B2F" w:rsidRPr="00732FAA">
        <w:t>rate of falling</w:t>
      </w:r>
      <w:r w:rsidRPr="00732FAA">
        <w:t xml:space="preserve"> were found across subgroups according to UPDRS severity, and retrospectively collected falling in the year prior to screening (interaction P=0.009 and 0.050 respectively); with an indication of possible benefit of PDSAFE in the middle subgroups only, while PDSAFE was associated with increased rate of falling in the most severe group. The impact of PDSAFE on near falling, Mini-BESTest and falls confidence was consistently beneficial across the subgroups.</w:t>
      </w:r>
    </w:p>
    <w:p w14:paraId="492A7C94" w14:textId="77777777" w:rsidR="00295824" w:rsidRPr="00732FAA" w:rsidRDefault="00295824" w:rsidP="00295824">
      <w:pPr>
        <w:spacing w:line="360" w:lineRule="auto"/>
      </w:pPr>
    </w:p>
    <w:p w14:paraId="7DFA06A3" w14:textId="77777777" w:rsidR="00295824" w:rsidRPr="00732FAA" w:rsidRDefault="00295824" w:rsidP="00295824">
      <w:pPr>
        <w:spacing w:line="360" w:lineRule="auto"/>
        <w:rPr>
          <w:b/>
        </w:rPr>
      </w:pPr>
      <w:r w:rsidRPr="00732FAA">
        <w:rPr>
          <w:b/>
        </w:rPr>
        <w:t>Adverse events and deaths</w:t>
      </w:r>
    </w:p>
    <w:p w14:paraId="7BDDA95A" w14:textId="77777777" w:rsidR="00295824" w:rsidRPr="00732FAA" w:rsidRDefault="00295824" w:rsidP="00295824">
      <w:pPr>
        <w:spacing w:line="360" w:lineRule="auto"/>
      </w:pPr>
      <w:r w:rsidRPr="00732FAA">
        <w:t xml:space="preserve">Two participants died during follow-up in the PDSAFE group and five in the control group (figure 1). During the 6 months following randomisation, five fractures were reported by PDSAFE and nine by control group participants. Nine PDSAFE and twenty control group participants reported hospitalisations, of whom one PDSAFE participant reported two stays, none of these were associated with participation in the intervention. </w:t>
      </w:r>
    </w:p>
    <w:p w14:paraId="01B6D191" w14:textId="77777777" w:rsidR="00295824" w:rsidRPr="00732FAA" w:rsidRDefault="00295824" w:rsidP="00295824">
      <w:pPr>
        <w:spacing w:line="276" w:lineRule="auto"/>
      </w:pPr>
    </w:p>
    <w:p w14:paraId="5D92627E" w14:textId="77777777" w:rsidR="00295824" w:rsidRPr="00732FAA" w:rsidRDefault="00295824" w:rsidP="00295824">
      <w:pPr>
        <w:spacing w:line="276" w:lineRule="auto"/>
        <w:rPr>
          <w:b/>
        </w:rPr>
      </w:pPr>
      <w:r w:rsidRPr="00732FAA">
        <w:rPr>
          <w:b/>
        </w:rPr>
        <w:t>Extended follow up</w:t>
      </w:r>
    </w:p>
    <w:p w14:paraId="53D96C2B" w14:textId="66DBCD82" w:rsidR="00295824" w:rsidRPr="00732FAA" w:rsidRDefault="00295824" w:rsidP="00295824">
      <w:pPr>
        <w:spacing w:line="360" w:lineRule="auto"/>
      </w:pPr>
      <w:r w:rsidRPr="00732FAA">
        <w:t xml:space="preserve">During the period 6 to 12 months after randomisation, seven fractures were reported by PDSAFE and three by control group participants; eighteen PDSAFE and 21 control group participants reported hospitalizations of whom two PDSAFE and four control participants reported two </w:t>
      </w:r>
      <w:r w:rsidR="000F5A29" w:rsidRPr="00732FAA">
        <w:t xml:space="preserve">hospital </w:t>
      </w:r>
      <w:r w:rsidRPr="00732FAA">
        <w:t xml:space="preserve">stays. No participant fell </w:t>
      </w:r>
      <w:r w:rsidR="000F5A29" w:rsidRPr="00732FAA">
        <w:t>during</w:t>
      </w:r>
      <w:r w:rsidRPr="00732FAA">
        <w:t xml:space="preserve"> exercis</w:t>
      </w:r>
      <w:r w:rsidR="000F5A29" w:rsidRPr="00732FAA">
        <w:t>ing</w:t>
      </w:r>
      <w:r w:rsidRPr="00732FAA">
        <w:t>.</w:t>
      </w:r>
    </w:p>
    <w:p w14:paraId="571789C8" w14:textId="77777777" w:rsidR="00295824" w:rsidRDefault="00295824" w:rsidP="00295824">
      <w:pPr>
        <w:spacing w:line="276" w:lineRule="auto"/>
        <w:rPr>
          <w:b/>
          <w:sz w:val="28"/>
          <w:szCs w:val="28"/>
        </w:rPr>
      </w:pPr>
    </w:p>
    <w:p w14:paraId="3D0DA788" w14:textId="77777777" w:rsidR="00295824" w:rsidRPr="00732FAA" w:rsidRDefault="00295824" w:rsidP="00295824">
      <w:pPr>
        <w:spacing w:line="276" w:lineRule="auto"/>
      </w:pPr>
      <w:r w:rsidRPr="00732FAA">
        <w:rPr>
          <w:b/>
          <w:sz w:val="28"/>
          <w:szCs w:val="28"/>
        </w:rPr>
        <w:t>DISCUSSION</w:t>
      </w:r>
    </w:p>
    <w:p w14:paraId="4FE0D922" w14:textId="41CD0581" w:rsidR="00295824" w:rsidRPr="00732FAA" w:rsidRDefault="00295824" w:rsidP="00295824">
      <w:pPr>
        <w:spacing w:afterLines="160" w:after="384" w:line="360" w:lineRule="auto"/>
      </w:pPr>
      <w:r w:rsidRPr="00732FAA">
        <w:t>PDSAFE is the largest trial of physiotherapy for fall prevention among PwP, with 474 participants randomised it was more than double the size of the previous largest trial by Canning et al[6] with 231 participants. It was novel with a personalised intervention conducted in the home-setting</w:t>
      </w:r>
      <w:r w:rsidR="001B4B2F" w:rsidRPr="00732FAA">
        <w:t>, and</w:t>
      </w:r>
      <w:r w:rsidRPr="00732FAA">
        <w:t xml:space="preserve"> </w:t>
      </w:r>
      <w:r w:rsidR="001B4B2F" w:rsidRPr="00732FAA">
        <w:t xml:space="preserve">both </w:t>
      </w:r>
      <w:r w:rsidRPr="00732FAA">
        <w:t>a three-month</w:t>
      </w:r>
      <w:r w:rsidR="001B4B2F" w:rsidRPr="00732FAA">
        <w:t xml:space="preserve"> pre-randomisation baseline and</w:t>
      </w:r>
      <w:r w:rsidRPr="00732FAA">
        <w:t xml:space="preserve"> </w:t>
      </w:r>
      <w:r w:rsidR="001B4B2F" w:rsidRPr="00732FAA">
        <w:t xml:space="preserve">follow-up counts </w:t>
      </w:r>
      <w:r w:rsidRPr="00732FAA">
        <w:t>of fall</w:t>
      </w:r>
      <w:r w:rsidR="001B4B2F" w:rsidRPr="00732FAA">
        <w:t>s collected prospectively in diaries</w:t>
      </w:r>
      <w:r w:rsidRPr="00732FAA">
        <w:t xml:space="preserve">. Despite this, </w:t>
      </w:r>
      <w:r w:rsidR="001B4B2F" w:rsidRPr="00732FAA">
        <w:t>we</w:t>
      </w:r>
      <w:r w:rsidRPr="00732FAA">
        <w:t xml:space="preserve"> failed to demonstrate PDSAFE was effective in reducing falls in a heterogeneous sample of PwP</w:t>
      </w:r>
      <w:r w:rsidR="001B4B2F" w:rsidRPr="00732FAA">
        <w:t xml:space="preserve"> overall</w:t>
      </w:r>
      <w:r w:rsidRPr="00732FAA">
        <w:t xml:space="preserve">.  Our non-significant result was similar to that found by previous researchers of trials with more than 100 participants[5, 6, </w:t>
      </w:r>
      <w:r w:rsidR="00BB4EE2" w:rsidRPr="00732FAA">
        <w:t>7</w:t>
      </w:r>
      <w:r w:rsidRPr="00732FAA">
        <w:t xml:space="preserve">, and </w:t>
      </w:r>
      <w:r w:rsidR="005709DC" w:rsidRPr="00732FAA">
        <w:t>8</w:t>
      </w:r>
      <w:r w:rsidRPr="00732FAA">
        <w:t>] and falls as a primary outcome. The exception was a trial of exercises, conducted in an out-patient setting by Morris et al in 2015[3], this positive outcome was not replicated when repeated at home with a lower treatment dose[5]. Two other research groups reported falls reduction as a result of interventions outside of current physiotherapy; virtual reality and treadm</w:t>
      </w:r>
      <w:r w:rsidR="00DD3F09">
        <w:t xml:space="preserve">ill </w:t>
      </w:r>
      <w:r w:rsidR="00DD3F09">
        <w:lastRenderedPageBreak/>
        <w:t>training[4] and Tai Chi[32</w:t>
      </w:r>
      <w:r w:rsidRPr="00732FAA">
        <w:t>]</w:t>
      </w:r>
      <w:r w:rsidR="00DD3F09">
        <w:t>.</w:t>
      </w:r>
      <w:r w:rsidRPr="00732FAA">
        <w:t xml:space="preserve">  A meta-analysis of falls interventions prior to this trial demonstrated an inconsistency of effect with a need for higher quality trials[2].  In line with those previous researchers of non-significant trials we found a diverse response to the intervention, those with milder disease responding better to the intervention than those with a more severe condition profile.</w:t>
      </w:r>
    </w:p>
    <w:p w14:paraId="7FF6C730" w14:textId="7BC9EB6B" w:rsidR="00295824" w:rsidRPr="00732FAA" w:rsidRDefault="001B4B2F" w:rsidP="00295824">
      <w:pPr>
        <w:spacing w:afterLines="160" w:after="384" w:line="360" w:lineRule="auto"/>
      </w:pPr>
      <w:r w:rsidRPr="00732FAA">
        <w:t>It has been s</w:t>
      </w:r>
      <w:r w:rsidR="00295824" w:rsidRPr="00732FAA">
        <w:t>uggest</w:t>
      </w:r>
      <w:r w:rsidRPr="00732FAA">
        <w:t>ed that</w:t>
      </w:r>
      <w:r w:rsidR="00295824" w:rsidRPr="00732FAA">
        <w:t xml:space="preserve"> non-significant fall prevention trials have resulted from under dosing of treatment</w:t>
      </w:r>
      <w:r w:rsidR="00E83225">
        <w:t>[</w:t>
      </w:r>
      <w:r w:rsidR="00295824" w:rsidRPr="00732FAA">
        <w:t>3</w:t>
      </w:r>
      <w:r w:rsidR="00E83225">
        <w:t>]</w:t>
      </w:r>
      <w:r w:rsidR="00295824" w:rsidRPr="00732FAA">
        <w:t xml:space="preserve"> but dosing rehabilitation is complex. Rehabilitation is an interactive educational process designed to improve function and facilitated by a therapist. Each person has to actively participate in rehabilitation, the process of which can be influenced by motivation, age, cognition and severity of condition. Other important features are timing and content of intervention as well as the therapists and training. We will address these issues below and discuss how they may have led to the non-significant finding of our trial.</w:t>
      </w:r>
    </w:p>
    <w:p w14:paraId="39447479" w14:textId="74A0ADFD" w:rsidR="00295824" w:rsidRPr="00732FAA" w:rsidRDefault="00295824" w:rsidP="00295824">
      <w:pPr>
        <w:spacing w:afterLines="160" w:after="384" w:line="360" w:lineRule="auto"/>
      </w:pPr>
      <w:r w:rsidRPr="00732FAA">
        <w:t>First, the influence of the therapy content and delivery on rehabilitation dose.  A strength of the trial was the evidence-based therapy programme delivered by skilled trained physiotherapists. The PDSAFE training was structured and practice was rigorously tested for fidelity.  Ninety-one percent of the intervention-group participants received per protocol, on average 12 face-to-face supervised sessions of 1 to 1.5 hours and were encouraged to complete unsupervised daily practice, meeting the recommen</w:t>
      </w:r>
      <w:r w:rsidR="00DD3F09">
        <w:t>dations of Sherrington et al[33</w:t>
      </w:r>
      <w:r w:rsidRPr="00732FAA">
        <w:t>] of at least 50 hours of practice. Previous researchers have used a range of different interventions, often poorly described with a great deal of diversity of treatment protocols and dosage. The PDSAFE trial delivered more supervised sessions than any of the other five identified research trials, e.g.: one hour weekly face to face for six weeks</w:t>
      </w:r>
      <w:r w:rsidR="00E83225">
        <w:t>[</w:t>
      </w:r>
      <w:r w:rsidRPr="00732FAA">
        <w:t>5</w:t>
      </w:r>
      <w:r w:rsidR="00E83225">
        <w:t>]</w:t>
      </w:r>
      <w:r w:rsidRPr="00732FAA">
        <w:t>, one hour weekly group sessions for 8 weeks</w:t>
      </w:r>
      <w:r w:rsidR="00E83225">
        <w:t>[</w:t>
      </w:r>
      <w:r w:rsidRPr="00732FAA">
        <w:t>6</w:t>
      </w:r>
      <w:r w:rsidR="00E83225">
        <w:t>]</w:t>
      </w:r>
      <w:r w:rsidRPr="00732FAA">
        <w:t>, and one hour weekly group session for 10 weeks</w:t>
      </w:r>
      <w:r w:rsidR="00E83225">
        <w:t>[</w:t>
      </w:r>
      <w:r w:rsidR="005709DC" w:rsidRPr="00732FAA">
        <w:t>7</w:t>
      </w:r>
      <w:r w:rsidR="00E83225">
        <w:t>]</w:t>
      </w:r>
      <w:r w:rsidRPr="00732FAA">
        <w:t>, one hour monthly group session for 6 month, one ho</w:t>
      </w:r>
      <w:r w:rsidR="005709DC" w:rsidRPr="00732FAA">
        <w:t>ur weekly session for 6 weeks</w:t>
      </w:r>
      <w:r w:rsidR="00E83225">
        <w:t>[</w:t>
      </w:r>
      <w:r w:rsidR="005709DC" w:rsidRPr="00732FAA">
        <w:t>8</w:t>
      </w:r>
      <w:r w:rsidR="00E83225">
        <w:t>]</w:t>
      </w:r>
      <w:r w:rsidRPr="00732FAA">
        <w:t xml:space="preserve">, in addition all encouraged independent practice but their recommendations were not as frequent as the PDSAFE mandate of daily routine.  In terms of </w:t>
      </w:r>
      <w:r w:rsidR="006D4A79" w:rsidRPr="00732FAA">
        <w:t xml:space="preserve">amount of </w:t>
      </w:r>
      <w:r w:rsidRPr="00732FAA">
        <w:t>treatment</w:t>
      </w:r>
      <w:r w:rsidR="009E3B81" w:rsidRPr="00732FAA">
        <w:t xml:space="preserve"> a balance is needed between sufficient time for training and too high an </w:t>
      </w:r>
      <w:r w:rsidRPr="00732FAA">
        <w:t>expectation</w:t>
      </w:r>
      <w:r w:rsidR="009E3B81" w:rsidRPr="00732FAA">
        <w:t xml:space="preserve"> of commitment, if </w:t>
      </w:r>
      <w:r w:rsidRPr="00732FAA">
        <w:t>too high participants start to withdraw</w:t>
      </w:r>
      <w:r w:rsidR="009E3B81" w:rsidRPr="00732FAA">
        <w:t xml:space="preserve"> and even under </w:t>
      </w:r>
      <w:r w:rsidRPr="00732FAA">
        <w:t xml:space="preserve">our procedures we had a greater withdrawal from the intervention group than our control group. Our programme was personalised in order to maximise individual motivation and it was multidimensional, requiring individuals to progress their activities and to integrate their training into everyday functional tasks which needed active participation from them and cognitive reasoning but this may have been too challenging for some. While manageable by those in the moderate to least severe disease groups, attention, reaction and response rates may have been compromised at the more severe end of the spectrum even though the treatment and selection of tasks were personalised.                            </w:t>
      </w:r>
    </w:p>
    <w:p w14:paraId="12351F80" w14:textId="37D655C8" w:rsidR="00295824" w:rsidRPr="00732FAA" w:rsidRDefault="00295824" w:rsidP="00295824">
      <w:pPr>
        <w:spacing w:afterLines="160" w:after="384" w:line="360" w:lineRule="auto"/>
      </w:pPr>
      <w:r w:rsidRPr="00732FAA">
        <w:lastRenderedPageBreak/>
        <w:t xml:space="preserve">Second, the influence of individual characteristics on rehabilitation dose.  Our sample reflected a typical heterogeneous Parkinson’s population and was not dissimilar to the other research trials, it comprised participants with a range of disease severity and fall events; </w:t>
      </w:r>
      <w:r w:rsidR="002D58B2" w:rsidRPr="00732FAA">
        <w:t xml:space="preserve">at least </w:t>
      </w:r>
      <w:r w:rsidRPr="00732FAA">
        <w:t xml:space="preserve">one fall in the previous 12 months, </w:t>
      </w:r>
      <w:r w:rsidR="002D58B2" w:rsidRPr="00732FAA">
        <w:t xml:space="preserve">some with </w:t>
      </w:r>
      <w:r w:rsidRPr="00732FAA">
        <w:t>multiple falls and high disease severity or more complex symptoms, such as freezing. Within Parkinson’s, falls are indicative of a changing disease process; PwP with an established pattern of falling will have more global features of decline of age and/or dis</w:t>
      </w:r>
      <w:r w:rsidR="00DD3F09">
        <w:t>ease association, Lord et al[34</w:t>
      </w:r>
      <w:r w:rsidRPr="00732FAA">
        <w:t>] suggest these progressive features create additional challenges for implementing appropriate management and research. Our sample typically included those with and without freezing of gait and, although we screened to exclude individuals with cogniti</w:t>
      </w:r>
      <w:r w:rsidR="00DD3F09">
        <w:t>ve impairment using the MMSE[17</w:t>
      </w:r>
      <w:r w:rsidRPr="00732FAA">
        <w:t>], some participants at baseline and subsequent assess</w:t>
      </w:r>
      <w:r w:rsidR="00DD3F09">
        <w:t>ments scored low on the MoCA[28</w:t>
      </w:r>
      <w:r w:rsidRPr="00732FAA">
        <w:t xml:space="preserve">], a test known to be sensitive to frontal and executive function associated </w:t>
      </w:r>
      <w:r w:rsidR="00DD3F09">
        <w:t>with people who fall</w:t>
      </w:r>
      <w:r w:rsidR="003F2F98">
        <w:t>[</w:t>
      </w:r>
      <w:r w:rsidR="00DD3F09">
        <w:t>35</w:t>
      </w:r>
      <w:r w:rsidRPr="00732FAA">
        <w:t>]. The motor learning potential is reduced in people who freeze[</w:t>
      </w:r>
      <w:r w:rsidR="00DD3F09">
        <w:t>36,37</w:t>
      </w:r>
      <w:r w:rsidRPr="00732FAA">
        <w:t>] and are cognitively challenged; increasing evidence demonstrate that freezing of gait is an important risk factor of falls, ass</w:t>
      </w:r>
      <w:r w:rsidR="00DD3F09">
        <w:t>ociated with reduced balance[38</w:t>
      </w:r>
      <w:r w:rsidRPr="00732FAA">
        <w:t xml:space="preserve">] and impaired cognition. The inclusion of people who did or did not experience freezing illustrates the diverse range of motor problems present in a community sample of PwP and the range of challenges faced when teaching and learning new skills. Domingeos </w:t>
      </w:r>
      <w:r w:rsidR="00DD3F09">
        <w:t>et al[39</w:t>
      </w:r>
      <w:r w:rsidRPr="00732FAA">
        <w:t>] have called for more studies into fall prevention with people with impaired cognition.</w:t>
      </w:r>
    </w:p>
    <w:p w14:paraId="1B06274D" w14:textId="6D0DA18F" w:rsidR="00295824" w:rsidRPr="00732FAA" w:rsidRDefault="00295824" w:rsidP="00295824">
      <w:pPr>
        <w:spacing w:afterLines="160" w:after="384" w:line="360" w:lineRule="auto"/>
      </w:pPr>
      <w:r w:rsidRPr="00732FAA">
        <w:t>That exercise is not uniformly effective across all presentation of Parkinson’s had been suggested but not confirmed in three previous smaller trials[</w:t>
      </w:r>
      <w:r w:rsidR="005709DC" w:rsidRPr="00732FAA">
        <w:t>6, 7, 8</w:t>
      </w:r>
      <w:r w:rsidRPr="00732FAA">
        <w:t>], this informed our decision to pre-specify and undertake sub-group analyses on our data.  The recent work of Canning et al 2016[6] and older trials by Goodwin et al 20</w:t>
      </w:r>
      <w:r w:rsidR="005709DC" w:rsidRPr="00732FAA">
        <w:t>11[7] and Ashburn et al 2007[8</w:t>
      </w:r>
      <w:r w:rsidRPr="00732FAA">
        <w:t xml:space="preserve">] consistently found in their secondary analysis that those with less severe Parkinson’s responded positively to fall reduction programmes but that effect had been counterbalanced with deterioration among those at the worse end of the spectrum producing a non-significant overall result.  Although we have a number of sub-group analyses in PDSAFE, the results are consistent with other published estimates reflecting a similar pattern: those in the moderate disease group, and in the middle group with respect to number of falls prior to the trial had a positive effect from PDSAFE with a 30% reduction in FRR (95% confidence interval 50% to 5% reduction) in the first six months following randomisation. However, there was an increase in FRR of 43% (95% confidence interval 4% to 95% helpful for the moderate disease group, more or different supervised therapy may have been required for those with freezing of gait and greater disease severity (more likely to have additional cognitive impairment) as they could have been more challenged by fall avoidance strategies and experienced greater difficulty with engaging in unsupervised sessions, thus limiting the intensity of practice and the effects.  </w:t>
      </w:r>
    </w:p>
    <w:p w14:paraId="561E787B" w14:textId="7AF10C30" w:rsidR="00295824" w:rsidRPr="00732FAA" w:rsidRDefault="00295824" w:rsidP="00295824">
      <w:pPr>
        <w:spacing w:afterLines="160" w:after="384" w:line="360" w:lineRule="auto"/>
      </w:pPr>
      <w:r w:rsidRPr="00732FAA">
        <w:t xml:space="preserve">A number of previous trials[2] have shown the benefits of exercise on risk factors for falling. In PDSAFE balance, functional strength and falls efficacy were targeted in the treatment and our analysis of secondary </w:t>
      </w:r>
      <w:r w:rsidRPr="00732FAA">
        <w:lastRenderedPageBreak/>
        <w:t>outcomes demonstrated a consistent improvement across the whole PDSAFE group i.e., those with mild, moderate and severe disease. These results support those of others[2] highlighting the positive effects of exercise for balance and gait ability. Interventions in previous trials have largely been delivered outside the home setting but our current results demonstrate similar findings from interventions within the home environment. A positive PDSAFE effect on near-falls, an indicator of instability and reflective of the improvements in balance, was also reported.  Near-falls among PwP have bee</w:t>
      </w:r>
      <w:r w:rsidR="00DD3F09">
        <w:t>n reported by Gazibara et al[40</w:t>
      </w:r>
      <w:r w:rsidR="005709DC" w:rsidRPr="00732FAA">
        <w:t>] and Ashburn et al[8</w:t>
      </w:r>
      <w:r w:rsidRPr="00732FAA">
        <w:t>] and are often related to stumbling or balance loss and have been observed to predispose falling in the general older population[</w:t>
      </w:r>
      <w:r w:rsidR="00DD3F09">
        <w:t>41</w:t>
      </w:r>
      <w:r w:rsidRPr="00732FAA">
        <w:t xml:space="preserve">].  As previously highlighted, all participants, even those with cognitive impairments, greater disease severity and freezing of gait showed improvements in their balance scores and fall efficacy scales. We suggest this indicates these participants were able to comply with exercise but were not able to benefit from the more demanding fall prevention programme possibly because of the need to react and respond in a timely way at moments of instability. </w:t>
      </w:r>
    </w:p>
    <w:p w14:paraId="6A00F9C5" w14:textId="30174155" w:rsidR="00295824" w:rsidRPr="00732FAA" w:rsidRDefault="00295824" w:rsidP="00295824">
      <w:pPr>
        <w:spacing w:afterLines="160" w:after="384" w:line="360" w:lineRule="auto"/>
      </w:pPr>
      <w:r w:rsidRPr="00732FAA">
        <w:t>A limitation of our research was the incomplete 12 month assessment on our sample, a consequence of restricted funding. All participants in our trial were followed to six months, the point of primary outcome but the last 132 recruits could not be followed to one year post-randomisation resulting in a small</w:t>
      </w:r>
      <w:r w:rsidR="002D58B2" w:rsidRPr="00732FAA">
        <w:t>er</w:t>
      </w:r>
      <w:r w:rsidRPr="00732FAA">
        <w:t xml:space="preserve"> sample at 12 months</w:t>
      </w:r>
      <w:r w:rsidR="002D58B2" w:rsidRPr="00732FAA">
        <w:t xml:space="preserve"> impacting on the </w:t>
      </w:r>
      <w:r w:rsidRPr="00732FAA">
        <w:t>interpretation of long-term follow-up</w:t>
      </w:r>
      <w:r w:rsidR="003A16D0" w:rsidRPr="00732FAA">
        <w:t>, including the economic evaluation</w:t>
      </w:r>
      <w:r w:rsidRPr="00732FAA">
        <w:t xml:space="preserve">. </w:t>
      </w:r>
    </w:p>
    <w:p w14:paraId="427AFAC5" w14:textId="77777777" w:rsidR="00295824" w:rsidRPr="00732FAA" w:rsidRDefault="00295824" w:rsidP="00295824">
      <w:pPr>
        <w:tabs>
          <w:tab w:val="left" w:pos="6349"/>
        </w:tabs>
        <w:spacing w:line="360" w:lineRule="auto"/>
        <w:rPr>
          <w:b/>
        </w:rPr>
      </w:pPr>
    </w:p>
    <w:p w14:paraId="02F3293E" w14:textId="77777777" w:rsidR="00295824" w:rsidRPr="00732FAA" w:rsidRDefault="00295824" w:rsidP="00295824">
      <w:pPr>
        <w:tabs>
          <w:tab w:val="left" w:pos="6349"/>
        </w:tabs>
        <w:spacing w:line="360" w:lineRule="auto"/>
        <w:rPr>
          <w:b/>
          <w:sz w:val="28"/>
          <w:szCs w:val="28"/>
        </w:rPr>
      </w:pPr>
      <w:r w:rsidRPr="00732FAA">
        <w:rPr>
          <w:b/>
          <w:sz w:val="28"/>
          <w:szCs w:val="28"/>
        </w:rPr>
        <w:t>CONCLUSION</w:t>
      </w:r>
      <w:r w:rsidRPr="00732FAA">
        <w:rPr>
          <w:b/>
          <w:sz w:val="28"/>
          <w:szCs w:val="28"/>
        </w:rPr>
        <w:tab/>
      </w:r>
    </w:p>
    <w:p w14:paraId="4581E28D" w14:textId="5B147763" w:rsidR="00295824" w:rsidRPr="00732FAA" w:rsidRDefault="00295824" w:rsidP="00295824">
      <w:pPr>
        <w:spacing w:line="360" w:lineRule="auto"/>
      </w:pPr>
      <w:r w:rsidRPr="00732FAA">
        <w:t>PDSAFE did not reduce falls in</w:t>
      </w:r>
      <w:r w:rsidR="005709DC" w:rsidRPr="00732FAA">
        <w:t xml:space="preserve"> the overall</w:t>
      </w:r>
      <w:r w:rsidRPr="00732FAA">
        <w:t xml:space="preserve"> heterogeneous sample of PwP. The treatments were personalised to individual needs within the structure of the PDSAFE concept but the package may not have adequately addressed the range of profiles across the disease spectrum. Those with more severe disease may have found implementing the fall avoidance movement strategies too challenging or they needed more training time; secondary analysis showed diverse responses to the intervention. Secondary outcome measures demonstrated improvement in balance, functional strength and falls efficacy with a reduction in near-falls across the whole sample. Further confirmatory trials of falls prevention on targeted groups of PwP are recommended. </w:t>
      </w:r>
    </w:p>
    <w:p w14:paraId="6279E67F" w14:textId="77777777" w:rsidR="00AC540B" w:rsidRDefault="00AC540B" w:rsidP="00295824">
      <w:pPr>
        <w:spacing w:line="276" w:lineRule="auto"/>
        <w:rPr>
          <w:b/>
        </w:rPr>
      </w:pPr>
    </w:p>
    <w:p w14:paraId="644D6967" w14:textId="77777777" w:rsidR="00263399" w:rsidRDefault="00263399" w:rsidP="00295824">
      <w:pPr>
        <w:spacing w:line="276" w:lineRule="auto"/>
        <w:rPr>
          <w:b/>
        </w:rPr>
      </w:pPr>
    </w:p>
    <w:p w14:paraId="08D177C7" w14:textId="77777777" w:rsidR="00263399" w:rsidRDefault="00263399" w:rsidP="00295824">
      <w:pPr>
        <w:spacing w:line="276" w:lineRule="auto"/>
        <w:rPr>
          <w:b/>
        </w:rPr>
      </w:pPr>
    </w:p>
    <w:p w14:paraId="798C7046" w14:textId="77777777" w:rsidR="00AC540B" w:rsidRDefault="00AC540B" w:rsidP="00295824">
      <w:pPr>
        <w:spacing w:line="276" w:lineRule="auto"/>
        <w:rPr>
          <w:b/>
        </w:rPr>
      </w:pPr>
    </w:p>
    <w:p w14:paraId="185F91EC" w14:textId="77777777" w:rsidR="00295824" w:rsidRPr="00732FAA" w:rsidRDefault="00295824" w:rsidP="00295824">
      <w:pPr>
        <w:spacing w:line="276" w:lineRule="auto"/>
        <w:rPr>
          <w:b/>
        </w:rPr>
      </w:pPr>
      <w:r w:rsidRPr="00732FAA">
        <w:rPr>
          <w:b/>
        </w:rPr>
        <w:lastRenderedPageBreak/>
        <w:t>Acknowledgements</w:t>
      </w:r>
    </w:p>
    <w:p w14:paraId="256DB8D1" w14:textId="77777777" w:rsidR="00295824" w:rsidRPr="00732FAA" w:rsidRDefault="00295824" w:rsidP="00295824">
      <w:pPr>
        <w:spacing w:line="276" w:lineRule="auto"/>
        <w:rPr>
          <w:szCs w:val="24"/>
        </w:rPr>
      </w:pPr>
      <w:r w:rsidRPr="00732FAA">
        <w:t xml:space="preserve">We acknowledge and thank the participants with Parkinson’s; PPI representatives; and member of the Steering and Data Monitoring committees for their valued contributions to the trial. </w:t>
      </w:r>
    </w:p>
    <w:p w14:paraId="7D57F899" w14:textId="77777777" w:rsidR="00295824" w:rsidRPr="00732FAA" w:rsidRDefault="00295824" w:rsidP="00295824">
      <w:pPr>
        <w:spacing w:line="276" w:lineRule="auto"/>
        <w:rPr>
          <w:rFonts w:cs="HelveticaNeueLTStd-Cn"/>
        </w:rPr>
      </w:pPr>
      <w:r w:rsidRPr="00732FAA">
        <w:rPr>
          <w:szCs w:val="24"/>
        </w:rPr>
        <w:t>This project was funded by the National Institute for Health Research HTA programme (project number 10/57/21. The views and opinions expressed therein are those of the authors and do not necessarily reflect those of the HTA programme, NIHR, NHS or the Department of Health</w:t>
      </w:r>
      <w:r w:rsidRPr="00732FAA">
        <w:rPr>
          <w:rFonts w:cs="HelveticaNeueLTStd-Cn"/>
          <w:szCs w:val="24"/>
        </w:rPr>
        <w:t>.</w:t>
      </w:r>
    </w:p>
    <w:p w14:paraId="32E8FB25" w14:textId="77777777" w:rsidR="00295824" w:rsidRPr="00732FAA" w:rsidRDefault="00295824" w:rsidP="00295824">
      <w:pPr>
        <w:spacing w:line="276" w:lineRule="auto"/>
      </w:pPr>
    </w:p>
    <w:p w14:paraId="2EF79422" w14:textId="77777777" w:rsidR="00295824" w:rsidRPr="00732FAA" w:rsidRDefault="00295824" w:rsidP="00295824">
      <w:pPr>
        <w:spacing w:line="276" w:lineRule="auto"/>
        <w:rPr>
          <w:b/>
        </w:rPr>
      </w:pPr>
      <w:r w:rsidRPr="00732FAA">
        <w:rPr>
          <w:b/>
        </w:rPr>
        <w:t>Contributions</w:t>
      </w:r>
    </w:p>
    <w:p w14:paraId="6AFAA016" w14:textId="77777777" w:rsidR="00295824" w:rsidRPr="00732FAA" w:rsidRDefault="00295824" w:rsidP="00295824">
      <w:pPr>
        <w:spacing w:line="276" w:lineRule="auto"/>
      </w:pPr>
      <w:r w:rsidRPr="00732FAA">
        <w:t xml:space="preserve">KS (trial manager) and AA (chief investigator) lead the trial and drafted the manuscript. AA, RP, EM, LR, HR, VG, AN, CB and SL were grant holders and each contributed to study design and management, data interpretation and critical reviewing. AA, SH, LR, AN and VG designed the intervention. RP and IM provided statistical expertise including data cleaning, analysis and interpretation and writing. CF, SH and DK contributed to data collection, fidelity checking, data cleaning and data interpretation. </w:t>
      </w:r>
    </w:p>
    <w:p w14:paraId="2BDC4DA0" w14:textId="77777777" w:rsidR="00295824" w:rsidRPr="00732FAA" w:rsidRDefault="00295824" w:rsidP="00295824">
      <w:pPr>
        <w:spacing w:line="276" w:lineRule="auto"/>
        <w:rPr>
          <w:b/>
        </w:rPr>
      </w:pPr>
    </w:p>
    <w:p w14:paraId="3D9AC0AD" w14:textId="5F517D39" w:rsidR="00295824" w:rsidRPr="00732FAA" w:rsidRDefault="00295824" w:rsidP="00295824">
      <w:pPr>
        <w:spacing w:line="276" w:lineRule="auto"/>
        <w:rPr>
          <w:b/>
        </w:rPr>
      </w:pPr>
      <w:r w:rsidRPr="00732FAA">
        <w:rPr>
          <w:b/>
        </w:rPr>
        <w:t xml:space="preserve">Declaration of interests: </w:t>
      </w:r>
      <w:r w:rsidRPr="00732FAA">
        <w:t xml:space="preserve">All authors have completed the ICMJE uniform disclosure form at </w:t>
      </w:r>
      <w:hyperlink r:id="rId8" w:history="1">
        <w:r w:rsidRPr="00732FAA">
          <w:rPr>
            <w:u w:val="single"/>
          </w:rPr>
          <w:t>www.icmje.org/coi_disclosure.pdf</w:t>
        </w:r>
      </w:hyperlink>
      <w:r w:rsidRPr="00732FAA">
        <w:t xml:space="preserve"> and declare: </w:t>
      </w:r>
      <w:r w:rsidRPr="00732FAA">
        <w:rPr>
          <w:rFonts w:cs="Myriad Pro"/>
          <w:szCs w:val="24"/>
          <w:lang w:eastAsia="zh-CN"/>
        </w:rPr>
        <w:t>Prof. Rochester reports grants from Newcastle University,  during the conduct of the study; grants from Parkinson's UK, grants from EU Marie Curie Training Network, grants from MRC, grants from EPSRC, grants from Wellcome Trust,  from Stroke Association, outside the submitted work.</w:t>
      </w:r>
      <w:r w:rsidRPr="00732FAA">
        <w:rPr>
          <w:szCs w:val="24"/>
        </w:rPr>
        <w:t xml:space="preserve"> </w:t>
      </w:r>
      <w:r w:rsidR="00F53A04" w:rsidRPr="00732FAA">
        <w:rPr>
          <w:rFonts w:cs="Myriad Pro"/>
          <w:szCs w:val="24"/>
          <w:lang w:eastAsia="zh-CN"/>
        </w:rPr>
        <w:t>Dr</w:t>
      </w:r>
      <w:r w:rsidRPr="00732FAA">
        <w:rPr>
          <w:rFonts w:cs="Myriad Pro"/>
          <w:szCs w:val="24"/>
          <w:lang w:eastAsia="zh-CN"/>
        </w:rPr>
        <w:t xml:space="preserve"> Ballinger is a member of the Primary Care Community and Preventive Interventions HTA group and the associated Methods group.</w:t>
      </w:r>
      <w:r w:rsidRPr="00732FAA">
        <w:rPr>
          <w:szCs w:val="24"/>
        </w:rPr>
        <w:t xml:space="preserve"> Prof</w:t>
      </w:r>
      <w:r w:rsidRPr="00732FAA">
        <w:rPr>
          <w:rFonts w:cs="Myriad Pro"/>
          <w:szCs w:val="24"/>
          <w:lang w:eastAsia="zh-CN"/>
        </w:rPr>
        <w:t>. Goodwin reports grants from National Institute for Health Research, during the conduct of the study. Associate Prof. Lamb reports grants from NIHR Health technology Assessment Programme during the conduct of this study. Prof. Lamb was a member of the HTA Additional Capacity Funding Board, HTA End of Life Care and Add-on Studies, HTA Prioritisation Group, HTA Trauma Board during this study.</w:t>
      </w:r>
      <w:r w:rsidRPr="00732FAA">
        <w:rPr>
          <w:szCs w:val="24"/>
        </w:rPr>
        <w:t xml:space="preserve"> All other authors have nothing to disclose. </w:t>
      </w:r>
    </w:p>
    <w:p w14:paraId="74DE869C" w14:textId="77777777" w:rsidR="00295824" w:rsidRPr="00732FAA" w:rsidRDefault="00295824" w:rsidP="00295824">
      <w:pPr>
        <w:rPr>
          <w:b/>
        </w:rPr>
      </w:pPr>
    </w:p>
    <w:p w14:paraId="2AAE22FB" w14:textId="77777777" w:rsidR="006C0891" w:rsidRDefault="00295824" w:rsidP="00295824">
      <w:r w:rsidRPr="00732FAA">
        <w:rPr>
          <w:b/>
        </w:rPr>
        <w:t>Funder acknowledgments:</w:t>
      </w:r>
      <w:r w:rsidRPr="00732FAA">
        <w:t xml:space="preserve">  Prof Lamb is funded by the National Institute for Health (NIHR) Collaboration for Leadership in Applied Health Research and Care at Oxford at Oxford Health NHS Trust and the Oxford Biomedical Research Centre at the Oxford University Hospital Trust</w:t>
      </w:r>
      <w:r w:rsidR="009E3B81" w:rsidRPr="00732FAA">
        <w:t>, and CLAHRC Oxford</w:t>
      </w:r>
      <w:r w:rsidRPr="00732FAA">
        <w:t xml:space="preserve">. Prof Goodwin is supported by the NIHR Collaborations for Leadership in Applied Health Research and Care in the South West Peninsula (PenCLAHRC). Prof Rochester is supported by the National Institute for Health Research (NIHR) Newcastle Biomedical Research Centre (BRC) based at Newcastle upon Tyne Hospitals NHS Foundation Trust and Newcastle University. The research was also supported by NIHR Newcastle CRF Infrastructure funding. Prof. Roberts is supported by CLAHRC </w:t>
      </w:r>
      <w:r w:rsidR="009E3B81" w:rsidRPr="00732FAA">
        <w:t>Wessex and NIHR Southampton Biomedical Research Centre.</w:t>
      </w:r>
    </w:p>
    <w:p w14:paraId="67A0BEB7" w14:textId="77777777" w:rsidR="006C0891" w:rsidRDefault="006C0891" w:rsidP="00295824"/>
    <w:p w14:paraId="1CC15E9B" w14:textId="77777777" w:rsidR="006C0891" w:rsidRDefault="006C0891" w:rsidP="00295824"/>
    <w:p w14:paraId="415717E8" w14:textId="77777777" w:rsidR="006C0891" w:rsidRDefault="006C0891" w:rsidP="00295824"/>
    <w:p w14:paraId="453CF094" w14:textId="77777777" w:rsidR="006C0891" w:rsidRPr="00095532" w:rsidRDefault="006C0891" w:rsidP="006C0891"/>
    <w:p w14:paraId="4DE63AAD" w14:textId="77777777" w:rsidR="006C0891" w:rsidRPr="00095532" w:rsidRDefault="006C0891" w:rsidP="006C0891">
      <w:pPr>
        <w:rPr>
          <w:b/>
          <w:sz w:val="24"/>
          <w:szCs w:val="24"/>
        </w:rPr>
      </w:pPr>
      <w:r w:rsidRPr="00095532">
        <w:rPr>
          <w:b/>
          <w:sz w:val="24"/>
          <w:szCs w:val="24"/>
        </w:rPr>
        <w:lastRenderedPageBreak/>
        <w:t>Figure Legends:</w:t>
      </w:r>
    </w:p>
    <w:p w14:paraId="1465E1AE" w14:textId="77777777" w:rsidR="006C0891" w:rsidRPr="00095532" w:rsidRDefault="006C0891" w:rsidP="006C0891">
      <w:r w:rsidRPr="00095532">
        <w:t>Figure 1 Flow of Participants through the Trial</w:t>
      </w:r>
    </w:p>
    <w:p w14:paraId="238F9A18" w14:textId="77777777" w:rsidR="006C0891" w:rsidRPr="00095532" w:rsidRDefault="006C0891" w:rsidP="006C0891"/>
    <w:p w14:paraId="27D6A6E9" w14:textId="66ECBB39" w:rsidR="00295824" w:rsidRPr="00263399" w:rsidRDefault="006C0891" w:rsidP="00295824">
      <w:pPr>
        <w:rPr>
          <w:b/>
        </w:rPr>
      </w:pPr>
      <w:r w:rsidRPr="00095532">
        <w:t>Figure 2 Overall and subgroup analysis of falling, near-falling (during 0-6 months) and secondary outcomes (at 6 m</w:t>
      </w:r>
      <w:r>
        <w:t>onths).</w:t>
      </w:r>
      <w:r w:rsidR="009E3404">
        <w:t xml:space="preserve"> </w:t>
      </w:r>
      <w:r w:rsidR="00295824" w:rsidRPr="00732FAA">
        <w:rPr>
          <w:b/>
        </w:rPr>
        <w:br w:type="page"/>
      </w:r>
      <w:r w:rsidR="00295824" w:rsidRPr="00295824">
        <w:rPr>
          <w:b/>
          <w:sz w:val="28"/>
          <w:szCs w:val="28"/>
        </w:rPr>
        <w:lastRenderedPageBreak/>
        <w:t xml:space="preserve">REFERENCES </w:t>
      </w:r>
    </w:p>
    <w:tbl>
      <w:tblPr>
        <w:tblW w:w="10257" w:type="dxa"/>
        <w:tblLook w:val="04A0" w:firstRow="1" w:lastRow="0" w:firstColumn="1" w:lastColumn="0" w:noHBand="0" w:noVBand="1"/>
      </w:tblPr>
      <w:tblGrid>
        <w:gridCol w:w="495"/>
        <w:gridCol w:w="9762"/>
      </w:tblGrid>
      <w:tr w:rsidR="00295824" w:rsidRPr="00295824" w14:paraId="21181FE7" w14:textId="77777777" w:rsidTr="00B87ACC">
        <w:trPr>
          <w:trHeight w:val="300"/>
        </w:trPr>
        <w:tc>
          <w:tcPr>
            <w:tcW w:w="495" w:type="dxa"/>
            <w:shd w:val="clear" w:color="auto" w:fill="auto"/>
          </w:tcPr>
          <w:p w14:paraId="70CDF33C" w14:textId="77777777" w:rsidR="00295824" w:rsidRPr="00295824" w:rsidRDefault="00295824" w:rsidP="00295824">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1.</w:t>
            </w:r>
          </w:p>
        </w:tc>
        <w:tc>
          <w:tcPr>
            <w:tcW w:w="9762" w:type="dxa"/>
            <w:shd w:val="clear" w:color="auto" w:fill="auto"/>
            <w:noWrap/>
          </w:tcPr>
          <w:p w14:paraId="27F946A6" w14:textId="77777777" w:rsidR="00295824" w:rsidRPr="00295824" w:rsidRDefault="00295824" w:rsidP="00295824">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Gillespie LD, Robertson MC, Gillespie WJ, Sherrington C, Gates S, Clemson LM, Lamb SE. Interventions for preventing falls in older people living in the community. Cochrane Database of Systematic Reviews 2012, Issue 9. Art. No.: CD007146.DOI: 10.1002/14651858.CD007146.pub3. www.cochranelibrary.com</w:t>
            </w:r>
          </w:p>
        </w:tc>
      </w:tr>
      <w:tr w:rsidR="00295824" w:rsidRPr="00295824" w14:paraId="42B77605" w14:textId="77777777" w:rsidTr="00B87ACC">
        <w:trPr>
          <w:trHeight w:val="300"/>
        </w:trPr>
        <w:tc>
          <w:tcPr>
            <w:tcW w:w="495" w:type="dxa"/>
            <w:shd w:val="clear" w:color="auto" w:fill="auto"/>
          </w:tcPr>
          <w:p w14:paraId="358CB357" w14:textId="77777777" w:rsidR="00295824" w:rsidRPr="00295824" w:rsidRDefault="00295824" w:rsidP="00295824">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2.</w:t>
            </w:r>
          </w:p>
        </w:tc>
        <w:tc>
          <w:tcPr>
            <w:tcW w:w="9762" w:type="dxa"/>
            <w:shd w:val="clear" w:color="auto" w:fill="auto"/>
            <w:noWrap/>
          </w:tcPr>
          <w:p w14:paraId="71C8E2F3" w14:textId="77777777" w:rsidR="00295824" w:rsidRPr="00295824" w:rsidRDefault="00295824" w:rsidP="00295824">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Shen X, Wong-Yu I, Mak M. Effects on falls , balance and gait ability in Parkinson’s disease: A meta-analysis  Neurorehab &amp; Neural Repair</w:t>
            </w:r>
            <w:r w:rsidRPr="00295824">
              <w:rPr>
                <w:rFonts w:ascii="Calibri" w:eastAsia="Times New Roman" w:hAnsi="Calibri" w:cs="Times New Roman"/>
                <w:b/>
                <w:bCs/>
                <w:color w:val="000000"/>
                <w:lang w:eastAsia="en-GB"/>
              </w:rPr>
              <w:t xml:space="preserve"> </w:t>
            </w:r>
            <w:r w:rsidRPr="00295824">
              <w:rPr>
                <w:rFonts w:ascii="Calibri" w:eastAsia="Times New Roman" w:hAnsi="Calibri" w:cs="Times New Roman"/>
                <w:color w:val="000000"/>
                <w:lang w:eastAsia="en-GB"/>
              </w:rPr>
              <w:t>2016;30 (6); 512-529</w:t>
            </w:r>
          </w:p>
        </w:tc>
      </w:tr>
      <w:tr w:rsidR="00295824" w:rsidRPr="00295824" w14:paraId="58A846A6" w14:textId="77777777" w:rsidTr="00B87ACC">
        <w:trPr>
          <w:trHeight w:val="300"/>
        </w:trPr>
        <w:tc>
          <w:tcPr>
            <w:tcW w:w="495" w:type="dxa"/>
            <w:shd w:val="clear" w:color="auto" w:fill="auto"/>
          </w:tcPr>
          <w:p w14:paraId="13376D78" w14:textId="77777777" w:rsidR="00295824" w:rsidRPr="00295824" w:rsidRDefault="00295824" w:rsidP="00295824">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3.</w:t>
            </w:r>
          </w:p>
        </w:tc>
        <w:tc>
          <w:tcPr>
            <w:tcW w:w="9762" w:type="dxa"/>
            <w:shd w:val="clear" w:color="auto" w:fill="auto"/>
            <w:noWrap/>
          </w:tcPr>
          <w:p w14:paraId="506F4B4A" w14:textId="77777777" w:rsidR="00295824" w:rsidRPr="00295824" w:rsidRDefault="00295824" w:rsidP="00295824">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Morris M, Menz H, McGinley J, Watts MComm J, Huxham F, Murphy A, Danoudis M, Iansek R A randomised controlled trial to reduce falls in people with Parkinson’s Disease. Neurorehab &amp; Neural Repair 2015; 29 (8): 777-785</w:t>
            </w:r>
          </w:p>
        </w:tc>
      </w:tr>
      <w:tr w:rsidR="00295824" w:rsidRPr="00295824" w14:paraId="69719042" w14:textId="77777777" w:rsidTr="00B87ACC">
        <w:trPr>
          <w:trHeight w:val="300"/>
        </w:trPr>
        <w:tc>
          <w:tcPr>
            <w:tcW w:w="495" w:type="dxa"/>
            <w:shd w:val="clear" w:color="auto" w:fill="auto"/>
          </w:tcPr>
          <w:p w14:paraId="4AAB364E" w14:textId="77777777" w:rsidR="00295824" w:rsidRPr="00295824" w:rsidRDefault="00295824" w:rsidP="00295824">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4.</w:t>
            </w:r>
          </w:p>
        </w:tc>
        <w:tc>
          <w:tcPr>
            <w:tcW w:w="9762" w:type="dxa"/>
            <w:shd w:val="clear" w:color="auto" w:fill="auto"/>
            <w:noWrap/>
          </w:tcPr>
          <w:p w14:paraId="254F2CAC" w14:textId="77777777" w:rsidR="00295824" w:rsidRPr="00295824" w:rsidRDefault="00295824" w:rsidP="00295824">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 xml:space="preserve">Mirelman A, Rochester L,   Maidan I, Del Din S, Alcock L, Nieuwhof F, Olde Rikkert M,  Bloem B, Pelosin E, Avanzino L, Abbruzzese G, Doclcx K, Bekkers E, Giladi N, Nieuboer A, Hausdoff J  Addition of a non-immersive virtual reality component to treadmill training to reduce fall risk in older adults (V-TIME): a randomised controlled trial The Lancet 2016; 388:1170-82 </w:t>
            </w:r>
          </w:p>
        </w:tc>
      </w:tr>
      <w:tr w:rsidR="00295824" w:rsidRPr="00295824" w14:paraId="50F0B093" w14:textId="77777777" w:rsidTr="00B87ACC">
        <w:trPr>
          <w:trHeight w:val="300"/>
        </w:trPr>
        <w:tc>
          <w:tcPr>
            <w:tcW w:w="495" w:type="dxa"/>
            <w:shd w:val="clear" w:color="auto" w:fill="auto"/>
          </w:tcPr>
          <w:p w14:paraId="44B822A5" w14:textId="77777777" w:rsidR="00295824" w:rsidRPr="00295824" w:rsidRDefault="00295824" w:rsidP="00295824">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5.</w:t>
            </w:r>
          </w:p>
        </w:tc>
        <w:tc>
          <w:tcPr>
            <w:tcW w:w="9762" w:type="dxa"/>
            <w:shd w:val="clear" w:color="auto" w:fill="auto"/>
            <w:noWrap/>
          </w:tcPr>
          <w:p w14:paraId="6715F8A5" w14:textId="77777777" w:rsidR="00295824" w:rsidRPr="00295824" w:rsidRDefault="00295824" w:rsidP="00295824">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Morris M, Taylor N, Watts J, Evans A, Horne M, Kempster P, Danoudis M, McGinley J, Martin C, Menz  A Home program of strength training, movement strategy training and education did not prevent falls in people with Parkinson’s disease: a randomised trial. Jo of Physiotherapy 2017; 63: 94-100</w:t>
            </w:r>
          </w:p>
        </w:tc>
      </w:tr>
      <w:tr w:rsidR="00295824" w:rsidRPr="00295824" w14:paraId="3A00E37C" w14:textId="77777777" w:rsidTr="00B87ACC">
        <w:trPr>
          <w:trHeight w:val="300"/>
        </w:trPr>
        <w:tc>
          <w:tcPr>
            <w:tcW w:w="495" w:type="dxa"/>
            <w:shd w:val="clear" w:color="auto" w:fill="auto"/>
          </w:tcPr>
          <w:p w14:paraId="3CB2E10D" w14:textId="77777777" w:rsidR="00295824" w:rsidRPr="00295824" w:rsidRDefault="00295824" w:rsidP="00295824">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6.</w:t>
            </w:r>
          </w:p>
        </w:tc>
        <w:tc>
          <w:tcPr>
            <w:tcW w:w="9762" w:type="dxa"/>
            <w:shd w:val="clear" w:color="auto" w:fill="auto"/>
            <w:noWrap/>
          </w:tcPr>
          <w:p w14:paraId="35708DE9" w14:textId="77777777" w:rsidR="00295824" w:rsidRPr="00295824" w:rsidRDefault="00295824" w:rsidP="00295824">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Canning C, Sherrington C, Lord S, Close J, Heritier S, Heller G, Howard K, Allen N, Latt M, Murray S, O’Rouke S, Paul S, Song J, Fung V   Exercise for falls prevention in Parkinson’s disease. Neurology 2015; 84: 304-312</w:t>
            </w:r>
          </w:p>
        </w:tc>
      </w:tr>
      <w:tr w:rsidR="00295824" w:rsidRPr="00295824" w14:paraId="02FE58AB" w14:textId="77777777" w:rsidTr="00B87ACC">
        <w:trPr>
          <w:trHeight w:val="300"/>
        </w:trPr>
        <w:tc>
          <w:tcPr>
            <w:tcW w:w="495" w:type="dxa"/>
            <w:shd w:val="clear" w:color="auto" w:fill="auto"/>
          </w:tcPr>
          <w:p w14:paraId="4F23DC98" w14:textId="77777777" w:rsidR="00295824" w:rsidRPr="00295824" w:rsidRDefault="00295824" w:rsidP="00295824">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7.</w:t>
            </w:r>
          </w:p>
        </w:tc>
        <w:tc>
          <w:tcPr>
            <w:tcW w:w="9762" w:type="dxa"/>
            <w:shd w:val="clear" w:color="auto" w:fill="auto"/>
            <w:noWrap/>
          </w:tcPr>
          <w:p w14:paraId="2DD2972D" w14:textId="0FA8A38D" w:rsidR="00295824" w:rsidRPr="00295824" w:rsidRDefault="001E7D83" w:rsidP="00295824">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 xml:space="preserve">Goodwin V, Richards S, Henley W, Ewings P, Taylor A, Campbell J. An exercise intervention to prevent falls in people with Parkinson’s disease: a pragmatic randomised controlled trial. J Neuro Neurosurg &amp; Psych 2011; 82:1232-1238.  </w:t>
            </w:r>
          </w:p>
        </w:tc>
      </w:tr>
      <w:tr w:rsidR="001E7D83" w:rsidRPr="00295824" w14:paraId="502C2AC3" w14:textId="77777777" w:rsidTr="00B87ACC">
        <w:trPr>
          <w:trHeight w:val="300"/>
        </w:trPr>
        <w:tc>
          <w:tcPr>
            <w:tcW w:w="495" w:type="dxa"/>
            <w:shd w:val="clear" w:color="auto" w:fill="auto"/>
          </w:tcPr>
          <w:p w14:paraId="729C37E3"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8.</w:t>
            </w:r>
          </w:p>
        </w:tc>
        <w:tc>
          <w:tcPr>
            <w:tcW w:w="9762" w:type="dxa"/>
            <w:shd w:val="clear" w:color="auto" w:fill="auto"/>
            <w:noWrap/>
          </w:tcPr>
          <w:p w14:paraId="6E190044" w14:textId="41BBFF7E"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Ashburn A, Fazakarley L, Ballinger C et al. A randomised controlled trial of an exercise programme for people with Parkinson’s disease who repeatedly fall,  J Neuro Neurosurg Psych 2007 ; 78 : 678-84.</w:t>
            </w:r>
          </w:p>
        </w:tc>
      </w:tr>
      <w:tr w:rsidR="001E7D83" w:rsidRPr="00295824" w14:paraId="7C4C2964" w14:textId="77777777" w:rsidTr="00B87ACC">
        <w:trPr>
          <w:trHeight w:val="300"/>
        </w:trPr>
        <w:tc>
          <w:tcPr>
            <w:tcW w:w="495" w:type="dxa"/>
            <w:shd w:val="clear" w:color="auto" w:fill="auto"/>
          </w:tcPr>
          <w:p w14:paraId="497150A2"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9.</w:t>
            </w:r>
          </w:p>
        </w:tc>
        <w:tc>
          <w:tcPr>
            <w:tcW w:w="9762" w:type="dxa"/>
            <w:shd w:val="clear" w:color="auto" w:fill="auto"/>
            <w:noWrap/>
          </w:tcPr>
          <w:p w14:paraId="1B2F2FDE" w14:textId="0D8EB75E"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Pickering R, Grimbergen YAM, Rigney U et al Meta-analysis of six prospective studies of falling in Parkinson’s disease. Mov Disord 2007; 22: 1892-900</w:t>
            </w:r>
          </w:p>
        </w:tc>
      </w:tr>
      <w:tr w:rsidR="001E7D83" w:rsidRPr="00295824" w14:paraId="0C2EC4E3" w14:textId="77777777" w:rsidTr="00B87ACC">
        <w:trPr>
          <w:trHeight w:val="300"/>
        </w:trPr>
        <w:tc>
          <w:tcPr>
            <w:tcW w:w="495" w:type="dxa"/>
            <w:shd w:val="clear" w:color="auto" w:fill="auto"/>
          </w:tcPr>
          <w:p w14:paraId="10DCE80D"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10.</w:t>
            </w:r>
          </w:p>
        </w:tc>
        <w:tc>
          <w:tcPr>
            <w:tcW w:w="9762" w:type="dxa"/>
            <w:shd w:val="clear" w:color="auto" w:fill="auto"/>
            <w:noWrap/>
          </w:tcPr>
          <w:p w14:paraId="05BF04FB" w14:textId="64DADB4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Canning C, Paul S, Nieuwboer A. Prevention of falls in Parkinson’s disease: a review of the fall risk factors and the role of physical interventions. Neurodegenerative Disease Management 2014; 4(3): doi.org/10.2217/nmt.14.22</w:t>
            </w:r>
          </w:p>
        </w:tc>
      </w:tr>
      <w:tr w:rsidR="001E7D83" w:rsidRPr="00295824" w14:paraId="29EB0B83" w14:textId="77777777" w:rsidTr="00B87ACC">
        <w:trPr>
          <w:trHeight w:val="300"/>
        </w:trPr>
        <w:tc>
          <w:tcPr>
            <w:tcW w:w="495" w:type="dxa"/>
            <w:shd w:val="clear" w:color="auto" w:fill="auto"/>
          </w:tcPr>
          <w:p w14:paraId="7943F8AD"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11.</w:t>
            </w:r>
          </w:p>
        </w:tc>
        <w:tc>
          <w:tcPr>
            <w:tcW w:w="9762" w:type="dxa"/>
            <w:shd w:val="clear" w:color="auto" w:fill="auto"/>
            <w:noWrap/>
          </w:tcPr>
          <w:p w14:paraId="3FA7F83D" w14:textId="5AEA702E"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Van der Marck M, Klok M, Okun M, Giladi N, Munneke M, Bloem B, on behalf of NPF Falls Task Force. Consensus-based clinical practice recommendations for the examination and management of falls in patients with Parkinson’s disease. Parkinsonism and Related Disorders. 2014; 20: 360-369</w:t>
            </w:r>
          </w:p>
        </w:tc>
      </w:tr>
      <w:tr w:rsidR="001E7D83" w:rsidRPr="00295824" w14:paraId="2538CD37" w14:textId="77777777" w:rsidTr="00B87ACC">
        <w:trPr>
          <w:trHeight w:val="300"/>
        </w:trPr>
        <w:tc>
          <w:tcPr>
            <w:tcW w:w="495" w:type="dxa"/>
            <w:shd w:val="clear" w:color="auto" w:fill="auto"/>
          </w:tcPr>
          <w:p w14:paraId="392561C7"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12.</w:t>
            </w:r>
          </w:p>
        </w:tc>
        <w:tc>
          <w:tcPr>
            <w:tcW w:w="9762" w:type="dxa"/>
            <w:shd w:val="clear" w:color="auto" w:fill="auto"/>
            <w:noWrap/>
          </w:tcPr>
          <w:p w14:paraId="6A24EA2E" w14:textId="0633E6EA"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Bekkers E, Dijlstra B, Dockx K, Heremans E, Verschueren S, Nieuwboer A. Clinical balance scales indicate worse postural control in people with Parkinson’s disease who exhibit freezing of gait compared to those who do not: meta-analysis. Gait &amp; Posture 2017; 56: 134-140</w:t>
            </w:r>
          </w:p>
        </w:tc>
      </w:tr>
      <w:tr w:rsidR="001E7D83" w:rsidRPr="00295824" w14:paraId="644F189F" w14:textId="77777777" w:rsidTr="00B87ACC">
        <w:trPr>
          <w:trHeight w:val="300"/>
        </w:trPr>
        <w:tc>
          <w:tcPr>
            <w:tcW w:w="495" w:type="dxa"/>
            <w:shd w:val="clear" w:color="auto" w:fill="auto"/>
          </w:tcPr>
          <w:p w14:paraId="0F257D0B"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13.</w:t>
            </w:r>
          </w:p>
        </w:tc>
        <w:tc>
          <w:tcPr>
            <w:tcW w:w="9762" w:type="dxa"/>
            <w:shd w:val="clear" w:color="auto" w:fill="auto"/>
            <w:noWrap/>
          </w:tcPr>
          <w:p w14:paraId="2C3ABC1B" w14:textId="6F09700A"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Fasano A, Canning C, Hausdorff J, Lord S, Rochester L. Falls in Parkinson’s Disease: A complex and evolving picture. Movement Disorders 2017; 32(11): 1524-1536</w:t>
            </w:r>
          </w:p>
        </w:tc>
      </w:tr>
      <w:tr w:rsidR="001E7D83" w:rsidRPr="00295824" w14:paraId="10C4401F" w14:textId="77777777" w:rsidTr="00B87ACC">
        <w:trPr>
          <w:trHeight w:val="300"/>
        </w:trPr>
        <w:tc>
          <w:tcPr>
            <w:tcW w:w="495" w:type="dxa"/>
            <w:shd w:val="clear" w:color="auto" w:fill="auto"/>
          </w:tcPr>
          <w:p w14:paraId="49706A2C"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14.</w:t>
            </w:r>
          </w:p>
        </w:tc>
        <w:tc>
          <w:tcPr>
            <w:tcW w:w="9762" w:type="dxa"/>
            <w:shd w:val="clear" w:color="auto" w:fill="auto"/>
            <w:noWrap/>
          </w:tcPr>
          <w:p w14:paraId="78A5EEBA" w14:textId="44B490E2" w:rsidR="001E7D83" w:rsidRPr="00295824" w:rsidRDefault="001E7D83" w:rsidP="001E7D83">
            <w:pPr>
              <w:spacing w:line="240" w:lineRule="auto"/>
              <w:rPr>
                <w:rFonts w:ascii="Calibri" w:eastAsia="Times New Roman" w:hAnsi="Calibri" w:cs="Times New Roman"/>
                <w:color w:val="000000"/>
                <w:lang w:eastAsia="en-GB"/>
              </w:rPr>
            </w:pPr>
            <w:r w:rsidRPr="00295824">
              <w:t>Muzerengi S, Herd C, Rick C, Clarke CE. A systematic review of interventions to reduce hospitalisation in Parkinson's disease. Parkinsonism &amp; Related Disorders. 2016;24(Supplement C):3-7.</w:t>
            </w:r>
            <w:r w:rsidRPr="00295824">
              <w:rPr>
                <w:rFonts w:eastAsia="Times New Roman"/>
              </w:rPr>
              <w:t>    </w:t>
            </w:r>
          </w:p>
        </w:tc>
      </w:tr>
      <w:tr w:rsidR="001E7D83" w:rsidRPr="00295824" w14:paraId="2A9DE1A7" w14:textId="77777777" w:rsidTr="00B87ACC">
        <w:trPr>
          <w:trHeight w:val="142"/>
        </w:trPr>
        <w:tc>
          <w:tcPr>
            <w:tcW w:w="495" w:type="dxa"/>
            <w:shd w:val="clear" w:color="auto" w:fill="auto"/>
          </w:tcPr>
          <w:p w14:paraId="53DCA420"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15.</w:t>
            </w:r>
          </w:p>
        </w:tc>
        <w:tc>
          <w:tcPr>
            <w:tcW w:w="9762" w:type="dxa"/>
            <w:shd w:val="clear" w:color="auto" w:fill="auto"/>
            <w:noWrap/>
          </w:tcPr>
          <w:p w14:paraId="529148AC" w14:textId="2A44A5FA" w:rsidR="001E7D83" w:rsidRPr="00295824" w:rsidRDefault="001E7D83" w:rsidP="001E7D83">
            <w:pPr>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Goodwin V, Pickering R, Ballinger C, Roberts H, McIntosh E, Lamb S, Nieuwboer A, Rochester L, Ashburn A. A multi-centre, randomised controlled trial of the effectiveness of PDSAFE to prevent falls among people with Parkinson’s: study protocol. BMC Neurology</w:t>
            </w:r>
            <w:r w:rsidRPr="00295824">
              <w:rPr>
                <w:rFonts w:ascii="Calibri" w:eastAsia="Times New Roman" w:hAnsi="Calibri" w:cs="Times New Roman"/>
                <w:color w:val="000000"/>
                <w:u w:val="single"/>
                <w:lang w:eastAsia="en-GB"/>
              </w:rPr>
              <w:t xml:space="preserve"> </w:t>
            </w:r>
            <w:r w:rsidRPr="00295824">
              <w:rPr>
                <w:rFonts w:ascii="Calibri" w:eastAsia="Times New Roman" w:hAnsi="Calibri" w:cs="Times New Roman"/>
                <w:color w:val="000000"/>
                <w:lang w:eastAsia="en-GB"/>
              </w:rPr>
              <w:t xml:space="preserve">2015; 15:81  </w:t>
            </w:r>
          </w:p>
        </w:tc>
      </w:tr>
      <w:tr w:rsidR="001E7D83" w:rsidRPr="00295824" w14:paraId="4AEDE1C2" w14:textId="77777777" w:rsidTr="00B87ACC">
        <w:trPr>
          <w:trHeight w:val="300"/>
        </w:trPr>
        <w:tc>
          <w:tcPr>
            <w:tcW w:w="495" w:type="dxa"/>
            <w:shd w:val="clear" w:color="auto" w:fill="auto"/>
          </w:tcPr>
          <w:p w14:paraId="05E67E1E"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lastRenderedPageBreak/>
              <w:t>16.</w:t>
            </w:r>
          </w:p>
        </w:tc>
        <w:tc>
          <w:tcPr>
            <w:tcW w:w="9762" w:type="dxa"/>
            <w:shd w:val="clear" w:color="auto" w:fill="auto"/>
            <w:noWrap/>
          </w:tcPr>
          <w:p w14:paraId="7680EC15" w14:textId="55BFCC85" w:rsidR="001E7D83" w:rsidRPr="00295824" w:rsidRDefault="00DD3F09" w:rsidP="0085574F">
            <w:pPr>
              <w:spacing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National Institute for Health and Clinical Excellence. Parkinson’s Disease: Diagnosis and management in primary &amp; secondary care. London, Royal College of Physicians 2006.Report No. CG35</w:t>
            </w:r>
          </w:p>
        </w:tc>
      </w:tr>
      <w:tr w:rsidR="001E7D83" w:rsidRPr="00295824" w14:paraId="1D109057" w14:textId="77777777" w:rsidTr="00B87ACC">
        <w:trPr>
          <w:trHeight w:val="300"/>
        </w:trPr>
        <w:tc>
          <w:tcPr>
            <w:tcW w:w="495" w:type="dxa"/>
            <w:shd w:val="clear" w:color="auto" w:fill="auto"/>
          </w:tcPr>
          <w:p w14:paraId="22FA9A55"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17.</w:t>
            </w:r>
          </w:p>
        </w:tc>
        <w:tc>
          <w:tcPr>
            <w:tcW w:w="9762" w:type="dxa"/>
            <w:shd w:val="clear" w:color="auto" w:fill="auto"/>
            <w:noWrap/>
          </w:tcPr>
          <w:p w14:paraId="02FF73F8" w14:textId="6AB9833F" w:rsidR="001E7D83" w:rsidRPr="00295824" w:rsidRDefault="0085574F" w:rsidP="0085574F">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Folstein MF, Folstein SE, McHugh PR et al. A practical method for grading the cognitive state of patients for the clinician.  J Psych Res 1975; 12: 189-98.</w:t>
            </w:r>
          </w:p>
        </w:tc>
      </w:tr>
      <w:tr w:rsidR="001E7D83" w:rsidRPr="00295824" w14:paraId="6D5E6400" w14:textId="77777777" w:rsidTr="00B87ACC">
        <w:trPr>
          <w:trHeight w:val="300"/>
        </w:trPr>
        <w:tc>
          <w:tcPr>
            <w:tcW w:w="495" w:type="dxa"/>
            <w:shd w:val="clear" w:color="auto" w:fill="auto"/>
          </w:tcPr>
          <w:p w14:paraId="1F7E29A2"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18.</w:t>
            </w:r>
          </w:p>
        </w:tc>
        <w:tc>
          <w:tcPr>
            <w:tcW w:w="9762" w:type="dxa"/>
            <w:shd w:val="clear" w:color="auto" w:fill="auto"/>
            <w:noWrap/>
          </w:tcPr>
          <w:p w14:paraId="460FF608" w14:textId="2C07DC97" w:rsidR="001E7D83" w:rsidRPr="00295824" w:rsidRDefault="0085574F" w:rsidP="0085574F">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Hulbert S, Rochester L, Nieuwboer A, Goodwin V, Chivers-Seymour K, Ashburn A. ‘Staying Safe’- a narrative review of falls prevention in people with Parkinson’s –PDSAFE. Disability &amp; Rehabilitation 2018; DOI:10.1080/09638288.2018.1471167</w:t>
            </w:r>
          </w:p>
        </w:tc>
      </w:tr>
      <w:tr w:rsidR="001E7D83" w:rsidRPr="00295824" w14:paraId="03035716" w14:textId="77777777" w:rsidTr="00B87ACC">
        <w:trPr>
          <w:trHeight w:val="300"/>
        </w:trPr>
        <w:tc>
          <w:tcPr>
            <w:tcW w:w="495" w:type="dxa"/>
            <w:shd w:val="clear" w:color="auto" w:fill="auto"/>
          </w:tcPr>
          <w:p w14:paraId="592F3EB2"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19.</w:t>
            </w:r>
          </w:p>
        </w:tc>
        <w:tc>
          <w:tcPr>
            <w:tcW w:w="9762" w:type="dxa"/>
            <w:shd w:val="clear" w:color="auto" w:fill="auto"/>
            <w:noWrap/>
          </w:tcPr>
          <w:p w14:paraId="048525AF" w14:textId="40B77DCF" w:rsidR="001E7D83" w:rsidRPr="00295824" w:rsidRDefault="0085574F" w:rsidP="0085574F">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Hauer K, Lamb S, Jorstad E, ToddC, Becker C (on behalf of the Profane Group). Systematic review of the definitions and methods of measuring falls in randomised controlled fall prevention trials. Age &amp; Ageing 2006; 35:5-10</w:t>
            </w:r>
          </w:p>
        </w:tc>
      </w:tr>
      <w:tr w:rsidR="001E7D83" w:rsidRPr="00295824" w14:paraId="74B62DFF" w14:textId="77777777" w:rsidTr="00B87ACC">
        <w:trPr>
          <w:trHeight w:val="300"/>
        </w:trPr>
        <w:tc>
          <w:tcPr>
            <w:tcW w:w="495" w:type="dxa"/>
            <w:shd w:val="clear" w:color="auto" w:fill="auto"/>
          </w:tcPr>
          <w:p w14:paraId="3230966C"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20.</w:t>
            </w:r>
          </w:p>
        </w:tc>
        <w:tc>
          <w:tcPr>
            <w:tcW w:w="9762" w:type="dxa"/>
            <w:shd w:val="clear" w:color="auto" w:fill="auto"/>
            <w:noWrap/>
          </w:tcPr>
          <w:p w14:paraId="0D078641" w14:textId="4CFC9257" w:rsidR="001E7D83" w:rsidRPr="00295824" w:rsidRDefault="0085574F" w:rsidP="0085574F">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King L, Horak F.  On the Mini-BESTest: Scoring and the Reporting of Total Scores. Physical Therapy 2013, 93:571-575.</w:t>
            </w:r>
          </w:p>
        </w:tc>
      </w:tr>
      <w:tr w:rsidR="001E7D83" w:rsidRPr="00295824" w14:paraId="2A500746" w14:textId="77777777" w:rsidTr="00B87ACC">
        <w:trPr>
          <w:trHeight w:val="300"/>
        </w:trPr>
        <w:tc>
          <w:tcPr>
            <w:tcW w:w="495" w:type="dxa"/>
            <w:shd w:val="clear" w:color="auto" w:fill="auto"/>
          </w:tcPr>
          <w:p w14:paraId="0C0F8D4C"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21.</w:t>
            </w:r>
          </w:p>
        </w:tc>
        <w:tc>
          <w:tcPr>
            <w:tcW w:w="9762" w:type="dxa"/>
            <w:shd w:val="clear" w:color="auto" w:fill="auto"/>
            <w:noWrap/>
          </w:tcPr>
          <w:p w14:paraId="4BAC4140" w14:textId="2286100C" w:rsidR="001E7D83" w:rsidRPr="00295824" w:rsidRDefault="0085574F" w:rsidP="0085574F">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Duncan P, Leddy A, Earhart G. Five times sit to stand test performance in Parkinson’s Disease. Archives of Physical Medicine  &amp; Rehabilitation 2011; 92(() 1431-1436</w:t>
            </w:r>
          </w:p>
        </w:tc>
      </w:tr>
      <w:tr w:rsidR="001E7D83" w:rsidRPr="00295824" w14:paraId="3993F799" w14:textId="77777777" w:rsidTr="00B87ACC">
        <w:trPr>
          <w:trHeight w:val="300"/>
        </w:trPr>
        <w:tc>
          <w:tcPr>
            <w:tcW w:w="495" w:type="dxa"/>
            <w:shd w:val="clear" w:color="auto" w:fill="auto"/>
          </w:tcPr>
          <w:p w14:paraId="5B33C5CB"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22.</w:t>
            </w:r>
          </w:p>
        </w:tc>
        <w:tc>
          <w:tcPr>
            <w:tcW w:w="9762" w:type="dxa"/>
            <w:shd w:val="clear" w:color="auto" w:fill="auto"/>
            <w:noWrap/>
          </w:tcPr>
          <w:p w14:paraId="6C37F3E1" w14:textId="0398FA02" w:rsidR="001E7D83" w:rsidRPr="00295824" w:rsidRDefault="0085574F" w:rsidP="0085574F">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Yesavage JA.  Geriatric Depression Scale. Psychopharmacology Bulletin 1988; 24:4;709-711.</w:t>
            </w:r>
          </w:p>
        </w:tc>
      </w:tr>
      <w:tr w:rsidR="001E7D83" w:rsidRPr="00295824" w14:paraId="2CF03454" w14:textId="77777777" w:rsidTr="00B87ACC">
        <w:trPr>
          <w:trHeight w:val="300"/>
        </w:trPr>
        <w:tc>
          <w:tcPr>
            <w:tcW w:w="495" w:type="dxa"/>
            <w:shd w:val="clear" w:color="auto" w:fill="auto"/>
          </w:tcPr>
          <w:p w14:paraId="7C8E81F8"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23.</w:t>
            </w:r>
          </w:p>
        </w:tc>
        <w:tc>
          <w:tcPr>
            <w:tcW w:w="9762" w:type="dxa"/>
            <w:shd w:val="clear" w:color="auto" w:fill="auto"/>
            <w:noWrap/>
          </w:tcPr>
          <w:p w14:paraId="021CFBB0" w14:textId="5ABD15BD" w:rsidR="001E7D83" w:rsidRPr="00295824" w:rsidRDefault="0085574F" w:rsidP="0085574F">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Yardley L, Beyer N, Hauer K, Kempen GIJM, Piot-Ziegler C, Todd C. Development and initial validation of the Falls Efficacy Scale-International (FES-I). Age and Ageing 2005; 34: 614-619.</w:t>
            </w:r>
          </w:p>
        </w:tc>
      </w:tr>
      <w:tr w:rsidR="001E7D83" w:rsidRPr="00295824" w14:paraId="3786E9D9" w14:textId="77777777" w:rsidTr="00B87ACC">
        <w:trPr>
          <w:trHeight w:val="300"/>
        </w:trPr>
        <w:tc>
          <w:tcPr>
            <w:tcW w:w="495" w:type="dxa"/>
            <w:shd w:val="clear" w:color="auto" w:fill="auto"/>
          </w:tcPr>
          <w:p w14:paraId="16144680"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val="de-DE" w:eastAsia="en-GB"/>
              </w:rPr>
              <w:t>24.</w:t>
            </w:r>
          </w:p>
        </w:tc>
        <w:tc>
          <w:tcPr>
            <w:tcW w:w="9762" w:type="dxa"/>
            <w:shd w:val="clear" w:color="auto" w:fill="auto"/>
            <w:noWrap/>
          </w:tcPr>
          <w:p w14:paraId="22E147A9" w14:textId="5A08F5E1" w:rsidR="001E7D83" w:rsidRPr="00295824" w:rsidRDefault="0085574F"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val="de-DE" w:eastAsia="en-GB"/>
              </w:rPr>
              <w:t xml:space="preserve">Nieuwboer A, Rochester L, Herman T, Vandenberghe W, et al. </w:t>
            </w:r>
            <w:r w:rsidRPr="009E67D3">
              <w:rPr>
                <w:rFonts w:ascii="Calibri" w:eastAsia="Times New Roman" w:hAnsi="Calibri" w:cs="Times New Roman"/>
                <w:color w:val="000000"/>
                <w:lang w:eastAsia="en-GB"/>
              </w:rPr>
              <w:t>Reliability of the new</w:t>
            </w:r>
            <w:r w:rsidRPr="00295824">
              <w:rPr>
                <w:rFonts w:ascii="Calibri" w:eastAsia="Times New Roman" w:hAnsi="Calibri" w:cs="Times New Roman"/>
                <w:color w:val="000000"/>
                <w:lang w:eastAsia="en-GB"/>
              </w:rPr>
              <w:t xml:space="preserve"> freezing</w:t>
            </w:r>
            <w:r w:rsidRPr="009E67D3">
              <w:rPr>
                <w:rFonts w:ascii="Calibri" w:eastAsia="Times New Roman" w:hAnsi="Calibri" w:cs="Times New Roman"/>
                <w:color w:val="000000"/>
                <w:lang w:eastAsia="en-GB"/>
              </w:rPr>
              <w:t xml:space="preserve"> of</w:t>
            </w:r>
            <w:r w:rsidRPr="00295824">
              <w:rPr>
                <w:rFonts w:ascii="Calibri" w:eastAsia="Times New Roman" w:hAnsi="Calibri" w:cs="Times New Roman"/>
                <w:color w:val="000000"/>
                <w:lang w:eastAsia="en-GB"/>
              </w:rPr>
              <w:t xml:space="preserve"> gait</w:t>
            </w:r>
            <w:r w:rsidRPr="009E67D3">
              <w:rPr>
                <w:rFonts w:ascii="Calibri" w:eastAsia="Times New Roman" w:hAnsi="Calibri" w:cs="Times New Roman"/>
                <w:color w:val="000000"/>
                <w:lang w:eastAsia="en-GB"/>
              </w:rPr>
              <w:t xml:space="preserve"> questionnaire: Agreement between patients with Parkinson’s disease and their carers. Gait &amp; Posture, 2009; 30(4): 459-463.</w:t>
            </w:r>
          </w:p>
        </w:tc>
      </w:tr>
      <w:tr w:rsidR="001E7D83" w:rsidRPr="00295824" w14:paraId="4DF6CDD7" w14:textId="77777777" w:rsidTr="001E7D83">
        <w:trPr>
          <w:trHeight w:val="831"/>
        </w:trPr>
        <w:tc>
          <w:tcPr>
            <w:tcW w:w="495" w:type="dxa"/>
            <w:shd w:val="clear" w:color="auto" w:fill="auto"/>
          </w:tcPr>
          <w:p w14:paraId="4DC6004C"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25.</w:t>
            </w:r>
          </w:p>
        </w:tc>
        <w:tc>
          <w:tcPr>
            <w:tcW w:w="9762" w:type="dxa"/>
            <w:shd w:val="clear" w:color="auto" w:fill="auto"/>
            <w:noWrap/>
          </w:tcPr>
          <w:p w14:paraId="400654FA" w14:textId="5FACE7BA" w:rsidR="001E7D83" w:rsidRPr="00295824" w:rsidRDefault="0085574F" w:rsidP="0085574F">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Brown R, MacCarthey B, Jahanshai M et al., Accuracy of self-reported disability in patients with Parkinson’s disease. Arch Neurol 1989; 46: 955-959.</w:t>
            </w:r>
          </w:p>
        </w:tc>
      </w:tr>
      <w:tr w:rsidR="001E7D83" w:rsidRPr="00295824" w14:paraId="394DE873" w14:textId="77777777" w:rsidTr="00B87ACC">
        <w:trPr>
          <w:trHeight w:val="300"/>
        </w:trPr>
        <w:tc>
          <w:tcPr>
            <w:tcW w:w="495" w:type="dxa"/>
            <w:shd w:val="clear" w:color="auto" w:fill="auto"/>
          </w:tcPr>
          <w:p w14:paraId="104394D7"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26.</w:t>
            </w:r>
          </w:p>
        </w:tc>
        <w:tc>
          <w:tcPr>
            <w:tcW w:w="9762" w:type="dxa"/>
            <w:shd w:val="clear" w:color="auto" w:fill="auto"/>
            <w:noWrap/>
          </w:tcPr>
          <w:p w14:paraId="0BB1A685" w14:textId="22438891" w:rsidR="001E7D83" w:rsidRPr="00295824" w:rsidRDefault="0085574F" w:rsidP="00460C95">
            <w:pPr>
              <w:pStyle w:val="Heading5"/>
              <w:spacing w:before="0" w:after="160"/>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Washburn RA, Smith KW, Jette AM, Janney CA, The Physical Activity Scale for the Elderly (PASE): Development and Evaluation. J Clin Epidemiol</w:t>
            </w:r>
            <w:r w:rsidRPr="00295824">
              <w:rPr>
                <w:rFonts w:ascii="Calibri" w:eastAsia="Times New Roman" w:hAnsi="Calibri" w:cs="Times New Roman"/>
                <w:i/>
                <w:iCs/>
                <w:color w:val="000000"/>
                <w:lang w:eastAsia="en-GB"/>
              </w:rPr>
              <w:t>.</w:t>
            </w:r>
            <w:r w:rsidRPr="00295824">
              <w:rPr>
                <w:rFonts w:ascii="Calibri" w:eastAsia="Times New Roman" w:hAnsi="Calibri" w:cs="Times New Roman"/>
                <w:color w:val="000000"/>
                <w:lang w:eastAsia="en-GB"/>
              </w:rPr>
              <w:t xml:space="preserve"> 1993; 46:153-162.</w:t>
            </w:r>
          </w:p>
        </w:tc>
      </w:tr>
      <w:tr w:rsidR="001E7D83" w:rsidRPr="00295824" w14:paraId="3D23CEC5" w14:textId="77777777" w:rsidTr="00B87ACC">
        <w:trPr>
          <w:trHeight w:val="300"/>
        </w:trPr>
        <w:tc>
          <w:tcPr>
            <w:tcW w:w="495" w:type="dxa"/>
            <w:shd w:val="clear" w:color="auto" w:fill="auto"/>
          </w:tcPr>
          <w:p w14:paraId="7CDB5D17"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27.</w:t>
            </w:r>
          </w:p>
        </w:tc>
        <w:tc>
          <w:tcPr>
            <w:tcW w:w="9762" w:type="dxa"/>
            <w:shd w:val="clear" w:color="auto" w:fill="auto"/>
            <w:noWrap/>
          </w:tcPr>
          <w:p w14:paraId="068F28FB" w14:textId="480FE1AF" w:rsidR="001E7D83" w:rsidRPr="00295824" w:rsidRDefault="0085574F" w:rsidP="0085574F">
            <w:pPr>
              <w:spacing w:line="240" w:lineRule="auto"/>
              <w:rPr>
                <w:rFonts w:ascii="Calibri" w:eastAsia="Times New Roman" w:hAnsi="Calibri" w:cs="Times New Roman"/>
                <w:color w:val="000000"/>
                <w:lang w:eastAsia="en-GB"/>
              </w:rPr>
            </w:pPr>
            <w:r w:rsidRPr="001E7D83">
              <w:rPr>
                <w:rFonts w:cs="Arial"/>
                <w:bCs/>
                <w:color w:val="333333"/>
              </w:rPr>
              <w:t>EuroQol--a new facility for the measurement of health-related quality of life,</w:t>
            </w:r>
            <w:r>
              <w:rPr>
                <w:rFonts w:cs="Arial"/>
                <w:b/>
                <w:bCs/>
                <w:color w:val="333333"/>
              </w:rPr>
              <w:t xml:space="preserve"> </w:t>
            </w:r>
            <w:r w:rsidRPr="001E7D83">
              <w:rPr>
                <w:rStyle w:val="Emphasis"/>
                <w:rFonts w:cs="Arial"/>
                <w:bCs/>
                <w:i w:val="0"/>
                <w:color w:val="333333"/>
              </w:rPr>
              <w:t>Health Policy 1990 Dec;16(3):199-208</w:t>
            </w:r>
            <w:r w:rsidRPr="001E7D83">
              <w:rPr>
                <w:rFonts w:cs="Arial"/>
                <w:bCs/>
                <w:i/>
                <w:color w:val="333333"/>
              </w:rPr>
              <w:t xml:space="preserve">, </w:t>
            </w:r>
            <w:r w:rsidRPr="0085574F">
              <w:rPr>
                <w:rFonts w:cs="Arial"/>
                <w:bCs/>
                <w:color w:val="333333"/>
              </w:rPr>
              <w:t>01-12-1990</w:t>
            </w:r>
          </w:p>
        </w:tc>
      </w:tr>
      <w:tr w:rsidR="001E7D83" w:rsidRPr="00295824" w14:paraId="55162423" w14:textId="77777777" w:rsidTr="00B87ACC">
        <w:trPr>
          <w:trHeight w:val="300"/>
        </w:trPr>
        <w:tc>
          <w:tcPr>
            <w:tcW w:w="495" w:type="dxa"/>
            <w:shd w:val="clear" w:color="auto" w:fill="auto"/>
          </w:tcPr>
          <w:p w14:paraId="21C02E24"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28.</w:t>
            </w:r>
          </w:p>
        </w:tc>
        <w:tc>
          <w:tcPr>
            <w:tcW w:w="9762" w:type="dxa"/>
            <w:shd w:val="clear" w:color="auto" w:fill="auto"/>
            <w:noWrap/>
          </w:tcPr>
          <w:p w14:paraId="64B6D4FF" w14:textId="6C87BE50" w:rsidR="001E7D83" w:rsidRPr="00295824" w:rsidRDefault="0085574F"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Nasreddine ZS, Philips NA, Bedirian V, Charbonneau S, Whitehead V, Collen I, Cumming R, Chertkow H. The Montreal Cognitive Assessment (MoCA): A brief screening tool for mild cognitive impairment. Journal of the American Geriatric Society 2005; 53: 695-699</w:t>
            </w:r>
          </w:p>
        </w:tc>
      </w:tr>
      <w:tr w:rsidR="001E7D83" w:rsidRPr="00295824" w14:paraId="09766C5D" w14:textId="77777777" w:rsidTr="00B87ACC">
        <w:trPr>
          <w:trHeight w:val="300"/>
        </w:trPr>
        <w:tc>
          <w:tcPr>
            <w:tcW w:w="495" w:type="dxa"/>
            <w:shd w:val="clear" w:color="auto" w:fill="auto"/>
          </w:tcPr>
          <w:p w14:paraId="4D7522F6"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29.</w:t>
            </w:r>
          </w:p>
        </w:tc>
        <w:tc>
          <w:tcPr>
            <w:tcW w:w="9762" w:type="dxa"/>
            <w:shd w:val="clear" w:color="auto" w:fill="auto"/>
            <w:noWrap/>
          </w:tcPr>
          <w:p w14:paraId="21CB25D0" w14:textId="1335C85A" w:rsidR="001E7D83" w:rsidRPr="00295824" w:rsidRDefault="0085574F" w:rsidP="0085574F">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Hoehn M, Yahr M. Parkinsonism; onset, progression and mortality. Neurol 1967; 17: 1427-42.</w:t>
            </w:r>
          </w:p>
        </w:tc>
      </w:tr>
      <w:tr w:rsidR="001E7D83" w:rsidRPr="00295824" w14:paraId="42F10871" w14:textId="77777777" w:rsidTr="00B87ACC">
        <w:trPr>
          <w:trHeight w:val="300"/>
        </w:trPr>
        <w:tc>
          <w:tcPr>
            <w:tcW w:w="495" w:type="dxa"/>
            <w:shd w:val="clear" w:color="auto" w:fill="auto"/>
          </w:tcPr>
          <w:p w14:paraId="1F27F06C"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30.</w:t>
            </w:r>
          </w:p>
        </w:tc>
        <w:tc>
          <w:tcPr>
            <w:tcW w:w="9762" w:type="dxa"/>
            <w:shd w:val="clear" w:color="auto" w:fill="auto"/>
            <w:noWrap/>
          </w:tcPr>
          <w:p w14:paraId="5A3F2165" w14:textId="54B756A5" w:rsidR="001E7D83" w:rsidRPr="00295824" w:rsidRDefault="0085574F" w:rsidP="009260FD">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Lang A Fahn S. Assessment of Parkinson’s Disease. In: Munsat T, Ed Quantification of neurologic deficit, Chapter 21. MA; Butterworths; 1989</w:t>
            </w:r>
            <w:r w:rsidR="00101DB4">
              <w:rPr>
                <w:rFonts w:ascii="Calibri" w:eastAsia="Times New Roman" w:hAnsi="Calibri" w:cs="Times New Roman"/>
                <w:color w:val="000000"/>
                <w:lang w:eastAsia="en-GB"/>
              </w:rPr>
              <w:t xml:space="preserve"> </w:t>
            </w:r>
          </w:p>
        </w:tc>
      </w:tr>
      <w:tr w:rsidR="001E7D83" w:rsidRPr="00295824" w14:paraId="033EB39C" w14:textId="77777777" w:rsidTr="00460C95">
        <w:trPr>
          <w:trHeight w:val="301"/>
        </w:trPr>
        <w:tc>
          <w:tcPr>
            <w:tcW w:w="495" w:type="dxa"/>
            <w:shd w:val="clear" w:color="auto" w:fill="auto"/>
          </w:tcPr>
          <w:p w14:paraId="33DDAE58"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31.</w:t>
            </w:r>
          </w:p>
        </w:tc>
        <w:tc>
          <w:tcPr>
            <w:tcW w:w="9762" w:type="dxa"/>
            <w:shd w:val="clear" w:color="auto" w:fill="auto"/>
            <w:noWrap/>
          </w:tcPr>
          <w:p w14:paraId="5A7630E5" w14:textId="15A4469E" w:rsidR="001E7D83" w:rsidRPr="00295824" w:rsidRDefault="009260FD" w:rsidP="009260FD">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StataCorp. 2009. Stata Statistical Software: Release 11. College Station, TX: StataCorp LP.</w:t>
            </w:r>
          </w:p>
        </w:tc>
      </w:tr>
      <w:tr w:rsidR="001E7D83" w:rsidRPr="00295824" w14:paraId="30E35C45" w14:textId="77777777" w:rsidTr="00460C95">
        <w:trPr>
          <w:trHeight w:val="448"/>
        </w:trPr>
        <w:tc>
          <w:tcPr>
            <w:tcW w:w="495" w:type="dxa"/>
            <w:shd w:val="clear" w:color="auto" w:fill="auto"/>
          </w:tcPr>
          <w:p w14:paraId="177D2929"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32.</w:t>
            </w:r>
          </w:p>
        </w:tc>
        <w:tc>
          <w:tcPr>
            <w:tcW w:w="9762" w:type="dxa"/>
            <w:shd w:val="clear" w:color="auto" w:fill="auto"/>
            <w:noWrap/>
          </w:tcPr>
          <w:p w14:paraId="37A0DA4C" w14:textId="1871D231" w:rsidR="001E7D83" w:rsidRPr="00295824" w:rsidRDefault="009260FD" w:rsidP="00460C95">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Li F, Harmer P, Fitzgerald K, Eckstrom E, Stock R, Galver J, Maddalozzo G, Batya S.  Tai chi and postural stability in patients with Parkinson’s disease. N Engl J Med 2012; 366: 511-519</w:t>
            </w:r>
          </w:p>
        </w:tc>
      </w:tr>
      <w:tr w:rsidR="001E7D83" w:rsidRPr="00295824" w14:paraId="6D290CF0" w14:textId="77777777" w:rsidTr="00B87ACC">
        <w:trPr>
          <w:trHeight w:val="300"/>
        </w:trPr>
        <w:tc>
          <w:tcPr>
            <w:tcW w:w="495" w:type="dxa"/>
            <w:shd w:val="clear" w:color="auto" w:fill="auto"/>
          </w:tcPr>
          <w:p w14:paraId="1D57818F"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33</w:t>
            </w:r>
          </w:p>
        </w:tc>
        <w:tc>
          <w:tcPr>
            <w:tcW w:w="9762" w:type="dxa"/>
            <w:shd w:val="clear" w:color="auto" w:fill="auto"/>
            <w:noWrap/>
          </w:tcPr>
          <w:p w14:paraId="41121128" w14:textId="5B5BB2D9" w:rsidR="001E7D83" w:rsidRPr="00295824" w:rsidRDefault="009260FD"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Sherrington C, Whtney J, Lord S, Herbert R, Cumming R, Close J.  Effective exercise for the prevention of falls: A systematic review and meta-analysis.  JAM Geriatr Soc 2008; 56: 2234-2243</w:t>
            </w:r>
          </w:p>
        </w:tc>
      </w:tr>
      <w:tr w:rsidR="001E7D83" w:rsidRPr="00295824" w14:paraId="329812CF" w14:textId="77777777" w:rsidTr="00B87ACC">
        <w:trPr>
          <w:trHeight w:val="300"/>
        </w:trPr>
        <w:tc>
          <w:tcPr>
            <w:tcW w:w="495" w:type="dxa"/>
            <w:shd w:val="clear" w:color="auto" w:fill="auto"/>
          </w:tcPr>
          <w:p w14:paraId="5AE2321F"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lastRenderedPageBreak/>
              <w:t>34.</w:t>
            </w:r>
          </w:p>
        </w:tc>
        <w:tc>
          <w:tcPr>
            <w:tcW w:w="9762" w:type="dxa"/>
            <w:shd w:val="clear" w:color="auto" w:fill="auto"/>
            <w:noWrap/>
          </w:tcPr>
          <w:p w14:paraId="32A9AE7F" w14:textId="40ACD435" w:rsidR="001E7D83" w:rsidRPr="00295824" w:rsidRDefault="009260FD"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Lord S, Galna B, Yarnall AJ, Morris R, Coleman S, Burn D, Rochester. Natural history of falls in an incident cohort of Parkinson's disease: early evolution, risk and protective features. Jo Neurology. 2017 Sep 25. doi: 10.1007/s00415-017-8620-y</w:t>
            </w:r>
          </w:p>
        </w:tc>
      </w:tr>
      <w:tr w:rsidR="001E7D83" w:rsidRPr="00295824" w14:paraId="3D5D657E" w14:textId="77777777" w:rsidTr="00B87ACC">
        <w:trPr>
          <w:trHeight w:val="300"/>
        </w:trPr>
        <w:tc>
          <w:tcPr>
            <w:tcW w:w="495" w:type="dxa"/>
            <w:shd w:val="clear" w:color="auto" w:fill="auto"/>
          </w:tcPr>
          <w:p w14:paraId="0F164C6B"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35.</w:t>
            </w:r>
          </w:p>
        </w:tc>
        <w:tc>
          <w:tcPr>
            <w:tcW w:w="9762" w:type="dxa"/>
            <w:shd w:val="clear" w:color="auto" w:fill="auto"/>
            <w:noWrap/>
          </w:tcPr>
          <w:p w14:paraId="657E67B5" w14:textId="4C0753EF" w:rsidR="001E7D83" w:rsidRPr="00295824" w:rsidRDefault="009260FD"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Zadikoff C, Fox S, Tang-Wai D, Thomsen T, Wadia P. Miyasaki J, Duff-Canning S, Lang A, Marras C.                       A comparison of the Mini Mental State Exam to the Montreal Cognitive Assessment in Identifying Cognitive Deficits in Parkinson’s Disease. Movement Disorders 2008; 23 (2):297-299</w:t>
            </w:r>
          </w:p>
        </w:tc>
      </w:tr>
      <w:tr w:rsidR="001E7D83" w:rsidRPr="00295824" w14:paraId="3072B501" w14:textId="77777777" w:rsidTr="00B87ACC">
        <w:trPr>
          <w:trHeight w:val="300"/>
        </w:trPr>
        <w:tc>
          <w:tcPr>
            <w:tcW w:w="495" w:type="dxa"/>
            <w:shd w:val="clear" w:color="auto" w:fill="auto"/>
          </w:tcPr>
          <w:p w14:paraId="430B6B57"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36.</w:t>
            </w:r>
          </w:p>
        </w:tc>
        <w:tc>
          <w:tcPr>
            <w:tcW w:w="9762" w:type="dxa"/>
            <w:shd w:val="clear" w:color="auto" w:fill="auto"/>
            <w:noWrap/>
          </w:tcPr>
          <w:p w14:paraId="2821B6E8" w14:textId="6F2044CB" w:rsidR="001E7D83" w:rsidRPr="00295824" w:rsidRDefault="009260FD"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Heremans E, Nackaerts E, Vervoort G, Broeder S, Swinnen SP, Nieuwboer A. Impaired retention of motor learning of writing skills in patients with Parkinson’s Disease with freezing of gait. Plos One. 2016;11:e0148933</w:t>
            </w:r>
          </w:p>
        </w:tc>
      </w:tr>
      <w:tr w:rsidR="001E7D83" w:rsidRPr="00295824" w14:paraId="339E5CF2" w14:textId="77777777" w:rsidTr="00B87ACC">
        <w:trPr>
          <w:trHeight w:val="300"/>
        </w:trPr>
        <w:tc>
          <w:tcPr>
            <w:tcW w:w="495" w:type="dxa"/>
            <w:shd w:val="clear" w:color="auto" w:fill="auto"/>
          </w:tcPr>
          <w:p w14:paraId="3B96AF38"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37.</w:t>
            </w:r>
          </w:p>
        </w:tc>
        <w:tc>
          <w:tcPr>
            <w:tcW w:w="9762" w:type="dxa"/>
            <w:shd w:val="clear" w:color="auto" w:fill="auto"/>
            <w:noWrap/>
          </w:tcPr>
          <w:p w14:paraId="1ECCD89A" w14:textId="0CD0EA3A" w:rsidR="001E7D83" w:rsidRPr="00295824" w:rsidRDefault="009260FD"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Heremans E, Nieuwboer A, Spildooren J, Vandenbossche J, Deroost N, Soetens E et al . Cognitive aspects of freezing of gait in Parkinson’s disease: a challenge for rehabilitation. J Neural Transm (Vienna) 2013; 120:543-57</w:t>
            </w:r>
          </w:p>
        </w:tc>
      </w:tr>
      <w:tr w:rsidR="001E7D83" w:rsidRPr="00295824" w14:paraId="63484899" w14:textId="77777777" w:rsidTr="00B87ACC">
        <w:trPr>
          <w:trHeight w:val="300"/>
        </w:trPr>
        <w:tc>
          <w:tcPr>
            <w:tcW w:w="495" w:type="dxa"/>
            <w:shd w:val="clear" w:color="auto" w:fill="auto"/>
          </w:tcPr>
          <w:p w14:paraId="5D6070F3"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38.</w:t>
            </w:r>
          </w:p>
        </w:tc>
        <w:tc>
          <w:tcPr>
            <w:tcW w:w="9762" w:type="dxa"/>
            <w:shd w:val="clear" w:color="auto" w:fill="auto"/>
            <w:noWrap/>
          </w:tcPr>
          <w:p w14:paraId="57DA0D97" w14:textId="1E6BF833" w:rsidR="001E7D83" w:rsidRPr="009260FD" w:rsidRDefault="009260FD" w:rsidP="001E7D83">
            <w:pPr>
              <w:spacing w:line="240" w:lineRule="auto"/>
              <w:rPr>
                <w:rFonts w:ascii="Calibri" w:eastAsia="Times New Roman" w:hAnsi="Calibri" w:cs="Times New Roman"/>
                <w:color w:val="000000"/>
                <w:lang w:val="pt-PT" w:eastAsia="en-GB"/>
              </w:rPr>
            </w:pPr>
            <w:r w:rsidRPr="00295824">
              <w:rPr>
                <w:rFonts w:ascii="Calibri" w:eastAsia="Times New Roman" w:hAnsi="Calibri" w:cs="Times New Roman"/>
                <w:color w:val="000000"/>
                <w:lang w:eastAsia="en-GB"/>
              </w:rPr>
              <w:t>Allen N, Schwarzel AK, Canning C G. Recurrent Falls in Parkinson’s disease: A systematic review, Parkinson’s Disease 2013; ID 906274</w:t>
            </w:r>
          </w:p>
        </w:tc>
      </w:tr>
      <w:tr w:rsidR="001E7D83" w:rsidRPr="00295824" w14:paraId="3ADAB6A6" w14:textId="77777777" w:rsidTr="00B87ACC">
        <w:trPr>
          <w:trHeight w:val="300"/>
        </w:trPr>
        <w:tc>
          <w:tcPr>
            <w:tcW w:w="495" w:type="dxa"/>
            <w:shd w:val="clear" w:color="auto" w:fill="auto"/>
          </w:tcPr>
          <w:p w14:paraId="67160140" w14:textId="77777777" w:rsidR="001E7D83"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39.</w:t>
            </w:r>
          </w:p>
        </w:tc>
        <w:tc>
          <w:tcPr>
            <w:tcW w:w="9762" w:type="dxa"/>
            <w:shd w:val="clear" w:color="auto" w:fill="auto"/>
            <w:noWrap/>
          </w:tcPr>
          <w:p w14:paraId="523AF520" w14:textId="46FD0B42" w:rsidR="001E7D83" w:rsidRPr="00295824" w:rsidRDefault="009260FD" w:rsidP="001E7D83">
            <w:pPr>
              <w:spacing w:line="240" w:lineRule="auto"/>
              <w:rPr>
                <w:rFonts w:ascii="Calibri" w:eastAsia="Times New Roman" w:hAnsi="Calibri" w:cs="Times New Roman"/>
                <w:color w:val="000000"/>
                <w:lang w:eastAsia="en-GB"/>
              </w:rPr>
            </w:pPr>
            <w:r w:rsidRPr="009E67D3">
              <w:rPr>
                <w:rFonts w:ascii="Calibri" w:eastAsia="Times New Roman" w:hAnsi="Calibri" w:cs="Times New Roman"/>
                <w:color w:val="000000"/>
                <w:lang w:val="pt-PT" w:eastAsia="en-GB"/>
              </w:rPr>
              <w:t xml:space="preserve">Domingos J, Godinho C, Dean J, Coelho M, Pinto A, Bloem B, Ferreira. </w:t>
            </w:r>
            <w:r w:rsidRPr="00295824">
              <w:rPr>
                <w:rFonts w:ascii="Calibri" w:eastAsia="Times New Roman" w:hAnsi="Calibri" w:cs="Times New Roman"/>
                <w:color w:val="000000"/>
                <w:lang w:eastAsia="en-GB"/>
              </w:rPr>
              <w:t>Cognitive Impairment in fall-related studies in Parkinson’s disease. Journal of Parkinson’s Disease 2015; 5: 453-469</w:t>
            </w:r>
          </w:p>
        </w:tc>
      </w:tr>
      <w:tr w:rsidR="001E7D83" w:rsidRPr="00295824" w14:paraId="5EF81FCC" w14:textId="77777777" w:rsidTr="00B87ACC">
        <w:trPr>
          <w:trHeight w:val="300"/>
        </w:trPr>
        <w:tc>
          <w:tcPr>
            <w:tcW w:w="495" w:type="dxa"/>
            <w:shd w:val="clear" w:color="auto" w:fill="auto"/>
          </w:tcPr>
          <w:p w14:paraId="739DD8F7" w14:textId="1B546166" w:rsidR="009260FD" w:rsidRPr="00295824" w:rsidRDefault="001E7D83"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40.</w:t>
            </w:r>
          </w:p>
        </w:tc>
        <w:tc>
          <w:tcPr>
            <w:tcW w:w="9762" w:type="dxa"/>
            <w:shd w:val="clear" w:color="auto" w:fill="auto"/>
            <w:noWrap/>
          </w:tcPr>
          <w:p w14:paraId="099973B2" w14:textId="553BC92D" w:rsidR="001E7D83" w:rsidRPr="00295824" w:rsidRDefault="009260FD" w:rsidP="00460C95">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Gazibara T, Tepavcevic D, Svetel M, Tomic A, Stankovic I, Kostic V, Pekmezovic Near-falls in people with Parkinson’s disease: Circumstances, contributing factors and association with falling. Clinical Neurology and Neurosurgery 2017; 161:51-55</w:t>
            </w:r>
          </w:p>
        </w:tc>
      </w:tr>
      <w:tr w:rsidR="00460C95" w:rsidRPr="00295824" w14:paraId="444CB13D" w14:textId="77777777" w:rsidTr="00B87ACC">
        <w:trPr>
          <w:trHeight w:val="300"/>
        </w:trPr>
        <w:tc>
          <w:tcPr>
            <w:tcW w:w="495" w:type="dxa"/>
            <w:shd w:val="clear" w:color="auto" w:fill="auto"/>
          </w:tcPr>
          <w:p w14:paraId="18C122B4" w14:textId="54A82C37" w:rsidR="00460C95" w:rsidRPr="00295824" w:rsidRDefault="00460C95" w:rsidP="001E7D83">
            <w:pPr>
              <w:spacing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41.</w:t>
            </w:r>
          </w:p>
        </w:tc>
        <w:tc>
          <w:tcPr>
            <w:tcW w:w="9762" w:type="dxa"/>
            <w:shd w:val="clear" w:color="auto" w:fill="auto"/>
            <w:noWrap/>
          </w:tcPr>
          <w:p w14:paraId="445D2477" w14:textId="3A300F77" w:rsidR="00460C95" w:rsidRPr="00295824" w:rsidRDefault="00460C95" w:rsidP="001E7D83">
            <w:pPr>
              <w:spacing w:line="240" w:lineRule="auto"/>
              <w:rPr>
                <w:rFonts w:ascii="Calibri" w:eastAsia="Times New Roman" w:hAnsi="Calibri" w:cs="Times New Roman"/>
                <w:color w:val="000000"/>
                <w:lang w:eastAsia="en-GB"/>
              </w:rPr>
            </w:pPr>
            <w:r w:rsidRPr="00295824">
              <w:rPr>
                <w:rFonts w:ascii="Calibri" w:eastAsia="Times New Roman" w:hAnsi="Calibri" w:cs="Times New Roman"/>
                <w:color w:val="000000"/>
                <w:lang w:eastAsia="en-GB"/>
              </w:rPr>
              <w:t>Srygley J, Herman T, Giladi N, Hausdorff J. Self-report of missteps in older adults: A valid proxy of fall risk? Arch Phys Med Rehabil 2009; 90 (5): 786-792</w:t>
            </w:r>
          </w:p>
        </w:tc>
      </w:tr>
    </w:tbl>
    <w:p w14:paraId="749662AF" w14:textId="77777777" w:rsidR="004836DD" w:rsidRDefault="004836DD" w:rsidP="004836DD">
      <w:pPr>
        <w:pStyle w:val="Heading5"/>
        <w:spacing w:before="150" w:after="150"/>
        <w:rPr>
          <w:rStyle w:val="Emphasis"/>
          <w:rFonts w:ascii="inherit" w:hAnsi="inherit" w:cs="Arial" w:hint="eastAsia"/>
          <w:b/>
          <w:bCs/>
          <w:color w:val="333333"/>
          <w:sz w:val="21"/>
          <w:szCs w:val="21"/>
        </w:rPr>
      </w:pPr>
    </w:p>
    <w:p w14:paraId="228DD134" w14:textId="77777777" w:rsidR="00101DB4" w:rsidRDefault="00101DB4" w:rsidP="00101DB4"/>
    <w:p w14:paraId="2C175816" w14:textId="77777777" w:rsidR="00101DB4" w:rsidRDefault="00101DB4" w:rsidP="00295824">
      <w:pPr>
        <w:rPr>
          <w:b/>
          <w:iCs/>
          <w:sz w:val="28"/>
          <w:szCs w:val="28"/>
        </w:rPr>
      </w:pPr>
    </w:p>
    <w:p w14:paraId="169AFDFD" w14:textId="77777777" w:rsidR="00101DB4" w:rsidRDefault="00101DB4" w:rsidP="00295824">
      <w:pPr>
        <w:rPr>
          <w:b/>
          <w:iCs/>
          <w:sz w:val="28"/>
          <w:szCs w:val="28"/>
        </w:rPr>
      </w:pPr>
    </w:p>
    <w:p w14:paraId="2171C062" w14:textId="77777777" w:rsidR="00263399" w:rsidRDefault="00263399" w:rsidP="00295824">
      <w:pPr>
        <w:rPr>
          <w:b/>
          <w:iCs/>
          <w:sz w:val="28"/>
          <w:szCs w:val="28"/>
        </w:rPr>
      </w:pPr>
    </w:p>
    <w:p w14:paraId="23EE4000" w14:textId="77777777" w:rsidR="00263399" w:rsidRDefault="00263399" w:rsidP="00295824">
      <w:pPr>
        <w:rPr>
          <w:b/>
          <w:iCs/>
          <w:sz w:val="28"/>
          <w:szCs w:val="28"/>
        </w:rPr>
      </w:pPr>
    </w:p>
    <w:p w14:paraId="061A1606" w14:textId="77777777" w:rsidR="00263399" w:rsidRDefault="00263399" w:rsidP="00295824">
      <w:pPr>
        <w:rPr>
          <w:b/>
          <w:iCs/>
          <w:sz w:val="28"/>
          <w:szCs w:val="28"/>
        </w:rPr>
      </w:pPr>
    </w:p>
    <w:p w14:paraId="31CB8560" w14:textId="77777777" w:rsidR="00263399" w:rsidRDefault="00263399" w:rsidP="00295824">
      <w:pPr>
        <w:rPr>
          <w:b/>
          <w:iCs/>
          <w:sz w:val="28"/>
          <w:szCs w:val="28"/>
        </w:rPr>
      </w:pPr>
    </w:p>
    <w:p w14:paraId="67C87942" w14:textId="77777777" w:rsidR="00263399" w:rsidRDefault="00263399" w:rsidP="00295824">
      <w:pPr>
        <w:rPr>
          <w:b/>
          <w:iCs/>
          <w:sz w:val="28"/>
          <w:szCs w:val="28"/>
        </w:rPr>
      </w:pPr>
    </w:p>
    <w:p w14:paraId="10E0BA76" w14:textId="77777777" w:rsidR="00263399" w:rsidRDefault="00263399" w:rsidP="00295824">
      <w:pPr>
        <w:rPr>
          <w:b/>
          <w:iCs/>
          <w:sz w:val="28"/>
          <w:szCs w:val="28"/>
        </w:rPr>
      </w:pPr>
    </w:p>
    <w:p w14:paraId="530E9D03" w14:textId="77777777" w:rsidR="00101DB4" w:rsidRDefault="00101DB4" w:rsidP="00295824">
      <w:pPr>
        <w:rPr>
          <w:b/>
          <w:iCs/>
          <w:sz w:val="28"/>
          <w:szCs w:val="28"/>
        </w:rPr>
      </w:pPr>
    </w:p>
    <w:p w14:paraId="72AA6E94" w14:textId="77777777" w:rsidR="00101DB4" w:rsidRDefault="00101DB4" w:rsidP="00295824">
      <w:pPr>
        <w:rPr>
          <w:b/>
          <w:iCs/>
          <w:sz w:val="28"/>
          <w:szCs w:val="28"/>
        </w:rPr>
      </w:pPr>
    </w:p>
    <w:p w14:paraId="185E0069" w14:textId="77777777" w:rsidR="00263399" w:rsidRDefault="00263399" w:rsidP="00295824">
      <w:pPr>
        <w:rPr>
          <w:b/>
          <w:iCs/>
          <w:sz w:val="28"/>
          <w:szCs w:val="28"/>
        </w:rPr>
      </w:pPr>
    </w:p>
    <w:p w14:paraId="4C7852DB" w14:textId="77777777" w:rsidR="00295824" w:rsidRPr="00295824" w:rsidRDefault="00295824" w:rsidP="00295824">
      <w:pPr>
        <w:rPr>
          <w:b/>
          <w:iCs/>
          <w:sz w:val="28"/>
          <w:szCs w:val="28"/>
        </w:rPr>
      </w:pPr>
      <w:r w:rsidRPr="00295824">
        <w:rPr>
          <w:b/>
          <w:iCs/>
          <w:sz w:val="28"/>
          <w:szCs w:val="28"/>
        </w:rPr>
        <w:lastRenderedPageBreak/>
        <w:t>Table 1: Baseline characteristics in the PDSAFE and control groups: figures are number (%) unless stated otherwise</w:t>
      </w:r>
    </w:p>
    <w:tbl>
      <w:tblPr>
        <w:tblStyle w:val="GridTable211"/>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2"/>
        <w:gridCol w:w="853"/>
        <w:gridCol w:w="140"/>
        <w:gridCol w:w="845"/>
        <w:gridCol w:w="7"/>
        <w:gridCol w:w="2268"/>
        <w:gridCol w:w="1843"/>
        <w:gridCol w:w="1700"/>
      </w:tblGrid>
      <w:tr w:rsidR="00295824" w:rsidRPr="00295824" w14:paraId="33062AB1" w14:textId="77777777" w:rsidTr="00B87ACC">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552" w:type="dxa"/>
            <w:tcBorders>
              <w:top w:val="single" w:sz="4" w:space="0" w:color="auto"/>
              <w:left w:val="single" w:sz="4" w:space="0" w:color="auto"/>
              <w:bottom w:val="single" w:sz="4" w:space="0" w:color="auto"/>
            </w:tcBorders>
          </w:tcPr>
          <w:p w14:paraId="3F0F6B82" w14:textId="77777777" w:rsidR="00295824" w:rsidRPr="00295824" w:rsidRDefault="00295824" w:rsidP="00295824">
            <w:pPr>
              <w:rPr>
                <w:iCs/>
              </w:rPr>
            </w:pPr>
          </w:p>
        </w:tc>
        <w:tc>
          <w:tcPr>
            <w:tcW w:w="4113" w:type="dxa"/>
            <w:gridSpan w:val="5"/>
            <w:tcBorders>
              <w:top w:val="single" w:sz="4" w:space="0" w:color="auto"/>
              <w:bottom w:val="single" w:sz="4" w:space="0" w:color="auto"/>
              <w:right w:val="single" w:sz="4" w:space="0" w:color="auto"/>
            </w:tcBorders>
          </w:tcPr>
          <w:p w14:paraId="4D9C2CCC" w14:textId="77777777" w:rsidR="00295824" w:rsidRPr="00295824" w:rsidRDefault="00295824" w:rsidP="00295824">
            <w:pPr>
              <w:jc w:val="center"/>
              <w:cnfStyle w:val="100000000000" w:firstRow="1" w:lastRow="0" w:firstColumn="0" w:lastColumn="0" w:oddVBand="0" w:evenVBand="0" w:oddHBand="0" w:evenHBand="0" w:firstRowFirstColumn="0" w:firstRowLastColumn="0" w:lastRowFirstColumn="0" w:lastRowLastColumn="0"/>
              <w:rPr>
                <w:iCs/>
              </w:rPr>
            </w:pPr>
          </w:p>
        </w:tc>
        <w:tc>
          <w:tcPr>
            <w:tcW w:w="1843" w:type="dxa"/>
            <w:tcBorders>
              <w:top w:val="single" w:sz="4" w:space="0" w:color="auto"/>
              <w:left w:val="single" w:sz="4" w:space="0" w:color="auto"/>
              <w:bottom w:val="single" w:sz="4" w:space="0" w:color="auto"/>
              <w:right w:val="single" w:sz="4" w:space="0" w:color="auto"/>
            </w:tcBorders>
            <w:vAlign w:val="bottom"/>
          </w:tcPr>
          <w:p w14:paraId="7B6F6E64" w14:textId="77777777" w:rsidR="00295824" w:rsidRPr="00295824" w:rsidRDefault="00295824" w:rsidP="00295824">
            <w:pPr>
              <w:jc w:val="center"/>
              <w:cnfStyle w:val="100000000000" w:firstRow="1" w:lastRow="0" w:firstColumn="0" w:lastColumn="0" w:oddVBand="0" w:evenVBand="0" w:oddHBand="0" w:evenHBand="0" w:firstRowFirstColumn="0" w:firstRowLastColumn="0" w:lastRowFirstColumn="0" w:lastRowLastColumn="0"/>
              <w:rPr>
                <w:iCs/>
              </w:rPr>
            </w:pPr>
            <w:r w:rsidRPr="00295824">
              <w:rPr>
                <w:iCs/>
              </w:rPr>
              <w:t>PDSAFE</w:t>
            </w:r>
          </w:p>
          <w:p w14:paraId="7CEADBD3" w14:textId="77777777" w:rsidR="00295824" w:rsidRPr="00295824" w:rsidRDefault="00295824" w:rsidP="00295824">
            <w:pPr>
              <w:jc w:val="center"/>
              <w:cnfStyle w:val="100000000000" w:firstRow="1" w:lastRow="0" w:firstColumn="0" w:lastColumn="0" w:oddVBand="0" w:evenVBand="0" w:oddHBand="0" w:evenHBand="0" w:firstRowFirstColumn="0" w:firstRowLastColumn="0" w:lastRowFirstColumn="0" w:lastRowLastColumn="0"/>
              <w:rPr>
                <w:iCs/>
              </w:rPr>
            </w:pPr>
            <w:r w:rsidRPr="00295824">
              <w:rPr>
                <w:iCs/>
              </w:rPr>
              <w:t>(n=238</w:t>
            </w:r>
            <w:r w:rsidRPr="00295824">
              <w:rPr>
                <w:iCs/>
                <w:vertAlign w:val="superscript"/>
              </w:rPr>
              <w:t>1</w:t>
            </w:r>
            <w:r w:rsidRPr="00295824">
              <w:rPr>
                <w:iCs/>
              </w:rPr>
              <w:t>)</w:t>
            </w:r>
          </w:p>
        </w:tc>
        <w:tc>
          <w:tcPr>
            <w:tcW w:w="1700" w:type="dxa"/>
            <w:tcBorders>
              <w:top w:val="single" w:sz="4" w:space="0" w:color="auto"/>
              <w:left w:val="single" w:sz="4" w:space="0" w:color="auto"/>
              <w:bottom w:val="single" w:sz="4" w:space="0" w:color="auto"/>
            </w:tcBorders>
            <w:vAlign w:val="bottom"/>
          </w:tcPr>
          <w:p w14:paraId="59002443" w14:textId="77777777" w:rsidR="00295824" w:rsidRPr="00295824" w:rsidRDefault="00295824" w:rsidP="00295824">
            <w:pPr>
              <w:jc w:val="center"/>
              <w:cnfStyle w:val="100000000000" w:firstRow="1" w:lastRow="0" w:firstColumn="0" w:lastColumn="0" w:oddVBand="0" w:evenVBand="0" w:oddHBand="0" w:evenHBand="0" w:firstRowFirstColumn="0" w:firstRowLastColumn="0" w:lastRowFirstColumn="0" w:lastRowLastColumn="0"/>
              <w:rPr>
                <w:iCs/>
                <w:vertAlign w:val="superscript"/>
              </w:rPr>
            </w:pPr>
            <w:r w:rsidRPr="00295824">
              <w:rPr>
                <w:iCs/>
              </w:rPr>
              <w:t>Control</w:t>
            </w:r>
          </w:p>
          <w:p w14:paraId="757C0CDB" w14:textId="77777777" w:rsidR="00295824" w:rsidRPr="00295824" w:rsidRDefault="00295824" w:rsidP="00295824">
            <w:pPr>
              <w:jc w:val="center"/>
              <w:cnfStyle w:val="100000000000" w:firstRow="1" w:lastRow="0" w:firstColumn="0" w:lastColumn="0" w:oddVBand="0" w:evenVBand="0" w:oddHBand="0" w:evenHBand="0" w:firstRowFirstColumn="0" w:firstRowLastColumn="0" w:lastRowFirstColumn="0" w:lastRowLastColumn="0"/>
              <w:rPr>
                <w:iCs/>
              </w:rPr>
            </w:pPr>
            <w:r w:rsidRPr="00295824">
              <w:rPr>
                <w:iCs/>
              </w:rPr>
              <w:t>(n=236</w:t>
            </w:r>
            <w:r w:rsidRPr="00295824">
              <w:rPr>
                <w:iCs/>
                <w:vertAlign w:val="superscript"/>
              </w:rPr>
              <w:t>2</w:t>
            </w:r>
            <w:r w:rsidRPr="00295824">
              <w:rPr>
                <w:iCs/>
              </w:rPr>
              <w:t>)</w:t>
            </w:r>
          </w:p>
        </w:tc>
      </w:tr>
      <w:tr w:rsidR="00295824" w:rsidRPr="00295824" w14:paraId="38E28097" w14:textId="77777777" w:rsidTr="00B87AC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52" w:type="dxa"/>
            <w:tcBorders>
              <w:top w:val="single" w:sz="4" w:space="0" w:color="auto"/>
              <w:right w:val="nil"/>
            </w:tcBorders>
            <w:shd w:val="clear" w:color="auto" w:fill="auto"/>
          </w:tcPr>
          <w:p w14:paraId="0EA088F8" w14:textId="77777777" w:rsidR="00295824" w:rsidRPr="00295824" w:rsidRDefault="00295824" w:rsidP="00295824">
            <w:pPr>
              <w:rPr>
                <w:iCs/>
              </w:rPr>
            </w:pPr>
            <w:r w:rsidRPr="00295824">
              <w:rPr>
                <w:iCs/>
              </w:rPr>
              <w:t xml:space="preserve">Gender </w:t>
            </w:r>
          </w:p>
          <w:p w14:paraId="3FB33C34" w14:textId="77777777" w:rsidR="00295824" w:rsidRPr="00295824" w:rsidRDefault="00295824" w:rsidP="00295824">
            <w:pPr>
              <w:ind w:left="313"/>
              <w:rPr>
                <w:iCs/>
              </w:rPr>
            </w:pPr>
          </w:p>
        </w:tc>
        <w:tc>
          <w:tcPr>
            <w:tcW w:w="1838" w:type="dxa"/>
            <w:gridSpan w:val="3"/>
            <w:tcBorders>
              <w:top w:val="single" w:sz="4" w:space="0" w:color="auto"/>
              <w:left w:val="nil"/>
              <w:right w:val="nil"/>
            </w:tcBorders>
            <w:shd w:val="clear" w:color="auto" w:fill="auto"/>
          </w:tcPr>
          <w:p w14:paraId="5A1973E0" w14:textId="77777777" w:rsidR="00295824" w:rsidRPr="00295824" w:rsidRDefault="00295824" w:rsidP="00295824">
            <w:pPr>
              <w:jc w:val="right"/>
              <w:cnfStyle w:val="000000100000" w:firstRow="0" w:lastRow="0" w:firstColumn="0" w:lastColumn="0" w:oddVBand="0" w:evenVBand="0" w:oddHBand="1" w:evenHBand="0" w:firstRowFirstColumn="0" w:firstRowLastColumn="0" w:lastRowFirstColumn="0" w:lastRowLastColumn="0"/>
              <w:rPr>
                <w:b/>
                <w:iCs/>
              </w:rPr>
            </w:pPr>
          </w:p>
        </w:tc>
        <w:tc>
          <w:tcPr>
            <w:tcW w:w="2275" w:type="dxa"/>
            <w:gridSpan w:val="2"/>
            <w:tcBorders>
              <w:top w:val="single" w:sz="4" w:space="0" w:color="auto"/>
              <w:left w:val="nil"/>
              <w:bottom w:val="single" w:sz="4" w:space="0" w:color="auto"/>
              <w:right w:val="single" w:sz="4" w:space="0" w:color="auto"/>
            </w:tcBorders>
            <w:shd w:val="clear" w:color="auto" w:fill="auto"/>
          </w:tcPr>
          <w:p w14:paraId="1D7F422D" w14:textId="77777777" w:rsidR="00295824" w:rsidRPr="00295824" w:rsidRDefault="00295824" w:rsidP="00295824">
            <w:pPr>
              <w:jc w:val="right"/>
              <w:cnfStyle w:val="000000100000" w:firstRow="0" w:lastRow="0" w:firstColumn="0" w:lastColumn="0" w:oddVBand="0" w:evenVBand="0" w:oddHBand="1" w:evenHBand="0" w:firstRowFirstColumn="0" w:firstRowLastColumn="0" w:lastRowFirstColumn="0" w:lastRowLastColumn="0"/>
              <w:rPr>
                <w:b/>
                <w:iCs/>
              </w:rPr>
            </w:pPr>
            <w:r w:rsidRPr="00295824">
              <w:rPr>
                <w:b/>
                <w:iCs/>
              </w:rPr>
              <w:t>male</w:t>
            </w:r>
          </w:p>
          <w:p w14:paraId="361A7E1B" w14:textId="77777777" w:rsidR="00295824" w:rsidRPr="00295824" w:rsidRDefault="00295824" w:rsidP="00295824">
            <w:pPr>
              <w:spacing w:line="276" w:lineRule="auto"/>
              <w:jc w:val="right"/>
              <w:cnfStyle w:val="000000100000" w:firstRow="0" w:lastRow="0" w:firstColumn="0" w:lastColumn="0" w:oddVBand="0" w:evenVBand="0" w:oddHBand="1" w:evenHBand="0" w:firstRowFirstColumn="0" w:firstRowLastColumn="0" w:lastRowFirstColumn="0" w:lastRowLastColumn="0"/>
              <w:rPr>
                <w:iCs/>
              </w:rPr>
            </w:pPr>
            <w:r w:rsidRPr="00295824">
              <w:rPr>
                <w:b/>
                <w:iCs/>
              </w:rPr>
              <w:t>female</w:t>
            </w:r>
          </w:p>
        </w:tc>
        <w:tc>
          <w:tcPr>
            <w:tcW w:w="1843" w:type="dxa"/>
            <w:tcBorders>
              <w:top w:val="single" w:sz="4" w:space="0" w:color="auto"/>
              <w:left w:val="single" w:sz="4" w:space="0" w:color="auto"/>
            </w:tcBorders>
            <w:shd w:val="clear" w:color="auto" w:fill="auto"/>
          </w:tcPr>
          <w:p w14:paraId="3164AFC5" w14:textId="77777777" w:rsidR="00295824" w:rsidRPr="00295824" w:rsidRDefault="00295824" w:rsidP="00295824">
            <w:pPr>
              <w:jc w:val="center"/>
              <w:cnfStyle w:val="000000100000" w:firstRow="0" w:lastRow="0" w:firstColumn="0" w:lastColumn="0" w:oddVBand="0" w:evenVBand="0" w:oddHBand="1" w:evenHBand="0" w:firstRowFirstColumn="0" w:firstRowLastColumn="0" w:lastRowFirstColumn="0" w:lastRowLastColumn="0"/>
              <w:rPr>
                <w:iCs/>
              </w:rPr>
            </w:pPr>
            <w:r w:rsidRPr="00295824">
              <w:rPr>
                <w:iCs/>
              </w:rPr>
              <w:t>147 (62%)</w:t>
            </w:r>
          </w:p>
          <w:p w14:paraId="7EB7E9DC" w14:textId="77777777" w:rsidR="00295824" w:rsidRPr="00295824" w:rsidRDefault="00295824" w:rsidP="00295824">
            <w:pPr>
              <w:jc w:val="center"/>
              <w:cnfStyle w:val="000000100000" w:firstRow="0" w:lastRow="0" w:firstColumn="0" w:lastColumn="0" w:oddVBand="0" w:evenVBand="0" w:oddHBand="1" w:evenHBand="0" w:firstRowFirstColumn="0" w:firstRowLastColumn="0" w:lastRowFirstColumn="0" w:lastRowLastColumn="0"/>
              <w:rPr>
                <w:iCs/>
              </w:rPr>
            </w:pPr>
            <w:r w:rsidRPr="00295824">
              <w:rPr>
                <w:iCs/>
              </w:rPr>
              <w:t xml:space="preserve"> 91 (38%)</w:t>
            </w:r>
          </w:p>
        </w:tc>
        <w:tc>
          <w:tcPr>
            <w:tcW w:w="1700" w:type="dxa"/>
            <w:tcBorders>
              <w:top w:val="single" w:sz="4" w:space="0" w:color="auto"/>
            </w:tcBorders>
            <w:shd w:val="clear" w:color="auto" w:fill="auto"/>
          </w:tcPr>
          <w:p w14:paraId="7093A032" w14:textId="77777777" w:rsidR="00295824" w:rsidRPr="00295824" w:rsidRDefault="00295824" w:rsidP="00295824">
            <w:pPr>
              <w:jc w:val="center"/>
              <w:cnfStyle w:val="000000100000" w:firstRow="0" w:lastRow="0" w:firstColumn="0" w:lastColumn="0" w:oddVBand="0" w:evenVBand="0" w:oddHBand="1" w:evenHBand="0" w:firstRowFirstColumn="0" w:firstRowLastColumn="0" w:lastRowFirstColumn="0" w:lastRowLastColumn="0"/>
              <w:rPr>
                <w:iCs/>
              </w:rPr>
            </w:pPr>
            <w:r w:rsidRPr="00295824">
              <w:rPr>
                <w:iCs/>
              </w:rPr>
              <w:t>119 (50%)</w:t>
            </w:r>
          </w:p>
          <w:p w14:paraId="6A7580FE" w14:textId="77777777" w:rsidR="00295824" w:rsidRPr="00295824" w:rsidRDefault="00295824" w:rsidP="00295824">
            <w:pPr>
              <w:jc w:val="center"/>
              <w:cnfStyle w:val="000000100000" w:firstRow="0" w:lastRow="0" w:firstColumn="0" w:lastColumn="0" w:oddVBand="0" w:evenVBand="0" w:oddHBand="1" w:evenHBand="0" w:firstRowFirstColumn="0" w:firstRowLastColumn="0" w:lastRowFirstColumn="0" w:lastRowLastColumn="0"/>
              <w:rPr>
                <w:iCs/>
              </w:rPr>
            </w:pPr>
            <w:r w:rsidRPr="00295824">
              <w:rPr>
                <w:iCs/>
              </w:rPr>
              <w:t>117 (50%)</w:t>
            </w:r>
          </w:p>
        </w:tc>
      </w:tr>
      <w:tr w:rsidR="00295824" w:rsidRPr="00295824" w14:paraId="09D89BDE" w14:textId="77777777" w:rsidTr="00B87ACC">
        <w:trPr>
          <w:trHeight w:val="574"/>
        </w:trPr>
        <w:tc>
          <w:tcPr>
            <w:cnfStyle w:val="001000000000" w:firstRow="0" w:lastRow="0" w:firstColumn="1" w:lastColumn="0" w:oddVBand="0" w:evenVBand="0" w:oddHBand="0" w:evenHBand="0" w:firstRowFirstColumn="0" w:firstRowLastColumn="0" w:lastRowFirstColumn="0" w:lastRowLastColumn="0"/>
            <w:tcW w:w="1552" w:type="dxa"/>
            <w:tcBorders>
              <w:right w:val="nil"/>
            </w:tcBorders>
            <w:shd w:val="clear" w:color="auto" w:fill="auto"/>
          </w:tcPr>
          <w:p w14:paraId="646C0568" w14:textId="77777777" w:rsidR="00295824" w:rsidRPr="00295824" w:rsidRDefault="00295824" w:rsidP="00295824">
            <w:pPr>
              <w:rPr>
                <w:iCs/>
              </w:rPr>
            </w:pPr>
            <w:r w:rsidRPr="00295824">
              <w:rPr>
                <w:iCs/>
              </w:rPr>
              <w:t>Age (years)</w:t>
            </w:r>
          </w:p>
        </w:tc>
        <w:tc>
          <w:tcPr>
            <w:tcW w:w="1838" w:type="dxa"/>
            <w:gridSpan w:val="3"/>
            <w:tcBorders>
              <w:left w:val="nil"/>
              <w:right w:val="nil"/>
            </w:tcBorders>
            <w:shd w:val="clear" w:color="auto" w:fill="auto"/>
          </w:tcPr>
          <w:p w14:paraId="1F185DD8" w14:textId="77777777" w:rsidR="00295824" w:rsidRPr="00295824" w:rsidRDefault="00295824" w:rsidP="00295824">
            <w:pPr>
              <w:ind w:firstLine="34"/>
              <w:jc w:val="right"/>
              <w:cnfStyle w:val="000000000000" w:firstRow="0" w:lastRow="0" w:firstColumn="0" w:lastColumn="0" w:oddVBand="0" w:evenVBand="0" w:oddHBand="0" w:evenHBand="0" w:firstRowFirstColumn="0" w:firstRowLastColumn="0" w:lastRowFirstColumn="0" w:lastRowLastColumn="0"/>
              <w:rPr>
                <w:b/>
                <w:iCs/>
              </w:rPr>
            </w:pPr>
          </w:p>
        </w:tc>
        <w:tc>
          <w:tcPr>
            <w:tcW w:w="2275" w:type="dxa"/>
            <w:gridSpan w:val="2"/>
            <w:tcBorders>
              <w:top w:val="single" w:sz="4" w:space="0" w:color="auto"/>
              <w:left w:val="nil"/>
              <w:bottom w:val="nil"/>
              <w:right w:val="single" w:sz="4" w:space="0" w:color="auto"/>
            </w:tcBorders>
            <w:shd w:val="clear" w:color="auto" w:fill="auto"/>
          </w:tcPr>
          <w:p w14:paraId="04D4F300" w14:textId="77777777" w:rsidR="00295824" w:rsidRPr="00295824" w:rsidRDefault="00295824" w:rsidP="00295824">
            <w:pPr>
              <w:jc w:val="right"/>
              <w:cnfStyle w:val="000000000000" w:firstRow="0" w:lastRow="0" w:firstColumn="0" w:lastColumn="0" w:oddVBand="0" w:evenVBand="0" w:oddHBand="0" w:evenHBand="0" w:firstRowFirstColumn="0" w:firstRowLastColumn="0" w:lastRowFirstColumn="0" w:lastRowLastColumn="0"/>
              <w:rPr>
                <w:b/>
                <w:iCs/>
              </w:rPr>
            </w:pPr>
            <w:r w:rsidRPr="00295824">
              <w:rPr>
                <w:b/>
                <w:iCs/>
              </w:rPr>
              <w:t>mean (SD)</w:t>
            </w:r>
          </w:p>
          <w:p w14:paraId="787AFE12" w14:textId="77777777" w:rsidR="00295824" w:rsidRPr="00295824" w:rsidRDefault="00295824" w:rsidP="00295824">
            <w:pPr>
              <w:spacing w:line="276" w:lineRule="auto"/>
              <w:jc w:val="right"/>
              <w:cnfStyle w:val="000000000000" w:firstRow="0" w:lastRow="0" w:firstColumn="0" w:lastColumn="0" w:oddVBand="0" w:evenVBand="0" w:oddHBand="0" w:evenHBand="0" w:firstRowFirstColumn="0" w:firstRowLastColumn="0" w:lastRowFirstColumn="0" w:lastRowLastColumn="0"/>
              <w:rPr>
                <w:b/>
                <w:iCs/>
              </w:rPr>
            </w:pPr>
            <w:r w:rsidRPr="00295824">
              <w:rPr>
                <w:b/>
                <w:iCs/>
              </w:rPr>
              <w:t>min to max</w:t>
            </w:r>
          </w:p>
        </w:tc>
        <w:tc>
          <w:tcPr>
            <w:tcW w:w="1843" w:type="dxa"/>
            <w:tcBorders>
              <w:left w:val="single" w:sz="4" w:space="0" w:color="auto"/>
            </w:tcBorders>
            <w:shd w:val="clear" w:color="auto" w:fill="auto"/>
          </w:tcPr>
          <w:p w14:paraId="2171E5C9"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iCs/>
              </w:rPr>
            </w:pPr>
            <w:r w:rsidRPr="00295824">
              <w:rPr>
                <w:iCs/>
              </w:rPr>
              <w:t>71 (7.7)</w:t>
            </w:r>
          </w:p>
          <w:p w14:paraId="29892391"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iCs/>
              </w:rPr>
            </w:pPr>
            <w:r w:rsidRPr="00295824">
              <w:rPr>
                <w:iCs/>
              </w:rPr>
              <w:t>51 to 91</w:t>
            </w:r>
          </w:p>
        </w:tc>
        <w:tc>
          <w:tcPr>
            <w:tcW w:w="1700" w:type="dxa"/>
            <w:shd w:val="clear" w:color="auto" w:fill="auto"/>
          </w:tcPr>
          <w:p w14:paraId="0D263976"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iCs/>
              </w:rPr>
            </w:pPr>
            <w:r w:rsidRPr="00295824">
              <w:rPr>
                <w:iCs/>
              </w:rPr>
              <w:t>73 (7.7)</w:t>
            </w:r>
          </w:p>
          <w:p w14:paraId="0E7717CC"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iCs/>
              </w:rPr>
            </w:pPr>
            <w:r w:rsidRPr="00295824">
              <w:rPr>
                <w:iCs/>
              </w:rPr>
              <w:t>46 to 88</w:t>
            </w:r>
          </w:p>
        </w:tc>
      </w:tr>
      <w:tr w:rsidR="00295824" w:rsidRPr="00295824" w14:paraId="6615853D" w14:textId="77777777" w:rsidTr="00B87AC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545" w:type="dxa"/>
            <w:gridSpan w:val="3"/>
            <w:tcBorders>
              <w:right w:val="nil"/>
            </w:tcBorders>
            <w:shd w:val="clear" w:color="auto" w:fill="auto"/>
          </w:tcPr>
          <w:p w14:paraId="55E0544F" w14:textId="77777777" w:rsidR="00295824" w:rsidRPr="00295824" w:rsidRDefault="00295824" w:rsidP="00295824">
            <w:pPr>
              <w:rPr>
                <w:iCs/>
              </w:rPr>
            </w:pPr>
            <w:r w:rsidRPr="00295824">
              <w:rPr>
                <w:iCs/>
              </w:rPr>
              <w:t>Disease duration (years)</w:t>
            </w:r>
          </w:p>
        </w:tc>
        <w:tc>
          <w:tcPr>
            <w:tcW w:w="3120" w:type="dxa"/>
            <w:gridSpan w:val="3"/>
            <w:tcBorders>
              <w:top w:val="single" w:sz="4" w:space="0" w:color="auto"/>
              <w:left w:val="nil"/>
              <w:bottom w:val="single" w:sz="4" w:space="0" w:color="auto"/>
              <w:right w:val="single" w:sz="4" w:space="0" w:color="auto"/>
            </w:tcBorders>
            <w:shd w:val="clear" w:color="auto" w:fill="auto"/>
          </w:tcPr>
          <w:p w14:paraId="1A0F518A" w14:textId="77777777" w:rsidR="00295824" w:rsidRPr="00295824" w:rsidRDefault="00295824" w:rsidP="00295824">
            <w:pPr>
              <w:jc w:val="right"/>
              <w:cnfStyle w:val="000000100000" w:firstRow="0" w:lastRow="0" w:firstColumn="0" w:lastColumn="0" w:oddVBand="0" w:evenVBand="0" w:oddHBand="1" w:evenHBand="0" w:firstRowFirstColumn="0" w:firstRowLastColumn="0" w:lastRowFirstColumn="0" w:lastRowLastColumn="0"/>
              <w:rPr>
                <w:b/>
                <w:iCs/>
              </w:rPr>
            </w:pPr>
            <w:r w:rsidRPr="00295824">
              <w:rPr>
                <w:b/>
                <w:iCs/>
              </w:rPr>
              <w:t>mean (SD)</w:t>
            </w:r>
          </w:p>
          <w:p w14:paraId="58B7D1C1" w14:textId="77777777" w:rsidR="00295824" w:rsidRPr="00295824" w:rsidRDefault="00295824" w:rsidP="00295824">
            <w:pPr>
              <w:spacing w:line="276" w:lineRule="auto"/>
              <w:jc w:val="right"/>
              <w:cnfStyle w:val="000000100000" w:firstRow="0" w:lastRow="0" w:firstColumn="0" w:lastColumn="0" w:oddVBand="0" w:evenVBand="0" w:oddHBand="1" w:evenHBand="0" w:firstRowFirstColumn="0" w:firstRowLastColumn="0" w:lastRowFirstColumn="0" w:lastRowLastColumn="0"/>
              <w:rPr>
                <w:iCs/>
              </w:rPr>
            </w:pPr>
            <w:r w:rsidRPr="00295824">
              <w:rPr>
                <w:b/>
                <w:iCs/>
              </w:rPr>
              <w:t>min to max</w:t>
            </w:r>
          </w:p>
        </w:tc>
        <w:tc>
          <w:tcPr>
            <w:tcW w:w="1843" w:type="dxa"/>
            <w:tcBorders>
              <w:left w:val="single" w:sz="4" w:space="0" w:color="auto"/>
            </w:tcBorders>
            <w:shd w:val="clear" w:color="auto" w:fill="auto"/>
          </w:tcPr>
          <w:p w14:paraId="1EF6C2EA" w14:textId="77777777" w:rsidR="00295824" w:rsidRPr="00295824" w:rsidRDefault="00295824" w:rsidP="00295824">
            <w:pPr>
              <w:jc w:val="center"/>
              <w:cnfStyle w:val="000000100000" w:firstRow="0" w:lastRow="0" w:firstColumn="0" w:lastColumn="0" w:oddVBand="0" w:evenVBand="0" w:oddHBand="1" w:evenHBand="0" w:firstRowFirstColumn="0" w:firstRowLastColumn="0" w:lastRowFirstColumn="0" w:lastRowLastColumn="0"/>
              <w:rPr>
                <w:iCs/>
              </w:rPr>
            </w:pPr>
            <w:r w:rsidRPr="00295824">
              <w:rPr>
                <w:iCs/>
              </w:rPr>
              <w:t>8 (6.6)</w:t>
            </w:r>
          </w:p>
          <w:p w14:paraId="7BA050C3" w14:textId="77777777" w:rsidR="00295824" w:rsidRPr="00295824" w:rsidRDefault="00295824" w:rsidP="00295824">
            <w:pPr>
              <w:jc w:val="center"/>
              <w:cnfStyle w:val="000000100000" w:firstRow="0" w:lastRow="0" w:firstColumn="0" w:lastColumn="0" w:oddVBand="0" w:evenVBand="0" w:oddHBand="1" w:evenHBand="0" w:firstRowFirstColumn="0" w:firstRowLastColumn="0" w:lastRowFirstColumn="0" w:lastRowLastColumn="0"/>
              <w:rPr>
                <w:iCs/>
              </w:rPr>
            </w:pPr>
            <w:r w:rsidRPr="00295824">
              <w:rPr>
                <w:iCs/>
              </w:rPr>
              <w:t>0 to 36</w:t>
            </w:r>
          </w:p>
        </w:tc>
        <w:tc>
          <w:tcPr>
            <w:tcW w:w="1700" w:type="dxa"/>
            <w:shd w:val="clear" w:color="auto" w:fill="auto"/>
          </w:tcPr>
          <w:p w14:paraId="50474D2A" w14:textId="77777777" w:rsidR="00295824" w:rsidRPr="00295824" w:rsidRDefault="00295824" w:rsidP="00295824">
            <w:pPr>
              <w:jc w:val="center"/>
              <w:cnfStyle w:val="000000100000" w:firstRow="0" w:lastRow="0" w:firstColumn="0" w:lastColumn="0" w:oddVBand="0" w:evenVBand="0" w:oddHBand="1" w:evenHBand="0" w:firstRowFirstColumn="0" w:firstRowLastColumn="0" w:lastRowFirstColumn="0" w:lastRowLastColumn="0"/>
              <w:rPr>
                <w:iCs/>
              </w:rPr>
            </w:pPr>
            <w:r w:rsidRPr="00295824">
              <w:rPr>
                <w:iCs/>
              </w:rPr>
              <w:t>8 (5.8)</w:t>
            </w:r>
          </w:p>
          <w:p w14:paraId="5A6815B4" w14:textId="77777777" w:rsidR="00295824" w:rsidRPr="00295824" w:rsidRDefault="00295824" w:rsidP="00295824">
            <w:pPr>
              <w:spacing w:line="276" w:lineRule="auto"/>
              <w:jc w:val="center"/>
              <w:cnfStyle w:val="000000100000" w:firstRow="0" w:lastRow="0" w:firstColumn="0" w:lastColumn="0" w:oddVBand="0" w:evenVBand="0" w:oddHBand="1" w:evenHBand="0" w:firstRowFirstColumn="0" w:firstRowLastColumn="0" w:lastRowFirstColumn="0" w:lastRowLastColumn="0"/>
              <w:rPr>
                <w:iCs/>
              </w:rPr>
            </w:pPr>
            <w:r w:rsidRPr="00295824">
              <w:rPr>
                <w:iCs/>
              </w:rPr>
              <w:t>0 to 29</w:t>
            </w:r>
          </w:p>
        </w:tc>
      </w:tr>
      <w:tr w:rsidR="00295824" w:rsidRPr="00295824" w14:paraId="6A1E4101" w14:textId="77777777" w:rsidTr="00B87ACC">
        <w:trPr>
          <w:trHeight w:val="419"/>
        </w:trPr>
        <w:tc>
          <w:tcPr>
            <w:cnfStyle w:val="001000000000" w:firstRow="0" w:lastRow="0" w:firstColumn="1" w:lastColumn="0" w:oddVBand="0" w:evenVBand="0" w:oddHBand="0" w:evenHBand="0" w:firstRowFirstColumn="0" w:firstRowLastColumn="0" w:lastRowFirstColumn="0" w:lastRowLastColumn="0"/>
            <w:tcW w:w="2545" w:type="dxa"/>
            <w:gridSpan w:val="3"/>
            <w:tcBorders>
              <w:bottom w:val="single" w:sz="4" w:space="0" w:color="auto"/>
              <w:right w:val="nil"/>
            </w:tcBorders>
            <w:shd w:val="clear" w:color="auto" w:fill="auto"/>
          </w:tcPr>
          <w:p w14:paraId="62A54FBF" w14:textId="77777777" w:rsidR="00295824" w:rsidRPr="00295824" w:rsidRDefault="00295824" w:rsidP="00295824">
            <w:pPr>
              <w:rPr>
                <w:iCs/>
              </w:rPr>
            </w:pPr>
            <w:r w:rsidRPr="00295824">
              <w:rPr>
                <w:iCs/>
              </w:rPr>
              <w:t>MMSE</w:t>
            </w:r>
          </w:p>
        </w:tc>
        <w:tc>
          <w:tcPr>
            <w:tcW w:w="3120" w:type="dxa"/>
            <w:gridSpan w:val="3"/>
            <w:tcBorders>
              <w:top w:val="single" w:sz="4" w:space="0" w:color="auto"/>
              <w:left w:val="nil"/>
              <w:bottom w:val="single" w:sz="4" w:space="0" w:color="auto"/>
              <w:right w:val="single" w:sz="4" w:space="0" w:color="auto"/>
            </w:tcBorders>
            <w:shd w:val="clear" w:color="auto" w:fill="auto"/>
          </w:tcPr>
          <w:p w14:paraId="7AF14360" w14:textId="77777777" w:rsidR="00295824" w:rsidRPr="00295824" w:rsidRDefault="00295824" w:rsidP="00295824">
            <w:pPr>
              <w:jc w:val="right"/>
              <w:cnfStyle w:val="000000000000" w:firstRow="0" w:lastRow="0" w:firstColumn="0" w:lastColumn="0" w:oddVBand="0" w:evenVBand="0" w:oddHBand="0" w:evenHBand="0" w:firstRowFirstColumn="0" w:firstRowLastColumn="0" w:lastRowFirstColumn="0" w:lastRowLastColumn="0"/>
              <w:rPr>
                <w:b/>
                <w:iCs/>
              </w:rPr>
            </w:pPr>
            <w:r w:rsidRPr="00295824">
              <w:rPr>
                <w:b/>
                <w:iCs/>
              </w:rPr>
              <w:t>mean (SD)</w:t>
            </w:r>
          </w:p>
          <w:p w14:paraId="14B2B6C9" w14:textId="77777777" w:rsidR="00295824" w:rsidRPr="00295824" w:rsidRDefault="00295824" w:rsidP="00295824">
            <w:pPr>
              <w:spacing w:line="276" w:lineRule="auto"/>
              <w:jc w:val="right"/>
              <w:cnfStyle w:val="000000000000" w:firstRow="0" w:lastRow="0" w:firstColumn="0" w:lastColumn="0" w:oddVBand="0" w:evenVBand="0" w:oddHBand="0" w:evenHBand="0" w:firstRowFirstColumn="0" w:firstRowLastColumn="0" w:lastRowFirstColumn="0" w:lastRowLastColumn="0"/>
              <w:rPr>
                <w:iCs/>
              </w:rPr>
            </w:pPr>
            <w:r w:rsidRPr="00295824">
              <w:rPr>
                <w:b/>
                <w:iCs/>
              </w:rPr>
              <w:t>min to max</w:t>
            </w:r>
          </w:p>
        </w:tc>
        <w:tc>
          <w:tcPr>
            <w:tcW w:w="1843" w:type="dxa"/>
            <w:tcBorders>
              <w:left w:val="single" w:sz="4" w:space="0" w:color="auto"/>
            </w:tcBorders>
            <w:shd w:val="clear" w:color="auto" w:fill="auto"/>
          </w:tcPr>
          <w:p w14:paraId="271AE8B4"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iCs/>
              </w:rPr>
            </w:pPr>
            <w:r w:rsidRPr="00295824">
              <w:rPr>
                <w:iCs/>
              </w:rPr>
              <w:t>28 (1.7)</w:t>
            </w:r>
          </w:p>
          <w:p w14:paraId="4E5E1742"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iCs/>
              </w:rPr>
            </w:pPr>
            <w:r w:rsidRPr="00295824">
              <w:rPr>
                <w:iCs/>
              </w:rPr>
              <w:t>24 to 30</w:t>
            </w:r>
          </w:p>
        </w:tc>
        <w:tc>
          <w:tcPr>
            <w:tcW w:w="1700" w:type="dxa"/>
            <w:shd w:val="clear" w:color="auto" w:fill="auto"/>
          </w:tcPr>
          <w:p w14:paraId="0AAF1EF7"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iCs/>
              </w:rPr>
            </w:pPr>
            <w:r w:rsidRPr="00295824">
              <w:rPr>
                <w:iCs/>
              </w:rPr>
              <w:t>29 (1.6)</w:t>
            </w:r>
          </w:p>
          <w:p w14:paraId="7B4390FD"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iCs/>
              </w:rPr>
            </w:pPr>
            <w:r w:rsidRPr="00295824">
              <w:rPr>
                <w:iCs/>
              </w:rPr>
              <w:t>24 to 30</w:t>
            </w:r>
          </w:p>
        </w:tc>
      </w:tr>
      <w:tr w:rsidR="00295824" w:rsidRPr="00295824" w14:paraId="2D8802AF" w14:textId="77777777" w:rsidTr="00B87ACC">
        <w:trPr>
          <w:cnfStyle w:val="000000100000" w:firstRow="0" w:lastRow="0" w:firstColumn="0" w:lastColumn="0" w:oddVBand="0" w:evenVBand="0" w:oddHBand="1" w:evenHBand="0" w:firstRowFirstColumn="0" w:firstRowLastColumn="0" w:lastRowFirstColumn="0" w:lastRowLastColumn="0"/>
          <w:trHeight w:val="884"/>
        </w:trPr>
        <w:tc>
          <w:tcPr>
            <w:cnfStyle w:val="001000000000" w:firstRow="0" w:lastRow="0" w:firstColumn="1" w:lastColumn="0" w:oddVBand="0" w:evenVBand="0" w:oddHBand="0" w:evenHBand="0" w:firstRowFirstColumn="0" w:firstRowLastColumn="0" w:lastRowFirstColumn="0" w:lastRowLastColumn="0"/>
            <w:tcW w:w="2545" w:type="dxa"/>
            <w:gridSpan w:val="3"/>
            <w:tcBorders>
              <w:right w:val="nil"/>
            </w:tcBorders>
            <w:shd w:val="clear" w:color="auto" w:fill="auto"/>
          </w:tcPr>
          <w:p w14:paraId="25B0B063" w14:textId="77777777" w:rsidR="00295824" w:rsidRPr="00295824" w:rsidRDefault="00295824" w:rsidP="00295824">
            <w:pPr>
              <w:rPr>
                <w:iCs/>
              </w:rPr>
            </w:pPr>
            <w:r w:rsidRPr="00295824">
              <w:rPr>
                <w:iCs/>
              </w:rPr>
              <w:t>MoCA</w:t>
            </w:r>
          </w:p>
        </w:tc>
        <w:tc>
          <w:tcPr>
            <w:tcW w:w="3120" w:type="dxa"/>
            <w:gridSpan w:val="3"/>
            <w:tcBorders>
              <w:top w:val="single" w:sz="4" w:space="0" w:color="auto"/>
              <w:left w:val="nil"/>
              <w:bottom w:val="single" w:sz="4" w:space="0" w:color="auto"/>
              <w:right w:val="single" w:sz="4" w:space="0" w:color="auto"/>
            </w:tcBorders>
            <w:shd w:val="clear" w:color="auto" w:fill="auto"/>
          </w:tcPr>
          <w:p w14:paraId="066B8475" w14:textId="77777777" w:rsidR="00295824" w:rsidRPr="00295824" w:rsidRDefault="00295824" w:rsidP="00295824">
            <w:pPr>
              <w:jc w:val="right"/>
              <w:cnfStyle w:val="000000100000" w:firstRow="0" w:lastRow="0" w:firstColumn="0" w:lastColumn="0" w:oddVBand="0" w:evenVBand="0" w:oddHBand="1" w:evenHBand="0" w:firstRowFirstColumn="0" w:firstRowLastColumn="0" w:lastRowFirstColumn="0" w:lastRowLastColumn="0"/>
              <w:rPr>
                <w:b/>
                <w:iCs/>
              </w:rPr>
            </w:pPr>
            <w:r w:rsidRPr="00295824">
              <w:rPr>
                <w:b/>
                <w:iCs/>
              </w:rPr>
              <w:t>mean (SD)</w:t>
            </w:r>
          </w:p>
          <w:p w14:paraId="65C542B6" w14:textId="77777777" w:rsidR="00295824" w:rsidRPr="00295824" w:rsidRDefault="00295824" w:rsidP="00295824">
            <w:pPr>
              <w:spacing w:after="120"/>
              <w:jc w:val="right"/>
              <w:cnfStyle w:val="000000100000" w:firstRow="0" w:lastRow="0" w:firstColumn="0" w:lastColumn="0" w:oddVBand="0" w:evenVBand="0" w:oddHBand="1" w:evenHBand="0" w:firstRowFirstColumn="0" w:firstRowLastColumn="0" w:lastRowFirstColumn="0" w:lastRowLastColumn="0"/>
              <w:rPr>
                <w:b/>
                <w:iCs/>
              </w:rPr>
            </w:pPr>
            <w:r w:rsidRPr="00295824">
              <w:rPr>
                <w:b/>
                <w:iCs/>
              </w:rPr>
              <w:t xml:space="preserve">min to max </w:t>
            </w:r>
          </w:p>
          <w:p w14:paraId="5B9D2186" w14:textId="77777777" w:rsidR="00295824" w:rsidRPr="00295824" w:rsidRDefault="00295824" w:rsidP="00295824">
            <w:pPr>
              <w:spacing w:line="276" w:lineRule="auto"/>
              <w:jc w:val="right"/>
              <w:cnfStyle w:val="000000100000" w:firstRow="0" w:lastRow="0" w:firstColumn="0" w:lastColumn="0" w:oddVBand="0" w:evenVBand="0" w:oddHBand="1" w:evenHBand="0" w:firstRowFirstColumn="0" w:firstRowLastColumn="0" w:lastRowFirstColumn="0" w:lastRowLastColumn="0"/>
              <w:rPr>
                <w:iCs/>
              </w:rPr>
            </w:pPr>
            <w:r w:rsidRPr="00295824">
              <w:rPr>
                <w:b/>
                <w:iCs/>
              </w:rPr>
              <w:t>≤ 25 (cognitively impaired)</w:t>
            </w:r>
          </w:p>
        </w:tc>
        <w:tc>
          <w:tcPr>
            <w:tcW w:w="1843" w:type="dxa"/>
            <w:tcBorders>
              <w:left w:val="single" w:sz="4" w:space="0" w:color="auto"/>
            </w:tcBorders>
            <w:shd w:val="clear" w:color="auto" w:fill="auto"/>
          </w:tcPr>
          <w:p w14:paraId="361BF09D" w14:textId="77777777" w:rsidR="00295824" w:rsidRPr="00295824" w:rsidRDefault="00295824" w:rsidP="00295824">
            <w:pPr>
              <w:jc w:val="center"/>
              <w:cnfStyle w:val="000000100000" w:firstRow="0" w:lastRow="0" w:firstColumn="0" w:lastColumn="0" w:oddVBand="0" w:evenVBand="0" w:oddHBand="1" w:evenHBand="0" w:firstRowFirstColumn="0" w:firstRowLastColumn="0" w:lastRowFirstColumn="0" w:lastRowLastColumn="0"/>
              <w:rPr>
                <w:iCs/>
              </w:rPr>
            </w:pPr>
            <w:r w:rsidRPr="00295824">
              <w:rPr>
                <w:iCs/>
              </w:rPr>
              <w:t>26 (2.9)</w:t>
            </w:r>
          </w:p>
          <w:p w14:paraId="68EA9631" w14:textId="77777777" w:rsidR="00295824" w:rsidRPr="00295824" w:rsidRDefault="00295824" w:rsidP="00295824">
            <w:pPr>
              <w:jc w:val="center"/>
              <w:cnfStyle w:val="000000100000" w:firstRow="0" w:lastRow="0" w:firstColumn="0" w:lastColumn="0" w:oddVBand="0" w:evenVBand="0" w:oddHBand="1" w:evenHBand="0" w:firstRowFirstColumn="0" w:firstRowLastColumn="0" w:lastRowFirstColumn="0" w:lastRowLastColumn="0"/>
              <w:rPr>
                <w:iCs/>
              </w:rPr>
            </w:pPr>
            <w:r w:rsidRPr="00295824">
              <w:rPr>
                <w:iCs/>
              </w:rPr>
              <w:t>15 to 30</w:t>
            </w:r>
          </w:p>
          <w:p w14:paraId="0A90C9DE" w14:textId="77777777" w:rsidR="00295824" w:rsidRPr="00295824" w:rsidRDefault="00295824" w:rsidP="00295824">
            <w:pPr>
              <w:spacing w:before="120"/>
              <w:jc w:val="center"/>
              <w:cnfStyle w:val="000000100000" w:firstRow="0" w:lastRow="0" w:firstColumn="0" w:lastColumn="0" w:oddVBand="0" w:evenVBand="0" w:oddHBand="1" w:evenHBand="0" w:firstRowFirstColumn="0" w:firstRowLastColumn="0" w:lastRowFirstColumn="0" w:lastRowLastColumn="0"/>
              <w:rPr>
                <w:iCs/>
              </w:rPr>
            </w:pPr>
            <w:r w:rsidRPr="00295824">
              <w:rPr>
                <w:iCs/>
              </w:rPr>
              <w:t>91 (38%)</w:t>
            </w:r>
          </w:p>
        </w:tc>
        <w:tc>
          <w:tcPr>
            <w:tcW w:w="1700" w:type="dxa"/>
            <w:shd w:val="clear" w:color="auto" w:fill="auto"/>
          </w:tcPr>
          <w:p w14:paraId="6F9D0AFC" w14:textId="77777777" w:rsidR="00295824" w:rsidRPr="00295824" w:rsidRDefault="00295824" w:rsidP="00295824">
            <w:pPr>
              <w:jc w:val="center"/>
              <w:cnfStyle w:val="000000100000" w:firstRow="0" w:lastRow="0" w:firstColumn="0" w:lastColumn="0" w:oddVBand="0" w:evenVBand="0" w:oddHBand="1" w:evenHBand="0" w:firstRowFirstColumn="0" w:firstRowLastColumn="0" w:lastRowFirstColumn="0" w:lastRowLastColumn="0"/>
              <w:rPr>
                <w:iCs/>
              </w:rPr>
            </w:pPr>
            <w:r w:rsidRPr="00295824">
              <w:rPr>
                <w:iCs/>
              </w:rPr>
              <w:t>26 (3.2)</w:t>
            </w:r>
          </w:p>
          <w:p w14:paraId="76BB4E5E" w14:textId="77777777" w:rsidR="00295824" w:rsidRPr="00295824" w:rsidRDefault="00295824" w:rsidP="00295824">
            <w:pPr>
              <w:jc w:val="center"/>
              <w:cnfStyle w:val="000000100000" w:firstRow="0" w:lastRow="0" w:firstColumn="0" w:lastColumn="0" w:oddVBand="0" w:evenVBand="0" w:oddHBand="1" w:evenHBand="0" w:firstRowFirstColumn="0" w:firstRowLastColumn="0" w:lastRowFirstColumn="0" w:lastRowLastColumn="0"/>
              <w:rPr>
                <w:iCs/>
              </w:rPr>
            </w:pPr>
            <w:r w:rsidRPr="00295824">
              <w:rPr>
                <w:iCs/>
              </w:rPr>
              <w:t>9 to 30</w:t>
            </w:r>
          </w:p>
          <w:p w14:paraId="0ABA70DA" w14:textId="77777777" w:rsidR="00295824" w:rsidRPr="00295824" w:rsidRDefault="00295824" w:rsidP="00295824">
            <w:pPr>
              <w:spacing w:before="120"/>
              <w:jc w:val="center"/>
              <w:cnfStyle w:val="000000100000" w:firstRow="0" w:lastRow="0" w:firstColumn="0" w:lastColumn="0" w:oddVBand="0" w:evenVBand="0" w:oddHBand="1" w:evenHBand="0" w:firstRowFirstColumn="0" w:firstRowLastColumn="0" w:lastRowFirstColumn="0" w:lastRowLastColumn="0"/>
              <w:rPr>
                <w:iCs/>
              </w:rPr>
            </w:pPr>
            <w:r w:rsidRPr="00295824">
              <w:rPr>
                <w:iCs/>
              </w:rPr>
              <w:t>93 (39%)</w:t>
            </w:r>
          </w:p>
        </w:tc>
      </w:tr>
      <w:tr w:rsidR="00295824" w:rsidRPr="00295824" w14:paraId="5D6E2372" w14:textId="77777777" w:rsidTr="00B87ACC">
        <w:trPr>
          <w:trHeight w:val="828"/>
        </w:trPr>
        <w:tc>
          <w:tcPr>
            <w:cnfStyle w:val="001000000000" w:firstRow="0" w:lastRow="0" w:firstColumn="1" w:lastColumn="0" w:oddVBand="0" w:evenVBand="0" w:oddHBand="0" w:evenHBand="0" w:firstRowFirstColumn="0" w:firstRowLastColumn="0" w:lastRowFirstColumn="0" w:lastRowLastColumn="0"/>
            <w:tcW w:w="2545" w:type="dxa"/>
            <w:gridSpan w:val="3"/>
            <w:tcBorders>
              <w:right w:val="nil"/>
            </w:tcBorders>
            <w:shd w:val="clear" w:color="auto" w:fill="auto"/>
          </w:tcPr>
          <w:p w14:paraId="55DBC2D9" w14:textId="77777777" w:rsidR="00295824" w:rsidRPr="00295824" w:rsidRDefault="00295824" w:rsidP="00295824">
            <w:pPr>
              <w:rPr>
                <w:iCs/>
              </w:rPr>
            </w:pPr>
            <w:r w:rsidRPr="00295824">
              <w:rPr>
                <w:iCs/>
              </w:rPr>
              <w:t>Living status</w:t>
            </w:r>
          </w:p>
        </w:tc>
        <w:tc>
          <w:tcPr>
            <w:tcW w:w="3120" w:type="dxa"/>
            <w:gridSpan w:val="3"/>
            <w:tcBorders>
              <w:top w:val="single" w:sz="4" w:space="0" w:color="auto"/>
              <w:left w:val="nil"/>
            </w:tcBorders>
            <w:shd w:val="clear" w:color="auto" w:fill="auto"/>
          </w:tcPr>
          <w:p w14:paraId="6ACEDF6A" w14:textId="77777777" w:rsidR="00295824" w:rsidRPr="00295824" w:rsidRDefault="00295824" w:rsidP="00295824">
            <w:pPr>
              <w:jc w:val="right"/>
              <w:cnfStyle w:val="000000000000" w:firstRow="0" w:lastRow="0" w:firstColumn="0" w:lastColumn="0" w:oddVBand="0" w:evenVBand="0" w:oddHBand="0" w:evenHBand="0" w:firstRowFirstColumn="0" w:firstRowLastColumn="0" w:lastRowFirstColumn="0" w:lastRowLastColumn="0"/>
              <w:rPr>
                <w:b/>
                <w:iCs/>
              </w:rPr>
            </w:pPr>
            <w:r w:rsidRPr="00295824">
              <w:rPr>
                <w:b/>
                <w:iCs/>
              </w:rPr>
              <w:t>lived alone</w:t>
            </w:r>
          </w:p>
          <w:p w14:paraId="1D5DC485" w14:textId="77777777" w:rsidR="00295824" w:rsidRPr="00295824" w:rsidRDefault="00295824" w:rsidP="00295824">
            <w:pPr>
              <w:jc w:val="right"/>
              <w:cnfStyle w:val="000000000000" w:firstRow="0" w:lastRow="0" w:firstColumn="0" w:lastColumn="0" w:oddVBand="0" w:evenVBand="0" w:oddHBand="0" w:evenHBand="0" w:firstRowFirstColumn="0" w:firstRowLastColumn="0" w:lastRowFirstColumn="0" w:lastRowLastColumn="0"/>
              <w:rPr>
                <w:b/>
                <w:iCs/>
              </w:rPr>
            </w:pPr>
            <w:r w:rsidRPr="00295824">
              <w:rPr>
                <w:b/>
                <w:iCs/>
              </w:rPr>
              <w:t>with a spouse/partner</w:t>
            </w:r>
          </w:p>
          <w:p w14:paraId="3148E215" w14:textId="77777777" w:rsidR="00295824" w:rsidRPr="00295824" w:rsidRDefault="00295824" w:rsidP="00295824">
            <w:pPr>
              <w:spacing w:line="276" w:lineRule="auto"/>
              <w:jc w:val="right"/>
              <w:cnfStyle w:val="000000000000" w:firstRow="0" w:lastRow="0" w:firstColumn="0" w:lastColumn="0" w:oddVBand="0" w:evenVBand="0" w:oddHBand="0" w:evenHBand="0" w:firstRowFirstColumn="0" w:firstRowLastColumn="0" w:lastRowFirstColumn="0" w:lastRowLastColumn="0"/>
              <w:rPr>
                <w:b/>
                <w:iCs/>
              </w:rPr>
            </w:pPr>
            <w:r w:rsidRPr="00295824">
              <w:rPr>
                <w:b/>
                <w:iCs/>
              </w:rPr>
              <w:t>with a friend/family</w:t>
            </w:r>
          </w:p>
        </w:tc>
        <w:tc>
          <w:tcPr>
            <w:tcW w:w="1843" w:type="dxa"/>
            <w:shd w:val="clear" w:color="auto" w:fill="auto"/>
          </w:tcPr>
          <w:p w14:paraId="54160935"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iCs/>
              </w:rPr>
            </w:pPr>
            <w:r w:rsidRPr="00295824">
              <w:rPr>
                <w:iCs/>
              </w:rPr>
              <w:t>48 (20%)</w:t>
            </w:r>
          </w:p>
          <w:p w14:paraId="6C6C1E54"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iCs/>
              </w:rPr>
            </w:pPr>
            <w:r w:rsidRPr="00295824">
              <w:rPr>
                <w:iCs/>
              </w:rPr>
              <w:t>174 (73%)</w:t>
            </w:r>
          </w:p>
          <w:p w14:paraId="0AD461D2"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iCs/>
              </w:rPr>
            </w:pPr>
            <w:r w:rsidRPr="00295824">
              <w:rPr>
                <w:iCs/>
              </w:rPr>
              <w:t>15 (6%)</w:t>
            </w:r>
          </w:p>
        </w:tc>
        <w:tc>
          <w:tcPr>
            <w:tcW w:w="1700" w:type="dxa"/>
            <w:shd w:val="clear" w:color="auto" w:fill="auto"/>
          </w:tcPr>
          <w:p w14:paraId="10B97EF2"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Cs/>
              </w:rPr>
            </w:pPr>
            <w:r w:rsidRPr="00295824">
              <w:rPr>
                <w:rFonts w:asciiTheme="majorHAnsi" w:hAnsiTheme="majorHAnsi"/>
                <w:iCs/>
              </w:rPr>
              <w:t>59 (25%)</w:t>
            </w:r>
          </w:p>
          <w:p w14:paraId="3747D298"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Cs/>
              </w:rPr>
            </w:pPr>
            <w:r w:rsidRPr="00295824">
              <w:rPr>
                <w:rFonts w:asciiTheme="majorHAnsi" w:hAnsiTheme="majorHAnsi"/>
                <w:iCs/>
              </w:rPr>
              <w:t>166 (70%)</w:t>
            </w:r>
          </w:p>
          <w:p w14:paraId="5966F266"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iCs/>
              </w:rPr>
            </w:pPr>
            <w:r w:rsidRPr="00295824">
              <w:rPr>
                <w:rFonts w:asciiTheme="majorHAnsi" w:hAnsiTheme="majorHAnsi"/>
                <w:iCs/>
              </w:rPr>
              <w:t>10 (4%)</w:t>
            </w:r>
          </w:p>
        </w:tc>
      </w:tr>
      <w:tr w:rsidR="00295824" w:rsidRPr="00295824" w14:paraId="3D63A571" w14:textId="77777777" w:rsidTr="00B87ACC">
        <w:trPr>
          <w:cnfStyle w:val="000000100000" w:firstRow="0" w:lastRow="0" w:firstColumn="0" w:lastColumn="0" w:oddVBand="0" w:evenVBand="0" w:oddHBand="1" w:evenHBand="0" w:firstRowFirstColumn="0" w:firstRowLastColumn="0" w:lastRowFirstColumn="0" w:lastRowLastColumn="0"/>
          <w:trHeight w:val="1064"/>
        </w:trPr>
        <w:tc>
          <w:tcPr>
            <w:cnfStyle w:val="001000000000" w:firstRow="0" w:lastRow="0" w:firstColumn="1" w:lastColumn="0" w:oddVBand="0" w:evenVBand="0" w:oddHBand="0" w:evenHBand="0" w:firstRowFirstColumn="0" w:firstRowLastColumn="0" w:lastRowFirstColumn="0" w:lastRowLastColumn="0"/>
            <w:tcW w:w="2545" w:type="dxa"/>
            <w:gridSpan w:val="3"/>
            <w:tcBorders>
              <w:bottom w:val="single" w:sz="4" w:space="0" w:color="auto"/>
              <w:right w:val="nil"/>
            </w:tcBorders>
            <w:shd w:val="clear" w:color="auto" w:fill="auto"/>
          </w:tcPr>
          <w:p w14:paraId="6552B7EF" w14:textId="77777777" w:rsidR="00295824" w:rsidRPr="00295824" w:rsidRDefault="00295824" w:rsidP="00295824">
            <w:pPr>
              <w:rPr>
                <w:iCs/>
              </w:rPr>
            </w:pPr>
            <w:r w:rsidRPr="00295824">
              <w:rPr>
                <w:iCs/>
              </w:rPr>
              <w:t xml:space="preserve">Hoehn and Yahr stage </w:t>
            </w:r>
          </w:p>
        </w:tc>
        <w:tc>
          <w:tcPr>
            <w:tcW w:w="3120" w:type="dxa"/>
            <w:gridSpan w:val="3"/>
            <w:tcBorders>
              <w:left w:val="nil"/>
              <w:bottom w:val="single" w:sz="4" w:space="0" w:color="auto"/>
            </w:tcBorders>
            <w:shd w:val="clear" w:color="auto" w:fill="auto"/>
          </w:tcPr>
          <w:p w14:paraId="31673EC4" w14:textId="77777777" w:rsidR="00295824" w:rsidRPr="00295824" w:rsidRDefault="00295824" w:rsidP="00295824">
            <w:pPr>
              <w:jc w:val="right"/>
              <w:cnfStyle w:val="000000100000" w:firstRow="0" w:lastRow="0" w:firstColumn="0" w:lastColumn="0" w:oddVBand="0" w:evenVBand="0" w:oddHBand="1" w:evenHBand="0" w:firstRowFirstColumn="0" w:firstRowLastColumn="0" w:lastRowFirstColumn="0" w:lastRowLastColumn="0"/>
              <w:rPr>
                <w:b/>
                <w:bCs/>
                <w:iCs/>
              </w:rPr>
            </w:pPr>
            <w:r w:rsidRPr="00295824">
              <w:rPr>
                <w:b/>
                <w:bCs/>
                <w:iCs/>
              </w:rPr>
              <w:t>1</w:t>
            </w:r>
          </w:p>
          <w:p w14:paraId="60DFB11B" w14:textId="77777777" w:rsidR="00295824" w:rsidRPr="00295824" w:rsidRDefault="00295824" w:rsidP="00295824">
            <w:pPr>
              <w:jc w:val="right"/>
              <w:cnfStyle w:val="000000100000" w:firstRow="0" w:lastRow="0" w:firstColumn="0" w:lastColumn="0" w:oddVBand="0" w:evenVBand="0" w:oddHBand="1" w:evenHBand="0" w:firstRowFirstColumn="0" w:firstRowLastColumn="0" w:lastRowFirstColumn="0" w:lastRowLastColumn="0"/>
              <w:rPr>
                <w:b/>
                <w:bCs/>
                <w:iCs/>
              </w:rPr>
            </w:pPr>
            <w:r w:rsidRPr="00295824">
              <w:rPr>
                <w:b/>
                <w:bCs/>
                <w:iCs/>
              </w:rPr>
              <w:t>2</w:t>
            </w:r>
          </w:p>
          <w:p w14:paraId="009A32BA" w14:textId="77777777" w:rsidR="00295824" w:rsidRPr="00295824" w:rsidRDefault="00295824" w:rsidP="00295824">
            <w:pPr>
              <w:jc w:val="right"/>
              <w:cnfStyle w:val="000000100000" w:firstRow="0" w:lastRow="0" w:firstColumn="0" w:lastColumn="0" w:oddVBand="0" w:evenVBand="0" w:oddHBand="1" w:evenHBand="0" w:firstRowFirstColumn="0" w:firstRowLastColumn="0" w:lastRowFirstColumn="0" w:lastRowLastColumn="0"/>
              <w:rPr>
                <w:b/>
                <w:bCs/>
                <w:iCs/>
              </w:rPr>
            </w:pPr>
            <w:r w:rsidRPr="00295824">
              <w:rPr>
                <w:b/>
                <w:bCs/>
                <w:iCs/>
              </w:rPr>
              <w:t>3</w:t>
            </w:r>
          </w:p>
          <w:p w14:paraId="3698BBD9" w14:textId="77777777" w:rsidR="00295824" w:rsidRPr="00295824" w:rsidRDefault="00295824" w:rsidP="00295824">
            <w:pPr>
              <w:spacing w:line="276" w:lineRule="auto"/>
              <w:jc w:val="right"/>
              <w:cnfStyle w:val="000000100000" w:firstRow="0" w:lastRow="0" w:firstColumn="0" w:lastColumn="0" w:oddVBand="0" w:evenVBand="0" w:oddHBand="1" w:evenHBand="0" w:firstRowFirstColumn="0" w:firstRowLastColumn="0" w:lastRowFirstColumn="0" w:lastRowLastColumn="0"/>
              <w:rPr>
                <w:b/>
                <w:bCs/>
                <w:iCs/>
              </w:rPr>
            </w:pPr>
            <w:r w:rsidRPr="00295824">
              <w:rPr>
                <w:b/>
                <w:bCs/>
                <w:iCs/>
              </w:rPr>
              <w:t>4</w:t>
            </w:r>
          </w:p>
        </w:tc>
        <w:tc>
          <w:tcPr>
            <w:tcW w:w="1843" w:type="dxa"/>
            <w:shd w:val="clear" w:color="auto" w:fill="auto"/>
          </w:tcPr>
          <w:p w14:paraId="1C6B491B" w14:textId="77777777" w:rsidR="00295824" w:rsidRPr="00295824" w:rsidRDefault="00295824" w:rsidP="00295824">
            <w:pPr>
              <w:jc w:val="center"/>
              <w:cnfStyle w:val="000000100000" w:firstRow="0" w:lastRow="0" w:firstColumn="0" w:lastColumn="0" w:oddVBand="0" w:evenVBand="0" w:oddHBand="1" w:evenHBand="0" w:firstRowFirstColumn="0" w:firstRowLastColumn="0" w:lastRowFirstColumn="0" w:lastRowLastColumn="0"/>
              <w:rPr>
                <w:iCs/>
              </w:rPr>
            </w:pPr>
            <w:r w:rsidRPr="00295824">
              <w:rPr>
                <w:iCs/>
              </w:rPr>
              <w:t>26 (11%)</w:t>
            </w:r>
          </w:p>
          <w:p w14:paraId="5AE04482" w14:textId="77777777" w:rsidR="00295824" w:rsidRPr="00295824" w:rsidRDefault="00295824" w:rsidP="00295824">
            <w:pPr>
              <w:jc w:val="center"/>
              <w:cnfStyle w:val="000000100000" w:firstRow="0" w:lastRow="0" w:firstColumn="0" w:lastColumn="0" w:oddVBand="0" w:evenVBand="0" w:oddHBand="1" w:evenHBand="0" w:firstRowFirstColumn="0" w:firstRowLastColumn="0" w:lastRowFirstColumn="0" w:lastRowLastColumn="0"/>
              <w:rPr>
                <w:iCs/>
              </w:rPr>
            </w:pPr>
            <w:r w:rsidRPr="00295824">
              <w:rPr>
                <w:iCs/>
              </w:rPr>
              <w:t>78 (33%)</w:t>
            </w:r>
          </w:p>
          <w:p w14:paraId="68B115CD" w14:textId="77777777" w:rsidR="00295824" w:rsidRPr="00295824" w:rsidRDefault="00295824" w:rsidP="00295824">
            <w:pPr>
              <w:jc w:val="center"/>
              <w:cnfStyle w:val="000000100000" w:firstRow="0" w:lastRow="0" w:firstColumn="0" w:lastColumn="0" w:oddVBand="0" w:evenVBand="0" w:oddHBand="1" w:evenHBand="0" w:firstRowFirstColumn="0" w:firstRowLastColumn="0" w:lastRowFirstColumn="0" w:lastRowLastColumn="0"/>
              <w:rPr>
                <w:iCs/>
              </w:rPr>
            </w:pPr>
            <w:r w:rsidRPr="00295824">
              <w:rPr>
                <w:iCs/>
              </w:rPr>
              <w:t>102 (43%)</w:t>
            </w:r>
          </w:p>
          <w:p w14:paraId="6C9E4CDC" w14:textId="77777777" w:rsidR="00295824" w:rsidRPr="00295824" w:rsidRDefault="00295824" w:rsidP="00295824">
            <w:pPr>
              <w:jc w:val="center"/>
              <w:cnfStyle w:val="000000100000" w:firstRow="0" w:lastRow="0" w:firstColumn="0" w:lastColumn="0" w:oddVBand="0" w:evenVBand="0" w:oddHBand="1" w:evenHBand="0" w:firstRowFirstColumn="0" w:firstRowLastColumn="0" w:lastRowFirstColumn="0" w:lastRowLastColumn="0"/>
              <w:rPr>
                <w:iCs/>
              </w:rPr>
            </w:pPr>
            <w:r w:rsidRPr="00295824">
              <w:rPr>
                <w:iCs/>
              </w:rPr>
              <w:t>32 (13%)</w:t>
            </w:r>
          </w:p>
        </w:tc>
        <w:tc>
          <w:tcPr>
            <w:tcW w:w="1700" w:type="dxa"/>
            <w:shd w:val="clear" w:color="auto" w:fill="auto"/>
          </w:tcPr>
          <w:p w14:paraId="0FF789A3" w14:textId="77777777" w:rsidR="00295824" w:rsidRPr="00295824" w:rsidRDefault="00295824" w:rsidP="0029582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Cs/>
              </w:rPr>
            </w:pPr>
            <w:r w:rsidRPr="00295824">
              <w:rPr>
                <w:rFonts w:asciiTheme="majorHAnsi" w:hAnsiTheme="majorHAnsi"/>
                <w:iCs/>
              </w:rPr>
              <w:t>30 (13%)</w:t>
            </w:r>
          </w:p>
          <w:p w14:paraId="2667F37B" w14:textId="77777777" w:rsidR="00295824" w:rsidRPr="00295824" w:rsidRDefault="00295824" w:rsidP="0029582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Cs/>
              </w:rPr>
            </w:pPr>
            <w:r w:rsidRPr="00295824">
              <w:rPr>
                <w:rFonts w:asciiTheme="majorHAnsi" w:hAnsiTheme="majorHAnsi"/>
                <w:iCs/>
              </w:rPr>
              <w:t>56 (24%)</w:t>
            </w:r>
          </w:p>
          <w:p w14:paraId="7CF4712C" w14:textId="77777777" w:rsidR="00295824" w:rsidRPr="00295824" w:rsidRDefault="00295824" w:rsidP="0029582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Cs/>
              </w:rPr>
            </w:pPr>
            <w:r w:rsidRPr="00295824">
              <w:rPr>
                <w:rFonts w:asciiTheme="majorHAnsi" w:hAnsiTheme="majorHAnsi"/>
                <w:iCs/>
              </w:rPr>
              <w:t>112 (48%)</w:t>
            </w:r>
          </w:p>
          <w:p w14:paraId="48A6ADBA" w14:textId="77777777" w:rsidR="00295824" w:rsidRPr="00295824" w:rsidRDefault="00295824" w:rsidP="0029582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Cs/>
              </w:rPr>
            </w:pPr>
            <w:r w:rsidRPr="00295824">
              <w:rPr>
                <w:rFonts w:asciiTheme="majorHAnsi" w:hAnsiTheme="majorHAnsi"/>
                <w:iCs/>
              </w:rPr>
              <w:t>38 (16%)</w:t>
            </w:r>
          </w:p>
        </w:tc>
      </w:tr>
      <w:tr w:rsidR="00295824" w:rsidRPr="00295824" w14:paraId="2B8B2CE1" w14:textId="77777777" w:rsidTr="00B87ACC">
        <w:trPr>
          <w:trHeight w:val="389"/>
        </w:trPr>
        <w:tc>
          <w:tcPr>
            <w:cnfStyle w:val="001000000000" w:firstRow="0" w:lastRow="0" w:firstColumn="1" w:lastColumn="0" w:oddVBand="0" w:evenVBand="0" w:oddHBand="0" w:evenHBand="0" w:firstRowFirstColumn="0" w:firstRowLastColumn="0" w:lastRowFirstColumn="0" w:lastRowLastColumn="0"/>
            <w:tcW w:w="1552" w:type="dxa"/>
            <w:tcBorders>
              <w:right w:val="nil"/>
            </w:tcBorders>
            <w:shd w:val="clear" w:color="auto" w:fill="auto"/>
          </w:tcPr>
          <w:p w14:paraId="32CEB6F8" w14:textId="77777777" w:rsidR="00295824" w:rsidRPr="00295824" w:rsidRDefault="00295824" w:rsidP="00295824">
            <w:pPr>
              <w:rPr>
                <w:iCs/>
              </w:rPr>
            </w:pPr>
            <w:r w:rsidRPr="00295824">
              <w:rPr>
                <w:iCs/>
              </w:rPr>
              <w:t xml:space="preserve">UPDRS </w:t>
            </w:r>
          </w:p>
        </w:tc>
        <w:tc>
          <w:tcPr>
            <w:tcW w:w="4113" w:type="dxa"/>
            <w:gridSpan w:val="5"/>
            <w:tcBorders>
              <w:left w:val="nil"/>
              <w:right w:val="single" w:sz="4" w:space="0" w:color="auto"/>
            </w:tcBorders>
            <w:shd w:val="clear" w:color="auto" w:fill="auto"/>
          </w:tcPr>
          <w:p w14:paraId="3F4E168B" w14:textId="77777777" w:rsidR="00295824" w:rsidRPr="00295824" w:rsidRDefault="00295824" w:rsidP="00295824">
            <w:pPr>
              <w:jc w:val="right"/>
              <w:cnfStyle w:val="000000000000" w:firstRow="0" w:lastRow="0" w:firstColumn="0" w:lastColumn="0" w:oddVBand="0" w:evenVBand="0" w:oddHBand="0" w:evenHBand="0" w:firstRowFirstColumn="0" w:firstRowLastColumn="0" w:lastRowFirstColumn="0" w:lastRowLastColumn="0"/>
              <w:rPr>
                <w:b/>
                <w:iCs/>
              </w:rPr>
            </w:pPr>
            <w:r w:rsidRPr="00295824">
              <w:rPr>
                <w:b/>
                <w:iCs/>
              </w:rPr>
              <w:t>mean (SD)</w:t>
            </w:r>
          </w:p>
          <w:p w14:paraId="31C3B328" w14:textId="77777777" w:rsidR="00295824" w:rsidRPr="00295824" w:rsidRDefault="00295824" w:rsidP="00295824">
            <w:pPr>
              <w:jc w:val="right"/>
              <w:cnfStyle w:val="000000000000" w:firstRow="0" w:lastRow="0" w:firstColumn="0" w:lastColumn="0" w:oddVBand="0" w:evenVBand="0" w:oddHBand="0" w:evenHBand="0" w:firstRowFirstColumn="0" w:firstRowLastColumn="0" w:lastRowFirstColumn="0" w:lastRowLastColumn="0"/>
              <w:rPr>
                <w:b/>
                <w:iCs/>
              </w:rPr>
            </w:pPr>
            <w:r w:rsidRPr="00295824">
              <w:rPr>
                <w:b/>
                <w:iCs/>
              </w:rPr>
              <w:t>min to max</w:t>
            </w:r>
          </w:p>
          <w:p w14:paraId="3BBCC525" w14:textId="77777777" w:rsidR="00295824" w:rsidRPr="00295824" w:rsidRDefault="00295824" w:rsidP="00295824">
            <w:pPr>
              <w:spacing w:before="120"/>
              <w:jc w:val="right"/>
              <w:cnfStyle w:val="000000000000" w:firstRow="0" w:lastRow="0" w:firstColumn="0" w:lastColumn="0" w:oddVBand="0" w:evenVBand="0" w:oddHBand="0" w:evenHBand="0" w:firstRowFirstColumn="0" w:firstRowLastColumn="0" w:lastRowFirstColumn="0" w:lastRowLastColumn="0"/>
              <w:rPr>
                <w:b/>
                <w:iCs/>
              </w:rPr>
            </w:pPr>
            <w:r w:rsidRPr="00295824">
              <w:rPr>
                <w:b/>
                <w:iCs/>
              </w:rPr>
              <w:t>TD phenotype</w:t>
            </w:r>
          </w:p>
          <w:p w14:paraId="53E3FE72" w14:textId="77777777" w:rsidR="00295824" w:rsidRPr="00295824" w:rsidRDefault="00295824" w:rsidP="00295824">
            <w:pPr>
              <w:jc w:val="right"/>
              <w:cnfStyle w:val="000000000000" w:firstRow="0" w:lastRow="0" w:firstColumn="0" w:lastColumn="0" w:oddVBand="0" w:evenVBand="0" w:oddHBand="0" w:evenHBand="0" w:firstRowFirstColumn="0" w:firstRowLastColumn="0" w:lastRowFirstColumn="0" w:lastRowLastColumn="0"/>
              <w:rPr>
                <w:b/>
                <w:iCs/>
              </w:rPr>
            </w:pPr>
            <w:r w:rsidRPr="00295824">
              <w:rPr>
                <w:b/>
                <w:iCs/>
              </w:rPr>
              <w:t>PIGD phenotype</w:t>
            </w:r>
          </w:p>
          <w:p w14:paraId="6CA54BBB" w14:textId="77777777" w:rsidR="00295824" w:rsidRPr="00295824" w:rsidRDefault="00295824" w:rsidP="00295824">
            <w:pPr>
              <w:spacing w:line="276" w:lineRule="auto"/>
              <w:jc w:val="right"/>
              <w:cnfStyle w:val="000000000000" w:firstRow="0" w:lastRow="0" w:firstColumn="0" w:lastColumn="0" w:oddVBand="0" w:evenVBand="0" w:oddHBand="0" w:evenHBand="0" w:firstRowFirstColumn="0" w:firstRowLastColumn="0" w:lastRowFirstColumn="0" w:lastRowLastColumn="0"/>
              <w:rPr>
                <w:b/>
                <w:iCs/>
              </w:rPr>
            </w:pPr>
            <w:r w:rsidRPr="00295824">
              <w:rPr>
                <w:b/>
                <w:iCs/>
              </w:rPr>
              <w:t>indeterminate</w:t>
            </w:r>
          </w:p>
        </w:tc>
        <w:tc>
          <w:tcPr>
            <w:tcW w:w="1843" w:type="dxa"/>
            <w:tcBorders>
              <w:left w:val="single" w:sz="4" w:space="0" w:color="auto"/>
            </w:tcBorders>
            <w:shd w:val="clear" w:color="auto" w:fill="auto"/>
          </w:tcPr>
          <w:p w14:paraId="1C57297D"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iCs/>
              </w:rPr>
            </w:pPr>
            <w:r w:rsidRPr="00295824">
              <w:rPr>
                <w:iCs/>
              </w:rPr>
              <w:t>32 (15.2)</w:t>
            </w:r>
          </w:p>
          <w:p w14:paraId="56DF7142"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iCs/>
              </w:rPr>
            </w:pPr>
            <w:r w:rsidRPr="00295824">
              <w:rPr>
                <w:iCs/>
              </w:rPr>
              <w:t>2 to 77</w:t>
            </w:r>
          </w:p>
          <w:p w14:paraId="5508CA71" w14:textId="77777777" w:rsidR="00295824" w:rsidRPr="00295824" w:rsidRDefault="00295824" w:rsidP="00295824">
            <w:pPr>
              <w:spacing w:before="120"/>
              <w:jc w:val="center"/>
              <w:cnfStyle w:val="000000000000" w:firstRow="0" w:lastRow="0" w:firstColumn="0" w:lastColumn="0" w:oddVBand="0" w:evenVBand="0" w:oddHBand="0" w:evenHBand="0" w:firstRowFirstColumn="0" w:firstRowLastColumn="0" w:lastRowFirstColumn="0" w:lastRowLastColumn="0"/>
              <w:rPr>
                <w:iCs/>
              </w:rPr>
            </w:pPr>
            <w:r w:rsidRPr="00295824">
              <w:rPr>
                <w:iCs/>
              </w:rPr>
              <w:t>21 (9%)</w:t>
            </w:r>
          </w:p>
          <w:p w14:paraId="4D4B263E"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iCs/>
              </w:rPr>
            </w:pPr>
            <w:r w:rsidRPr="00295824">
              <w:rPr>
                <w:iCs/>
              </w:rPr>
              <w:t>194 (83%)</w:t>
            </w:r>
          </w:p>
          <w:p w14:paraId="57070684"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iCs/>
              </w:rPr>
            </w:pPr>
            <w:r w:rsidRPr="00295824">
              <w:rPr>
                <w:iCs/>
              </w:rPr>
              <w:t>20 (8%)</w:t>
            </w:r>
          </w:p>
        </w:tc>
        <w:tc>
          <w:tcPr>
            <w:tcW w:w="1700" w:type="dxa"/>
            <w:shd w:val="clear" w:color="auto" w:fill="auto"/>
          </w:tcPr>
          <w:p w14:paraId="4391E8AB"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iCs/>
              </w:rPr>
            </w:pPr>
            <w:r w:rsidRPr="00295824">
              <w:rPr>
                <w:iCs/>
              </w:rPr>
              <w:t>33 (17.3)</w:t>
            </w:r>
          </w:p>
          <w:p w14:paraId="4F97C57B"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iCs/>
              </w:rPr>
            </w:pPr>
            <w:r w:rsidRPr="00295824">
              <w:rPr>
                <w:iCs/>
              </w:rPr>
              <w:t>4 to 92</w:t>
            </w:r>
          </w:p>
          <w:p w14:paraId="0C7FE5F7" w14:textId="77777777" w:rsidR="00295824" w:rsidRPr="00295824" w:rsidRDefault="00295824" w:rsidP="00295824">
            <w:pPr>
              <w:spacing w:before="120"/>
              <w:jc w:val="center"/>
              <w:cnfStyle w:val="000000000000" w:firstRow="0" w:lastRow="0" w:firstColumn="0" w:lastColumn="0" w:oddVBand="0" w:evenVBand="0" w:oddHBand="0" w:evenHBand="0" w:firstRowFirstColumn="0" w:firstRowLastColumn="0" w:lastRowFirstColumn="0" w:lastRowLastColumn="0"/>
              <w:rPr>
                <w:iCs/>
              </w:rPr>
            </w:pPr>
            <w:r w:rsidRPr="00295824">
              <w:rPr>
                <w:iCs/>
              </w:rPr>
              <w:t>19 (8%)</w:t>
            </w:r>
          </w:p>
          <w:p w14:paraId="21A5E5E3"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iCs/>
              </w:rPr>
            </w:pPr>
            <w:r w:rsidRPr="00295824">
              <w:rPr>
                <w:iCs/>
              </w:rPr>
              <w:t>206 (88%)</w:t>
            </w:r>
          </w:p>
          <w:p w14:paraId="7470EEEF"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iCs/>
              </w:rPr>
            </w:pPr>
            <w:r w:rsidRPr="00295824">
              <w:rPr>
                <w:iCs/>
              </w:rPr>
              <w:t>10 (4%)</w:t>
            </w:r>
          </w:p>
        </w:tc>
      </w:tr>
      <w:tr w:rsidR="00295824" w:rsidRPr="00295824" w14:paraId="4050210A" w14:textId="77777777" w:rsidTr="00B87AC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665" w:type="dxa"/>
            <w:gridSpan w:val="6"/>
            <w:shd w:val="clear" w:color="auto" w:fill="auto"/>
          </w:tcPr>
          <w:p w14:paraId="15457681" w14:textId="77777777" w:rsidR="00295824" w:rsidRPr="00295824" w:rsidRDefault="00295824" w:rsidP="00295824">
            <w:pPr>
              <w:spacing w:line="276" w:lineRule="auto"/>
              <w:rPr>
                <w:rFonts w:cs="Arial"/>
              </w:rPr>
            </w:pPr>
            <w:r w:rsidRPr="00295824">
              <w:rPr>
                <w:iCs/>
              </w:rPr>
              <w:t>Freezing of gait in the past month</w:t>
            </w:r>
          </w:p>
        </w:tc>
        <w:tc>
          <w:tcPr>
            <w:tcW w:w="1843" w:type="dxa"/>
            <w:shd w:val="clear" w:color="auto" w:fill="auto"/>
          </w:tcPr>
          <w:p w14:paraId="24DFE046" w14:textId="77777777" w:rsidR="00295824" w:rsidRPr="00295824" w:rsidRDefault="00295824" w:rsidP="00295824">
            <w:pPr>
              <w:jc w:val="center"/>
              <w:cnfStyle w:val="000000100000" w:firstRow="0" w:lastRow="0" w:firstColumn="0" w:lastColumn="0" w:oddVBand="0" w:evenVBand="0" w:oddHBand="1" w:evenHBand="0" w:firstRowFirstColumn="0" w:firstRowLastColumn="0" w:lastRowFirstColumn="0" w:lastRowLastColumn="0"/>
              <w:rPr>
                <w:iCs/>
              </w:rPr>
            </w:pPr>
            <w:r w:rsidRPr="00295824">
              <w:rPr>
                <w:iCs/>
              </w:rPr>
              <w:t>152 (64%)</w:t>
            </w:r>
          </w:p>
        </w:tc>
        <w:tc>
          <w:tcPr>
            <w:tcW w:w="1700" w:type="dxa"/>
            <w:shd w:val="clear" w:color="auto" w:fill="auto"/>
          </w:tcPr>
          <w:p w14:paraId="3BAB93C1" w14:textId="77777777" w:rsidR="00295824" w:rsidRPr="00295824" w:rsidRDefault="00295824" w:rsidP="00295824">
            <w:pPr>
              <w:jc w:val="center"/>
              <w:cnfStyle w:val="000000100000" w:firstRow="0" w:lastRow="0" w:firstColumn="0" w:lastColumn="0" w:oddVBand="0" w:evenVBand="0" w:oddHBand="1" w:evenHBand="0" w:firstRowFirstColumn="0" w:firstRowLastColumn="0" w:lastRowFirstColumn="0" w:lastRowLastColumn="0"/>
              <w:rPr>
                <w:iCs/>
              </w:rPr>
            </w:pPr>
            <w:r w:rsidRPr="00295824">
              <w:rPr>
                <w:iCs/>
              </w:rPr>
              <w:t>139 (59%)</w:t>
            </w:r>
          </w:p>
        </w:tc>
      </w:tr>
      <w:tr w:rsidR="00295824" w:rsidRPr="00295824" w14:paraId="0AEF3D61" w14:textId="77777777" w:rsidTr="00B87ACC">
        <w:trPr>
          <w:trHeight w:val="648"/>
        </w:trPr>
        <w:tc>
          <w:tcPr>
            <w:cnfStyle w:val="001000000000" w:firstRow="0" w:lastRow="0" w:firstColumn="1" w:lastColumn="0" w:oddVBand="0" w:evenVBand="0" w:oddHBand="0" w:evenHBand="0" w:firstRowFirstColumn="0" w:firstRowLastColumn="0" w:lastRowFirstColumn="0" w:lastRowLastColumn="0"/>
            <w:tcW w:w="2405" w:type="dxa"/>
            <w:gridSpan w:val="2"/>
            <w:tcBorders>
              <w:bottom w:val="nil"/>
              <w:right w:val="nil"/>
            </w:tcBorders>
            <w:shd w:val="clear" w:color="auto" w:fill="auto"/>
          </w:tcPr>
          <w:p w14:paraId="5D1052E0" w14:textId="77777777" w:rsidR="00295824" w:rsidRPr="00295824" w:rsidRDefault="00295824" w:rsidP="00295824">
            <w:pPr>
              <w:rPr>
                <w:iCs/>
              </w:rPr>
            </w:pPr>
            <w:r w:rsidRPr="00295824">
              <w:rPr>
                <w:iCs/>
              </w:rPr>
              <w:t>No. of falls in 12 months prior to screening</w:t>
            </w:r>
          </w:p>
        </w:tc>
        <w:tc>
          <w:tcPr>
            <w:tcW w:w="3260" w:type="dxa"/>
            <w:gridSpan w:val="4"/>
            <w:tcBorders>
              <w:top w:val="nil"/>
              <w:left w:val="nil"/>
              <w:bottom w:val="nil"/>
            </w:tcBorders>
            <w:shd w:val="clear" w:color="auto" w:fill="auto"/>
          </w:tcPr>
          <w:p w14:paraId="564837D6" w14:textId="77777777" w:rsidR="00295824" w:rsidRPr="00295824" w:rsidRDefault="00295824" w:rsidP="00295824">
            <w:pPr>
              <w:jc w:val="right"/>
              <w:cnfStyle w:val="000000000000" w:firstRow="0" w:lastRow="0" w:firstColumn="0" w:lastColumn="0" w:oddVBand="0" w:evenVBand="0" w:oddHBand="0" w:evenHBand="0" w:firstRowFirstColumn="0" w:firstRowLastColumn="0" w:lastRowFirstColumn="0" w:lastRowLastColumn="0"/>
              <w:rPr>
                <w:b/>
                <w:iCs/>
              </w:rPr>
            </w:pPr>
            <w:r w:rsidRPr="00295824">
              <w:rPr>
                <w:rFonts w:cs="Arial"/>
                <w:b/>
              </w:rPr>
              <w:t>median (min to max)</w:t>
            </w:r>
          </w:p>
          <w:p w14:paraId="2B92EC21" w14:textId="77777777" w:rsidR="00295824" w:rsidRPr="00295824" w:rsidRDefault="00295824" w:rsidP="00295824">
            <w:pPr>
              <w:jc w:val="right"/>
              <w:cnfStyle w:val="000000000000" w:firstRow="0" w:lastRow="0" w:firstColumn="0" w:lastColumn="0" w:oddVBand="0" w:evenVBand="0" w:oddHBand="0" w:evenHBand="0" w:firstRowFirstColumn="0" w:firstRowLastColumn="0" w:lastRowFirstColumn="0" w:lastRowLastColumn="0"/>
              <w:rPr>
                <w:b/>
                <w:iCs/>
              </w:rPr>
            </w:pPr>
            <w:r w:rsidRPr="00295824">
              <w:rPr>
                <w:b/>
                <w:iCs/>
              </w:rPr>
              <w:t>mean (SD)</w:t>
            </w:r>
          </w:p>
          <w:p w14:paraId="3E796A3B" w14:textId="77777777" w:rsidR="00295824" w:rsidRPr="00295824" w:rsidRDefault="00295824" w:rsidP="00295824">
            <w:pPr>
              <w:spacing w:before="120"/>
              <w:jc w:val="right"/>
              <w:cnfStyle w:val="000000000000" w:firstRow="0" w:lastRow="0" w:firstColumn="0" w:lastColumn="0" w:oddVBand="0" w:evenVBand="0" w:oddHBand="0" w:evenHBand="0" w:firstRowFirstColumn="0" w:firstRowLastColumn="0" w:lastRowFirstColumn="0" w:lastRowLastColumn="0"/>
              <w:rPr>
                <w:b/>
                <w:iCs/>
              </w:rPr>
            </w:pPr>
            <w:r w:rsidRPr="00295824">
              <w:rPr>
                <w:rFonts w:cs="Arial"/>
                <w:b/>
              </w:rPr>
              <w:t>repeat falling in 12 months</w:t>
            </w:r>
          </w:p>
        </w:tc>
        <w:tc>
          <w:tcPr>
            <w:tcW w:w="1843" w:type="dxa"/>
            <w:tcBorders>
              <w:bottom w:val="nil"/>
            </w:tcBorders>
            <w:shd w:val="clear" w:color="auto" w:fill="auto"/>
          </w:tcPr>
          <w:p w14:paraId="52ED34C5"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iCs/>
              </w:rPr>
            </w:pPr>
            <w:r w:rsidRPr="00295824">
              <w:rPr>
                <w:iCs/>
              </w:rPr>
              <w:t>3 (1 to 1460)</w:t>
            </w:r>
          </w:p>
          <w:p w14:paraId="710E5383"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iCs/>
              </w:rPr>
            </w:pPr>
            <w:r w:rsidRPr="00295824">
              <w:rPr>
                <w:iCs/>
              </w:rPr>
              <w:t>26 (132.7)</w:t>
            </w:r>
          </w:p>
          <w:p w14:paraId="4DA6C2A6" w14:textId="77777777" w:rsidR="00295824" w:rsidRPr="00295824" w:rsidRDefault="00295824" w:rsidP="00295824">
            <w:pPr>
              <w:spacing w:before="120"/>
              <w:jc w:val="center"/>
              <w:cnfStyle w:val="000000000000" w:firstRow="0" w:lastRow="0" w:firstColumn="0" w:lastColumn="0" w:oddVBand="0" w:evenVBand="0" w:oddHBand="0" w:evenHBand="0" w:firstRowFirstColumn="0" w:firstRowLastColumn="0" w:lastRowFirstColumn="0" w:lastRowLastColumn="0"/>
              <w:rPr>
                <w:iCs/>
              </w:rPr>
            </w:pPr>
            <w:r w:rsidRPr="00295824">
              <w:rPr>
                <w:iCs/>
              </w:rPr>
              <w:t>186 (78%)</w:t>
            </w:r>
          </w:p>
        </w:tc>
        <w:tc>
          <w:tcPr>
            <w:tcW w:w="1700" w:type="dxa"/>
            <w:tcBorders>
              <w:bottom w:val="nil"/>
            </w:tcBorders>
            <w:shd w:val="clear" w:color="auto" w:fill="auto"/>
          </w:tcPr>
          <w:p w14:paraId="1186301A"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iCs/>
              </w:rPr>
            </w:pPr>
            <w:r w:rsidRPr="00295824">
              <w:rPr>
                <w:iCs/>
              </w:rPr>
              <w:t>3 (1 to 1095)</w:t>
            </w:r>
          </w:p>
          <w:p w14:paraId="63F00818" w14:textId="77777777" w:rsidR="00295824" w:rsidRPr="00295824" w:rsidRDefault="00295824" w:rsidP="00295824">
            <w:pPr>
              <w:jc w:val="center"/>
              <w:cnfStyle w:val="000000000000" w:firstRow="0" w:lastRow="0" w:firstColumn="0" w:lastColumn="0" w:oddVBand="0" w:evenVBand="0" w:oddHBand="0" w:evenHBand="0" w:firstRowFirstColumn="0" w:firstRowLastColumn="0" w:lastRowFirstColumn="0" w:lastRowLastColumn="0"/>
              <w:rPr>
                <w:iCs/>
              </w:rPr>
            </w:pPr>
            <w:r w:rsidRPr="00295824">
              <w:rPr>
                <w:iCs/>
              </w:rPr>
              <w:t>19 (105.4)</w:t>
            </w:r>
          </w:p>
          <w:p w14:paraId="0A7378D5" w14:textId="77777777" w:rsidR="00295824" w:rsidRPr="00295824" w:rsidRDefault="00295824" w:rsidP="00295824">
            <w:pPr>
              <w:spacing w:before="120"/>
              <w:jc w:val="center"/>
              <w:cnfStyle w:val="000000000000" w:firstRow="0" w:lastRow="0" w:firstColumn="0" w:lastColumn="0" w:oddVBand="0" w:evenVBand="0" w:oddHBand="0" w:evenHBand="0" w:firstRowFirstColumn="0" w:firstRowLastColumn="0" w:lastRowFirstColumn="0" w:lastRowLastColumn="0"/>
              <w:rPr>
                <w:iCs/>
              </w:rPr>
            </w:pPr>
            <w:r w:rsidRPr="00295824">
              <w:rPr>
                <w:iCs/>
              </w:rPr>
              <w:t>189 (80%)</w:t>
            </w:r>
          </w:p>
        </w:tc>
      </w:tr>
      <w:tr w:rsidR="00295824" w:rsidRPr="00295824" w14:paraId="037A24A5" w14:textId="77777777" w:rsidTr="00B87ACC">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3397" w:type="dxa"/>
            <w:gridSpan w:val="5"/>
            <w:tcBorders>
              <w:bottom w:val="single" w:sz="4" w:space="0" w:color="auto"/>
              <w:right w:val="nil"/>
            </w:tcBorders>
            <w:shd w:val="clear" w:color="auto" w:fill="auto"/>
          </w:tcPr>
          <w:p w14:paraId="171255FB" w14:textId="77777777" w:rsidR="00295824" w:rsidRPr="00295824" w:rsidRDefault="00295824" w:rsidP="00295824">
            <w:pPr>
              <w:ind w:right="-57"/>
              <w:rPr>
                <w:iCs/>
              </w:rPr>
            </w:pPr>
            <w:r w:rsidRPr="00295824">
              <w:rPr>
                <w:iCs/>
              </w:rPr>
              <w:t>Rate of falls/person/3 months prior to randomisation</w:t>
            </w:r>
          </w:p>
        </w:tc>
        <w:tc>
          <w:tcPr>
            <w:tcW w:w="2268" w:type="dxa"/>
            <w:tcBorders>
              <w:top w:val="nil"/>
              <w:left w:val="nil"/>
              <w:bottom w:val="single" w:sz="4" w:space="0" w:color="auto"/>
              <w:right w:val="single" w:sz="4" w:space="0" w:color="auto"/>
            </w:tcBorders>
            <w:shd w:val="clear" w:color="auto" w:fill="auto"/>
          </w:tcPr>
          <w:p w14:paraId="35794A50" w14:textId="77777777" w:rsidR="00295824" w:rsidRPr="00295824" w:rsidRDefault="00295824" w:rsidP="00295824">
            <w:pPr>
              <w:ind w:left="-57"/>
              <w:jc w:val="right"/>
              <w:cnfStyle w:val="000000100000" w:firstRow="0" w:lastRow="0" w:firstColumn="0" w:lastColumn="0" w:oddVBand="0" w:evenVBand="0" w:oddHBand="1" w:evenHBand="0" w:firstRowFirstColumn="0" w:firstRowLastColumn="0" w:lastRowFirstColumn="0" w:lastRowLastColumn="0"/>
              <w:rPr>
                <w:b/>
                <w:iCs/>
              </w:rPr>
            </w:pPr>
            <w:r w:rsidRPr="00295824">
              <w:rPr>
                <w:rFonts w:cs="Arial"/>
                <w:b/>
              </w:rPr>
              <w:t>median (min to max)</w:t>
            </w:r>
          </w:p>
          <w:p w14:paraId="0924A786" w14:textId="77777777" w:rsidR="00295824" w:rsidRPr="00295824" w:rsidRDefault="00295824" w:rsidP="00295824">
            <w:pPr>
              <w:jc w:val="right"/>
              <w:cnfStyle w:val="000000100000" w:firstRow="0" w:lastRow="0" w:firstColumn="0" w:lastColumn="0" w:oddVBand="0" w:evenVBand="0" w:oddHBand="1" w:evenHBand="0" w:firstRowFirstColumn="0" w:firstRowLastColumn="0" w:lastRowFirstColumn="0" w:lastRowLastColumn="0"/>
              <w:rPr>
                <w:rFonts w:cs="Arial"/>
              </w:rPr>
            </w:pPr>
            <w:r w:rsidRPr="00295824">
              <w:rPr>
                <w:b/>
                <w:iCs/>
              </w:rPr>
              <w:t>mean (SD)</w:t>
            </w:r>
          </w:p>
        </w:tc>
        <w:tc>
          <w:tcPr>
            <w:tcW w:w="1843" w:type="dxa"/>
            <w:tcBorders>
              <w:left w:val="single" w:sz="4" w:space="0" w:color="auto"/>
            </w:tcBorders>
            <w:shd w:val="clear" w:color="auto" w:fill="auto"/>
          </w:tcPr>
          <w:p w14:paraId="5E3B6598" w14:textId="77777777" w:rsidR="00295824" w:rsidRPr="00295824" w:rsidRDefault="00295824" w:rsidP="00295824">
            <w:pPr>
              <w:ind w:left="-57" w:right="-57"/>
              <w:jc w:val="center"/>
              <w:cnfStyle w:val="000000100000" w:firstRow="0" w:lastRow="0" w:firstColumn="0" w:lastColumn="0" w:oddVBand="0" w:evenVBand="0" w:oddHBand="1" w:evenHBand="0" w:firstRowFirstColumn="0" w:firstRowLastColumn="0" w:lastRowFirstColumn="0" w:lastRowLastColumn="0"/>
              <w:rPr>
                <w:iCs/>
              </w:rPr>
            </w:pPr>
            <w:r w:rsidRPr="00295824">
              <w:rPr>
                <w:iCs/>
              </w:rPr>
              <w:t>1.98 (0 to 319)</w:t>
            </w:r>
          </w:p>
          <w:p w14:paraId="27B54E9D" w14:textId="77777777" w:rsidR="00295824" w:rsidRPr="00295824" w:rsidRDefault="00295824" w:rsidP="00295824">
            <w:pPr>
              <w:ind w:left="-57" w:right="-57"/>
              <w:jc w:val="center"/>
              <w:cnfStyle w:val="000000100000" w:firstRow="0" w:lastRow="0" w:firstColumn="0" w:lastColumn="0" w:oddVBand="0" w:evenVBand="0" w:oddHBand="1" w:evenHBand="0" w:firstRowFirstColumn="0" w:firstRowLastColumn="0" w:lastRowFirstColumn="0" w:lastRowLastColumn="0"/>
              <w:rPr>
                <w:iCs/>
              </w:rPr>
            </w:pPr>
            <w:r w:rsidRPr="00295824">
              <w:rPr>
                <w:iCs/>
              </w:rPr>
              <w:t>5.9 (22.8)</w:t>
            </w:r>
          </w:p>
        </w:tc>
        <w:tc>
          <w:tcPr>
            <w:tcW w:w="1700" w:type="dxa"/>
            <w:shd w:val="clear" w:color="auto" w:fill="auto"/>
          </w:tcPr>
          <w:p w14:paraId="7195A111" w14:textId="77777777" w:rsidR="00295824" w:rsidRPr="00295824" w:rsidRDefault="00295824" w:rsidP="00295824">
            <w:pPr>
              <w:ind w:left="-57" w:right="-57"/>
              <w:jc w:val="center"/>
              <w:cnfStyle w:val="000000100000" w:firstRow="0" w:lastRow="0" w:firstColumn="0" w:lastColumn="0" w:oddVBand="0" w:evenVBand="0" w:oddHBand="1" w:evenHBand="0" w:firstRowFirstColumn="0" w:firstRowLastColumn="0" w:lastRowFirstColumn="0" w:lastRowLastColumn="0"/>
              <w:rPr>
                <w:iCs/>
              </w:rPr>
            </w:pPr>
            <w:r w:rsidRPr="00295824">
              <w:rPr>
                <w:iCs/>
              </w:rPr>
              <w:t>0.99 (0 to 73)</w:t>
            </w:r>
          </w:p>
          <w:p w14:paraId="145106AF" w14:textId="77777777" w:rsidR="00295824" w:rsidRPr="00295824" w:rsidRDefault="00295824" w:rsidP="00295824">
            <w:pPr>
              <w:ind w:left="-57" w:right="-57"/>
              <w:jc w:val="center"/>
              <w:cnfStyle w:val="000000100000" w:firstRow="0" w:lastRow="0" w:firstColumn="0" w:lastColumn="0" w:oddVBand="0" w:evenVBand="0" w:oddHBand="1" w:evenHBand="0" w:firstRowFirstColumn="0" w:firstRowLastColumn="0" w:lastRowFirstColumn="0" w:lastRowLastColumn="0"/>
              <w:rPr>
                <w:iCs/>
              </w:rPr>
            </w:pPr>
            <w:r w:rsidRPr="00295824">
              <w:rPr>
                <w:iCs/>
              </w:rPr>
              <w:t>3.0 (7.3)</w:t>
            </w:r>
          </w:p>
        </w:tc>
      </w:tr>
      <w:tr w:rsidR="00295824" w:rsidRPr="00295824" w14:paraId="1606E8A2" w14:textId="77777777" w:rsidTr="00B87ACC">
        <w:trPr>
          <w:trHeight w:val="603"/>
        </w:trPr>
        <w:tc>
          <w:tcPr>
            <w:cnfStyle w:val="001000000000" w:firstRow="0" w:lastRow="0" w:firstColumn="1" w:lastColumn="0" w:oddVBand="0" w:evenVBand="0" w:oddHBand="0" w:evenHBand="0" w:firstRowFirstColumn="0" w:firstRowLastColumn="0" w:lastRowFirstColumn="0" w:lastRowLastColumn="0"/>
            <w:tcW w:w="3397" w:type="dxa"/>
            <w:gridSpan w:val="5"/>
            <w:tcBorders>
              <w:top w:val="single" w:sz="4" w:space="0" w:color="auto"/>
              <w:right w:val="nil"/>
            </w:tcBorders>
            <w:shd w:val="clear" w:color="auto" w:fill="auto"/>
          </w:tcPr>
          <w:p w14:paraId="7FDC82D6" w14:textId="77777777" w:rsidR="00295824" w:rsidRPr="00295824" w:rsidRDefault="00295824" w:rsidP="00295824">
            <w:pPr>
              <w:ind w:right="-57"/>
              <w:rPr>
                <w:iCs/>
              </w:rPr>
            </w:pPr>
            <w:r w:rsidRPr="00295824">
              <w:rPr>
                <w:iCs/>
              </w:rPr>
              <w:t>Rate of near falls/person/3 months prior to randomisation</w:t>
            </w:r>
          </w:p>
        </w:tc>
        <w:tc>
          <w:tcPr>
            <w:tcW w:w="2268" w:type="dxa"/>
            <w:tcBorders>
              <w:top w:val="single" w:sz="4" w:space="0" w:color="auto"/>
              <w:left w:val="nil"/>
              <w:bottom w:val="nil"/>
              <w:right w:val="single" w:sz="4" w:space="0" w:color="auto"/>
            </w:tcBorders>
            <w:shd w:val="clear" w:color="auto" w:fill="auto"/>
          </w:tcPr>
          <w:p w14:paraId="49945516" w14:textId="77777777" w:rsidR="00295824" w:rsidRPr="00295824" w:rsidRDefault="00295824" w:rsidP="00295824">
            <w:pPr>
              <w:ind w:left="-57"/>
              <w:jc w:val="right"/>
              <w:cnfStyle w:val="000000000000" w:firstRow="0" w:lastRow="0" w:firstColumn="0" w:lastColumn="0" w:oddVBand="0" w:evenVBand="0" w:oddHBand="0" w:evenHBand="0" w:firstRowFirstColumn="0" w:firstRowLastColumn="0" w:lastRowFirstColumn="0" w:lastRowLastColumn="0"/>
              <w:rPr>
                <w:b/>
                <w:iCs/>
              </w:rPr>
            </w:pPr>
            <w:r w:rsidRPr="00295824">
              <w:rPr>
                <w:rFonts w:cs="Arial"/>
                <w:b/>
              </w:rPr>
              <w:t>median (min to max)</w:t>
            </w:r>
          </w:p>
          <w:p w14:paraId="5A9104E2" w14:textId="77777777" w:rsidR="00295824" w:rsidRPr="00295824" w:rsidRDefault="00295824" w:rsidP="00295824">
            <w:pPr>
              <w:jc w:val="right"/>
              <w:cnfStyle w:val="000000000000" w:firstRow="0" w:lastRow="0" w:firstColumn="0" w:lastColumn="0" w:oddVBand="0" w:evenVBand="0" w:oddHBand="0" w:evenHBand="0" w:firstRowFirstColumn="0" w:firstRowLastColumn="0" w:lastRowFirstColumn="0" w:lastRowLastColumn="0"/>
              <w:rPr>
                <w:rFonts w:cs="Arial"/>
              </w:rPr>
            </w:pPr>
            <w:r w:rsidRPr="00295824">
              <w:rPr>
                <w:b/>
                <w:iCs/>
              </w:rPr>
              <w:t>mean (SD)</w:t>
            </w:r>
          </w:p>
        </w:tc>
        <w:tc>
          <w:tcPr>
            <w:tcW w:w="1843" w:type="dxa"/>
            <w:tcBorders>
              <w:left w:val="single" w:sz="4" w:space="0" w:color="auto"/>
            </w:tcBorders>
            <w:shd w:val="clear" w:color="auto" w:fill="auto"/>
          </w:tcPr>
          <w:p w14:paraId="08752E6B" w14:textId="77777777" w:rsidR="00295824" w:rsidRPr="00295824" w:rsidRDefault="00295824" w:rsidP="00295824">
            <w:pPr>
              <w:ind w:left="-57" w:right="-57"/>
              <w:jc w:val="center"/>
              <w:cnfStyle w:val="000000000000" w:firstRow="0" w:lastRow="0" w:firstColumn="0" w:lastColumn="0" w:oddVBand="0" w:evenVBand="0" w:oddHBand="0" w:evenHBand="0" w:firstRowFirstColumn="0" w:firstRowLastColumn="0" w:lastRowFirstColumn="0" w:lastRowLastColumn="0"/>
              <w:rPr>
                <w:iCs/>
              </w:rPr>
            </w:pPr>
            <w:r w:rsidRPr="00295824">
              <w:rPr>
                <w:iCs/>
              </w:rPr>
              <w:t>4.4 (0 to 440)</w:t>
            </w:r>
          </w:p>
          <w:p w14:paraId="128269F5" w14:textId="77777777" w:rsidR="00295824" w:rsidRPr="00295824" w:rsidRDefault="00295824" w:rsidP="00295824">
            <w:pPr>
              <w:ind w:left="-57" w:right="-57"/>
              <w:jc w:val="center"/>
              <w:cnfStyle w:val="000000000000" w:firstRow="0" w:lastRow="0" w:firstColumn="0" w:lastColumn="0" w:oddVBand="0" w:evenVBand="0" w:oddHBand="0" w:evenHBand="0" w:firstRowFirstColumn="0" w:firstRowLastColumn="0" w:lastRowFirstColumn="0" w:lastRowLastColumn="0"/>
              <w:rPr>
                <w:iCs/>
              </w:rPr>
            </w:pPr>
            <w:r w:rsidRPr="00295824">
              <w:rPr>
                <w:iCs/>
              </w:rPr>
              <w:t>13.8 (35.8)</w:t>
            </w:r>
          </w:p>
        </w:tc>
        <w:tc>
          <w:tcPr>
            <w:tcW w:w="1700" w:type="dxa"/>
            <w:shd w:val="clear" w:color="auto" w:fill="auto"/>
          </w:tcPr>
          <w:p w14:paraId="3027A07D" w14:textId="77777777" w:rsidR="00295824" w:rsidRPr="00295824" w:rsidRDefault="00295824" w:rsidP="00295824">
            <w:pPr>
              <w:ind w:left="-57" w:right="-57"/>
              <w:jc w:val="center"/>
              <w:cnfStyle w:val="000000000000" w:firstRow="0" w:lastRow="0" w:firstColumn="0" w:lastColumn="0" w:oddVBand="0" w:evenVBand="0" w:oddHBand="0" w:evenHBand="0" w:firstRowFirstColumn="0" w:firstRowLastColumn="0" w:lastRowFirstColumn="0" w:lastRowLastColumn="0"/>
              <w:rPr>
                <w:iCs/>
              </w:rPr>
            </w:pPr>
            <w:r w:rsidRPr="00295824">
              <w:rPr>
                <w:iCs/>
              </w:rPr>
              <w:t>4.3 (0 to 601)</w:t>
            </w:r>
          </w:p>
          <w:p w14:paraId="7B44B5FF" w14:textId="77777777" w:rsidR="00295824" w:rsidRPr="00295824" w:rsidRDefault="00295824" w:rsidP="00295824">
            <w:pPr>
              <w:ind w:left="-57" w:right="-57"/>
              <w:jc w:val="center"/>
              <w:cnfStyle w:val="000000000000" w:firstRow="0" w:lastRow="0" w:firstColumn="0" w:lastColumn="0" w:oddVBand="0" w:evenVBand="0" w:oddHBand="0" w:evenHBand="0" w:firstRowFirstColumn="0" w:firstRowLastColumn="0" w:lastRowFirstColumn="0" w:lastRowLastColumn="0"/>
              <w:rPr>
                <w:iCs/>
              </w:rPr>
            </w:pPr>
            <w:r w:rsidRPr="00295824">
              <w:rPr>
                <w:iCs/>
              </w:rPr>
              <w:t>15.6 (51.4)</w:t>
            </w:r>
          </w:p>
        </w:tc>
      </w:tr>
      <w:tr w:rsidR="00295824" w:rsidRPr="00295824" w14:paraId="1287065E" w14:textId="77777777" w:rsidTr="00B87ACC">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545" w:type="dxa"/>
            <w:gridSpan w:val="3"/>
            <w:tcBorders>
              <w:right w:val="nil"/>
            </w:tcBorders>
            <w:shd w:val="clear" w:color="auto" w:fill="auto"/>
          </w:tcPr>
          <w:p w14:paraId="22173F08" w14:textId="77777777" w:rsidR="00295824" w:rsidRPr="00295824" w:rsidRDefault="00295824" w:rsidP="00295824">
            <w:pPr>
              <w:rPr>
                <w:rFonts w:cs="Arial"/>
              </w:rPr>
            </w:pPr>
            <w:r w:rsidRPr="00295824">
              <w:rPr>
                <w:iCs/>
              </w:rPr>
              <w:t>Medications</w:t>
            </w:r>
          </w:p>
          <w:p w14:paraId="70D9E7E0" w14:textId="77777777" w:rsidR="00295824" w:rsidRPr="00295824" w:rsidRDefault="00295824" w:rsidP="00295824">
            <w:pPr>
              <w:ind w:left="-57"/>
              <w:jc w:val="right"/>
              <w:rPr>
                <w:rFonts w:cs="Arial"/>
              </w:rPr>
            </w:pPr>
          </w:p>
        </w:tc>
        <w:tc>
          <w:tcPr>
            <w:tcW w:w="3120" w:type="dxa"/>
            <w:gridSpan w:val="3"/>
            <w:tcBorders>
              <w:top w:val="single" w:sz="4" w:space="0" w:color="auto"/>
              <w:left w:val="nil"/>
              <w:bottom w:val="single" w:sz="4" w:space="0" w:color="auto"/>
              <w:right w:val="single" w:sz="4" w:space="0" w:color="auto"/>
            </w:tcBorders>
            <w:shd w:val="clear" w:color="auto" w:fill="auto"/>
          </w:tcPr>
          <w:p w14:paraId="72A171A3" w14:textId="77777777" w:rsidR="00295824" w:rsidRPr="00295824" w:rsidRDefault="00295824" w:rsidP="00295824">
            <w:pPr>
              <w:jc w:val="right"/>
              <w:cnfStyle w:val="000000100000" w:firstRow="0" w:lastRow="0" w:firstColumn="0" w:lastColumn="0" w:oddVBand="0" w:evenVBand="0" w:oddHBand="1" w:evenHBand="0" w:firstRowFirstColumn="0" w:firstRowLastColumn="0" w:lastRowFirstColumn="0" w:lastRowLastColumn="0"/>
              <w:rPr>
                <w:rFonts w:cs="Arial"/>
                <w:b/>
              </w:rPr>
            </w:pPr>
            <w:r w:rsidRPr="00295824">
              <w:rPr>
                <w:rFonts w:cs="Arial"/>
                <w:b/>
              </w:rPr>
              <w:t>Levodopa</w:t>
            </w:r>
          </w:p>
          <w:p w14:paraId="36915E65" w14:textId="77777777" w:rsidR="00295824" w:rsidRPr="00295824" w:rsidRDefault="00295824" w:rsidP="00295824">
            <w:pPr>
              <w:ind w:left="-57"/>
              <w:jc w:val="right"/>
              <w:cnfStyle w:val="000000100000" w:firstRow="0" w:lastRow="0" w:firstColumn="0" w:lastColumn="0" w:oddVBand="0" w:evenVBand="0" w:oddHBand="1" w:evenHBand="0" w:firstRowFirstColumn="0" w:firstRowLastColumn="0" w:lastRowFirstColumn="0" w:lastRowLastColumn="0"/>
              <w:rPr>
                <w:rFonts w:cs="Arial"/>
                <w:b/>
              </w:rPr>
            </w:pPr>
            <w:r w:rsidRPr="00295824">
              <w:rPr>
                <w:rFonts w:cs="Arial"/>
                <w:b/>
              </w:rPr>
              <w:t>Dopamine agonist</w:t>
            </w:r>
          </w:p>
          <w:p w14:paraId="01DF1CFD" w14:textId="77777777" w:rsidR="00295824" w:rsidRPr="00295824" w:rsidRDefault="00295824" w:rsidP="00295824">
            <w:pPr>
              <w:ind w:left="-57"/>
              <w:jc w:val="right"/>
              <w:cnfStyle w:val="000000100000" w:firstRow="0" w:lastRow="0" w:firstColumn="0" w:lastColumn="0" w:oddVBand="0" w:evenVBand="0" w:oddHBand="1" w:evenHBand="0" w:firstRowFirstColumn="0" w:firstRowLastColumn="0" w:lastRowFirstColumn="0" w:lastRowLastColumn="0"/>
              <w:rPr>
                <w:rFonts w:cs="Arial"/>
                <w:b/>
              </w:rPr>
            </w:pPr>
            <w:r w:rsidRPr="00295824">
              <w:rPr>
                <w:rFonts w:cs="Arial"/>
                <w:b/>
              </w:rPr>
              <w:t>Monoamine oxidase inhibitor</w:t>
            </w:r>
          </w:p>
          <w:p w14:paraId="6767D6A5" w14:textId="77777777" w:rsidR="00295824" w:rsidRPr="00295824" w:rsidRDefault="00295824" w:rsidP="00295824">
            <w:pPr>
              <w:ind w:left="-57"/>
              <w:jc w:val="right"/>
              <w:cnfStyle w:val="000000100000" w:firstRow="0" w:lastRow="0" w:firstColumn="0" w:lastColumn="0" w:oddVBand="0" w:evenVBand="0" w:oddHBand="1" w:evenHBand="0" w:firstRowFirstColumn="0" w:firstRowLastColumn="0" w:lastRowFirstColumn="0" w:lastRowLastColumn="0"/>
              <w:rPr>
                <w:rFonts w:cs="Arial"/>
                <w:b/>
              </w:rPr>
            </w:pPr>
            <w:r w:rsidRPr="00295824">
              <w:rPr>
                <w:rFonts w:cs="Arial"/>
                <w:b/>
              </w:rPr>
              <w:t>COMT inhibitors</w:t>
            </w:r>
          </w:p>
          <w:p w14:paraId="15A275C0" w14:textId="77777777" w:rsidR="00295824" w:rsidRPr="00295824" w:rsidRDefault="00295824" w:rsidP="00295824">
            <w:pPr>
              <w:spacing w:line="276" w:lineRule="auto"/>
              <w:ind w:left="-57"/>
              <w:jc w:val="right"/>
              <w:cnfStyle w:val="000000100000" w:firstRow="0" w:lastRow="0" w:firstColumn="0" w:lastColumn="0" w:oddVBand="0" w:evenVBand="0" w:oddHBand="1" w:evenHBand="0" w:firstRowFirstColumn="0" w:firstRowLastColumn="0" w:lastRowFirstColumn="0" w:lastRowLastColumn="0"/>
              <w:rPr>
                <w:rFonts w:cs="Arial"/>
              </w:rPr>
            </w:pPr>
            <w:r w:rsidRPr="00295824">
              <w:rPr>
                <w:rFonts w:cs="Arial"/>
                <w:b/>
              </w:rPr>
              <w:t>other PD medication</w:t>
            </w:r>
          </w:p>
        </w:tc>
        <w:tc>
          <w:tcPr>
            <w:tcW w:w="1843" w:type="dxa"/>
            <w:tcBorders>
              <w:left w:val="single" w:sz="4" w:space="0" w:color="auto"/>
            </w:tcBorders>
            <w:shd w:val="clear" w:color="auto" w:fill="auto"/>
          </w:tcPr>
          <w:p w14:paraId="148C1042" w14:textId="77777777" w:rsidR="00295824" w:rsidRPr="00295824" w:rsidRDefault="00295824" w:rsidP="00295824">
            <w:pPr>
              <w:ind w:left="-57" w:right="-57"/>
              <w:jc w:val="center"/>
              <w:cnfStyle w:val="000000100000" w:firstRow="0" w:lastRow="0" w:firstColumn="0" w:lastColumn="0" w:oddVBand="0" w:evenVBand="0" w:oddHBand="1" w:evenHBand="0" w:firstRowFirstColumn="0" w:firstRowLastColumn="0" w:lastRowFirstColumn="0" w:lastRowLastColumn="0"/>
              <w:rPr>
                <w:iCs/>
              </w:rPr>
            </w:pPr>
            <w:r w:rsidRPr="00295824">
              <w:rPr>
                <w:iCs/>
              </w:rPr>
              <w:t>208 (88%)</w:t>
            </w:r>
          </w:p>
          <w:p w14:paraId="5C586EB8" w14:textId="77777777" w:rsidR="00295824" w:rsidRPr="00295824" w:rsidRDefault="00295824" w:rsidP="00295824">
            <w:pPr>
              <w:ind w:left="-57" w:right="-57"/>
              <w:jc w:val="center"/>
              <w:cnfStyle w:val="000000100000" w:firstRow="0" w:lastRow="0" w:firstColumn="0" w:lastColumn="0" w:oddVBand="0" w:evenVBand="0" w:oddHBand="1" w:evenHBand="0" w:firstRowFirstColumn="0" w:firstRowLastColumn="0" w:lastRowFirstColumn="0" w:lastRowLastColumn="0"/>
              <w:rPr>
                <w:iCs/>
              </w:rPr>
            </w:pPr>
            <w:r w:rsidRPr="00295824">
              <w:rPr>
                <w:iCs/>
              </w:rPr>
              <w:t>108 (46%)</w:t>
            </w:r>
          </w:p>
          <w:p w14:paraId="479C7245" w14:textId="77777777" w:rsidR="00295824" w:rsidRPr="00295824" w:rsidRDefault="00295824" w:rsidP="00295824">
            <w:pPr>
              <w:ind w:left="-57" w:right="-57"/>
              <w:jc w:val="center"/>
              <w:cnfStyle w:val="000000100000" w:firstRow="0" w:lastRow="0" w:firstColumn="0" w:lastColumn="0" w:oddVBand="0" w:evenVBand="0" w:oddHBand="1" w:evenHBand="0" w:firstRowFirstColumn="0" w:firstRowLastColumn="0" w:lastRowFirstColumn="0" w:lastRowLastColumn="0"/>
              <w:rPr>
                <w:iCs/>
              </w:rPr>
            </w:pPr>
            <w:r w:rsidRPr="00295824">
              <w:rPr>
                <w:iCs/>
              </w:rPr>
              <w:t>52 (22%)</w:t>
            </w:r>
          </w:p>
          <w:p w14:paraId="57D88A58" w14:textId="77777777" w:rsidR="00295824" w:rsidRPr="00295824" w:rsidRDefault="00295824" w:rsidP="00295824">
            <w:pPr>
              <w:ind w:left="-57" w:right="-57"/>
              <w:jc w:val="center"/>
              <w:cnfStyle w:val="000000100000" w:firstRow="0" w:lastRow="0" w:firstColumn="0" w:lastColumn="0" w:oddVBand="0" w:evenVBand="0" w:oddHBand="1" w:evenHBand="0" w:firstRowFirstColumn="0" w:firstRowLastColumn="0" w:lastRowFirstColumn="0" w:lastRowLastColumn="0"/>
              <w:rPr>
                <w:iCs/>
              </w:rPr>
            </w:pPr>
            <w:r w:rsidRPr="00295824">
              <w:rPr>
                <w:iCs/>
              </w:rPr>
              <w:t>59 (25%)</w:t>
            </w:r>
          </w:p>
          <w:p w14:paraId="29404489" w14:textId="77777777" w:rsidR="00295824" w:rsidRPr="00295824" w:rsidRDefault="00295824" w:rsidP="00295824">
            <w:pPr>
              <w:ind w:left="-57" w:right="-57"/>
              <w:jc w:val="center"/>
              <w:cnfStyle w:val="000000100000" w:firstRow="0" w:lastRow="0" w:firstColumn="0" w:lastColumn="0" w:oddVBand="0" w:evenVBand="0" w:oddHBand="1" w:evenHBand="0" w:firstRowFirstColumn="0" w:firstRowLastColumn="0" w:lastRowFirstColumn="0" w:lastRowLastColumn="0"/>
              <w:rPr>
                <w:iCs/>
              </w:rPr>
            </w:pPr>
            <w:r w:rsidRPr="00295824">
              <w:rPr>
                <w:iCs/>
              </w:rPr>
              <w:t>19 (8%)</w:t>
            </w:r>
          </w:p>
        </w:tc>
        <w:tc>
          <w:tcPr>
            <w:tcW w:w="1700" w:type="dxa"/>
            <w:shd w:val="clear" w:color="auto" w:fill="auto"/>
          </w:tcPr>
          <w:p w14:paraId="21920B32" w14:textId="77777777" w:rsidR="00295824" w:rsidRPr="00295824" w:rsidRDefault="00295824" w:rsidP="00295824">
            <w:pPr>
              <w:ind w:left="-57" w:right="-57"/>
              <w:jc w:val="center"/>
              <w:cnfStyle w:val="000000100000" w:firstRow="0" w:lastRow="0" w:firstColumn="0" w:lastColumn="0" w:oddVBand="0" w:evenVBand="0" w:oddHBand="1" w:evenHBand="0" w:firstRowFirstColumn="0" w:firstRowLastColumn="0" w:lastRowFirstColumn="0" w:lastRowLastColumn="0"/>
              <w:rPr>
                <w:iCs/>
              </w:rPr>
            </w:pPr>
            <w:r w:rsidRPr="00295824">
              <w:rPr>
                <w:iCs/>
              </w:rPr>
              <w:t>216 (92%)</w:t>
            </w:r>
          </w:p>
          <w:p w14:paraId="7AC44551" w14:textId="77777777" w:rsidR="00295824" w:rsidRPr="00295824" w:rsidRDefault="00295824" w:rsidP="00295824">
            <w:pPr>
              <w:ind w:left="-57" w:right="-57"/>
              <w:jc w:val="center"/>
              <w:cnfStyle w:val="000000100000" w:firstRow="0" w:lastRow="0" w:firstColumn="0" w:lastColumn="0" w:oddVBand="0" w:evenVBand="0" w:oddHBand="1" w:evenHBand="0" w:firstRowFirstColumn="0" w:firstRowLastColumn="0" w:lastRowFirstColumn="0" w:lastRowLastColumn="0"/>
              <w:rPr>
                <w:iCs/>
              </w:rPr>
            </w:pPr>
            <w:r w:rsidRPr="00295824">
              <w:rPr>
                <w:iCs/>
              </w:rPr>
              <w:t>106 (45%)</w:t>
            </w:r>
          </w:p>
          <w:p w14:paraId="56A4318E" w14:textId="77777777" w:rsidR="00295824" w:rsidRPr="00295824" w:rsidRDefault="00295824" w:rsidP="00295824">
            <w:pPr>
              <w:ind w:left="-57" w:right="-57"/>
              <w:jc w:val="center"/>
              <w:cnfStyle w:val="000000100000" w:firstRow="0" w:lastRow="0" w:firstColumn="0" w:lastColumn="0" w:oddVBand="0" w:evenVBand="0" w:oddHBand="1" w:evenHBand="0" w:firstRowFirstColumn="0" w:firstRowLastColumn="0" w:lastRowFirstColumn="0" w:lastRowLastColumn="0"/>
              <w:rPr>
                <w:iCs/>
              </w:rPr>
            </w:pPr>
            <w:r w:rsidRPr="00295824">
              <w:rPr>
                <w:iCs/>
              </w:rPr>
              <w:t>46 (20%)</w:t>
            </w:r>
          </w:p>
          <w:p w14:paraId="740DFB9C" w14:textId="77777777" w:rsidR="00295824" w:rsidRPr="00295824" w:rsidRDefault="00295824" w:rsidP="00295824">
            <w:pPr>
              <w:ind w:left="-57" w:right="-57"/>
              <w:jc w:val="center"/>
              <w:cnfStyle w:val="000000100000" w:firstRow="0" w:lastRow="0" w:firstColumn="0" w:lastColumn="0" w:oddVBand="0" w:evenVBand="0" w:oddHBand="1" w:evenHBand="0" w:firstRowFirstColumn="0" w:firstRowLastColumn="0" w:lastRowFirstColumn="0" w:lastRowLastColumn="0"/>
              <w:rPr>
                <w:iCs/>
              </w:rPr>
            </w:pPr>
            <w:r w:rsidRPr="00295824">
              <w:rPr>
                <w:iCs/>
              </w:rPr>
              <w:t>41 (17%)</w:t>
            </w:r>
          </w:p>
          <w:p w14:paraId="577A8682" w14:textId="77777777" w:rsidR="00295824" w:rsidRPr="00295824" w:rsidRDefault="00295824" w:rsidP="00295824">
            <w:pPr>
              <w:ind w:left="-57" w:right="-57"/>
              <w:jc w:val="center"/>
              <w:cnfStyle w:val="000000100000" w:firstRow="0" w:lastRow="0" w:firstColumn="0" w:lastColumn="0" w:oddVBand="0" w:evenVBand="0" w:oddHBand="1" w:evenHBand="0" w:firstRowFirstColumn="0" w:firstRowLastColumn="0" w:lastRowFirstColumn="0" w:lastRowLastColumn="0"/>
              <w:rPr>
                <w:iCs/>
              </w:rPr>
            </w:pPr>
            <w:r w:rsidRPr="00295824">
              <w:rPr>
                <w:iCs/>
              </w:rPr>
              <w:t>23 (10%)</w:t>
            </w:r>
          </w:p>
        </w:tc>
      </w:tr>
      <w:tr w:rsidR="00295824" w:rsidRPr="00295824" w14:paraId="4F6AA04C" w14:textId="77777777" w:rsidTr="00B87ACC">
        <w:trPr>
          <w:trHeight w:val="603"/>
        </w:trPr>
        <w:tc>
          <w:tcPr>
            <w:cnfStyle w:val="001000000000" w:firstRow="0" w:lastRow="0" w:firstColumn="1" w:lastColumn="0" w:oddVBand="0" w:evenVBand="0" w:oddHBand="0" w:evenHBand="0" w:firstRowFirstColumn="0" w:firstRowLastColumn="0" w:lastRowFirstColumn="0" w:lastRowLastColumn="0"/>
            <w:tcW w:w="2545" w:type="dxa"/>
            <w:gridSpan w:val="3"/>
            <w:tcBorders>
              <w:right w:val="nil"/>
            </w:tcBorders>
            <w:shd w:val="clear" w:color="auto" w:fill="auto"/>
          </w:tcPr>
          <w:p w14:paraId="610BEF28" w14:textId="77777777" w:rsidR="00295824" w:rsidRPr="00295824" w:rsidRDefault="00295824" w:rsidP="00295824">
            <w:pPr>
              <w:rPr>
                <w:iCs/>
              </w:rPr>
            </w:pPr>
            <w:r w:rsidRPr="00295824">
              <w:rPr>
                <w:iCs/>
              </w:rPr>
              <w:t xml:space="preserve">GDS score at baseline </w:t>
            </w:r>
          </w:p>
        </w:tc>
        <w:tc>
          <w:tcPr>
            <w:tcW w:w="3120" w:type="dxa"/>
            <w:gridSpan w:val="3"/>
            <w:tcBorders>
              <w:top w:val="nil"/>
              <w:left w:val="nil"/>
              <w:bottom w:val="nil"/>
              <w:right w:val="single" w:sz="4" w:space="0" w:color="auto"/>
            </w:tcBorders>
            <w:shd w:val="clear" w:color="auto" w:fill="auto"/>
          </w:tcPr>
          <w:p w14:paraId="21E2B56A" w14:textId="77777777" w:rsidR="00295824" w:rsidRPr="00295824" w:rsidRDefault="00295824" w:rsidP="00295824">
            <w:pPr>
              <w:jc w:val="right"/>
              <w:cnfStyle w:val="000000000000" w:firstRow="0" w:lastRow="0" w:firstColumn="0" w:lastColumn="0" w:oddVBand="0" w:evenVBand="0" w:oddHBand="0" w:evenHBand="0" w:firstRowFirstColumn="0" w:firstRowLastColumn="0" w:lastRowFirstColumn="0" w:lastRowLastColumn="0"/>
              <w:rPr>
                <w:b/>
                <w:iCs/>
              </w:rPr>
            </w:pPr>
            <w:r w:rsidRPr="00295824">
              <w:rPr>
                <w:b/>
                <w:iCs/>
              </w:rPr>
              <w:t>&gt; 5 (suggestive of depression)</w:t>
            </w:r>
          </w:p>
          <w:p w14:paraId="11565BDB" w14:textId="77777777" w:rsidR="00295824" w:rsidRPr="00295824" w:rsidRDefault="00295824" w:rsidP="00295824">
            <w:pPr>
              <w:spacing w:line="276" w:lineRule="auto"/>
              <w:jc w:val="right"/>
              <w:cnfStyle w:val="000000000000" w:firstRow="0" w:lastRow="0" w:firstColumn="0" w:lastColumn="0" w:oddVBand="0" w:evenVBand="0" w:oddHBand="0" w:evenHBand="0" w:firstRowFirstColumn="0" w:firstRowLastColumn="0" w:lastRowFirstColumn="0" w:lastRowLastColumn="0"/>
              <w:rPr>
                <w:b/>
                <w:iCs/>
              </w:rPr>
            </w:pPr>
            <w:r w:rsidRPr="00295824">
              <w:rPr>
                <w:b/>
                <w:iCs/>
              </w:rPr>
              <w:t>≥ 10 (indicative of depression)</w:t>
            </w:r>
          </w:p>
        </w:tc>
        <w:tc>
          <w:tcPr>
            <w:tcW w:w="1843" w:type="dxa"/>
            <w:tcBorders>
              <w:left w:val="single" w:sz="4" w:space="0" w:color="auto"/>
            </w:tcBorders>
            <w:shd w:val="clear" w:color="auto" w:fill="auto"/>
          </w:tcPr>
          <w:p w14:paraId="390EAAD0" w14:textId="77777777" w:rsidR="00295824" w:rsidRPr="00295824" w:rsidRDefault="00295824" w:rsidP="00295824">
            <w:pPr>
              <w:ind w:left="-57" w:right="-57"/>
              <w:jc w:val="center"/>
              <w:cnfStyle w:val="000000000000" w:firstRow="0" w:lastRow="0" w:firstColumn="0" w:lastColumn="0" w:oddVBand="0" w:evenVBand="0" w:oddHBand="0" w:evenHBand="0" w:firstRowFirstColumn="0" w:firstRowLastColumn="0" w:lastRowFirstColumn="0" w:lastRowLastColumn="0"/>
              <w:rPr>
                <w:iCs/>
              </w:rPr>
            </w:pPr>
            <w:r w:rsidRPr="00295824">
              <w:rPr>
                <w:iCs/>
              </w:rPr>
              <w:t>147/235 (63%)</w:t>
            </w:r>
          </w:p>
          <w:p w14:paraId="02BBC7A1" w14:textId="77777777" w:rsidR="00295824" w:rsidRPr="00295824" w:rsidRDefault="00295824" w:rsidP="00295824">
            <w:pPr>
              <w:ind w:left="-57" w:right="-57"/>
              <w:jc w:val="center"/>
              <w:cnfStyle w:val="000000000000" w:firstRow="0" w:lastRow="0" w:firstColumn="0" w:lastColumn="0" w:oddVBand="0" w:evenVBand="0" w:oddHBand="0" w:evenHBand="0" w:firstRowFirstColumn="0" w:firstRowLastColumn="0" w:lastRowFirstColumn="0" w:lastRowLastColumn="0"/>
              <w:rPr>
                <w:iCs/>
              </w:rPr>
            </w:pPr>
            <w:r w:rsidRPr="00295824">
              <w:rPr>
                <w:iCs/>
              </w:rPr>
              <w:t>50/235 (21%)</w:t>
            </w:r>
          </w:p>
        </w:tc>
        <w:tc>
          <w:tcPr>
            <w:tcW w:w="1700" w:type="dxa"/>
            <w:shd w:val="clear" w:color="auto" w:fill="auto"/>
          </w:tcPr>
          <w:p w14:paraId="78E62BB3" w14:textId="77777777" w:rsidR="00295824" w:rsidRPr="00295824" w:rsidRDefault="00295824" w:rsidP="00295824">
            <w:pPr>
              <w:ind w:left="-57" w:right="-57"/>
              <w:jc w:val="center"/>
              <w:cnfStyle w:val="000000000000" w:firstRow="0" w:lastRow="0" w:firstColumn="0" w:lastColumn="0" w:oddVBand="0" w:evenVBand="0" w:oddHBand="0" w:evenHBand="0" w:firstRowFirstColumn="0" w:firstRowLastColumn="0" w:lastRowFirstColumn="0" w:lastRowLastColumn="0"/>
              <w:rPr>
                <w:iCs/>
              </w:rPr>
            </w:pPr>
            <w:r w:rsidRPr="00295824">
              <w:rPr>
                <w:iCs/>
              </w:rPr>
              <w:t>164/236 (70%)</w:t>
            </w:r>
          </w:p>
          <w:p w14:paraId="3127656C" w14:textId="77777777" w:rsidR="00295824" w:rsidRPr="00295824" w:rsidRDefault="00295824" w:rsidP="00295824">
            <w:pPr>
              <w:ind w:left="-57" w:right="-57"/>
              <w:jc w:val="center"/>
              <w:cnfStyle w:val="000000000000" w:firstRow="0" w:lastRow="0" w:firstColumn="0" w:lastColumn="0" w:oddVBand="0" w:evenVBand="0" w:oddHBand="0" w:evenHBand="0" w:firstRowFirstColumn="0" w:firstRowLastColumn="0" w:lastRowFirstColumn="0" w:lastRowLastColumn="0"/>
              <w:rPr>
                <w:iCs/>
              </w:rPr>
            </w:pPr>
            <w:r w:rsidRPr="00295824">
              <w:rPr>
                <w:iCs/>
              </w:rPr>
              <w:t>49/236 (21%)</w:t>
            </w:r>
          </w:p>
        </w:tc>
      </w:tr>
      <w:tr w:rsidR="00295824" w:rsidRPr="00295824" w14:paraId="68338EFA" w14:textId="77777777" w:rsidTr="00B87ACC">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2545" w:type="dxa"/>
            <w:gridSpan w:val="3"/>
            <w:tcBorders>
              <w:right w:val="nil"/>
            </w:tcBorders>
            <w:shd w:val="clear" w:color="auto" w:fill="auto"/>
          </w:tcPr>
          <w:p w14:paraId="48946910" w14:textId="77777777" w:rsidR="00295824" w:rsidRPr="00295824" w:rsidRDefault="00295824" w:rsidP="00295824">
            <w:pPr>
              <w:rPr>
                <w:iCs/>
              </w:rPr>
            </w:pPr>
            <w:r w:rsidRPr="00295824">
              <w:rPr>
                <w:iCs/>
              </w:rPr>
              <w:t xml:space="preserve">Coexisting conditions </w:t>
            </w:r>
          </w:p>
        </w:tc>
        <w:tc>
          <w:tcPr>
            <w:tcW w:w="3120" w:type="dxa"/>
            <w:gridSpan w:val="3"/>
            <w:tcBorders>
              <w:left w:val="nil"/>
            </w:tcBorders>
            <w:shd w:val="clear" w:color="auto" w:fill="auto"/>
          </w:tcPr>
          <w:p w14:paraId="008F6268" w14:textId="77777777" w:rsidR="00295824" w:rsidRPr="00295824" w:rsidRDefault="00295824" w:rsidP="00295824">
            <w:pPr>
              <w:ind w:left="-57"/>
              <w:jc w:val="right"/>
              <w:cnfStyle w:val="000000100000" w:firstRow="0" w:lastRow="0" w:firstColumn="0" w:lastColumn="0" w:oddVBand="0" w:evenVBand="0" w:oddHBand="1" w:evenHBand="0" w:firstRowFirstColumn="0" w:firstRowLastColumn="0" w:lastRowFirstColumn="0" w:lastRowLastColumn="0"/>
              <w:rPr>
                <w:rFonts w:cs="Arial"/>
                <w:b/>
              </w:rPr>
            </w:pPr>
            <w:r w:rsidRPr="00295824">
              <w:rPr>
                <w:rFonts w:cs="Arial"/>
                <w:b/>
              </w:rPr>
              <w:t>orthopaedic</w:t>
            </w:r>
          </w:p>
          <w:p w14:paraId="17BEF039" w14:textId="77777777" w:rsidR="00295824" w:rsidRPr="00295824" w:rsidRDefault="00295824" w:rsidP="00295824">
            <w:pPr>
              <w:spacing w:line="276" w:lineRule="auto"/>
              <w:ind w:left="-57"/>
              <w:jc w:val="right"/>
              <w:cnfStyle w:val="000000100000" w:firstRow="0" w:lastRow="0" w:firstColumn="0" w:lastColumn="0" w:oddVBand="0" w:evenVBand="0" w:oddHBand="1" w:evenHBand="0" w:firstRowFirstColumn="0" w:firstRowLastColumn="0" w:lastRowFirstColumn="0" w:lastRowLastColumn="0"/>
              <w:rPr>
                <w:rFonts w:cs="Arial"/>
                <w:b/>
              </w:rPr>
            </w:pPr>
            <w:r w:rsidRPr="00295824">
              <w:rPr>
                <w:rFonts w:cs="Arial"/>
                <w:b/>
              </w:rPr>
              <w:t>Cardio/Respiratory</w:t>
            </w:r>
          </w:p>
        </w:tc>
        <w:tc>
          <w:tcPr>
            <w:tcW w:w="1843" w:type="dxa"/>
            <w:shd w:val="clear" w:color="auto" w:fill="auto"/>
          </w:tcPr>
          <w:p w14:paraId="13127647" w14:textId="77777777" w:rsidR="00295824" w:rsidRPr="00295824" w:rsidRDefault="00295824" w:rsidP="00295824">
            <w:pPr>
              <w:ind w:left="-57" w:right="-57"/>
              <w:jc w:val="center"/>
              <w:cnfStyle w:val="000000100000" w:firstRow="0" w:lastRow="0" w:firstColumn="0" w:lastColumn="0" w:oddVBand="0" w:evenVBand="0" w:oddHBand="1" w:evenHBand="0" w:firstRowFirstColumn="0" w:firstRowLastColumn="0" w:lastRowFirstColumn="0" w:lastRowLastColumn="0"/>
              <w:rPr>
                <w:iCs/>
              </w:rPr>
            </w:pPr>
            <w:r w:rsidRPr="00295824">
              <w:rPr>
                <w:iCs/>
              </w:rPr>
              <w:t>109 (46%)</w:t>
            </w:r>
          </w:p>
          <w:p w14:paraId="46505048" w14:textId="77777777" w:rsidR="00295824" w:rsidRPr="00295824" w:rsidRDefault="00295824" w:rsidP="00295824">
            <w:pPr>
              <w:ind w:left="-57" w:right="-57"/>
              <w:jc w:val="center"/>
              <w:cnfStyle w:val="000000100000" w:firstRow="0" w:lastRow="0" w:firstColumn="0" w:lastColumn="0" w:oddVBand="0" w:evenVBand="0" w:oddHBand="1" w:evenHBand="0" w:firstRowFirstColumn="0" w:firstRowLastColumn="0" w:lastRowFirstColumn="0" w:lastRowLastColumn="0"/>
              <w:rPr>
                <w:iCs/>
              </w:rPr>
            </w:pPr>
            <w:r w:rsidRPr="00295824">
              <w:rPr>
                <w:iCs/>
              </w:rPr>
              <w:t>85 (36%)</w:t>
            </w:r>
          </w:p>
        </w:tc>
        <w:tc>
          <w:tcPr>
            <w:tcW w:w="1700" w:type="dxa"/>
            <w:shd w:val="clear" w:color="auto" w:fill="auto"/>
          </w:tcPr>
          <w:p w14:paraId="1224AB1F" w14:textId="77777777" w:rsidR="00295824" w:rsidRPr="00295824" w:rsidRDefault="00295824" w:rsidP="00295824">
            <w:pPr>
              <w:ind w:left="-57" w:right="-57"/>
              <w:jc w:val="center"/>
              <w:cnfStyle w:val="000000100000" w:firstRow="0" w:lastRow="0" w:firstColumn="0" w:lastColumn="0" w:oddVBand="0" w:evenVBand="0" w:oddHBand="1" w:evenHBand="0" w:firstRowFirstColumn="0" w:firstRowLastColumn="0" w:lastRowFirstColumn="0" w:lastRowLastColumn="0"/>
              <w:rPr>
                <w:iCs/>
              </w:rPr>
            </w:pPr>
            <w:r w:rsidRPr="00295824">
              <w:rPr>
                <w:iCs/>
              </w:rPr>
              <w:t>129 (54%)</w:t>
            </w:r>
          </w:p>
          <w:p w14:paraId="23C56EAC" w14:textId="77777777" w:rsidR="00295824" w:rsidRPr="00295824" w:rsidRDefault="00295824" w:rsidP="00295824">
            <w:pPr>
              <w:ind w:left="-57" w:right="-57"/>
              <w:jc w:val="center"/>
              <w:cnfStyle w:val="000000100000" w:firstRow="0" w:lastRow="0" w:firstColumn="0" w:lastColumn="0" w:oddVBand="0" w:evenVBand="0" w:oddHBand="1" w:evenHBand="0" w:firstRowFirstColumn="0" w:firstRowLastColumn="0" w:lastRowFirstColumn="0" w:lastRowLastColumn="0"/>
              <w:rPr>
                <w:iCs/>
              </w:rPr>
            </w:pPr>
            <w:r w:rsidRPr="00295824">
              <w:rPr>
                <w:iCs/>
              </w:rPr>
              <w:t>96 (41%)</w:t>
            </w:r>
          </w:p>
        </w:tc>
      </w:tr>
    </w:tbl>
    <w:p w14:paraId="1D010C80" w14:textId="01F82ABA" w:rsidR="00295824" w:rsidRPr="00295824" w:rsidRDefault="00295824" w:rsidP="00295824">
      <w:pPr>
        <w:spacing w:after="80"/>
        <w:rPr>
          <w:iCs/>
        </w:rPr>
      </w:pPr>
      <w:r w:rsidRPr="00295824">
        <w:rPr>
          <w:iCs/>
          <w:vertAlign w:val="superscript"/>
        </w:rPr>
        <w:t>1</w:t>
      </w:r>
      <w:r w:rsidRPr="00295824">
        <w:rPr>
          <w:iCs/>
        </w:rPr>
        <w:t>Missing values in the intervention group: living status (1); UPDRS (1); disease duration (1); freezing of gait (1); rate of falling in the 3 months prior to randomisation (1); TD/PIGD/ Indeterminate phenotype (3).</w:t>
      </w:r>
    </w:p>
    <w:p w14:paraId="4C4951C2" w14:textId="77777777" w:rsidR="00295824" w:rsidRPr="00295824" w:rsidRDefault="00295824" w:rsidP="00295824">
      <w:pPr>
        <w:rPr>
          <w:iCs/>
        </w:rPr>
      </w:pPr>
      <w:r w:rsidRPr="00295824">
        <w:rPr>
          <w:iCs/>
          <w:vertAlign w:val="superscript"/>
        </w:rPr>
        <w:lastRenderedPageBreak/>
        <w:t>2</w:t>
      </w:r>
      <w:r w:rsidRPr="00295824">
        <w:rPr>
          <w:iCs/>
        </w:rPr>
        <w:t>Missing values in the control group: living status (1); UPDRS (1); TD/PIGD/ Indeterminate phenotype (1).</w:t>
      </w:r>
    </w:p>
    <w:p w14:paraId="33D24F5A" w14:textId="77777777" w:rsidR="00295824" w:rsidRPr="00295824" w:rsidRDefault="00295824" w:rsidP="00295824">
      <w:pPr>
        <w:rPr>
          <w:iCs/>
        </w:rPr>
      </w:pPr>
      <w:r w:rsidRPr="00295824">
        <w:rPr>
          <w:iCs/>
        </w:rPr>
        <w:br w:type="page"/>
      </w:r>
    </w:p>
    <w:p w14:paraId="263AFB4D" w14:textId="77777777" w:rsidR="00295824" w:rsidRPr="00295824" w:rsidRDefault="00295824" w:rsidP="00295824">
      <w:pPr>
        <w:rPr>
          <w:b/>
          <w:sz w:val="28"/>
          <w:szCs w:val="32"/>
        </w:rPr>
      </w:pPr>
      <w:r w:rsidRPr="00295824">
        <w:rPr>
          <w:b/>
          <w:sz w:val="28"/>
          <w:szCs w:val="32"/>
        </w:rPr>
        <w:lastRenderedPageBreak/>
        <w:t>Table 2: Intention-to- treat analysis of falling outcomes: 0 to 6 and 6 to 12 months</w:t>
      </w:r>
    </w:p>
    <w:tbl>
      <w:tblPr>
        <w:tblStyle w:val="TableGrid"/>
        <w:tblW w:w="9783" w:type="dxa"/>
        <w:tblInd w:w="-5" w:type="dxa"/>
        <w:tblLayout w:type="fixed"/>
        <w:tblLook w:val="04A0" w:firstRow="1" w:lastRow="0" w:firstColumn="1" w:lastColumn="0" w:noHBand="0" w:noVBand="1"/>
      </w:tblPr>
      <w:tblGrid>
        <w:gridCol w:w="2127"/>
        <w:gridCol w:w="1843"/>
        <w:gridCol w:w="1701"/>
        <w:gridCol w:w="1560"/>
        <w:gridCol w:w="1701"/>
        <w:gridCol w:w="851"/>
      </w:tblGrid>
      <w:tr w:rsidR="00295824" w:rsidRPr="00295824" w14:paraId="3496E541" w14:textId="77777777" w:rsidTr="00B87ACC">
        <w:trPr>
          <w:trHeight w:val="261"/>
        </w:trPr>
        <w:tc>
          <w:tcPr>
            <w:tcW w:w="3970" w:type="dxa"/>
            <w:gridSpan w:val="2"/>
            <w:vMerge w:val="restart"/>
            <w:vAlign w:val="bottom"/>
          </w:tcPr>
          <w:p w14:paraId="3FC77703" w14:textId="77777777" w:rsidR="00295824" w:rsidRPr="00295824" w:rsidRDefault="00295824" w:rsidP="00295824">
            <w:pPr>
              <w:jc w:val="right"/>
              <w:rPr>
                <w:rFonts w:eastAsiaTheme="minorEastAsia"/>
                <w:b/>
                <w:iCs/>
                <w:lang w:eastAsia="zh-CN"/>
              </w:rPr>
            </w:pPr>
            <w:r w:rsidRPr="00295824">
              <w:rPr>
                <w:rFonts w:eastAsiaTheme="minorEastAsia"/>
                <w:b/>
                <w:iCs/>
                <w:lang w:eastAsia="zh-CN"/>
              </w:rPr>
              <w:t>Period</w:t>
            </w:r>
          </w:p>
        </w:tc>
        <w:tc>
          <w:tcPr>
            <w:tcW w:w="1701" w:type="dxa"/>
            <w:vAlign w:val="bottom"/>
          </w:tcPr>
          <w:p w14:paraId="622D9736" w14:textId="77777777" w:rsidR="00295824" w:rsidRPr="00295824" w:rsidRDefault="00295824" w:rsidP="00295824">
            <w:pPr>
              <w:ind w:left="-57" w:right="-57"/>
              <w:jc w:val="center"/>
              <w:rPr>
                <w:rFonts w:eastAsiaTheme="minorEastAsia"/>
                <w:b/>
                <w:iCs/>
                <w:lang w:eastAsia="zh-CN"/>
              </w:rPr>
            </w:pPr>
            <w:r w:rsidRPr="00295824">
              <w:rPr>
                <w:rFonts w:eastAsiaTheme="minorEastAsia"/>
                <w:b/>
                <w:iCs/>
                <w:lang w:eastAsia="zh-CN"/>
              </w:rPr>
              <w:t>PDSAFE</w:t>
            </w:r>
          </w:p>
        </w:tc>
        <w:tc>
          <w:tcPr>
            <w:tcW w:w="1560" w:type="dxa"/>
            <w:vAlign w:val="bottom"/>
          </w:tcPr>
          <w:p w14:paraId="0A0EECC1" w14:textId="77777777" w:rsidR="00295824" w:rsidRPr="00295824" w:rsidRDefault="00295824" w:rsidP="00295824">
            <w:pPr>
              <w:ind w:left="-57" w:right="-57"/>
              <w:jc w:val="center"/>
              <w:rPr>
                <w:rFonts w:eastAsiaTheme="minorEastAsia"/>
                <w:b/>
                <w:iCs/>
                <w:lang w:eastAsia="zh-CN"/>
              </w:rPr>
            </w:pPr>
            <w:r w:rsidRPr="00295824">
              <w:rPr>
                <w:rFonts w:eastAsiaTheme="minorEastAsia"/>
                <w:b/>
                <w:iCs/>
                <w:lang w:eastAsia="zh-CN"/>
              </w:rPr>
              <w:t>Control</w:t>
            </w:r>
          </w:p>
        </w:tc>
        <w:tc>
          <w:tcPr>
            <w:tcW w:w="1701" w:type="dxa"/>
            <w:vMerge w:val="restart"/>
            <w:vAlign w:val="bottom"/>
          </w:tcPr>
          <w:p w14:paraId="799D5E6F" w14:textId="77777777" w:rsidR="00295824" w:rsidRPr="00295824" w:rsidRDefault="00295824" w:rsidP="00295824">
            <w:pPr>
              <w:ind w:left="-57" w:right="-57"/>
              <w:jc w:val="center"/>
              <w:rPr>
                <w:b/>
                <w:vertAlign w:val="subscript"/>
              </w:rPr>
            </w:pPr>
            <w:r w:rsidRPr="00295824">
              <w:rPr>
                <w:b/>
              </w:rPr>
              <w:t>PDSAFE/control</w:t>
            </w:r>
            <w:r w:rsidRPr="00295824">
              <w:rPr>
                <w:b/>
                <w:vertAlign w:val="superscript"/>
              </w:rPr>
              <w:t>*</w:t>
            </w:r>
            <w:r w:rsidRPr="00295824">
              <w:rPr>
                <w:b/>
              </w:rPr>
              <w:t xml:space="preserve"> </w:t>
            </w:r>
          </w:p>
          <w:p w14:paraId="253CBC9D" w14:textId="77777777" w:rsidR="00295824" w:rsidRPr="00295824" w:rsidRDefault="00295824" w:rsidP="00295824">
            <w:pPr>
              <w:jc w:val="center"/>
              <w:rPr>
                <w:b/>
                <w:vertAlign w:val="subscript"/>
              </w:rPr>
            </w:pPr>
            <w:r w:rsidRPr="00295824">
              <w:rPr>
                <w:b/>
              </w:rPr>
              <w:t>OR (95% CI)</w:t>
            </w:r>
          </w:p>
        </w:tc>
        <w:tc>
          <w:tcPr>
            <w:tcW w:w="851" w:type="dxa"/>
            <w:vMerge w:val="restart"/>
            <w:vAlign w:val="bottom"/>
          </w:tcPr>
          <w:p w14:paraId="261CA948" w14:textId="77777777" w:rsidR="00295824" w:rsidRPr="00295824" w:rsidRDefault="00295824" w:rsidP="00295824">
            <w:pPr>
              <w:ind w:left="-57" w:right="-57"/>
              <w:jc w:val="center"/>
              <w:rPr>
                <w:b/>
              </w:rPr>
            </w:pPr>
            <w:r w:rsidRPr="00295824">
              <w:rPr>
                <w:b/>
              </w:rPr>
              <w:t>P</w:t>
            </w:r>
            <w:r w:rsidRPr="00295824">
              <w:rPr>
                <w:b/>
                <w:vertAlign w:val="superscript"/>
              </w:rPr>
              <w:t>*</w:t>
            </w:r>
          </w:p>
        </w:tc>
      </w:tr>
      <w:tr w:rsidR="00295824" w:rsidRPr="00295824" w14:paraId="6D91E2B4" w14:textId="77777777" w:rsidTr="00B87ACC">
        <w:trPr>
          <w:trHeight w:val="265"/>
        </w:trPr>
        <w:tc>
          <w:tcPr>
            <w:tcW w:w="3970" w:type="dxa"/>
            <w:gridSpan w:val="2"/>
            <w:vMerge/>
          </w:tcPr>
          <w:p w14:paraId="1BE5CE00" w14:textId="77777777" w:rsidR="00295824" w:rsidRPr="00295824" w:rsidRDefault="00295824" w:rsidP="00295824">
            <w:pPr>
              <w:jc w:val="right"/>
              <w:rPr>
                <w:rFonts w:eastAsiaTheme="minorEastAsia"/>
                <w:b/>
                <w:iCs/>
                <w:lang w:eastAsia="zh-CN"/>
              </w:rPr>
            </w:pPr>
          </w:p>
        </w:tc>
        <w:tc>
          <w:tcPr>
            <w:tcW w:w="3261" w:type="dxa"/>
            <w:gridSpan w:val="2"/>
          </w:tcPr>
          <w:p w14:paraId="5A1C923E" w14:textId="77777777" w:rsidR="00295824" w:rsidRPr="00295824" w:rsidRDefault="00295824" w:rsidP="00295824">
            <w:pPr>
              <w:ind w:left="-57" w:right="-57"/>
              <w:jc w:val="center"/>
              <w:rPr>
                <w:rFonts w:eastAsiaTheme="minorEastAsia"/>
                <w:iCs/>
                <w:lang w:eastAsia="zh-CN"/>
              </w:rPr>
            </w:pPr>
            <w:r w:rsidRPr="00295824">
              <w:rPr>
                <w:rFonts w:eastAsiaTheme="minorEastAsia"/>
                <w:b/>
                <w:iCs/>
                <w:lang w:eastAsia="zh-CN"/>
              </w:rPr>
              <w:t>Number (%)</w:t>
            </w:r>
          </w:p>
        </w:tc>
        <w:tc>
          <w:tcPr>
            <w:tcW w:w="1701" w:type="dxa"/>
            <w:vMerge/>
          </w:tcPr>
          <w:p w14:paraId="15232FDD" w14:textId="77777777" w:rsidR="00295824" w:rsidRPr="00295824" w:rsidRDefault="00295824" w:rsidP="00295824">
            <w:pPr>
              <w:jc w:val="center"/>
              <w:rPr>
                <w:rFonts w:eastAsiaTheme="minorEastAsia"/>
                <w:iCs/>
                <w:lang w:eastAsia="zh-CN"/>
              </w:rPr>
            </w:pPr>
          </w:p>
        </w:tc>
        <w:tc>
          <w:tcPr>
            <w:tcW w:w="851" w:type="dxa"/>
            <w:vMerge/>
          </w:tcPr>
          <w:p w14:paraId="01EFF4E0" w14:textId="77777777" w:rsidR="00295824" w:rsidRPr="00295824" w:rsidRDefault="00295824" w:rsidP="00295824">
            <w:pPr>
              <w:jc w:val="center"/>
              <w:rPr>
                <w:rFonts w:eastAsiaTheme="minorEastAsia"/>
                <w:iCs/>
                <w:lang w:eastAsia="zh-CN"/>
              </w:rPr>
            </w:pPr>
          </w:p>
        </w:tc>
      </w:tr>
      <w:tr w:rsidR="00295824" w:rsidRPr="00295824" w14:paraId="44C6A8C7" w14:textId="77777777" w:rsidTr="00B87ACC">
        <w:trPr>
          <w:trHeight w:val="265"/>
        </w:trPr>
        <w:tc>
          <w:tcPr>
            <w:tcW w:w="2127" w:type="dxa"/>
            <w:vMerge w:val="restart"/>
          </w:tcPr>
          <w:p w14:paraId="10B30F7A" w14:textId="77777777" w:rsidR="00295824" w:rsidRPr="00295824" w:rsidRDefault="00295824" w:rsidP="00295824">
            <w:pPr>
              <w:rPr>
                <w:rFonts w:eastAsiaTheme="minorEastAsia"/>
                <w:b/>
                <w:iCs/>
                <w:lang w:eastAsia="zh-CN"/>
              </w:rPr>
            </w:pPr>
            <w:r w:rsidRPr="00295824">
              <w:rPr>
                <w:rFonts w:eastAsiaTheme="minorEastAsia"/>
                <w:b/>
                <w:iCs/>
                <w:lang w:eastAsia="zh-CN"/>
              </w:rPr>
              <w:t>Repeat falling</w:t>
            </w:r>
            <w:r w:rsidRPr="00295824">
              <w:rPr>
                <w:rFonts w:eastAsiaTheme="minorEastAsia"/>
                <w:b/>
                <w:iCs/>
                <w:vertAlign w:val="superscript"/>
                <w:lang w:eastAsia="zh-CN"/>
              </w:rPr>
              <w:t xml:space="preserve"> </w:t>
            </w:r>
            <w:r w:rsidRPr="00295824">
              <w:rPr>
                <w:rFonts w:eastAsiaTheme="minorEastAsia"/>
                <w:b/>
                <w:iCs/>
                <w:lang w:eastAsia="zh-CN"/>
              </w:rPr>
              <w:t>restricted to ≥50% diaries</w:t>
            </w:r>
          </w:p>
        </w:tc>
        <w:tc>
          <w:tcPr>
            <w:tcW w:w="1843" w:type="dxa"/>
            <w:tcBorders>
              <w:bottom w:val="single" w:sz="4" w:space="0" w:color="auto"/>
            </w:tcBorders>
          </w:tcPr>
          <w:p w14:paraId="40657E15" w14:textId="77777777" w:rsidR="00295824" w:rsidRPr="00295824" w:rsidRDefault="00295824" w:rsidP="00295824">
            <w:pPr>
              <w:jc w:val="right"/>
              <w:rPr>
                <w:rFonts w:eastAsiaTheme="minorEastAsia"/>
                <w:b/>
                <w:iCs/>
                <w:lang w:eastAsia="zh-CN"/>
              </w:rPr>
            </w:pPr>
            <w:r w:rsidRPr="00295824">
              <w:rPr>
                <w:rFonts w:eastAsiaTheme="minorEastAsia"/>
                <w:b/>
                <w:iCs/>
                <w:lang w:eastAsia="zh-CN"/>
              </w:rPr>
              <w:t>baseline</w:t>
            </w:r>
          </w:p>
        </w:tc>
        <w:tc>
          <w:tcPr>
            <w:tcW w:w="1701" w:type="dxa"/>
            <w:tcBorders>
              <w:bottom w:val="single" w:sz="4" w:space="0" w:color="auto"/>
            </w:tcBorders>
          </w:tcPr>
          <w:p w14:paraId="10A2BF67" w14:textId="77777777" w:rsidR="00295824" w:rsidRPr="00295824" w:rsidRDefault="00295824" w:rsidP="00295824">
            <w:pPr>
              <w:ind w:left="-57" w:right="-57"/>
              <w:jc w:val="center"/>
              <w:rPr>
                <w:rFonts w:eastAsiaTheme="minorEastAsia"/>
                <w:iCs/>
                <w:lang w:eastAsia="zh-CN"/>
              </w:rPr>
            </w:pPr>
            <w:r w:rsidRPr="00295824">
              <w:rPr>
                <w:rFonts w:eastAsiaTheme="minorEastAsia"/>
                <w:iCs/>
                <w:lang w:eastAsia="zh-CN"/>
              </w:rPr>
              <w:t>127/231 (55%)</w:t>
            </w:r>
          </w:p>
        </w:tc>
        <w:tc>
          <w:tcPr>
            <w:tcW w:w="1560" w:type="dxa"/>
            <w:tcBorders>
              <w:bottom w:val="single" w:sz="4" w:space="0" w:color="auto"/>
            </w:tcBorders>
          </w:tcPr>
          <w:p w14:paraId="4E9588BE" w14:textId="77777777" w:rsidR="00295824" w:rsidRPr="00295824" w:rsidRDefault="00295824" w:rsidP="00295824">
            <w:pPr>
              <w:ind w:left="-57" w:right="-57"/>
              <w:jc w:val="center"/>
              <w:rPr>
                <w:rFonts w:eastAsiaTheme="minorEastAsia"/>
                <w:iCs/>
                <w:lang w:eastAsia="zh-CN"/>
              </w:rPr>
            </w:pPr>
            <w:r w:rsidRPr="00295824">
              <w:rPr>
                <w:rFonts w:eastAsiaTheme="minorEastAsia"/>
                <w:iCs/>
                <w:lang w:eastAsia="zh-CN"/>
              </w:rPr>
              <w:t>92/230 (40%)</w:t>
            </w:r>
          </w:p>
        </w:tc>
        <w:tc>
          <w:tcPr>
            <w:tcW w:w="1701" w:type="dxa"/>
            <w:tcBorders>
              <w:bottom w:val="single" w:sz="4" w:space="0" w:color="auto"/>
            </w:tcBorders>
          </w:tcPr>
          <w:p w14:paraId="59ABAEF3" w14:textId="77777777" w:rsidR="00295824" w:rsidRPr="00295824" w:rsidRDefault="00295824" w:rsidP="00295824">
            <w:pPr>
              <w:jc w:val="center"/>
              <w:rPr>
                <w:rFonts w:eastAsiaTheme="minorEastAsia"/>
                <w:iCs/>
                <w:lang w:eastAsia="zh-CN"/>
              </w:rPr>
            </w:pPr>
          </w:p>
        </w:tc>
        <w:tc>
          <w:tcPr>
            <w:tcW w:w="851" w:type="dxa"/>
            <w:tcBorders>
              <w:bottom w:val="single" w:sz="4" w:space="0" w:color="auto"/>
            </w:tcBorders>
          </w:tcPr>
          <w:p w14:paraId="2A637685" w14:textId="77777777" w:rsidR="00295824" w:rsidRPr="00295824" w:rsidRDefault="00295824" w:rsidP="00295824">
            <w:pPr>
              <w:jc w:val="center"/>
              <w:rPr>
                <w:rFonts w:eastAsiaTheme="minorEastAsia"/>
                <w:iCs/>
                <w:lang w:eastAsia="zh-CN"/>
              </w:rPr>
            </w:pPr>
          </w:p>
        </w:tc>
      </w:tr>
      <w:tr w:rsidR="00295824" w:rsidRPr="00295824" w14:paraId="0AA6CB00" w14:textId="77777777" w:rsidTr="00B87ACC">
        <w:trPr>
          <w:trHeight w:val="265"/>
        </w:trPr>
        <w:tc>
          <w:tcPr>
            <w:tcW w:w="2127" w:type="dxa"/>
            <w:vMerge/>
            <w:tcBorders>
              <w:right w:val="single" w:sz="4" w:space="0" w:color="auto"/>
            </w:tcBorders>
          </w:tcPr>
          <w:p w14:paraId="1445B9AE" w14:textId="77777777" w:rsidR="00295824" w:rsidRPr="00295824" w:rsidRDefault="00295824" w:rsidP="00295824">
            <w:pPr>
              <w:rPr>
                <w:rFonts w:eastAsiaTheme="minorEastAsia"/>
                <w:iCs/>
                <w:vertAlign w:val="superscript"/>
                <w:lang w:eastAsia="zh-CN"/>
              </w:rPr>
            </w:pPr>
          </w:p>
        </w:tc>
        <w:tc>
          <w:tcPr>
            <w:tcW w:w="1843" w:type="dxa"/>
            <w:tcBorders>
              <w:top w:val="single" w:sz="4" w:space="0" w:color="auto"/>
              <w:left w:val="single" w:sz="4" w:space="0" w:color="auto"/>
              <w:bottom w:val="nil"/>
              <w:right w:val="single" w:sz="4" w:space="0" w:color="auto"/>
            </w:tcBorders>
            <w:vAlign w:val="center"/>
          </w:tcPr>
          <w:p w14:paraId="51F10474" w14:textId="77777777" w:rsidR="00295824" w:rsidRPr="00295824" w:rsidRDefault="00295824" w:rsidP="00295824">
            <w:pPr>
              <w:jc w:val="right"/>
              <w:rPr>
                <w:rFonts w:eastAsiaTheme="minorEastAsia"/>
                <w:b/>
                <w:iCs/>
                <w:lang w:eastAsia="zh-CN"/>
              </w:rPr>
            </w:pPr>
            <w:r w:rsidRPr="00295824">
              <w:rPr>
                <w:rFonts w:eastAsiaTheme="minorEastAsia"/>
                <w:b/>
                <w:iCs/>
                <w:lang w:eastAsia="zh-CN"/>
              </w:rPr>
              <w:t>baseline**</w:t>
            </w:r>
          </w:p>
        </w:tc>
        <w:tc>
          <w:tcPr>
            <w:tcW w:w="1701" w:type="dxa"/>
            <w:tcBorders>
              <w:left w:val="single" w:sz="4" w:space="0" w:color="auto"/>
              <w:bottom w:val="nil"/>
            </w:tcBorders>
            <w:vAlign w:val="center"/>
          </w:tcPr>
          <w:p w14:paraId="2644B17B" w14:textId="77777777" w:rsidR="00295824" w:rsidRPr="00295824" w:rsidRDefault="00295824" w:rsidP="00295824">
            <w:pPr>
              <w:spacing w:line="276" w:lineRule="auto"/>
              <w:jc w:val="center"/>
              <w:rPr>
                <w:rFonts w:eastAsiaTheme="minorEastAsia"/>
                <w:iCs/>
                <w:lang w:eastAsia="zh-CN"/>
              </w:rPr>
            </w:pPr>
            <w:r w:rsidRPr="00295824">
              <w:rPr>
                <w:rFonts w:eastAsiaTheme="minorEastAsia"/>
                <w:iCs/>
                <w:lang w:eastAsia="zh-CN"/>
              </w:rPr>
              <w:t>112/203 (55%)</w:t>
            </w:r>
          </w:p>
        </w:tc>
        <w:tc>
          <w:tcPr>
            <w:tcW w:w="1560" w:type="dxa"/>
            <w:tcBorders>
              <w:bottom w:val="nil"/>
            </w:tcBorders>
            <w:vAlign w:val="center"/>
          </w:tcPr>
          <w:p w14:paraId="34597F45" w14:textId="77777777" w:rsidR="00295824" w:rsidRPr="00295824" w:rsidRDefault="00295824" w:rsidP="00295824">
            <w:pPr>
              <w:spacing w:line="276" w:lineRule="auto"/>
              <w:jc w:val="center"/>
              <w:rPr>
                <w:rFonts w:eastAsiaTheme="minorEastAsia"/>
                <w:iCs/>
                <w:lang w:eastAsia="zh-CN"/>
              </w:rPr>
            </w:pPr>
            <w:r w:rsidRPr="00295824">
              <w:rPr>
                <w:rFonts w:eastAsiaTheme="minorEastAsia"/>
                <w:iCs/>
                <w:lang w:eastAsia="zh-CN"/>
              </w:rPr>
              <w:t>80/211 (38%)</w:t>
            </w:r>
          </w:p>
        </w:tc>
        <w:tc>
          <w:tcPr>
            <w:tcW w:w="1701" w:type="dxa"/>
            <w:tcBorders>
              <w:bottom w:val="nil"/>
            </w:tcBorders>
          </w:tcPr>
          <w:p w14:paraId="68744DC2" w14:textId="77777777" w:rsidR="00295824" w:rsidRPr="00295824" w:rsidRDefault="00295824" w:rsidP="00295824">
            <w:pPr>
              <w:spacing w:line="276" w:lineRule="auto"/>
              <w:jc w:val="center"/>
              <w:rPr>
                <w:rFonts w:eastAsiaTheme="minorEastAsia"/>
                <w:iCs/>
                <w:lang w:eastAsia="zh-CN"/>
              </w:rPr>
            </w:pPr>
          </w:p>
        </w:tc>
        <w:tc>
          <w:tcPr>
            <w:tcW w:w="851" w:type="dxa"/>
            <w:tcBorders>
              <w:bottom w:val="nil"/>
            </w:tcBorders>
          </w:tcPr>
          <w:p w14:paraId="50D8078F" w14:textId="77777777" w:rsidR="00295824" w:rsidRPr="00295824" w:rsidRDefault="00295824" w:rsidP="00295824">
            <w:pPr>
              <w:spacing w:line="276" w:lineRule="auto"/>
              <w:jc w:val="center"/>
              <w:rPr>
                <w:rFonts w:eastAsiaTheme="minorEastAsia"/>
                <w:iCs/>
                <w:lang w:eastAsia="zh-CN"/>
              </w:rPr>
            </w:pPr>
          </w:p>
        </w:tc>
      </w:tr>
      <w:tr w:rsidR="00295824" w:rsidRPr="00295824" w14:paraId="75534DB6" w14:textId="77777777" w:rsidTr="00B87ACC">
        <w:trPr>
          <w:trHeight w:val="265"/>
        </w:trPr>
        <w:tc>
          <w:tcPr>
            <w:tcW w:w="2127" w:type="dxa"/>
            <w:vMerge/>
            <w:tcBorders>
              <w:right w:val="single" w:sz="4" w:space="0" w:color="auto"/>
            </w:tcBorders>
          </w:tcPr>
          <w:p w14:paraId="3BC66E81" w14:textId="77777777" w:rsidR="00295824" w:rsidRPr="00295824" w:rsidRDefault="00295824" w:rsidP="00295824">
            <w:pPr>
              <w:rPr>
                <w:rFonts w:eastAsiaTheme="minorEastAsia"/>
                <w:iCs/>
                <w:vertAlign w:val="superscript"/>
                <w:lang w:eastAsia="zh-CN"/>
              </w:rPr>
            </w:pPr>
          </w:p>
        </w:tc>
        <w:tc>
          <w:tcPr>
            <w:tcW w:w="1843" w:type="dxa"/>
            <w:tcBorders>
              <w:top w:val="nil"/>
              <w:left w:val="single" w:sz="4" w:space="0" w:color="auto"/>
              <w:bottom w:val="single" w:sz="4" w:space="0" w:color="auto"/>
              <w:right w:val="single" w:sz="4" w:space="0" w:color="auto"/>
            </w:tcBorders>
            <w:vAlign w:val="center"/>
          </w:tcPr>
          <w:p w14:paraId="468A2AD9" w14:textId="77777777" w:rsidR="00295824" w:rsidRPr="00295824" w:rsidRDefault="00295824" w:rsidP="00295824">
            <w:pPr>
              <w:jc w:val="right"/>
              <w:rPr>
                <w:rFonts w:eastAsiaTheme="minorEastAsia"/>
                <w:iCs/>
                <w:lang w:eastAsia="zh-CN"/>
              </w:rPr>
            </w:pPr>
            <w:r w:rsidRPr="00295824">
              <w:rPr>
                <w:rFonts w:eastAsiaTheme="minorEastAsia"/>
                <w:b/>
                <w:iCs/>
                <w:lang w:eastAsia="zh-CN"/>
              </w:rPr>
              <w:t>0-6 months</w:t>
            </w:r>
          </w:p>
        </w:tc>
        <w:tc>
          <w:tcPr>
            <w:tcW w:w="1701" w:type="dxa"/>
            <w:tcBorders>
              <w:top w:val="nil"/>
              <w:left w:val="single" w:sz="4" w:space="0" w:color="auto"/>
              <w:bottom w:val="single" w:sz="4" w:space="0" w:color="auto"/>
            </w:tcBorders>
            <w:vAlign w:val="center"/>
          </w:tcPr>
          <w:p w14:paraId="3D9A9475" w14:textId="77777777" w:rsidR="00295824" w:rsidRPr="00295824" w:rsidRDefault="00295824" w:rsidP="00295824">
            <w:pPr>
              <w:spacing w:line="276" w:lineRule="auto"/>
              <w:jc w:val="center"/>
              <w:rPr>
                <w:rFonts w:eastAsiaTheme="minorEastAsia"/>
                <w:iCs/>
                <w:lang w:eastAsia="zh-CN"/>
              </w:rPr>
            </w:pPr>
            <w:r w:rsidRPr="00295824">
              <w:rPr>
                <w:rFonts w:eastAsiaTheme="minorEastAsia"/>
                <w:iCs/>
                <w:lang w:eastAsia="zh-CN"/>
              </w:rPr>
              <w:t>125/203 (62%)</w:t>
            </w:r>
          </w:p>
        </w:tc>
        <w:tc>
          <w:tcPr>
            <w:tcW w:w="1560" w:type="dxa"/>
            <w:tcBorders>
              <w:top w:val="nil"/>
              <w:bottom w:val="single" w:sz="4" w:space="0" w:color="auto"/>
            </w:tcBorders>
            <w:vAlign w:val="center"/>
          </w:tcPr>
          <w:p w14:paraId="6E3E2D3C" w14:textId="77777777" w:rsidR="00295824" w:rsidRPr="00295824" w:rsidRDefault="00295824" w:rsidP="00295824">
            <w:pPr>
              <w:spacing w:line="276" w:lineRule="auto"/>
              <w:jc w:val="center"/>
              <w:rPr>
                <w:rFonts w:eastAsiaTheme="minorEastAsia"/>
                <w:iCs/>
                <w:lang w:eastAsia="zh-CN"/>
              </w:rPr>
            </w:pPr>
            <w:r w:rsidRPr="00295824">
              <w:rPr>
                <w:rFonts w:eastAsiaTheme="minorEastAsia"/>
                <w:iCs/>
                <w:lang w:eastAsia="zh-CN"/>
              </w:rPr>
              <w:t>116/211 (55%)</w:t>
            </w:r>
          </w:p>
        </w:tc>
        <w:tc>
          <w:tcPr>
            <w:tcW w:w="1701" w:type="dxa"/>
            <w:tcBorders>
              <w:top w:val="nil"/>
              <w:bottom w:val="single" w:sz="4" w:space="0" w:color="auto"/>
            </w:tcBorders>
          </w:tcPr>
          <w:p w14:paraId="625A43BE" w14:textId="77777777" w:rsidR="00295824" w:rsidRPr="00295824" w:rsidRDefault="00295824" w:rsidP="00295824">
            <w:pPr>
              <w:spacing w:line="276" w:lineRule="auto"/>
              <w:jc w:val="center"/>
              <w:rPr>
                <w:rFonts w:eastAsiaTheme="minorEastAsia"/>
                <w:iCs/>
                <w:lang w:eastAsia="zh-CN"/>
              </w:rPr>
            </w:pPr>
            <w:r w:rsidRPr="00295824">
              <w:rPr>
                <w:rFonts w:eastAsiaTheme="minorEastAsia"/>
                <w:iCs/>
                <w:lang w:eastAsia="zh-CN"/>
              </w:rPr>
              <w:t>1.21 (0.74, 1.98)</w:t>
            </w:r>
          </w:p>
        </w:tc>
        <w:tc>
          <w:tcPr>
            <w:tcW w:w="851" w:type="dxa"/>
            <w:tcBorders>
              <w:top w:val="nil"/>
              <w:bottom w:val="single" w:sz="4" w:space="0" w:color="auto"/>
            </w:tcBorders>
          </w:tcPr>
          <w:p w14:paraId="3BE5AE0F" w14:textId="77777777" w:rsidR="00295824" w:rsidRPr="00295824" w:rsidRDefault="00295824" w:rsidP="00295824">
            <w:pPr>
              <w:spacing w:line="276" w:lineRule="auto"/>
              <w:jc w:val="center"/>
              <w:rPr>
                <w:rFonts w:eastAsiaTheme="minorEastAsia"/>
                <w:iCs/>
                <w:lang w:eastAsia="zh-CN"/>
              </w:rPr>
            </w:pPr>
            <w:r w:rsidRPr="00295824">
              <w:rPr>
                <w:rFonts w:eastAsiaTheme="minorEastAsia"/>
                <w:iCs/>
                <w:lang w:eastAsia="zh-CN"/>
              </w:rPr>
              <w:t>0.447</w:t>
            </w:r>
          </w:p>
        </w:tc>
      </w:tr>
      <w:tr w:rsidR="00295824" w:rsidRPr="00295824" w14:paraId="4E5A9812" w14:textId="77777777" w:rsidTr="00B87ACC">
        <w:tc>
          <w:tcPr>
            <w:tcW w:w="2127" w:type="dxa"/>
            <w:vMerge/>
          </w:tcPr>
          <w:p w14:paraId="17D93E46" w14:textId="77777777" w:rsidR="00295824" w:rsidRPr="00295824" w:rsidRDefault="00295824" w:rsidP="00295824">
            <w:pPr>
              <w:rPr>
                <w:rFonts w:eastAsiaTheme="minorEastAsia"/>
                <w:b/>
                <w:iCs/>
                <w:lang w:eastAsia="zh-CN"/>
              </w:rPr>
            </w:pPr>
          </w:p>
        </w:tc>
        <w:tc>
          <w:tcPr>
            <w:tcW w:w="1843" w:type="dxa"/>
            <w:tcBorders>
              <w:top w:val="single" w:sz="4" w:space="0" w:color="auto"/>
              <w:left w:val="single" w:sz="4" w:space="0" w:color="auto"/>
              <w:bottom w:val="nil"/>
              <w:right w:val="single" w:sz="4" w:space="0" w:color="auto"/>
            </w:tcBorders>
            <w:vAlign w:val="center"/>
          </w:tcPr>
          <w:p w14:paraId="0436C05A" w14:textId="77777777" w:rsidR="00295824" w:rsidRPr="00295824" w:rsidRDefault="00295824" w:rsidP="00295824">
            <w:pPr>
              <w:jc w:val="right"/>
              <w:rPr>
                <w:rFonts w:eastAsiaTheme="minorEastAsia"/>
                <w:b/>
                <w:iCs/>
                <w:lang w:eastAsia="zh-CN"/>
              </w:rPr>
            </w:pPr>
            <w:r w:rsidRPr="00295824">
              <w:rPr>
                <w:rFonts w:eastAsiaTheme="minorEastAsia"/>
                <w:b/>
                <w:iCs/>
                <w:lang w:eastAsia="zh-CN"/>
              </w:rPr>
              <w:t>baseline**</w:t>
            </w:r>
          </w:p>
        </w:tc>
        <w:tc>
          <w:tcPr>
            <w:tcW w:w="1701" w:type="dxa"/>
            <w:tcBorders>
              <w:bottom w:val="nil"/>
            </w:tcBorders>
            <w:vAlign w:val="center"/>
          </w:tcPr>
          <w:p w14:paraId="437DE3A8" w14:textId="77777777" w:rsidR="00295824" w:rsidRPr="00295824" w:rsidRDefault="00295824" w:rsidP="00295824">
            <w:pPr>
              <w:spacing w:line="276" w:lineRule="auto"/>
              <w:jc w:val="center"/>
              <w:rPr>
                <w:rFonts w:eastAsiaTheme="minorEastAsia"/>
                <w:iCs/>
                <w:lang w:eastAsia="zh-CN"/>
              </w:rPr>
            </w:pPr>
            <w:r w:rsidRPr="00295824">
              <w:rPr>
                <w:rFonts w:eastAsiaTheme="minorEastAsia"/>
                <w:iCs/>
                <w:lang w:eastAsia="zh-CN"/>
              </w:rPr>
              <w:t>55/114 (48%)</w:t>
            </w:r>
          </w:p>
        </w:tc>
        <w:tc>
          <w:tcPr>
            <w:tcW w:w="1560" w:type="dxa"/>
            <w:tcBorders>
              <w:bottom w:val="nil"/>
            </w:tcBorders>
            <w:vAlign w:val="center"/>
          </w:tcPr>
          <w:p w14:paraId="4F938F41" w14:textId="77777777" w:rsidR="00295824" w:rsidRPr="00295824" w:rsidRDefault="00295824" w:rsidP="00295824">
            <w:pPr>
              <w:spacing w:line="276" w:lineRule="auto"/>
              <w:jc w:val="center"/>
              <w:rPr>
                <w:rFonts w:eastAsiaTheme="minorEastAsia"/>
                <w:iCs/>
                <w:lang w:eastAsia="zh-CN"/>
              </w:rPr>
            </w:pPr>
            <w:r w:rsidRPr="00295824">
              <w:rPr>
                <w:rFonts w:eastAsiaTheme="minorEastAsia"/>
                <w:iCs/>
                <w:lang w:eastAsia="zh-CN"/>
              </w:rPr>
              <w:t>47/132 (36%)</w:t>
            </w:r>
          </w:p>
        </w:tc>
        <w:tc>
          <w:tcPr>
            <w:tcW w:w="1701" w:type="dxa"/>
            <w:tcBorders>
              <w:bottom w:val="nil"/>
            </w:tcBorders>
          </w:tcPr>
          <w:p w14:paraId="6AEB87AD" w14:textId="77777777" w:rsidR="00295824" w:rsidRPr="00295824" w:rsidRDefault="00295824" w:rsidP="00295824">
            <w:pPr>
              <w:spacing w:line="276" w:lineRule="auto"/>
              <w:jc w:val="center"/>
              <w:rPr>
                <w:rFonts w:eastAsiaTheme="minorEastAsia"/>
                <w:iCs/>
                <w:lang w:eastAsia="zh-CN"/>
              </w:rPr>
            </w:pPr>
          </w:p>
        </w:tc>
        <w:tc>
          <w:tcPr>
            <w:tcW w:w="851" w:type="dxa"/>
            <w:tcBorders>
              <w:bottom w:val="nil"/>
            </w:tcBorders>
          </w:tcPr>
          <w:p w14:paraId="68C0FA98" w14:textId="77777777" w:rsidR="00295824" w:rsidRPr="00295824" w:rsidRDefault="00295824" w:rsidP="00295824">
            <w:pPr>
              <w:spacing w:line="276" w:lineRule="auto"/>
              <w:jc w:val="center"/>
              <w:rPr>
                <w:rFonts w:eastAsiaTheme="minorEastAsia"/>
                <w:iCs/>
                <w:lang w:eastAsia="zh-CN"/>
              </w:rPr>
            </w:pPr>
          </w:p>
        </w:tc>
      </w:tr>
      <w:tr w:rsidR="00295824" w:rsidRPr="00295824" w14:paraId="65E3588A" w14:textId="77777777" w:rsidTr="00B87ACC">
        <w:tc>
          <w:tcPr>
            <w:tcW w:w="2127" w:type="dxa"/>
            <w:vMerge/>
          </w:tcPr>
          <w:p w14:paraId="0488D83D" w14:textId="77777777" w:rsidR="00295824" w:rsidRPr="00295824" w:rsidRDefault="00295824" w:rsidP="00295824">
            <w:pPr>
              <w:rPr>
                <w:rFonts w:eastAsiaTheme="minorEastAsia"/>
                <w:b/>
                <w:iCs/>
                <w:lang w:eastAsia="zh-CN"/>
              </w:rPr>
            </w:pPr>
          </w:p>
        </w:tc>
        <w:tc>
          <w:tcPr>
            <w:tcW w:w="1843" w:type="dxa"/>
            <w:tcBorders>
              <w:top w:val="nil"/>
              <w:left w:val="single" w:sz="4" w:space="0" w:color="auto"/>
              <w:bottom w:val="single" w:sz="4" w:space="0" w:color="auto"/>
              <w:right w:val="single" w:sz="4" w:space="0" w:color="auto"/>
            </w:tcBorders>
            <w:vAlign w:val="center"/>
          </w:tcPr>
          <w:p w14:paraId="10DC4CA4" w14:textId="77777777" w:rsidR="00295824" w:rsidRPr="00295824" w:rsidRDefault="00295824" w:rsidP="00295824">
            <w:pPr>
              <w:jc w:val="right"/>
              <w:rPr>
                <w:rFonts w:eastAsiaTheme="minorEastAsia"/>
                <w:iCs/>
                <w:lang w:eastAsia="zh-CN"/>
              </w:rPr>
            </w:pPr>
            <w:r w:rsidRPr="00295824">
              <w:rPr>
                <w:rFonts w:eastAsiaTheme="minorEastAsia"/>
                <w:b/>
                <w:iCs/>
                <w:lang w:eastAsia="zh-CN"/>
              </w:rPr>
              <w:t>6-12 months</w:t>
            </w:r>
          </w:p>
        </w:tc>
        <w:tc>
          <w:tcPr>
            <w:tcW w:w="1701" w:type="dxa"/>
            <w:tcBorders>
              <w:top w:val="nil"/>
            </w:tcBorders>
          </w:tcPr>
          <w:p w14:paraId="6E74F70F" w14:textId="77777777" w:rsidR="00295824" w:rsidRPr="00295824" w:rsidRDefault="00295824" w:rsidP="00295824">
            <w:pPr>
              <w:spacing w:line="276" w:lineRule="auto"/>
              <w:jc w:val="center"/>
              <w:rPr>
                <w:rFonts w:eastAsiaTheme="minorEastAsia"/>
                <w:iCs/>
                <w:lang w:eastAsia="zh-CN"/>
              </w:rPr>
            </w:pPr>
            <w:r w:rsidRPr="00295824">
              <w:rPr>
                <w:rFonts w:eastAsiaTheme="minorEastAsia"/>
                <w:iCs/>
                <w:lang w:eastAsia="zh-CN"/>
              </w:rPr>
              <w:t>57/114 (50%)</w:t>
            </w:r>
          </w:p>
        </w:tc>
        <w:tc>
          <w:tcPr>
            <w:tcW w:w="1560" w:type="dxa"/>
            <w:tcBorders>
              <w:top w:val="nil"/>
            </w:tcBorders>
          </w:tcPr>
          <w:p w14:paraId="1836DF3B" w14:textId="77777777" w:rsidR="00295824" w:rsidRPr="00295824" w:rsidRDefault="00295824" w:rsidP="00295824">
            <w:pPr>
              <w:spacing w:line="276" w:lineRule="auto"/>
              <w:jc w:val="center"/>
              <w:rPr>
                <w:rFonts w:eastAsiaTheme="minorEastAsia"/>
                <w:iCs/>
                <w:lang w:eastAsia="zh-CN"/>
              </w:rPr>
            </w:pPr>
            <w:r w:rsidRPr="00295824">
              <w:rPr>
                <w:rFonts w:eastAsiaTheme="minorEastAsia"/>
                <w:iCs/>
                <w:lang w:eastAsia="zh-CN"/>
              </w:rPr>
              <w:t>71/132 (54%)</w:t>
            </w:r>
          </w:p>
        </w:tc>
        <w:tc>
          <w:tcPr>
            <w:tcW w:w="1701" w:type="dxa"/>
            <w:tcBorders>
              <w:top w:val="nil"/>
            </w:tcBorders>
          </w:tcPr>
          <w:p w14:paraId="0C1E99C0" w14:textId="77777777" w:rsidR="00295824" w:rsidRPr="00295824" w:rsidRDefault="00295824" w:rsidP="00295824">
            <w:pPr>
              <w:spacing w:line="276" w:lineRule="auto"/>
              <w:jc w:val="center"/>
              <w:rPr>
                <w:rFonts w:eastAsiaTheme="minorEastAsia"/>
                <w:iCs/>
                <w:lang w:eastAsia="zh-CN"/>
              </w:rPr>
            </w:pPr>
            <w:r w:rsidRPr="00295824">
              <w:rPr>
                <w:rFonts w:eastAsiaTheme="minorEastAsia"/>
                <w:iCs/>
                <w:lang w:eastAsia="zh-CN"/>
              </w:rPr>
              <w:t>0.86 (0.45, 1.65)</w:t>
            </w:r>
          </w:p>
        </w:tc>
        <w:tc>
          <w:tcPr>
            <w:tcW w:w="851" w:type="dxa"/>
            <w:tcBorders>
              <w:top w:val="nil"/>
            </w:tcBorders>
          </w:tcPr>
          <w:p w14:paraId="0CFD20E3" w14:textId="77777777" w:rsidR="00295824" w:rsidRPr="00295824" w:rsidRDefault="00295824" w:rsidP="00295824">
            <w:pPr>
              <w:spacing w:line="276" w:lineRule="auto"/>
              <w:jc w:val="center"/>
              <w:rPr>
                <w:rFonts w:eastAsiaTheme="minorEastAsia"/>
                <w:iCs/>
                <w:lang w:eastAsia="zh-CN"/>
              </w:rPr>
            </w:pPr>
            <w:r w:rsidRPr="00295824">
              <w:rPr>
                <w:rFonts w:eastAsiaTheme="minorEastAsia"/>
                <w:iCs/>
                <w:lang w:eastAsia="zh-CN"/>
              </w:rPr>
              <w:t>0.657</w:t>
            </w:r>
          </w:p>
        </w:tc>
      </w:tr>
      <w:tr w:rsidR="00295824" w:rsidRPr="00295824" w14:paraId="5F69725E" w14:textId="77777777" w:rsidTr="00B87ACC">
        <w:trPr>
          <w:trHeight w:val="287"/>
        </w:trPr>
        <w:tc>
          <w:tcPr>
            <w:tcW w:w="3970" w:type="dxa"/>
            <w:gridSpan w:val="2"/>
          </w:tcPr>
          <w:p w14:paraId="5DC88930" w14:textId="77777777" w:rsidR="00295824" w:rsidRPr="00295824" w:rsidRDefault="00295824" w:rsidP="00295824">
            <w:pPr>
              <w:rPr>
                <w:rFonts w:eastAsiaTheme="minorEastAsia"/>
                <w:b/>
                <w:iCs/>
                <w:lang w:eastAsia="zh-CN"/>
              </w:rPr>
            </w:pPr>
          </w:p>
        </w:tc>
        <w:tc>
          <w:tcPr>
            <w:tcW w:w="3261" w:type="dxa"/>
            <w:gridSpan w:val="2"/>
          </w:tcPr>
          <w:p w14:paraId="7143D538" w14:textId="77777777" w:rsidR="00295824" w:rsidRPr="00295824" w:rsidRDefault="00295824" w:rsidP="00295824">
            <w:pPr>
              <w:ind w:left="-57" w:right="-57"/>
              <w:jc w:val="center"/>
              <w:rPr>
                <w:rFonts w:eastAsiaTheme="minorEastAsia"/>
                <w:b/>
                <w:iCs/>
                <w:lang w:eastAsia="zh-CN"/>
              </w:rPr>
            </w:pPr>
            <w:r w:rsidRPr="00295824">
              <w:rPr>
                <w:rFonts w:eastAsiaTheme="minorEastAsia"/>
                <w:b/>
                <w:iCs/>
                <w:lang w:eastAsia="zh-CN"/>
              </w:rPr>
              <w:t>Falls/person/6 months</w:t>
            </w:r>
            <w:r w:rsidRPr="00295824">
              <w:rPr>
                <w:b/>
                <w:vertAlign w:val="superscript"/>
              </w:rPr>
              <w:t>***</w:t>
            </w:r>
          </w:p>
        </w:tc>
        <w:tc>
          <w:tcPr>
            <w:tcW w:w="1701" w:type="dxa"/>
          </w:tcPr>
          <w:p w14:paraId="5257BCEE" w14:textId="77777777" w:rsidR="00295824" w:rsidRPr="00295824" w:rsidRDefault="00295824" w:rsidP="00295824">
            <w:pPr>
              <w:jc w:val="center"/>
              <w:rPr>
                <w:rFonts w:eastAsiaTheme="minorEastAsia"/>
                <w:iCs/>
                <w:lang w:eastAsia="zh-CN"/>
              </w:rPr>
            </w:pPr>
            <w:r w:rsidRPr="00295824">
              <w:rPr>
                <w:b/>
              </w:rPr>
              <w:t>FRR (95% CI)</w:t>
            </w:r>
          </w:p>
        </w:tc>
        <w:tc>
          <w:tcPr>
            <w:tcW w:w="851" w:type="dxa"/>
          </w:tcPr>
          <w:p w14:paraId="0AF7CC68" w14:textId="77777777" w:rsidR="00295824" w:rsidRPr="00295824" w:rsidRDefault="00295824" w:rsidP="00295824">
            <w:pPr>
              <w:jc w:val="center"/>
              <w:rPr>
                <w:rFonts w:eastAsiaTheme="minorEastAsia"/>
                <w:iCs/>
                <w:lang w:eastAsia="zh-CN"/>
              </w:rPr>
            </w:pPr>
          </w:p>
        </w:tc>
      </w:tr>
      <w:tr w:rsidR="00295824" w:rsidRPr="00295824" w14:paraId="368EEF3C" w14:textId="77777777" w:rsidTr="00B87ACC">
        <w:trPr>
          <w:trHeight w:val="287"/>
        </w:trPr>
        <w:tc>
          <w:tcPr>
            <w:tcW w:w="2127" w:type="dxa"/>
            <w:vMerge w:val="restart"/>
          </w:tcPr>
          <w:p w14:paraId="6B557004" w14:textId="77777777" w:rsidR="00295824" w:rsidRPr="00295824" w:rsidRDefault="00295824" w:rsidP="00295824">
            <w:pPr>
              <w:rPr>
                <w:b/>
              </w:rPr>
            </w:pPr>
            <w:r w:rsidRPr="00295824">
              <w:rPr>
                <w:b/>
              </w:rPr>
              <w:t>Fall rates</w:t>
            </w:r>
          </w:p>
        </w:tc>
        <w:tc>
          <w:tcPr>
            <w:tcW w:w="1843" w:type="dxa"/>
          </w:tcPr>
          <w:p w14:paraId="47B72A8F" w14:textId="77777777" w:rsidR="00295824" w:rsidRPr="00295824" w:rsidRDefault="00295824" w:rsidP="00295824">
            <w:pPr>
              <w:jc w:val="right"/>
              <w:rPr>
                <w:rFonts w:eastAsiaTheme="minorEastAsia"/>
                <w:b/>
                <w:iCs/>
                <w:lang w:eastAsia="zh-CN"/>
              </w:rPr>
            </w:pPr>
            <w:r w:rsidRPr="00295824">
              <w:rPr>
                <w:rFonts w:eastAsiaTheme="minorEastAsia"/>
                <w:b/>
                <w:iCs/>
                <w:lang w:eastAsia="zh-CN"/>
              </w:rPr>
              <w:t>baseline</w:t>
            </w:r>
          </w:p>
        </w:tc>
        <w:tc>
          <w:tcPr>
            <w:tcW w:w="1701" w:type="dxa"/>
          </w:tcPr>
          <w:p w14:paraId="58E8995F" w14:textId="77777777" w:rsidR="00295824" w:rsidRPr="00295824" w:rsidRDefault="00295824" w:rsidP="00295824">
            <w:pPr>
              <w:ind w:left="-57" w:right="-57"/>
              <w:jc w:val="center"/>
              <w:rPr>
                <w:rFonts w:eastAsiaTheme="minorEastAsia"/>
                <w:iCs/>
                <w:lang w:eastAsia="zh-CN"/>
              </w:rPr>
            </w:pPr>
            <w:r w:rsidRPr="00295824">
              <w:rPr>
                <w:rFonts w:eastAsiaTheme="minorEastAsia"/>
                <w:iCs/>
                <w:lang w:eastAsia="zh-CN"/>
              </w:rPr>
              <w:t>4.5</w:t>
            </w:r>
          </w:p>
        </w:tc>
        <w:tc>
          <w:tcPr>
            <w:tcW w:w="1560" w:type="dxa"/>
          </w:tcPr>
          <w:p w14:paraId="6E50C127" w14:textId="77777777" w:rsidR="00295824" w:rsidRPr="00295824" w:rsidRDefault="00295824" w:rsidP="00295824">
            <w:pPr>
              <w:ind w:left="-57" w:right="-57"/>
              <w:jc w:val="center"/>
              <w:rPr>
                <w:rFonts w:eastAsiaTheme="minorEastAsia"/>
                <w:iCs/>
                <w:lang w:eastAsia="zh-CN"/>
              </w:rPr>
            </w:pPr>
            <w:r w:rsidRPr="00295824">
              <w:rPr>
                <w:rFonts w:eastAsiaTheme="minorEastAsia"/>
                <w:iCs/>
                <w:lang w:eastAsia="zh-CN"/>
              </w:rPr>
              <w:t>3.3</w:t>
            </w:r>
          </w:p>
        </w:tc>
        <w:tc>
          <w:tcPr>
            <w:tcW w:w="1701" w:type="dxa"/>
          </w:tcPr>
          <w:p w14:paraId="2B0EE7BC" w14:textId="77777777" w:rsidR="00295824" w:rsidRPr="00295824" w:rsidRDefault="00295824" w:rsidP="00295824">
            <w:pPr>
              <w:jc w:val="center"/>
              <w:rPr>
                <w:rFonts w:eastAsiaTheme="minorEastAsia"/>
                <w:iCs/>
                <w:lang w:eastAsia="zh-CN"/>
              </w:rPr>
            </w:pPr>
          </w:p>
        </w:tc>
        <w:tc>
          <w:tcPr>
            <w:tcW w:w="851" w:type="dxa"/>
          </w:tcPr>
          <w:p w14:paraId="75DCE6CB" w14:textId="77777777" w:rsidR="00295824" w:rsidRPr="00295824" w:rsidRDefault="00295824" w:rsidP="00295824">
            <w:pPr>
              <w:jc w:val="center"/>
              <w:rPr>
                <w:rFonts w:eastAsiaTheme="minorEastAsia"/>
                <w:iCs/>
                <w:lang w:eastAsia="zh-CN"/>
              </w:rPr>
            </w:pPr>
          </w:p>
        </w:tc>
      </w:tr>
      <w:tr w:rsidR="00295824" w:rsidRPr="00295824" w14:paraId="698DF334" w14:textId="77777777" w:rsidTr="00B87ACC">
        <w:trPr>
          <w:trHeight w:val="287"/>
        </w:trPr>
        <w:tc>
          <w:tcPr>
            <w:tcW w:w="2127" w:type="dxa"/>
            <w:vMerge/>
          </w:tcPr>
          <w:p w14:paraId="247CA372" w14:textId="77777777" w:rsidR="00295824" w:rsidRPr="00295824" w:rsidRDefault="00295824" w:rsidP="00295824">
            <w:pPr>
              <w:rPr>
                <w:b/>
              </w:rPr>
            </w:pPr>
          </w:p>
        </w:tc>
        <w:tc>
          <w:tcPr>
            <w:tcW w:w="1843" w:type="dxa"/>
          </w:tcPr>
          <w:p w14:paraId="5C970D4D" w14:textId="77777777" w:rsidR="00295824" w:rsidRPr="00295824" w:rsidRDefault="00295824" w:rsidP="00295824">
            <w:pPr>
              <w:jc w:val="right"/>
              <w:rPr>
                <w:rFonts w:eastAsiaTheme="minorEastAsia"/>
                <w:iCs/>
                <w:lang w:eastAsia="zh-CN"/>
              </w:rPr>
            </w:pPr>
            <w:r w:rsidRPr="00295824">
              <w:rPr>
                <w:rFonts w:eastAsiaTheme="minorEastAsia"/>
                <w:b/>
                <w:iCs/>
                <w:lang w:eastAsia="zh-CN"/>
              </w:rPr>
              <w:t>0-6 months</w:t>
            </w:r>
          </w:p>
        </w:tc>
        <w:tc>
          <w:tcPr>
            <w:tcW w:w="1701" w:type="dxa"/>
          </w:tcPr>
          <w:p w14:paraId="29E6285A" w14:textId="77777777" w:rsidR="00295824" w:rsidRPr="00295824" w:rsidRDefault="00295824" w:rsidP="00295824">
            <w:pPr>
              <w:ind w:left="-57" w:right="-57"/>
              <w:jc w:val="center"/>
              <w:rPr>
                <w:rFonts w:eastAsiaTheme="minorEastAsia"/>
                <w:iCs/>
                <w:lang w:eastAsia="zh-CN"/>
              </w:rPr>
            </w:pPr>
            <w:r w:rsidRPr="00295824">
              <w:rPr>
                <w:rFonts w:eastAsiaTheme="minorEastAsia"/>
                <w:iCs/>
                <w:lang w:eastAsia="zh-CN"/>
              </w:rPr>
              <w:t>3.4</w:t>
            </w:r>
          </w:p>
        </w:tc>
        <w:tc>
          <w:tcPr>
            <w:tcW w:w="1560" w:type="dxa"/>
          </w:tcPr>
          <w:p w14:paraId="7DA6D551" w14:textId="77777777" w:rsidR="00295824" w:rsidRPr="00295824" w:rsidRDefault="00295824" w:rsidP="00295824">
            <w:pPr>
              <w:ind w:left="-57" w:right="-57"/>
              <w:jc w:val="center"/>
              <w:rPr>
                <w:rFonts w:eastAsiaTheme="minorEastAsia"/>
                <w:iCs/>
                <w:lang w:eastAsia="zh-CN"/>
              </w:rPr>
            </w:pPr>
            <w:r w:rsidRPr="00295824">
              <w:rPr>
                <w:rFonts w:eastAsiaTheme="minorEastAsia"/>
                <w:iCs/>
                <w:lang w:eastAsia="zh-CN"/>
              </w:rPr>
              <w:t>2.7</w:t>
            </w:r>
          </w:p>
        </w:tc>
        <w:tc>
          <w:tcPr>
            <w:tcW w:w="1701" w:type="dxa"/>
          </w:tcPr>
          <w:p w14:paraId="04526F5A" w14:textId="77777777" w:rsidR="00295824" w:rsidRPr="00295824" w:rsidRDefault="00295824" w:rsidP="00295824">
            <w:pPr>
              <w:jc w:val="center"/>
            </w:pPr>
            <w:r w:rsidRPr="00295824">
              <w:t>0.98 (0.80, 1.19)</w:t>
            </w:r>
          </w:p>
        </w:tc>
        <w:tc>
          <w:tcPr>
            <w:tcW w:w="851" w:type="dxa"/>
          </w:tcPr>
          <w:p w14:paraId="69868AF6" w14:textId="77777777" w:rsidR="00295824" w:rsidRPr="00295824" w:rsidRDefault="00295824" w:rsidP="00295824">
            <w:pPr>
              <w:jc w:val="center"/>
            </w:pPr>
            <w:r w:rsidRPr="00295824">
              <w:t>0.824</w:t>
            </w:r>
          </w:p>
        </w:tc>
      </w:tr>
      <w:tr w:rsidR="00295824" w:rsidRPr="00295824" w14:paraId="3D923C53" w14:textId="77777777" w:rsidTr="00B87ACC">
        <w:tc>
          <w:tcPr>
            <w:tcW w:w="2127" w:type="dxa"/>
            <w:vMerge/>
          </w:tcPr>
          <w:p w14:paraId="05B80B0E" w14:textId="77777777" w:rsidR="00295824" w:rsidRPr="00295824" w:rsidRDefault="00295824" w:rsidP="00295824">
            <w:pPr>
              <w:rPr>
                <w:rFonts w:eastAsiaTheme="minorEastAsia"/>
                <w:b/>
                <w:iCs/>
                <w:lang w:eastAsia="zh-CN"/>
              </w:rPr>
            </w:pPr>
          </w:p>
        </w:tc>
        <w:tc>
          <w:tcPr>
            <w:tcW w:w="1843" w:type="dxa"/>
          </w:tcPr>
          <w:p w14:paraId="008CC08D" w14:textId="77777777" w:rsidR="00295824" w:rsidRPr="00295824" w:rsidRDefault="00295824" w:rsidP="00295824">
            <w:pPr>
              <w:jc w:val="right"/>
              <w:rPr>
                <w:rFonts w:eastAsiaTheme="minorEastAsia"/>
                <w:iCs/>
                <w:lang w:eastAsia="zh-CN"/>
              </w:rPr>
            </w:pPr>
            <w:r w:rsidRPr="00295824">
              <w:rPr>
                <w:rFonts w:eastAsiaTheme="minorEastAsia"/>
                <w:b/>
                <w:iCs/>
                <w:lang w:eastAsia="zh-CN"/>
              </w:rPr>
              <w:t>6-12 months</w:t>
            </w:r>
          </w:p>
        </w:tc>
        <w:tc>
          <w:tcPr>
            <w:tcW w:w="1701" w:type="dxa"/>
          </w:tcPr>
          <w:p w14:paraId="32C397FF" w14:textId="77777777" w:rsidR="00295824" w:rsidRPr="00295824" w:rsidRDefault="00295824" w:rsidP="00295824">
            <w:pPr>
              <w:ind w:left="-57" w:right="-57"/>
              <w:jc w:val="center"/>
              <w:rPr>
                <w:rFonts w:eastAsiaTheme="minorEastAsia"/>
                <w:iCs/>
                <w:lang w:eastAsia="zh-CN"/>
              </w:rPr>
            </w:pPr>
            <w:r w:rsidRPr="00295824">
              <w:rPr>
                <w:rFonts w:eastAsiaTheme="minorEastAsia"/>
                <w:iCs/>
                <w:lang w:eastAsia="zh-CN"/>
              </w:rPr>
              <w:t>2.7</w:t>
            </w:r>
          </w:p>
        </w:tc>
        <w:tc>
          <w:tcPr>
            <w:tcW w:w="1560" w:type="dxa"/>
          </w:tcPr>
          <w:p w14:paraId="14AAE303" w14:textId="77777777" w:rsidR="00295824" w:rsidRPr="00295824" w:rsidRDefault="00295824" w:rsidP="00295824">
            <w:pPr>
              <w:ind w:left="-57" w:right="-57"/>
              <w:jc w:val="center"/>
              <w:rPr>
                <w:rFonts w:eastAsiaTheme="minorEastAsia"/>
                <w:iCs/>
                <w:lang w:eastAsia="zh-CN"/>
              </w:rPr>
            </w:pPr>
            <w:r w:rsidRPr="00295824">
              <w:rPr>
                <w:rFonts w:eastAsiaTheme="minorEastAsia"/>
                <w:iCs/>
                <w:lang w:eastAsia="zh-CN"/>
              </w:rPr>
              <w:t>2.8</w:t>
            </w:r>
          </w:p>
        </w:tc>
        <w:tc>
          <w:tcPr>
            <w:tcW w:w="1701" w:type="dxa"/>
          </w:tcPr>
          <w:p w14:paraId="7AD3B31B" w14:textId="77777777" w:rsidR="00295824" w:rsidRPr="00295824" w:rsidRDefault="00295824" w:rsidP="00295824">
            <w:pPr>
              <w:jc w:val="center"/>
            </w:pPr>
            <w:r w:rsidRPr="00295824">
              <w:t>0.83 (0.62, 1.11)</w:t>
            </w:r>
          </w:p>
        </w:tc>
        <w:tc>
          <w:tcPr>
            <w:tcW w:w="851" w:type="dxa"/>
          </w:tcPr>
          <w:p w14:paraId="268B002B" w14:textId="77777777" w:rsidR="00295824" w:rsidRPr="00295824" w:rsidRDefault="00295824" w:rsidP="00295824">
            <w:pPr>
              <w:jc w:val="center"/>
            </w:pPr>
            <w:r w:rsidRPr="00295824">
              <w:t>0.200</w:t>
            </w:r>
          </w:p>
        </w:tc>
      </w:tr>
      <w:tr w:rsidR="00295824" w:rsidRPr="00295824" w14:paraId="6CB9AE38" w14:textId="77777777" w:rsidTr="00B87ACC">
        <w:tc>
          <w:tcPr>
            <w:tcW w:w="3970" w:type="dxa"/>
            <w:gridSpan w:val="2"/>
          </w:tcPr>
          <w:p w14:paraId="2E2119AA" w14:textId="77777777" w:rsidR="00295824" w:rsidRPr="00295824" w:rsidRDefault="00295824" w:rsidP="00295824">
            <w:pPr>
              <w:rPr>
                <w:rFonts w:eastAsiaTheme="minorEastAsia"/>
                <w:b/>
                <w:iCs/>
                <w:lang w:eastAsia="zh-CN"/>
              </w:rPr>
            </w:pPr>
          </w:p>
        </w:tc>
        <w:tc>
          <w:tcPr>
            <w:tcW w:w="3261" w:type="dxa"/>
            <w:gridSpan w:val="2"/>
          </w:tcPr>
          <w:p w14:paraId="46E25C9C" w14:textId="77777777" w:rsidR="00295824" w:rsidRPr="00295824" w:rsidRDefault="00295824" w:rsidP="00295824">
            <w:pPr>
              <w:ind w:left="-57" w:right="-57"/>
              <w:jc w:val="center"/>
              <w:rPr>
                <w:rFonts w:eastAsiaTheme="minorEastAsia"/>
                <w:b/>
                <w:iCs/>
                <w:lang w:eastAsia="zh-CN"/>
              </w:rPr>
            </w:pPr>
            <w:r w:rsidRPr="00295824">
              <w:rPr>
                <w:rFonts w:eastAsiaTheme="minorEastAsia"/>
                <w:b/>
                <w:iCs/>
                <w:lang w:eastAsia="zh-CN"/>
              </w:rPr>
              <w:t xml:space="preserve"> Near falls/person/6 months</w:t>
            </w:r>
            <w:r w:rsidRPr="00295824">
              <w:rPr>
                <w:b/>
                <w:vertAlign w:val="superscript"/>
              </w:rPr>
              <w:t>***</w:t>
            </w:r>
          </w:p>
        </w:tc>
        <w:tc>
          <w:tcPr>
            <w:tcW w:w="1701" w:type="dxa"/>
          </w:tcPr>
          <w:p w14:paraId="75079BF1" w14:textId="77777777" w:rsidR="00295824" w:rsidRPr="00295824" w:rsidRDefault="00295824" w:rsidP="00295824">
            <w:pPr>
              <w:jc w:val="center"/>
              <w:rPr>
                <w:rFonts w:eastAsiaTheme="minorEastAsia"/>
                <w:iCs/>
                <w:lang w:eastAsia="zh-CN"/>
              </w:rPr>
            </w:pPr>
            <w:r w:rsidRPr="00295824">
              <w:rPr>
                <w:b/>
              </w:rPr>
              <w:t>NFRR (95% CI)</w:t>
            </w:r>
          </w:p>
        </w:tc>
        <w:tc>
          <w:tcPr>
            <w:tcW w:w="851" w:type="dxa"/>
          </w:tcPr>
          <w:p w14:paraId="3FF6737F" w14:textId="77777777" w:rsidR="00295824" w:rsidRPr="00295824" w:rsidRDefault="00295824" w:rsidP="00295824">
            <w:pPr>
              <w:jc w:val="center"/>
            </w:pPr>
          </w:p>
        </w:tc>
      </w:tr>
      <w:tr w:rsidR="00295824" w:rsidRPr="00295824" w14:paraId="1D99789C" w14:textId="77777777" w:rsidTr="00B87ACC">
        <w:trPr>
          <w:trHeight w:val="335"/>
        </w:trPr>
        <w:tc>
          <w:tcPr>
            <w:tcW w:w="2127" w:type="dxa"/>
            <w:vMerge w:val="restart"/>
          </w:tcPr>
          <w:p w14:paraId="2A5D8771" w14:textId="77777777" w:rsidR="00295824" w:rsidRPr="00295824" w:rsidRDefault="00295824" w:rsidP="00295824">
            <w:pPr>
              <w:rPr>
                <w:rFonts w:eastAsiaTheme="minorEastAsia"/>
                <w:b/>
                <w:iCs/>
                <w:lang w:eastAsia="zh-CN"/>
              </w:rPr>
            </w:pPr>
            <w:r w:rsidRPr="00295824">
              <w:rPr>
                <w:b/>
              </w:rPr>
              <w:t>Near fall rates</w:t>
            </w:r>
          </w:p>
        </w:tc>
        <w:tc>
          <w:tcPr>
            <w:tcW w:w="1843" w:type="dxa"/>
          </w:tcPr>
          <w:p w14:paraId="6121BF82" w14:textId="77777777" w:rsidR="00295824" w:rsidRPr="00295824" w:rsidRDefault="00295824" w:rsidP="00295824">
            <w:pPr>
              <w:jc w:val="right"/>
              <w:rPr>
                <w:rFonts w:eastAsiaTheme="minorEastAsia"/>
                <w:b/>
                <w:iCs/>
                <w:lang w:eastAsia="zh-CN"/>
              </w:rPr>
            </w:pPr>
            <w:r w:rsidRPr="00295824">
              <w:rPr>
                <w:rFonts w:eastAsiaTheme="minorEastAsia"/>
                <w:b/>
                <w:iCs/>
                <w:lang w:eastAsia="zh-CN"/>
              </w:rPr>
              <w:t>baseline</w:t>
            </w:r>
          </w:p>
        </w:tc>
        <w:tc>
          <w:tcPr>
            <w:tcW w:w="1701" w:type="dxa"/>
          </w:tcPr>
          <w:p w14:paraId="66BCC6AD" w14:textId="77777777" w:rsidR="00295824" w:rsidRPr="00295824" w:rsidRDefault="00295824" w:rsidP="00295824">
            <w:pPr>
              <w:ind w:left="-57" w:right="-57"/>
              <w:jc w:val="center"/>
              <w:rPr>
                <w:rFonts w:eastAsiaTheme="minorEastAsia"/>
                <w:iCs/>
                <w:lang w:eastAsia="zh-CN"/>
              </w:rPr>
            </w:pPr>
            <w:r w:rsidRPr="00295824">
              <w:rPr>
                <w:rFonts w:eastAsiaTheme="minorEastAsia"/>
                <w:iCs/>
                <w:lang w:eastAsia="zh-CN"/>
              </w:rPr>
              <w:t>8.0</w:t>
            </w:r>
          </w:p>
        </w:tc>
        <w:tc>
          <w:tcPr>
            <w:tcW w:w="1560" w:type="dxa"/>
          </w:tcPr>
          <w:p w14:paraId="731EBCA0" w14:textId="77777777" w:rsidR="00295824" w:rsidRPr="00295824" w:rsidRDefault="00295824" w:rsidP="00295824">
            <w:pPr>
              <w:ind w:left="-57" w:right="-57"/>
              <w:jc w:val="center"/>
              <w:rPr>
                <w:rFonts w:eastAsiaTheme="minorEastAsia"/>
                <w:iCs/>
                <w:lang w:eastAsia="zh-CN"/>
              </w:rPr>
            </w:pPr>
            <w:r w:rsidRPr="00295824">
              <w:rPr>
                <w:rFonts w:eastAsiaTheme="minorEastAsia"/>
                <w:iCs/>
                <w:lang w:eastAsia="zh-CN"/>
              </w:rPr>
              <w:t>8.1</w:t>
            </w:r>
          </w:p>
        </w:tc>
        <w:tc>
          <w:tcPr>
            <w:tcW w:w="1701" w:type="dxa"/>
          </w:tcPr>
          <w:p w14:paraId="7D3747E6" w14:textId="77777777" w:rsidR="00295824" w:rsidRPr="00295824" w:rsidRDefault="00295824" w:rsidP="00295824">
            <w:pPr>
              <w:jc w:val="center"/>
              <w:rPr>
                <w:rFonts w:eastAsiaTheme="minorEastAsia"/>
                <w:iCs/>
                <w:lang w:eastAsia="zh-CN"/>
              </w:rPr>
            </w:pPr>
          </w:p>
        </w:tc>
        <w:tc>
          <w:tcPr>
            <w:tcW w:w="851" w:type="dxa"/>
          </w:tcPr>
          <w:p w14:paraId="4CCE3379" w14:textId="77777777" w:rsidR="00295824" w:rsidRPr="00295824" w:rsidRDefault="00295824" w:rsidP="00295824">
            <w:pPr>
              <w:jc w:val="center"/>
              <w:rPr>
                <w:rFonts w:eastAsiaTheme="minorEastAsia"/>
                <w:iCs/>
                <w:lang w:eastAsia="zh-CN"/>
              </w:rPr>
            </w:pPr>
          </w:p>
        </w:tc>
      </w:tr>
      <w:tr w:rsidR="00295824" w:rsidRPr="00295824" w14:paraId="46D7687D" w14:textId="77777777" w:rsidTr="00B87ACC">
        <w:tc>
          <w:tcPr>
            <w:tcW w:w="2127" w:type="dxa"/>
            <w:vMerge/>
          </w:tcPr>
          <w:p w14:paraId="23B4AF5F" w14:textId="77777777" w:rsidR="00295824" w:rsidRPr="00295824" w:rsidRDefault="00295824" w:rsidP="00295824">
            <w:pPr>
              <w:rPr>
                <w:rFonts w:eastAsiaTheme="minorEastAsia"/>
                <w:b/>
                <w:iCs/>
                <w:lang w:eastAsia="zh-CN"/>
              </w:rPr>
            </w:pPr>
          </w:p>
        </w:tc>
        <w:tc>
          <w:tcPr>
            <w:tcW w:w="1843" w:type="dxa"/>
          </w:tcPr>
          <w:p w14:paraId="65B899EA" w14:textId="77777777" w:rsidR="00295824" w:rsidRPr="00295824" w:rsidRDefault="00295824" w:rsidP="00295824">
            <w:pPr>
              <w:jc w:val="right"/>
              <w:rPr>
                <w:rFonts w:eastAsiaTheme="minorEastAsia"/>
                <w:iCs/>
                <w:lang w:eastAsia="zh-CN"/>
              </w:rPr>
            </w:pPr>
            <w:r w:rsidRPr="00295824">
              <w:rPr>
                <w:rFonts w:eastAsiaTheme="minorEastAsia"/>
                <w:b/>
                <w:iCs/>
                <w:lang w:eastAsia="zh-CN"/>
              </w:rPr>
              <w:t>0-6 months</w:t>
            </w:r>
          </w:p>
        </w:tc>
        <w:tc>
          <w:tcPr>
            <w:tcW w:w="1701" w:type="dxa"/>
          </w:tcPr>
          <w:p w14:paraId="75F58E01" w14:textId="77777777" w:rsidR="00295824" w:rsidRPr="00295824" w:rsidRDefault="00295824" w:rsidP="00295824">
            <w:pPr>
              <w:ind w:left="-57" w:right="-57"/>
              <w:jc w:val="center"/>
              <w:rPr>
                <w:rFonts w:eastAsiaTheme="minorEastAsia"/>
                <w:iCs/>
                <w:lang w:eastAsia="zh-CN"/>
              </w:rPr>
            </w:pPr>
            <w:r w:rsidRPr="00295824">
              <w:rPr>
                <w:rFonts w:eastAsiaTheme="minorEastAsia"/>
                <w:iCs/>
                <w:lang w:eastAsia="zh-CN"/>
              </w:rPr>
              <w:t>4.7</w:t>
            </w:r>
          </w:p>
        </w:tc>
        <w:tc>
          <w:tcPr>
            <w:tcW w:w="1560" w:type="dxa"/>
          </w:tcPr>
          <w:p w14:paraId="6855C10F" w14:textId="77777777" w:rsidR="00295824" w:rsidRPr="00295824" w:rsidRDefault="00295824" w:rsidP="00295824">
            <w:pPr>
              <w:ind w:left="-57" w:right="-57"/>
              <w:jc w:val="center"/>
              <w:rPr>
                <w:rFonts w:eastAsiaTheme="minorEastAsia"/>
                <w:iCs/>
                <w:lang w:eastAsia="zh-CN"/>
              </w:rPr>
            </w:pPr>
            <w:r w:rsidRPr="00295824">
              <w:rPr>
                <w:rFonts w:eastAsiaTheme="minorEastAsia"/>
                <w:iCs/>
                <w:lang w:eastAsia="zh-CN"/>
              </w:rPr>
              <w:t>5.6</w:t>
            </w:r>
          </w:p>
        </w:tc>
        <w:tc>
          <w:tcPr>
            <w:tcW w:w="1701" w:type="dxa"/>
          </w:tcPr>
          <w:p w14:paraId="3CDC50AA" w14:textId="77777777" w:rsidR="00295824" w:rsidRPr="00295824" w:rsidRDefault="00295824" w:rsidP="00295824">
            <w:pPr>
              <w:jc w:val="center"/>
            </w:pPr>
            <w:r w:rsidRPr="00295824">
              <w:t>0.67 (0.53, 0.86)</w:t>
            </w:r>
          </w:p>
        </w:tc>
        <w:tc>
          <w:tcPr>
            <w:tcW w:w="851" w:type="dxa"/>
          </w:tcPr>
          <w:p w14:paraId="6B0F5908" w14:textId="77777777" w:rsidR="00295824" w:rsidRPr="00295824" w:rsidRDefault="00295824" w:rsidP="00295824">
            <w:pPr>
              <w:jc w:val="center"/>
            </w:pPr>
            <w:r w:rsidRPr="00295824">
              <w:t>0.001</w:t>
            </w:r>
          </w:p>
        </w:tc>
      </w:tr>
      <w:tr w:rsidR="00295824" w:rsidRPr="00295824" w14:paraId="75DF8E2D" w14:textId="77777777" w:rsidTr="00B87ACC">
        <w:tc>
          <w:tcPr>
            <w:tcW w:w="2127" w:type="dxa"/>
            <w:vMerge/>
          </w:tcPr>
          <w:p w14:paraId="50D0627E" w14:textId="77777777" w:rsidR="00295824" w:rsidRPr="00295824" w:rsidRDefault="00295824" w:rsidP="00295824">
            <w:pPr>
              <w:rPr>
                <w:rFonts w:eastAsiaTheme="minorEastAsia"/>
                <w:b/>
                <w:iCs/>
                <w:lang w:eastAsia="zh-CN"/>
              </w:rPr>
            </w:pPr>
          </w:p>
        </w:tc>
        <w:tc>
          <w:tcPr>
            <w:tcW w:w="1843" w:type="dxa"/>
          </w:tcPr>
          <w:p w14:paraId="655F68DE" w14:textId="77777777" w:rsidR="00295824" w:rsidRPr="00295824" w:rsidRDefault="00295824" w:rsidP="00295824">
            <w:pPr>
              <w:jc w:val="right"/>
              <w:rPr>
                <w:rFonts w:eastAsiaTheme="minorEastAsia"/>
                <w:iCs/>
                <w:lang w:eastAsia="zh-CN"/>
              </w:rPr>
            </w:pPr>
            <w:r w:rsidRPr="00295824">
              <w:rPr>
                <w:rFonts w:eastAsiaTheme="minorEastAsia"/>
                <w:b/>
                <w:iCs/>
                <w:lang w:eastAsia="zh-CN"/>
              </w:rPr>
              <w:t>6-12 months</w:t>
            </w:r>
          </w:p>
        </w:tc>
        <w:tc>
          <w:tcPr>
            <w:tcW w:w="1701" w:type="dxa"/>
          </w:tcPr>
          <w:p w14:paraId="1846F879" w14:textId="77777777" w:rsidR="00295824" w:rsidRPr="00295824" w:rsidRDefault="00295824" w:rsidP="00295824">
            <w:pPr>
              <w:ind w:left="-57" w:right="-57"/>
              <w:jc w:val="center"/>
              <w:rPr>
                <w:rFonts w:eastAsiaTheme="minorEastAsia"/>
                <w:iCs/>
                <w:lang w:eastAsia="zh-CN"/>
              </w:rPr>
            </w:pPr>
            <w:r w:rsidRPr="00295824">
              <w:rPr>
                <w:rFonts w:eastAsiaTheme="minorEastAsia"/>
                <w:iCs/>
                <w:lang w:eastAsia="zh-CN"/>
              </w:rPr>
              <w:t>3.9</w:t>
            </w:r>
          </w:p>
        </w:tc>
        <w:tc>
          <w:tcPr>
            <w:tcW w:w="1560" w:type="dxa"/>
          </w:tcPr>
          <w:p w14:paraId="75B6FC0A" w14:textId="77777777" w:rsidR="00295824" w:rsidRPr="00295824" w:rsidRDefault="00295824" w:rsidP="00295824">
            <w:pPr>
              <w:ind w:left="-57" w:right="-57"/>
              <w:jc w:val="center"/>
              <w:rPr>
                <w:rFonts w:eastAsiaTheme="minorEastAsia"/>
                <w:iCs/>
                <w:lang w:eastAsia="zh-CN"/>
              </w:rPr>
            </w:pPr>
            <w:r w:rsidRPr="00295824">
              <w:rPr>
                <w:rFonts w:eastAsiaTheme="minorEastAsia"/>
                <w:iCs/>
                <w:lang w:eastAsia="zh-CN"/>
              </w:rPr>
              <w:t>3.7</w:t>
            </w:r>
          </w:p>
        </w:tc>
        <w:tc>
          <w:tcPr>
            <w:tcW w:w="1701" w:type="dxa"/>
          </w:tcPr>
          <w:p w14:paraId="07F013C8" w14:textId="77777777" w:rsidR="00295824" w:rsidRPr="00295824" w:rsidRDefault="00295824" w:rsidP="00295824">
            <w:pPr>
              <w:jc w:val="center"/>
            </w:pPr>
            <w:r w:rsidRPr="00295824">
              <w:t>1.01 (0.67, 1.52)</w:t>
            </w:r>
          </w:p>
        </w:tc>
        <w:tc>
          <w:tcPr>
            <w:tcW w:w="851" w:type="dxa"/>
          </w:tcPr>
          <w:p w14:paraId="203394C8" w14:textId="77777777" w:rsidR="00295824" w:rsidRPr="00295824" w:rsidRDefault="00295824" w:rsidP="00295824">
            <w:pPr>
              <w:jc w:val="center"/>
            </w:pPr>
            <w:r w:rsidRPr="00295824">
              <w:t>0.968</w:t>
            </w:r>
          </w:p>
        </w:tc>
      </w:tr>
    </w:tbl>
    <w:p w14:paraId="1C5E462B" w14:textId="77777777" w:rsidR="00295824" w:rsidRPr="00295824" w:rsidRDefault="00295824" w:rsidP="00295824">
      <w:pPr>
        <w:spacing w:after="120" w:line="240" w:lineRule="auto"/>
      </w:pPr>
      <w:r w:rsidRPr="00295824">
        <w:rPr>
          <w:rFonts w:eastAsiaTheme="minorEastAsia"/>
          <w:lang w:eastAsia="zh-CN"/>
        </w:rPr>
        <w:t xml:space="preserve">* Controlled for site, age, gender, repeat falling or not in the year prior to screening, log number of falls in the year prior to screening, log rate of falling in the pre randomisation falls collection period, and </w:t>
      </w:r>
      <w:r w:rsidRPr="00295824">
        <w:t>Hoehn and Yahr (NFRR additionally controlled for</w:t>
      </w:r>
      <w:r w:rsidRPr="00295824">
        <w:rPr>
          <w:rFonts w:eastAsiaTheme="minorEastAsia"/>
          <w:lang w:eastAsia="zh-CN"/>
        </w:rPr>
        <w:t xml:space="preserve"> log rate of near falling in the pre randomisation falls collection period</w:t>
      </w:r>
      <w:r w:rsidRPr="00295824">
        <w:t xml:space="preserve">). </w:t>
      </w:r>
    </w:p>
    <w:p w14:paraId="67B68FCC" w14:textId="77777777" w:rsidR="00295824" w:rsidRPr="00295824" w:rsidRDefault="00295824" w:rsidP="00295824">
      <w:pPr>
        <w:spacing w:after="120" w:line="240" w:lineRule="auto"/>
      </w:pPr>
      <w:r w:rsidRPr="00295824">
        <w:t>** Baseline repeat falling restricted to participants including in the 0-6 and 6-12month analyses</w:t>
      </w:r>
    </w:p>
    <w:p w14:paraId="61B77D71" w14:textId="77777777" w:rsidR="00295824" w:rsidRPr="00295824" w:rsidRDefault="00295824" w:rsidP="00295824">
      <w:pPr>
        <w:spacing w:after="120" w:line="240" w:lineRule="auto"/>
      </w:pPr>
      <w:r w:rsidRPr="00295824">
        <w:t>*** Geometric mean of individual fall rates with 0.5 added to all numerators</w:t>
      </w:r>
    </w:p>
    <w:p w14:paraId="57544D50" w14:textId="77777777" w:rsidR="00295824" w:rsidRPr="00295824" w:rsidRDefault="00295824" w:rsidP="00295824">
      <w:pPr>
        <w:rPr>
          <w:iCs/>
          <w:sz w:val="24"/>
          <w:szCs w:val="24"/>
        </w:rPr>
      </w:pPr>
    </w:p>
    <w:p w14:paraId="5826DA2A" w14:textId="77777777" w:rsidR="00295824" w:rsidRPr="00295824" w:rsidRDefault="00295824" w:rsidP="00295824">
      <w:pPr>
        <w:rPr>
          <w:iCs/>
          <w:sz w:val="24"/>
          <w:szCs w:val="24"/>
        </w:rPr>
      </w:pPr>
      <w:r w:rsidRPr="00295824">
        <w:rPr>
          <w:iCs/>
          <w:sz w:val="24"/>
          <w:szCs w:val="24"/>
        </w:rPr>
        <w:br w:type="page"/>
      </w:r>
    </w:p>
    <w:p w14:paraId="658C70DF" w14:textId="4E4C45B1" w:rsidR="00295824" w:rsidRPr="00295824" w:rsidRDefault="00295824" w:rsidP="00295824">
      <w:pPr>
        <w:rPr>
          <w:b/>
          <w:iCs/>
          <w:sz w:val="28"/>
          <w:szCs w:val="28"/>
        </w:rPr>
      </w:pPr>
      <w:r w:rsidRPr="00295824">
        <w:rPr>
          <w:b/>
          <w:iCs/>
          <w:sz w:val="28"/>
          <w:szCs w:val="28"/>
        </w:rPr>
        <w:lastRenderedPageBreak/>
        <w:t>Table 3: Secondary outcomes at 6 and 12 months</w:t>
      </w:r>
      <w:r w:rsidR="009E3404">
        <w:rPr>
          <w:b/>
          <w:iCs/>
          <w:sz w:val="28"/>
          <w:szCs w:val="28"/>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275"/>
        <w:gridCol w:w="681"/>
        <w:gridCol w:w="1984"/>
        <w:gridCol w:w="1985"/>
        <w:gridCol w:w="1843"/>
        <w:gridCol w:w="850"/>
      </w:tblGrid>
      <w:tr w:rsidR="00295824" w:rsidRPr="00295824" w14:paraId="67E46701" w14:textId="77777777" w:rsidTr="00B87ACC">
        <w:trPr>
          <w:trHeight w:val="317"/>
        </w:trPr>
        <w:tc>
          <w:tcPr>
            <w:tcW w:w="2722" w:type="dxa"/>
            <w:gridSpan w:val="2"/>
            <w:tcBorders>
              <w:bottom w:val="nil"/>
              <w:right w:val="nil"/>
            </w:tcBorders>
          </w:tcPr>
          <w:p w14:paraId="57D2FF44" w14:textId="77777777" w:rsidR="00295824" w:rsidRPr="00295824" w:rsidRDefault="00295824" w:rsidP="00295824">
            <w:pPr>
              <w:keepNext/>
              <w:keepLines/>
              <w:widowControl w:val="0"/>
              <w:spacing w:after="0" w:line="240" w:lineRule="auto"/>
              <w:ind w:right="-57"/>
              <w:rPr>
                <w:rFonts w:asciiTheme="majorHAnsi" w:eastAsia="Times New Roman" w:hAnsiTheme="majorHAnsi" w:cs="Times New Roman"/>
              </w:rPr>
            </w:pPr>
          </w:p>
        </w:tc>
        <w:tc>
          <w:tcPr>
            <w:tcW w:w="681" w:type="dxa"/>
            <w:tcBorders>
              <w:left w:val="nil"/>
              <w:bottom w:val="nil"/>
            </w:tcBorders>
            <w:vAlign w:val="bottom"/>
          </w:tcPr>
          <w:p w14:paraId="5497AEE4" w14:textId="77777777" w:rsidR="00295824" w:rsidRPr="00295824" w:rsidRDefault="00295824" w:rsidP="00295824">
            <w:pPr>
              <w:keepNext/>
              <w:keepLines/>
              <w:widowControl w:val="0"/>
              <w:spacing w:after="0" w:line="240" w:lineRule="auto"/>
              <w:ind w:left="-57" w:right="-57"/>
              <w:jc w:val="right"/>
              <w:rPr>
                <w:rFonts w:asciiTheme="majorHAnsi" w:eastAsia="Times New Roman" w:hAnsiTheme="majorHAnsi" w:cs="Times New Roman"/>
                <w:b/>
                <w:bCs/>
              </w:rPr>
            </w:pPr>
          </w:p>
        </w:tc>
        <w:tc>
          <w:tcPr>
            <w:tcW w:w="3969" w:type="dxa"/>
            <w:gridSpan w:val="2"/>
          </w:tcPr>
          <w:p w14:paraId="5A1D3CD7" w14:textId="77777777" w:rsidR="00295824" w:rsidRPr="00295824" w:rsidRDefault="00295824" w:rsidP="00295824">
            <w:pPr>
              <w:spacing w:after="0" w:line="240" w:lineRule="auto"/>
              <w:jc w:val="center"/>
              <w:rPr>
                <w:rFonts w:eastAsia="Times New Roman" w:cs="Times New Roman"/>
                <w:b/>
              </w:rPr>
            </w:pPr>
            <w:r w:rsidRPr="00295824">
              <w:rPr>
                <w:rFonts w:eastAsia="Times New Roman" w:cs="Times New Roman"/>
                <w:b/>
              </w:rPr>
              <w:t>mean (SD, n)</w:t>
            </w:r>
          </w:p>
        </w:tc>
        <w:tc>
          <w:tcPr>
            <w:tcW w:w="1843" w:type="dxa"/>
            <w:vMerge w:val="restart"/>
          </w:tcPr>
          <w:p w14:paraId="2EB3E00B" w14:textId="77777777" w:rsidR="00295824" w:rsidRPr="00295824" w:rsidRDefault="00295824" w:rsidP="00295824">
            <w:pPr>
              <w:spacing w:after="0" w:line="240" w:lineRule="auto"/>
              <w:ind w:left="-57" w:right="-57"/>
              <w:jc w:val="center"/>
              <w:rPr>
                <w:rFonts w:eastAsia="Times New Roman" w:cs="Times New Roman"/>
                <w:b/>
              </w:rPr>
            </w:pPr>
            <w:r w:rsidRPr="00295824">
              <w:rPr>
                <w:rFonts w:eastAsia="Times New Roman" w:cs="Times New Roman"/>
                <w:b/>
              </w:rPr>
              <w:t>mean difference (PDSAFE -Control)</w:t>
            </w:r>
          </w:p>
          <w:p w14:paraId="45A6DAF7" w14:textId="77777777" w:rsidR="00295824" w:rsidRPr="00295824" w:rsidRDefault="00295824" w:rsidP="00295824">
            <w:pPr>
              <w:keepNext/>
              <w:keepLines/>
              <w:widowControl w:val="0"/>
              <w:spacing w:after="0" w:line="240" w:lineRule="auto"/>
              <w:ind w:left="-57" w:right="-57"/>
              <w:jc w:val="center"/>
              <w:rPr>
                <w:rFonts w:eastAsia="Times New Roman" w:cs="Times New Roman"/>
                <w:b/>
              </w:rPr>
            </w:pPr>
            <w:r w:rsidRPr="00295824">
              <w:rPr>
                <w:rFonts w:eastAsia="Times New Roman" w:cs="Times New Roman"/>
                <w:b/>
              </w:rPr>
              <w:t>(95% CI)*</w:t>
            </w:r>
          </w:p>
        </w:tc>
        <w:tc>
          <w:tcPr>
            <w:tcW w:w="850" w:type="dxa"/>
            <w:vMerge w:val="restart"/>
            <w:vAlign w:val="bottom"/>
          </w:tcPr>
          <w:p w14:paraId="2D2B0ED2" w14:textId="77777777" w:rsidR="00295824" w:rsidRPr="00295824" w:rsidRDefault="00295824" w:rsidP="00295824">
            <w:pPr>
              <w:keepNext/>
              <w:keepLines/>
              <w:widowControl w:val="0"/>
              <w:spacing w:after="0" w:line="240" w:lineRule="auto"/>
              <w:jc w:val="center"/>
              <w:rPr>
                <w:rFonts w:eastAsia="Times New Roman" w:cs="Times New Roman"/>
                <w:b/>
              </w:rPr>
            </w:pPr>
            <w:r w:rsidRPr="00295824">
              <w:rPr>
                <w:rFonts w:eastAsia="Times New Roman" w:cs="Times New Roman"/>
                <w:b/>
              </w:rPr>
              <w:t>P*</w:t>
            </w:r>
          </w:p>
        </w:tc>
      </w:tr>
      <w:tr w:rsidR="00295824" w:rsidRPr="00295824" w14:paraId="57C2C9A8" w14:textId="77777777" w:rsidTr="00B87ACC">
        <w:trPr>
          <w:trHeight w:val="406"/>
        </w:trPr>
        <w:tc>
          <w:tcPr>
            <w:tcW w:w="1447" w:type="dxa"/>
            <w:tcBorders>
              <w:top w:val="nil"/>
              <w:right w:val="nil"/>
            </w:tcBorders>
          </w:tcPr>
          <w:p w14:paraId="40506D9A" w14:textId="77777777" w:rsidR="00295824" w:rsidRPr="00295824" w:rsidRDefault="00295824" w:rsidP="00295824">
            <w:pPr>
              <w:keepNext/>
              <w:keepLines/>
              <w:widowControl w:val="0"/>
              <w:spacing w:after="0" w:line="240" w:lineRule="auto"/>
              <w:ind w:left="-57" w:right="-57"/>
              <w:rPr>
                <w:rFonts w:asciiTheme="majorHAnsi" w:eastAsia="Times New Roman" w:hAnsiTheme="majorHAnsi" w:cs="Times New Roman"/>
              </w:rPr>
            </w:pPr>
          </w:p>
        </w:tc>
        <w:tc>
          <w:tcPr>
            <w:tcW w:w="1956" w:type="dxa"/>
            <w:gridSpan w:val="2"/>
            <w:tcBorders>
              <w:top w:val="nil"/>
              <w:left w:val="nil"/>
              <w:bottom w:val="single" w:sz="4" w:space="0" w:color="auto"/>
            </w:tcBorders>
            <w:vAlign w:val="bottom"/>
          </w:tcPr>
          <w:p w14:paraId="6889776C" w14:textId="77777777" w:rsidR="00295824" w:rsidRPr="00295824" w:rsidRDefault="00295824" w:rsidP="00295824">
            <w:pPr>
              <w:keepNext/>
              <w:keepLines/>
              <w:widowControl w:val="0"/>
              <w:spacing w:after="0" w:line="240" w:lineRule="auto"/>
              <w:ind w:left="-57" w:right="-57"/>
              <w:jc w:val="right"/>
              <w:rPr>
                <w:rFonts w:asciiTheme="majorHAnsi" w:eastAsia="Times New Roman" w:hAnsiTheme="majorHAnsi" w:cs="Times New Roman"/>
                <w:b/>
                <w:bCs/>
              </w:rPr>
            </w:pPr>
            <w:r w:rsidRPr="00295824">
              <w:rPr>
                <w:rFonts w:asciiTheme="majorHAnsi" w:eastAsia="Times New Roman" w:hAnsiTheme="majorHAnsi" w:cs="Times New Roman"/>
                <w:b/>
                <w:bCs/>
              </w:rPr>
              <w:t>visit</w:t>
            </w:r>
          </w:p>
        </w:tc>
        <w:tc>
          <w:tcPr>
            <w:tcW w:w="1984" w:type="dxa"/>
            <w:vAlign w:val="bottom"/>
          </w:tcPr>
          <w:p w14:paraId="7CB75933" w14:textId="77777777" w:rsidR="00295824" w:rsidRPr="00DE1978" w:rsidRDefault="00295824" w:rsidP="00295824">
            <w:pPr>
              <w:spacing w:after="0" w:line="240" w:lineRule="auto"/>
              <w:jc w:val="center"/>
              <w:rPr>
                <w:rFonts w:eastAsia="Times New Roman" w:cs="Times New Roman"/>
                <w:b/>
              </w:rPr>
            </w:pPr>
            <w:r w:rsidRPr="00DE1978">
              <w:rPr>
                <w:rFonts w:eastAsia="Times New Roman" w:cs="Times New Roman"/>
                <w:b/>
              </w:rPr>
              <w:t>PDSAFE</w:t>
            </w:r>
          </w:p>
          <w:p w14:paraId="20E5FA1B" w14:textId="77777777" w:rsidR="00295824" w:rsidRPr="00295824" w:rsidRDefault="00295824" w:rsidP="00295824">
            <w:pPr>
              <w:keepNext/>
              <w:keepLines/>
              <w:widowControl w:val="0"/>
              <w:spacing w:after="0" w:line="240" w:lineRule="auto"/>
              <w:jc w:val="center"/>
              <w:rPr>
                <w:rFonts w:asciiTheme="majorHAnsi" w:eastAsia="Times New Roman" w:hAnsiTheme="majorHAnsi" w:cs="Times New Roman"/>
                <w:b/>
              </w:rPr>
            </w:pPr>
            <w:r w:rsidRPr="00DE1978">
              <w:rPr>
                <w:rFonts w:eastAsia="Times New Roman" w:cs="Times New Roman"/>
                <w:b/>
              </w:rPr>
              <w:t>(n=238)</w:t>
            </w:r>
          </w:p>
        </w:tc>
        <w:tc>
          <w:tcPr>
            <w:tcW w:w="1985" w:type="dxa"/>
            <w:vAlign w:val="bottom"/>
          </w:tcPr>
          <w:p w14:paraId="31B8ABF6" w14:textId="77777777" w:rsidR="00295824" w:rsidRPr="00DE1978" w:rsidRDefault="00295824" w:rsidP="00295824">
            <w:pPr>
              <w:spacing w:after="0" w:line="240" w:lineRule="auto"/>
              <w:jc w:val="center"/>
              <w:rPr>
                <w:rFonts w:eastAsia="Times New Roman" w:cs="Times New Roman"/>
                <w:b/>
              </w:rPr>
            </w:pPr>
            <w:r w:rsidRPr="00DE1978">
              <w:rPr>
                <w:rFonts w:eastAsia="Times New Roman" w:cs="Times New Roman"/>
                <w:b/>
              </w:rPr>
              <w:t>Control</w:t>
            </w:r>
          </w:p>
          <w:p w14:paraId="14A9C128" w14:textId="77777777" w:rsidR="00295824" w:rsidRPr="00295824" w:rsidRDefault="00295824" w:rsidP="00295824">
            <w:pPr>
              <w:keepNext/>
              <w:keepLines/>
              <w:widowControl w:val="0"/>
              <w:spacing w:after="0" w:line="240" w:lineRule="auto"/>
              <w:jc w:val="center"/>
              <w:rPr>
                <w:rFonts w:asciiTheme="majorHAnsi" w:eastAsia="Times New Roman" w:hAnsiTheme="majorHAnsi" w:cs="Times New Roman"/>
                <w:b/>
              </w:rPr>
            </w:pPr>
            <w:r w:rsidRPr="00DE1978">
              <w:rPr>
                <w:rFonts w:eastAsia="Times New Roman" w:cs="Times New Roman"/>
                <w:b/>
              </w:rPr>
              <w:t>(n=236)</w:t>
            </w:r>
          </w:p>
        </w:tc>
        <w:tc>
          <w:tcPr>
            <w:tcW w:w="1843" w:type="dxa"/>
            <w:vMerge/>
          </w:tcPr>
          <w:p w14:paraId="4F63C544" w14:textId="77777777" w:rsidR="00295824" w:rsidRPr="00295824" w:rsidRDefault="00295824" w:rsidP="00295824">
            <w:pPr>
              <w:spacing w:after="0" w:line="240" w:lineRule="auto"/>
              <w:jc w:val="center"/>
              <w:rPr>
                <w:rFonts w:asciiTheme="majorHAnsi" w:eastAsia="Times New Roman" w:hAnsiTheme="majorHAnsi" w:cs="Times New Roman"/>
                <w:b/>
              </w:rPr>
            </w:pPr>
          </w:p>
        </w:tc>
        <w:tc>
          <w:tcPr>
            <w:tcW w:w="850" w:type="dxa"/>
            <w:vMerge/>
          </w:tcPr>
          <w:p w14:paraId="4193A236" w14:textId="77777777" w:rsidR="00295824" w:rsidRPr="00295824" w:rsidRDefault="00295824" w:rsidP="00295824">
            <w:pPr>
              <w:spacing w:after="0" w:line="240" w:lineRule="auto"/>
              <w:jc w:val="center"/>
              <w:rPr>
                <w:rFonts w:asciiTheme="majorHAnsi" w:eastAsia="Times New Roman" w:hAnsiTheme="majorHAnsi" w:cs="Times New Roman"/>
                <w:b/>
              </w:rPr>
            </w:pPr>
          </w:p>
        </w:tc>
      </w:tr>
      <w:tr w:rsidR="00295824" w:rsidRPr="00295824" w14:paraId="37B6100D" w14:textId="77777777" w:rsidTr="00B87ACC">
        <w:tc>
          <w:tcPr>
            <w:tcW w:w="1447" w:type="dxa"/>
            <w:vMerge w:val="restart"/>
            <w:tcBorders>
              <w:right w:val="single" w:sz="4" w:space="0" w:color="auto"/>
            </w:tcBorders>
          </w:tcPr>
          <w:p w14:paraId="66BF1C47" w14:textId="77777777" w:rsidR="00295824" w:rsidRPr="00295824" w:rsidRDefault="00295824" w:rsidP="00295824">
            <w:pPr>
              <w:keepNext/>
              <w:keepLines/>
              <w:widowControl w:val="0"/>
              <w:spacing w:before="20" w:after="20" w:line="240" w:lineRule="auto"/>
              <w:ind w:right="-57"/>
              <w:rPr>
                <w:rFonts w:cstheme="majorBidi"/>
                <w:b/>
                <w:bCs/>
              </w:rPr>
            </w:pPr>
            <w:r w:rsidRPr="00295824">
              <w:rPr>
                <w:rFonts w:cstheme="majorBidi"/>
                <w:b/>
                <w:bCs/>
              </w:rPr>
              <w:t>MiniBESTest</w:t>
            </w:r>
          </w:p>
          <w:p w14:paraId="4CACBF5C" w14:textId="77777777" w:rsidR="00295824" w:rsidRPr="00295824" w:rsidRDefault="00295824" w:rsidP="00295824">
            <w:pPr>
              <w:keepNext/>
              <w:keepLines/>
              <w:widowControl w:val="0"/>
              <w:spacing w:before="20" w:after="20" w:line="240" w:lineRule="auto"/>
              <w:ind w:right="-57"/>
              <w:rPr>
                <w:rFonts w:eastAsia="Times New Roman" w:cs="Times New Roman"/>
                <w:b/>
                <w:bCs/>
              </w:rPr>
            </w:pPr>
            <w:r w:rsidRPr="00295824">
              <w:rPr>
                <w:rFonts w:cstheme="majorBidi"/>
                <w:b/>
                <w:bCs/>
              </w:rPr>
              <w:t>(0-28, lower values worse)</w:t>
            </w:r>
          </w:p>
          <w:p w14:paraId="1A361806" w14:textId="77777777" w:rsidR="00295824" w:rsidRPr="00295824" w:rsidRDefault="00295824" w:rsidP="00295824">
            <w:pPr>
              <w:keepNext/>
              <w:keepLines/>
              <w:widowControl w:val="0"/>
              <w:spacing w:before="20" w:after="20" w:line="240" w:lineRule="auto"/>
              <w:ind w:right="-57"/>
              <w:rPr>
                <w:rFonts w:eastAsia="Times New Roman" w:cs="Times New Roman"/>
                <w:b/>
                <w:bCs/>
              </w:rPr>
            </w:pPr>
          </w:p>
        </w:tc>
        <w:tc>
          <w:tcPr>
            <w:tcW w:w="1956" w:type="dxa"/>
            <w:gridSpan w:val="2"/>
            <w:tcBorders>
              <w:left w:val="single" w:sz="4" w:space="0" w:color="auto"/>
              <w:bottom w:val="single" w:sz="4" w:space="0" w:color="auto"/>
            </w:tcBorders>
          </w:tcPr>
          <w:p w14:paraId="28444B5D"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**baseline</w:t>
            </w:r>
          </w:p>
          <w:p w14:paraId="5F0BF691"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6 months</w:t>
            </w:r>
          </w:p>
          <w:p w14:paraId="68FEF2F6"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6 months-baseline</w:t>
            </w:r>
          </w:p>
        </w:tc>
        <w:tc>
          <w:tcPr>
            <w:tcW w:w="1984" w:type="dxa"/>
          </w:tcPr>
          <w:p w14:paraId="17BBC2DA" w14:textId="77777777" w:rsidR="00295824" w:rsidRPr="00295824" w:rsidRDefault="00295824" w:rsidP="00295824">
            <w:pPr>
              <w:keepNext/>
              <w:keepLines/>
              <w:widowControl w:val="0"/>
              <w:spacing w:before="20" w:after="20" w:line="240" w:lineRule="auto"/>
              <w:ind w:right="-57"/>
              <w:jc w:val="center"/>
              <w:rPr>
                <w:rFonts w:cs="Arial"/>
                <w:color w:val="010205"/>
              </w:rPr>
            </w:pPr>
            <w:r w:rsidRPr="00295824">
              <w:rPr>
                <w:rFonts w:cs="Arial"/>
                <w:color w:val="010205"/>
              </w:rPr>
              <w:t>18.3 (5.7, n=183)</w:t>
            </w:r>
          </w:p>
          <w:p w14:paraId="192EE5DC" w14:textId="77777777" w:rsidR="00295824" w:rsidRPr="00295824" w:rsidRDefault="00295824" w:rsidP="00295824">
            <w:pPr>
              <w:keepNext/>
              <w:keepLines/>
              <w:widowControl w:val="0"/>
              <w:spacing w:before="20" w:after="20" w:line="240" w:lineRule="auto"/>
              <w:ind w:right="-57"/>
              <w:jc w:val="center"/>
              <w:rPr>
                <w:rFonts w:cs="Arial"/>
                <w:color w:val="010205"/>
              </w:rPr>
            </w:pPr>
            <w:r w:rsidRPr="00295824">
              <w:rPr>
                <w:rFonts w:cs="Arial"/>
                <w:color w:val="010205"/>
              </w:rPr>
              <w:t>19.4 (5.9, n=183)</w:t>
            </w:r>
          </w:p>
          <w:p w14:paraId="3734F965"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cs="Arial"/>
                <w:color w:val="010205"/>
              </w:rPr>
              <w:t>1.1 (3.8, n=183)</w:t>
            </w:r>
          </w:p>
        </w:tc>
        <w:tc>
          <w:tcPr>
            <w:tcW w:w="1985" w:type="dxa"/>
          </w:tcPr>
          <w:p w14:paraId="065074AE" w14:textId="77777777" w:rsidR="00295824" w:rsidRPr="00295824" w:rsidRDefault="00295824" w:rsidP="00295824">
            <w:pPr>
              <w:keepNext/>
              <w:keepLines/>
              <w:widowControl w:val="0"/>
              <w:spacing w:before="20" w:after="20" w:line="240" w:lineRule="auto"/>
              <w:ind w:right="-57"/>
              <w:jc w:val="center"/>
              <w:rPr>
                <w:rFonts w:cs="Arial"/>
                <w:color w:val="010205"/>
              </w:rPr>
            </w:pPr>
            <w:r w:rsidRPr="00295824">
              <w:rPr>
                <w:rFonts w:cs="Arial"/>
                <w:color w:val="010205"/>
              </w:rPr>
              <w:t>17.3 (6.1, n=211)</w:t>
            </w:r>
          </w:p>
          <w:p w14:paraId="5798FAA5" w14:textId="77777777" w:rsidR="00295824" w:rsidRPr="00295824" w:rsidRDefault="00295824" w:rsidP="00295824">
            <w:pPr>
              <w:keepNext/>
              <w:keepLines/>
              <w:widowControl w:val="0"/>
              <w:spacing w:before="20" w:after="20" w:line="240" w:lineRule="auto"/>
              <w:ind w:right="-57"/>
              <w:jc w:val="center"/>
              <w:rPr>
                <w:rFonts w:cs="Arial"/>
                <w:color w:val="010205"/>
              </w:rPr>
            </w:pPr>
            <w:r w:rsidRPr="00295824">
              <w:rPr>
                <w:rFonts w:cs="Arial"/>
                <w:color w:val="010205"/>
              </w:rPr>
              <w:t>17.5 (6.4, n=211)</w:t>
            </w:r>
          </w:p>
          <w:p w14:paraId="22D47811"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cs="Arial"/>
                <w:color w:val="010205"/>
              </w:rPr>
              <w:t>0.2 (3.8, n=211)</w:t>
            </w:r>
          </w:p>
        </w:tc>
        <w:tc>
          <w:tcPr>
            <w:tcW w:w="1843" w:type="dxa"/>
          </w:tcPr>
          <w:p w14:paraId="4C0EDBC6"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71120C39"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5C6BE9FB"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0.95 (0.24, 1.67)</w:t>
            </w:r>
          </w:p>
        </w:tc>
        <w:tc>
          <w:tcPr>
            <w:tcW w:w="850" w:type="dxa"/>
          </w:tcPr>
          <w:p w14:paraId="32FC2504"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0E24D456"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35F29E77"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0.009</w:t>
            </w:r>
          </w:p>
        </w:tc>
      </w:tr>
      <w:tr w:rsidR="00295824" w:rsidRPr="00295824" w14:paraId="722D3EDF" w14:textId="77777777" w:rsidTr="00B87ACC">
        <w:tc>
          <w:tcPr>
            <w:tcW w:w="1447" w:type="dxa"/>
            <w:vMerge/>
            <w:tcBorders>
              <w:right w:val="single" w:sz="4" w:space="0" w:color="auto"/>
            </w:tcBorders>
          </w:tcPr>
          <w:p w14:paraId="5E928DE0" w14:textId="77777777" w:rsidR="00295824" w:rsidRPr="00295824" w:rsidRDefault="00295824" w:rsidP="00295824">
            <w:pPr>
              <w:keepNext/>
              <w:keepLines/>
              <w:widowControl w:val="0"/>
              <w:spacing w:before="20" w:after="20" w:line="240" w:lineRule="auto"/>
              <w:ind w:right="-57"/>
              <w:rPr>
                <w:rFonts w:eastAsia="Times New Roman" w:cs="Times New Roman"/>
                <w:b/>
                <w:bCs/>
              </w:rPr>
            </w:pPr>
          </w:p>
        </w:tc>
        <w:tc>
          <w:tcPr>
            <w:tcW w:w="1956" w:type="dxa"/>
            <w:gridSpan w:val="2"/>
            <w:tcBorders>
              <w:left w:val="single" w:sz="4" w:space="0" w:color="auto"/>
            </w:tcBorders>
          </w:tcPr>
          <w:p w14:paraId="3759AB55"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***baseline</w:t>
            </w:r>
          </w:p>
          <w:p w14:paraId="060EB75F"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12 months</w:t>
            </w:r>
          </w:p>
          <w:p w14:paraId="7D9D62AB"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12 months-baseline</w:t>
            </w:r>
          </w:p>
        </w:tc>
        <w:tc>
          <w:tcPr>
            <w:tcW w:w="1984" w:type="dxa"/>
          </w:tcPr>
          <w:p w14:paraId="19DF2BF1" w14:textId="77777777" w:rsidR="00295824" w:rsidRPr="00295824" w:rsidRDefault="00295824" w:rsidP="00295824">
            <w:pPr>
              <w:keepNext/>
              <w:keepLines/>
              <w:widowControl w:val="0"/>
              <w:spacing w:before="20" w:after="20" w:line="240" w:lineRule="auto"/>
              <w:ind w:right="-57"/>
              <w:jc w:val="center"/>
              <w:rPr>
                <w:rFonts w:cs="Arial"/>
                <w:color w:val="010205"/>
              </w:rPr>
            </w:pPr>
            <w:r w:rsidRPr="00295824">
              <w:rPr>
                <w:rFonts w:cs="Arial"/>
                <w:color w:val="010205"/>
              </w:rPr>
              <w:t>18.5 (5.8, n=115)</w:t>
            </w:r>
          </w:p>
          <w:p w14:paraId="21A56CBB" w14:textId="77777777" w:rsidR="00295824" w:rsidRPr="00295824" w:rsidRDefault="00295824" w:rsidP="00295824">
            <w:pPr>
              <w:keepNext/>
              <w:keepLines/>
              <w:widowControl w:val="0"/>
              <w:spacing w:before="20" w:after="20" w:line="240" w:lineRule="auto"/>
              <w:ind w:right="-57"/>
              <w:jc w:val="center"/>
              <w:rPr>
                <w:rFonts w:cs="Arial"/>
                <w:color w:val="010205"/>
              </w:rPr>
            </w:pPr>
            <w:r w:rsidRPr="00295824">
              <w:rPr>
                <w:rFonts w:cs="Arial"/>
                <w:color w:val="010205"/>
              </w:rPr>
              <w:t>17.9 (6.5, n=115)</w:t>
            </w:r>
          </w:p>
          <w:p w14:paraId="624913E7" w14:textId="77777777" w:rsidR="00295824" w:rsidRPr="00295824" w:rsidRDefault="00295824" w:rsidP="00295824">
            <w:pPr>
              <w:keepNext/>
              <w:keepLines/>
              <w:widowControl w:val="0"/>
              <w:spacing w:before="20" w:after="20" w:line="240" w:lineRule="auto"/>
              <w:ind w:right="-57"/>
              <w:jc w:val="center"/>
              <w:rPr>
                <w:rFonts w:cs="Arial"/>
                <w:color w:val="010205"/>
              </w:rPr>
            </w:pPr>
            <w:r w:rsidRPr="00295824">
              <w:rPr>
                <w:rFonts w:cs="Arial"/>
                <w:color w:val="010205"/>
              </w:rPr>
              <w:t>-0.7 (4.5, n=115 )</w:t>
            </w:r>
          </w:p>
        </w:tc>
        <w:tc>
          <w:tcPr>
            <w:tcW w:w="1985" w:type="dxa"/>
          </w:tcPr>
          <w:p w14:paraId="288D7A2F" w14:textId="77777777" w:rsidR="00295824" w:rsidRPr="00295824" w:rsidRDefault="00295824" w:rsidP="00295824">
            <w:pPr>
              <w:keepNext/>
              <w:keepLines/>
              <w:widowControl w:val="0"/>
              <w:spacing w:before="20" w:after="20" w:line="240" w:lineRule="auto"/>
              <w:ind w:right="-57"/>
              <w:jc w:val="center"/>
              <w:rPr>
                <w:rFonts w:cs="Arial"/>
                <w:color w:val="010205"/>
              </w:rPr>
            </w:pPr>
            <w:r w:rsidRPr="00295824">
              <w:rPr>
                <w:rFonts w:cs="Arial"/>
                <w:color w:val="010205"/>
              </w:rPr>
              <w:t>17.5 (6.1, n=126)</w:t>
            </w:r>
          </w:p>
          <w:p w14:paraId="56951AD0" w14:textId="77777777" w:rsidR="00295824" w:rsidRPr="00295824" w:rsidRDefault="00295824" w:rsidP="00295824">
            <w:pPr>
              <w:keepNext/>
              <w:keepLines/>
              <w:widowControl w:val="0"/>
              <w:spacing w:before="20" w:after="20" w:line="240" w:lineRule="auto"/>
              <w:ind w:right="-57"/>
              <w:jc w:val="center"/>
              <w:rPr>
                <w:rFonts w:cs="Arial"/>
                <w:color w:val="010205"/>
              </w:rPr>
            </w:pPr>
            <w:r w:rsidRPr="00295824">
              <w:rPr>
                <w:rFonts w:cs="Arial"/>
                <w:color w:val="010205"/>
              </w:rPr>
              <w:t>17.4 (6.7, n=126)</w:t>
            </w:r>
          </w:p>
          <w:p w14:paraId="3132912E" w14:textId="77777777" w:rsidR="00295824" w:rsidRPr="00295824" w:rsidRDefault="00295824" w:rsidP="00295824">
            <w:pPr>
              <w:keepNext/>
              <w:keepLines/>
              <w:widowControl w:val="0"/>
              <w:spacing w:before="20" w:after="20" w:line="240" w:lineRule="auto"/>
              <w:ind w:right="-57"/>
              <w:jc w:val="center"/>
              <w:rPr>
                <w:rFonts w:cs="Arial"/>
                <w:color w:val="010205"/>
              </w:rPr>
            </w:pPr>
            <w:r w:rsidRPr="00295824">
              <w:rPr>
                <w:rFonts w:cs="Arial"/>
                <w:color w:val="010205"/>
              </w:rPr>
              <w:t>-0.2 (3.8, n=126)</w:t>
            </w:r>
          </w:p>
        </w:tc>
        <w:tc>
          <w:tcPr>
            <w:tcW w:w="1843" w:type="dxa"/>
          </w:tcPr>
          <w:p w14:paraId="7BF84F99"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0012A223"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65E2CE70"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-0.41 (-1.48, 0.66)</w:t>
            </w:r>
          </w:p>
        </w:tc>
        <w:tc>
          <w:tcPr>
            <w:tcW w:w="850" w:type="dxa"/>
          </w:tcPr>
          <w:p w14:paraId="49168198"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7F7682B3"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00810F1B"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0.449</w:t>
            </w:r>
          </w:p>
        </w:tc>
      </w:tr>
      <w:tr w:rsidR="00295824" w:rsidRPr="00295824" w14:paraId="105B0D35" w14:textId="77777777" w:rsidTr="00B87ACC">
        <w:tc>
          <w:tcPr>
            <w:tcW w:w="1447" w:type="dxa"/>
            <w:vMerge w:val="restart"/>
            <w:tcBorders>
              <w:right w:val="single" w:sz="4" w:space="0" w:color="auto"/>
            </w:tcBorders>
          </w:tcPr>
          <w:p w14:paraId="4CD1D677" w14:textId="77777777" w:rsidR="00295824" w:rsidRPr="00295824" w:rsidRDefault="00295824" w:rsidP="00295824">
            <w:pPr>
              <w:keepNext/>
              <w:keepLines/>
              <w:widowControl w:val="0"/>
              <w:spacing w:before="20" w:after="20" w:line="240" w:lineRule="auto"/>
              <w:ind w:right="-57"/>
              <w:rPr>
                <w:rFonts w:eastAsia="Times New Roman" w:cs="Times New Roman"/>
                <w:b/>
              </w:rPr>
            </w:pPr>
            <w:r w:rsidRPr="00295824">
              <w:rPr>
                <w:rFonts w:eastAsia="Times New Roman" w:cs="Times New Roman"/>
                <w:b/>
              </w:rPr>
              <w:t>FES-I</w:t>
            </w:r>
          </w:p>
          <w:p w14:paraId="291D765D" w14:textId="77777777" w:rsidR="00295824" w:rsidRPr="00295824" w:rsidRDefault="00295824" w:rsidP="00295824">
            <w:pPr>
              <w:keepNext/>
              <w:keepLines/>
              <w:widowControl w:val="0"/>
              <w:spacing w:before="20" w:after="20" w:line="240" w:lineRule="auto"/>
              <w:ind w:right="-57"/>
              <w:rPr>
                <w:rFonts w:eastAsia="Times New Roman" w:cs="Times New Roman"/>
                <w:b/>
              </w:rPr>
            </w:pPr>
            <w:r w:rsidRPr="00295824">
              <w:rPr>
                <w:rFonts w:eastAsia="Times New Roman" w:cs="Times New Roman"/>
                <w:b/>
              </w:rPr>
              <w:t>(16-64, higher values worse)</w:t>
            </w:r>
          </w:p>
        </w:tc>
        <w:tc>
          <w:tcPr>
            <w:tcW w:w="1956" w:type="dxa"/>
            <w:gridSpan w:val="2"/>
            <w:tcBorders>
              <w:left w:val="single" w:sz="4" w:space="0" w:color="auto"/>
            </w:tcBorders>
          </w:tcPr>
          <w:p w14:paraId="6A528D2C"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**baseline</w:t>
            </w:r>
          </w:p>
          <w:p w14:paraId="7BFEC472"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6 months</w:t>
            </w:r>
          </w:p>
          <w:p w14:paraId="77C34617"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6 months-baseline</w:t>
            </w:r>
          </w:p>
        </w:tc>
        <w:tc>
          <w:tcPr>
            <w:tcW w:w="1984" w:type="dxa"/>
          </w:tcPr>
          <w:p w14:paraId="1964EA27"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cs="Arial"/>
                <w:color w:val="010205"/>
              </w:rPr>
              <w:t>34.1</w:t>
            </w:r>
            <w:r w:rsidRPr="00295824">
              <w:rPr>
                <w:rFonts w:eastAsia="Times New Roman" w:cs="Times New Roman"/>
              </w:rPr>
              <w:t xml:space="preserve"> (</w:t>
            </w:r>
            <w:r w:rsidRPr="00295824">
              <w:rPr>
                <w:rFonts w:cs="Arial"/>
                <w:color w:val="010205"/>
              </w:rPr>
              <w:t>11.0</w:t>
            </w:r>
            <w:r w:rsidRPr="00295824">
              <w:rPr>
                <w:rFonts w:eastAsia="Times New Roman" w:cs="Times New Roman"/>
              </w:rPr>
              <w:t>, n=</w:t>
            </w:r>
            <w:r w:rsidRPr="00295824">
              <w:rPr>
                <w:rFonts w:cs="Arial"/>
                <w:color w:val="010205"/>
              </w:rPr>
              <w:t>189</w:t>
            </w:r>
            <w:r w:rsidRPr="00295824">
              <w:rPr>
                <w:rFonts w:eastAsia="Times New Roman" w:cs="Times New Roman"/>
              </w:rPr>
              <w:t>)</w:t>
            </w:r>
          </w:p>
          <w:p w14:paraId="4F778F24"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cs="Arial"/>
                <w:color w:val="010205"/>
              </w:rPr>
              <w:t>33.4</w:t>
            </w:r>
            <w:r w:rsidRPr="00295824">
              <w:rPr>
                <w:rFonts w:eastAsia="Times New Roman" w:cs="Times New Roman"/>
              </w:rPr>
              <w:t xml:space="preserve"> (</w:t>
            </w:r>
            <w:r w:rsidRPr="00295824">
              <w:rPr>
                <w:rFonts w:cs="Arial"/>
                <w:color w:val="010205"/>
              </w:rPr>
              <w:t>10.6</w:t>
            </w:r>
            <w:r w:rsidRPr="00295824">
              <w:rPr>
                <w:rFonts w:eastAsia="Times New Roman" w:cs="Times New Roman"/>
              </w:rPr>
              <w:t>, n=</w:t>
            </w:r>
            <w:r w:rsidRPr="00295824">
              <w:rPr>
                <w:rFonts w:cs="Arial"/>
                <w:color w:val="010205"/>
              </w:rPr>
              <w:t>189</w:t>
            </w:r>
            <w:r w:rsidRPr="00295824">
              <w:rPr>
                <w:rFonts w:eastAsia="Times New Roman" w:cs="Times New Roman"/>
              </w:rPr>
              <w:t>)</w:t>
            </w:r>
          </w:p>
          <w:p w14:paraId="38BB4207"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cs="Arial"/>
                <w:color w:val="010205"/>
              </w:rPr>
              <w:t>-0.7</w:t>
            </w:r>
            <w:r w:rsidRPr="00295824">
              <w:rPr>
                <w:rFonts w:eastAsia="Times New Roman" w:cs="Times New Roman"/>
              </w:rPr>
              <w:t xml:space="preserve"> (</w:t>
            </w:r>
            <w:r w:rsidRPr="00295824">
              <w:rPr>
                <w:rFonts w:cs="Arial"/>
                <w:color w:val="010205"/>
              </w:rPr>
              <w:t>7.9</w:t>
            </w:r>
            <w:r w:rsidRPr="00295824">
              <w:rPr>
                <w:rFonts w:eastAsia="Times New Roman" w:cs="Times New Roman"/>
              </w:rPr>
              <w:t>, n=</w:t>
            </w:r>
            <w:r w:rsidRPr="00295824">
              <w:rPr>
                <w:rFonts w:cs="Arial"/>
                <w:color w:val="010205"/>
              </w:rPr>
              <w:t>189</w:t>
            </w:r>
            <w:r w:rsidRPr="00295824">
              <w:rPr>
                <w:rFonts w:eastAsia="Times New Roman" w:cs="Times New Roman"/>
              </w:rPr>
              <w:t>)</w:t>
            </w:r>
          </w:p>
        </w:tc>
        <w:tc>
          <w:tcPr>
            <w:tcW w:w="1985" w:type="dxa"/>
          </w:tcPr>
          <w:p w14:paraId="02E0DA3E"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cs="Arial"/>
                <w:color w:val="010205"/>
              </w:rPr>
              <w:t>35.1</w:t>
            </w:r>
            <w:r w:rsidRPr="00295824">
              <w:rPr>
                <w:rFonts w:eastAsia="Times New Roman" w:cs="Times New Roman"/>
              </w:rPr>
              <w:t xml:space="preserve"> (</w:t>
            </w:r>
            <w:r w:rsidRPr="00295824">
              <w:rPr>
                <w:rFonts w:cs="Arial"/>
                <w:color w:val="010205"/>
              </w:rPr>
              <w:t>11.5</w:t>
            </w:r>
            <w:r w:rsidRPr="00295824">
              <w:rPr>
                <w:rFonts w:eastAsia="Times New Roman" w:cs="Times New Roman"/>
              </w:rPr>
              <w:t>, n=211)</w:t>
            </w:r>
          </w:p>
          <w:p w14:paraId="07212BE2"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cs="Arial"/>
                <w:color w:val="010205"/>
              </w:rPr>
              <w:t>36.2</w:t>
            </w:r>
            <w:r w:rsidRPr="00295824">
              <w:rPr>
                <w:rFonts w:eastAsia="Times New Roman" w:cs="Times New Roman"/>
              </w:rPr>
              <w:t xml:space="preserve"> (</w:t>
            </w:r>
            <w:r w:rsidRPr="00295824">
              <w:rPr>
                <w:rFonts w:cs="Arial"/>
                <w:color w:val="010205"/>
              </w:rPr>
              <w:t>11.4</w:t>
            </w:r>
            <w:r w:rsidRPr="00295824">
              <w:rPr>
                <w:rFonts w:eastAsia="Times New Roman" w:cs="Times New Roman"/>
              </w:rPr>
              <w:t>, n=211)</w:t>
            </w:r>
          </w:p>
          <w:p w14:paraId="1E9D28CA"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cs="Arial"/>
                <w:color w:val="010205"/>
              </w:rPr>
              <w:t>1.1</w:t>
            </w:r>
            <w:r w:rsidRPr="00295824">
              <w:rPr>
                <w:rFonts w:eastAsia="Times New Roman" w:cs="Times New Roman"/>
              </w:rPr>
              <w:t xml:space="preserve"> (</w:t>
            </w:r>
            <w:r w:rsidRPr="00295824">
              <w:rPr>
                <w:rFonts w:cs="Arial"/>
                <w:color w:val="010205"/>
              </w:rPr>
              <w:t>7.2</w:t>
            </w:r>
            <w:r w:rsidRPr="00295824">
              <w:rPr>
                <w:rFonts w:eastAsia="Times New Roman" w:cs="Times New Roman"/>
              </w:rPr>
              <w:t>, n=211)</w:t>
            </w:r>
          </w:p>
        </w:tc>
        <w:tc>
          <w:tcPr>
            <w:tcW w:w="1843" w:type="dxa"/>
          </w:tcPr>
          <w:p w14:paraId="0E3293E2"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45600CC5"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10D6C496"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-1.6 (-3.0, -0.19)</w:t>
            </w:r>
          </w:p>
        </w:tc>
        <w:tc>
          <w:tcPr>
            <w:tcW w:w="850" w:type="dxa"/>
          </w:tcPr>
          <w:p w14:paraId="1A407693"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3611B534"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60615086"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0.026</w:t>
            </w:r>
          </w:p>
        </w:tc>
      </w:tr>
      <w:tr w:rsidR="00295824" w:rsidRPr="00295824" w14:paraId="6DDB3311" w14:textId="77777777" w:rsidTr="00B87ACC">
        <w:tc>
          <w:tcPr>
            <w:tcW w:w="1447" w:type="dxa"/>
            <w:vMerge/>
            <w:tcBorders>
              <w:right w:val="single" w:sz="4" w:space="0" w:color="auto"/>
            </w:tcBorders>
          </w:tcPr>
          <w:p w14:paraId="10166CA5" w14:textId="77777777" w:rsidR="00295824" w:rsidRPr="00295824" w:rsidRDefault="00295824" w:rsidP="00295824">
            <w:pPr>
              <w:keepNext/>
              <w:keepLines/>
              <w:widowControl w:val="0"/>
              <w:spacing w:before="20" w:after="20" w:line="240" w:lineRule="auto"/>
              <w:ind w:right="-57"/>
              <w:rPr>
                <w:rFonts w:eastAsia="Times New Roman" w:cs="Times New Roman"/>
                <w:b/>
              </w:rPr>
            </w:pPr>
          </w:p>
        </w:tc>
        <w:tc>
          <w:tcPr>
            <w:tcW w:w="1956" w:type="dxa"/>
            <w:gridSpan w:val="2"/>
            <w:tcBorders>
              <w:left w:val="single" w:sz="4" w:space="0" w:color="auto"/>
            </w:tcBorders>
          </w:tcPr>
          <w:p w14:paraId="4752A6DF"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***baseline</w:t>
            </w:r>
          </w:p>
          <w:p w14:paraId="48D883F1"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12 months</w:t>
            </w:r>
          </w:p>
          <w:p w14:paraId="354A809B"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12 months-baseline</w:t>
            </w:r>
          </w:p>
        </w:tc>
        <w:tc>
          <w:tcPr>
            <w:tcW w:w="1984" w:type="dxa"/>
          </w:tcPr>
          <w:p w14:paraId="06347BCD"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cs="Arial"/>
                <w:color w:val="010205"/>
              </w:rPr>
              <w:t>33.4</w:t>
            </w:r>
            <w:r w:rsidRPr="00295824">
              <w:rPr>
                <w:rFonts w:eastAsia="Times New Roman" w:cs="Times New Roman"/>
              </w:rPr>
              <w:t xml:space="preserve"> (</w:t>
            </w:r>
            <w:r w:rsidRPr="00295824">
              <w:rPr>
                <w:rFonts w:cs="Arial"/>
                <w:color w:val="010205"/>
              </w:rPr>
              <w:t>10.7</w:t>
            </w:r>
            <w:r w:rsidRPr="00295824">
              <w:rPr>
                <w:rFonts w:eastAsia="Times New Roman" w:cs="Times New Roman"/>
              </w:rPr>
              <w:t>, n=</w:t>
            </w:r>
            <w:r w:rsidRPr="00295824">
              <w:rPr>
                <w:rFonts w:cs="Arial"/>
                <w:color w:val="010205"/>
              </w:rPr>
              <w:t>119</w:t>
            </w:r>
            <w:r w:rsidRPr="00295824">
              <w:rPr>
                <w:rFonts w:eastAsia="Times New Roman" w:cs="Times New Roman"/>
              </w:rPr>
              <w:t>)</w:t>
            </w:r>
          </w:p>
          <w:p w14:paraId="267E1182"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cs="Arial"/>
                <w:color w:val="010205"/>
              </w:rPr>
              <w:t>34.8</w:t>
            </w:r>
            <w:r w:rsidRPr="00295824">
              <w:rPr>
                <w:rFonts w:eastAsia="Times New Roman" w:cs="Times New Roman"/>
              </w:rPr>
              <w:t xml:space="preserve"> (</w:t>
            </w:r>
            <w:r w:rsidRPr="00295824">
              <w:rPr>
                <w:rFonts w:cs="Arial"/>
                <w:color w:val="010205"/>
              </w:rPr>
              <w:t>11.2</w:t>
            </w:r>
            <w:r w:rsidRPr="00295824">
              <w:rPr>
                <w:rFonts w:eastAsia="Times New Roman" w:cs="Times New Roman"/>
              </w:rPr>
              <w:t>, n=</w:t>
            </w:r>
            <w:r w:rsidRPr="00295824">
              <w:rPr>
                <w:rFonts w:cs="Arial"/>
                <w:color w:val="010205"/>
              </w:rPr>
              <w:t>119</w:t>
            </w:r>
            <w:r w:rsidRPr="00295824">
              <w:rPr>
                <w:rFonts w:eastAsia="Times New Roman" w:cs="Times New Roman"/>
              </w:rPr>
              <w:t>)</w:t>
            </w:r>
          </w:p>
          <w:p w14:paraId="4D727E3E"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cs="Arial"/>
                <w:color w:val="010205"/>
              </w:rPr>
              <w:t>1.3</w:t>
            </w:r>
            <w:r w:rsidRPr="00295824">
              <w:rPr>
                <w:rFonts w:eastAsia="Times New Roman" w:cs="Times New Roman"/>
              </w:rPr>
              <w:t xml:space="preserve"> (</w:t>
            </w:r>
            <w:r w:rsidRPr="00295824">
              <w:rPr>
                <w:rFonts w:cs="Arial"/>
                <w:color w:val="010205"/>
              </w:rPr>
              <w:t>8.2</w:t>
            </w:r>
            <w:r w:rsidRPr="00295824">
              <w:rPr>
                <w:rFonts w:eastAsia="Times New Roman" w:cs="Times New Roman"/>
              </w:rPr>
              <w:t>, n=</w:t>
            </w:r>
            <w:r w:rsidRPr="00295824">
              <w:rPr>
                <w:rFonts w:cs="Arial"/>
                <w:color w:val="010205"/>
              </w:rPr>
              <w:t>119</w:t>
            </w:r>
            <w:r w:rsidRPr="00295824">
              <w:rPr>
                <w:rFonts w:eastAsia="Times New Roman" w:cs="Times New Roman"/>
              </w:rPr>
              <w:t>)</w:t>
            </w:r>
          </w:p>
        </w:tc>
        <w:tc>
          <w:tcPr>
            <w:tcW w:w="1985" w:type="dxa"/>
          </w:tcPr>
          <w:p w14:paraId="3C61FE72"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cs="Arial"/>
                <w:color w:val="010205"/>
              </w:rPr>
              <w:t>33.7</w:t>
            </w:r>
            <w:r w:rsidRPr="00295824">
              <w:rPr>
                <w:rFonts w:eastAsia="Times New Roman" w:cs="Times New Roman"/>
              </w:rPr>
              <w:t xml:space="preserve"> (</w:t>
            </w:r>
            <w:r w:rsidRPr="00295824">
              <w:rPr>
                <w:rFonts w:cs="Arial"/>
                <w:color w:val="010205"/>
              </w:rPr>
              <w:t>11.3</w:t>
            </w:r>
            <w:r w:rsidRPr="00295824">
              <w:rPr>
                <w:rFonts w:eastAsia="Times New Roman" w:cs="Times New Roman"/>
              </w:rPr>
              <w:t>, n=</w:t>
            </w:r>
            <w:r w:rsidRPr="00295824">
              <w:rPr>
                <w:rFonts w:cs="Arial"/>
                <w:color w:val="010205"/>
              </w:rPr>
              <w:t>135</w:t>
            </w:r>
            <w:r w:rsidRPr="00295824">
              <w:rPr>
                <w:rFonts w:eastAsia="Times New Roman" w:cs="Times New Roman"/>
              </w:rPr>
              <w:t>)</w:t>
            </w:r>
          </w:p>
          <w:p w14:paraId="166B20CD"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cs="Arial"/>
                <w:color w:val="010205"/>
              </w:rPr>
              <w:t>37.2</w:t>
            </w:r>
            <w:r w:rsidRPr="00295824">
              <w:rPr>
                <w:rFonts w:eastAsia="Times New Roman" w:cs="Times New Roman"/>
              </w:rPr>
              <w:t xml:space="preserve"> (</w:t>
            </w:r>
            <w:r w:rsidRPr="00295824">
              <w:rPr>
                <w:rFonts w:cs="Arial"/>
                <w:color w:val="010205"/>
              </w:rPr>
              <w:t>11.6</w:t>
            </w:r>
            <w:r w:rsidRPr="00295824">
              <w:rPr>
                <w:rFonts w:eastAsia="Times New Roman" w:cs="Times New Roman"/>
              </w:rPr>
              <w:t>, n=</w:t>
            </w:r>
            <w:r w:rsidRPr="00295824">
              <w:rPr>
                <w:rFonts w:cs="Arial"/>
                <w:color w:val="010205"/>
              </w:rPr>
              <w:t>135</w:t>
            </w:r>
            <w:r w:rsidRPr="00295824">
              <w:rPr>
                <w:rFonts w:eastAsia="Times New Roman" w:cs="Times New Roman"/>
              </w:rPr>
              <w:t>)</w:t>
            </w:r>
          </w:p>
          <w:p w14:paraId="26D61398"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cs="Arial"/>
                <w:color w:val="010205"/>
              </w:rPr>
              <w:t>3.5</w:t>
            </w:r>
            <w:r w:rsidRPr="00295824">
              <w:rPr>
                <w:rFonts w:eastAsia="Times New Roman" w:cs="Times New Roman"/>
              </w:rPr>
              <w:t xml:space="preserve"> (</w:t>
            </w:r>
            <w:r w:rsidRPr="00295824">
              <w:rPr>
                <w:rFonts w:cs="Arial"/>
                <w:color w:val="010205"/>
              </w:rPr>
              <w:t>9.3</w:t>
            </w:r>
            <w:r w:rsidRPr="00295824">
              <w:rPr>
                <w:rFonts w:eastAsia="Times New Roman" w:cs="Times New Roman"/>
              </w:rPr>
              <w:t>, n=</w:t>
            </w:r>
            <w:r w:rsidRPr="00295824">
              <w:rPr>
                <w:rFonts w:cs="Arial"/>
                <w:color w:val="010205"/>
              </w:rPr>
              <w:t>135</w:t>
            </w:r>
            <w:r w:rsidRPr="00295824">
              <w:rPr>
                <w:rFonts w:eastAsia="Times New Roman" w:cs="Times New Roman"/>
              </w:rPr>
              <w:t>)</w:t>
            </w:r>
          </w:p>
        </w:tc>
        <w:tc>
          <w:tcPr>
            <w:tcW w:w="1843" w:type="dxa"/>
          </w:tcPr>
          <w:p w14:paraId="7DBA6DC1"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74118683"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5F62441A"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-1.4 (-3.41, 0.66)</w:t>
            </w:r>
          </w:p>
        </w:tc>
        <w:tc>
          <w:tcPr>
            <w:tcW w:w="850" w:type="dxa"/>
          </w:tcPr>
          <w:p w14:paraId="57DB84AB"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1B7D6B31"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3585ECD3"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0.184</w:t>
            </w:r>
          </w:p>
        </w:tc>
      </w:tr>
      <w:tr w:rsidR="00295824" w:rsidRPr="00295824" w14:paraId="46B425F5" w14:textId="77777777" w:rsidTr="00B87ACC">
        <w:tc>
          <w:tcPr>
            <w:tcW w:w="1447" w:type="dxa"/>
            <w:vMerge w:val="restart"/>
            <w:tcBorders>
              <w:right w:val="single" w:sz="4" w:space="0" w:color="auto"/>
            </w:tcBorders>
          </w:tcPr>
          <w:p w14:paraId="0D42F9E8" w14:textId="77777777" w:rsidR="00295824" w:rsidRPr="00295824" w:rsidRDefault="00295824" w:rsidP="00295824">
            <w:pPr>
              <w:keepNext/>
              <w:keepLines/>
              <w:widowControl w:val="0"/>
              <w:spacing w:before="20" w:after="20" w:line="240" w:lineRule="auto"/>
              <w:ind w:right="-57"/>
              <w:rPr>
                <w:rFonts w:cstheme="majorBidi"/>
                <w:b/>
                <w:bCs/>
              </w:rPr>
            </w:pPr>
            <w:r w:rsidRPr="00295824">
              <w:rPr>
                <w:rFonts w:cstheme="majorBidi"/>
                <w:b/>
                <w:bCs/>
              </w:rPr>
              <w:t>PASE</w:t>
            </w:r>
          </w:p>
          <w:p w14:paraId="5D79EDF4" w14:textId="77777777" w:rsidR="00295824" w:rsidRPr="00295824" w:rsidRDefault="00295824" w:rsidP="00295824">
            <w:pPr>
              <w:keepNext/>
              <w:keepLines/>
              <w:widowControl w:val="0"/>
              <w:spacing w:before="20" w:after="20" w:line="240" w:lineRule="auto"/>
              <w:ind w:right="-57"/>
              <w:rPr>
                <w:rFonts w:eastAsia="Times New Roman" w:cs="Times New Roman"/>
                <w:b/>
                <w:bCs/>
              </w:rPr>
            </w:pPr>
            <w:r w:rsidRPr="00295824">
              <w:rPr>
                <w:rFonts w:cstheme="majorBidi"/>
                <w:b/>
                <w:bCs/>
              </w:rPr>
              <w:t>(0-400, lower values worse)</w:t>
            </w:r>
          </w:p>
        </w:tc>
        <w:tc>
          <w:tcPr>
            <w:tcW w:w="1956" w:type="dxa"/>
            <w:gridSpan w:val="2"/>
            <w:tcBorders>
              <w:left w:val="single" w:sz="4" w:space="0" w:color="auto"/>
            </w:tcBorders>
          </w:tcPr>
          <w:p w14:paraId="29AA9E15"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**baseline</w:t>
            </w:r>
          </w:p>
          <w:p w14:paraId="117F4973"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6 months</w:t>
            </w:r>
          </w:p>
          <w:p w14:paraId="5B316EA2"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6 months-baseline</w:t>
            </w:r>
          </w:p>
        </w:tc>
        <w:tc>
          <w:tcPr>
            <w:tcW w:w="1984" w:type="dxa"/>
          </w:tcPr>
          <w:p w14:paraId="126E1CFD" w14:textId="77777777" w:rsidR="00295824" w:rsidRPr="00295824" w:rsidRDefault="00295824" w:rsidP="00295824">
            <w:pPr>
              <w:keepNext/>
              <w:keepLines/>
              <w:widowControl w:val="0"/>
              <w:tabs>
                <w:tab w:val="left" w:pos="251"/>
                <w:tab w:val="center" w:pos="700"/>
              </w:tabs>
              <w:spacing w:before="20" w:after="20" w:line="240" w:lineRule="auto"/>
              <w:ind w:right="-57"/>
              <w:jc w:val="center"/>
              <w:rPr>
                <w:rFonts w:eastAsia="Times New Roman" w:cs="Times New Roman"/>
              </w:rPr>
            </w:pPr>
            <w:r w:rsidRPr="00295824">
              <w:rPr>
                <w:rFonts w:eastAsia="Times New Roman" w:cs="Times New Roman"/>
              </w:rPr>
              <w:t>107.8 (73.5, n=153)</w:t>
            </w:r>
          </w:p>
          <w:p w14:paraId="255ACB1C" w14:textId="77777777" w:rsidR="00295824" w:rsidRPr="00295824" w:rsidRDefault="00295824" w:rsidP="00295824">
            <w:pPr>
              <w:keepNext/>
              <w:keepLines/>
              <w:widowControl w:val="0"/>
              <w:tabs>
                <w:tab w:val="left" w:pos="251"/>
                <w:tab w:val="center" w:pos="700"/>
              </w:tabs>
              <w:spacing w:before="20" w:after="20" w:line="240" w:lineRule="auto"/>
              <w:ind w:right="-57"/>
              <w:jc w:val="center"/>
              <w:rPr>
                <w:rFonts w:eastAsia="Times New Roman" w:cs="Times New Roman"/>
              </w:rPr>
            </w:pPr>
            <w:r w:rsidRPr="00295824">
              <w:rPr>
                <w:rFonts w:eastAsia="Times New Roman" w:cs="Times New Roman"/>
              </w:rPr>
              <w:t>110.2 (70.4, n=153)</w:t>
            </w:r>
          </w:p>
          <w:p w14:paraId="272EC9AA" w14:textId="77777777" w:rsidR="00295824" w:rsidRPr="00295824" w:rsidRDefault="00295824" w:rsidP="00295824">
            <w:pPr>
              <w:keepNext/>
              <w:keepLines/>
              <w:widowControl w:val="0"/>
              <w:tabs>
                <w:tab w:val="left" w:pos="251"/>
                <w:tab w:val="center" w:pos="700"/>
              </w:tabs>
              <w:spacing w:before="20" w:after="20" w:line="240" w:lineRule="auto"/>
              <w:ind w:right="-57"/>
              <w:jc w:val="center"/>
              <w:rPr>
                <w:rFonts w:eastAsia="Times New Roman" w:cs="Times New Roman"/>
              </w:rPr>
            </w:pPr>
            <w:r w:rsidRPr="00295824">
              <w:rPr>
                <w:rFonts w:eastAsia="Times New Roman" w:cs="Times New Roman"/>
              </w:rPr>
              <w:t>2.4 (50.8, n=153)</w:t>
            </w:r>
          </w:p>
        </w:tc>
        <w:tc>
          <w:tcPr>
            <w:tcW w:w="1985" w:type="dxa"/>
          </w:tcPr>
          <w:p w14:paraId="48FB4617"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100.1 (67.1, n=177)</w:t>
            </w:r>
          </w:p>
          <w:p w14:paraId="6ABCB732"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100.6 (68.0, n=177)</w:t>
            </w:r>
          </w:p>
          <w:p w14:paraId="64CCE702"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0.5 (49.5, n=177)</w:t>
            </w:r>
          </w:p>
        </w:tc>
        <w:tc>
          <w:tcPr>
            <w:tcW w:w="1843" w:type="dxa"/>
          </w:tcPr>
          <w:p w14:paraId="23C71C82"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289D6678"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3970C8C2"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-1.05 (-11.3, 9.21)</w:t>
            </w:r>
          </w:p>
        </w:tc>
        <w:tc>
          <w:tcPr>
            <w:tcW w:w="850" w:type="dxa"/>
          </w:tcPr>
          <w:p w14:paraId="36D29909"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4845D0F3"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396DDC96"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0.841</w:t>
            </w:r>
          </w:p>
        </w:tc>
      </w:tr>
      <w:tr w:rsidR="00295824" w:rsidRPr="00295824" w14:paraId="671A4BDE" w14:textId="77777777" w:rsidTr="00B87ACC">
        <w:tc>
          <w:tcPr>
            <w:tcW w:w="1447" w:type="dxa"/>
            <w:vMerge/>
            <w:tcBorders>
              <w:right w:val="single" w:sz="4" w:space="0" w:color="auto"/>
            </w:tcBorders>
          </w:tcPr>
          <w:p w14:paraId="0820FC14" w14:textId="77777777" w:rsidR="00295824" w:rsidRPr="00295824" w:rsidRDefault="00295824" w:rsidP="00295824">
            <w:pPr>
              <w:keepNext/>
              <w:keepLines/>
              <w:widowControl w:val="0"/>
              <w:spacing w:before="20" w:after="20" w:line="240" w:lineRule="auto"/>
              <w:ind w:right="-57"/>
              <w:rPr>
                <w:rFonts w:eastAsia="Times New Roman" w:cs="Times New Roman"/>
                <w:b/>
                <w:bCs/>
              </w:rPr>
            </w:pPr>
          </w:p>
        </w:tc>
        <w:tc>
          <w:tcPr>
            <w:tcW w:w="1956" w:type="dxa"/>
            <w:gridSpan w:val="2"/>
            <w:tcBorders>
              <w:left w:val="single" w:sz="4" w:space="0" w:color="auto"/>
            </w:tcBorders>
          </w:tcPr>
          <w:p w14:paraId="74733719"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***baseline</w:t>
            </w:r>
          </w:p>
          <w:p w14:paraId="03159DE4"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12 months</w:t>
            </w:r>
          </w:p>
          <w:p w14:paraId="6F56E534"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12 months-baseline</w:t>
            </w:r>
          </w:p>
        </w:tc>
        <w:tc>
          <w:tcPr>
            <w:tcW w:w="1984" w:type="dxa"/>
          </w:tcPr>
          <w:p w14:paraId="73A3F0A1"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108.1 (71.9, n=98 )</w:t>
            </w:r>
          </w:p>
          <w:p w14:paraId="73534141"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99.4 (72.8, n=98)</w:t>
            </w:r>
          </w:p>
          <w:p w14:paraId="5BFB42B0"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-8.7 (53.0, n=98)</w:t>
            </w:r>
          </w:p>
        </w:tc>
        <w:tc>
          <w:tcPr>
            <w:tcW w:w="1985" w:type="dxa"/>
          </w:tcPr>
          <w:p w14:paraId="513A3F51"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98.6 (61.1, n=115)</w:t>
            </w:r>
          </w:p>
          <w:p w14:paraId="429BD70C"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87.6 (62.3, n=115)</w:t>
            </w:r>
          </w:p>
          <w:p w14:paraId="6F95D248"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-11.0 (48.5, n=115)</w:t>
            </w:r>
          </w:p>
        </w:tc>
        <w:tc>
          <w:tcPr>
            <w:tcW w:w="1843" w:type="dxa"/>
          </w:tcPr>
          <w:p w14:paraId="61B0F5B6"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5CCF3423"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14100792"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-0.55 (-13.9, 12.8)</w:t>
            </w:r>
          </w:p>
        </w:tc>
        <w:tc>
          <w:tcPr>
            <w:tcW w:w="850" w:type="dxa"/>
          </w:tcPr>
          <w:p w14:paraId="45FF323F"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6A377C4B"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6DA8282E"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0.935</w:t>
            </w:r>
          </w:p>
        </w:tc>
      </w:tr>
      <w:tr w:rsidR="00295824" w:rsidRPr="00295824" w14:paraId="482E5157" w14:textId="77777777" w:rsidTr="00B87ACC">
        <w:tc>
          <w:tcPr>
            <w:tcW w:w="1447" w:type="dxa"/>
            <w:vMerge w:val="restart"/>
            <w:tcBorders>
              <w:right w:val="single" w:sz="4" w:space="0" w:color="auto"/>
            </w:tcBorders>
          </w:tcPr>
          <w:p w14:paraId="76DD77DC" w14:textId="77777777" w:rsidR="00295824" w:rsidRPr="00295824" w:rsidRDefault="00295824" w:rsidP="00295824">
            <w:pPr>
              <w:keepNext/>
              <w:keepLines/>
              <w:widowControl w:val="0"/>
              <w:spacing w:before="20" w:after="20" w:line="240" w:lineRule="auto"/>
              <w:ind w:right="-57"/>
              <w:rPr>
                <w:rFonts w:cstheme="majorBidi"/>
                <w:b/>
                <w:bCs/>
              </w:rPr>
            </w:pPr>
            <w:r w:rsidRPr="00295824">
              <w:rPr>
                <w:rFonts w:cstheme="majorBidi"/>
                <w:b/>
                <w:bCs/>
              </w:rPr>
              <w:t xml:space="preserve">PDQ39 </w:t>
            </w:r>
          </w:p>
          <w:p w14:paraId="294C2890" w14:textId="77777777" w:rsidR="00295824" w:rsidRPr="00295824" w:rsidRDefault="00295824" w:rsidP="00295824">
            <w:pPr>
              <w:keepNext/>
              <w:keepLines/>
              <w:widowControl w:val="0"/>
              <w:spacing w:before="20" w:after="20" w:line="240" w:lineRule="auto"/>
              <w:ind w:right="-57"/>
              <w:rPr>
                <w:rFonts w:eastAsia="Times New Roman" w:cs="Times New Roman"/>
                <w:b/>
                <w:bCs/>
              </w:rPr>
            </w:pPr>
            <w:r w:rsidRPr="00295824">
              <w:rPr>
                <w:rFonts w:cstheme="majorBidi"/>
                <w:b/>
                <w:bCs/>
              </w:rPr>
              <w:t>(0-100, higher values worse)</w:t>
            </w:r>
          </w:p>
        </w:tc>
        <w:tc>
          <w:tcPr>
            <w:tcW w:w="1956" w:type="dxa"/>
            <w:gridSpan w:val="2"/>
            <w:tcBorders>
              <w:left w:val="single" w:sz="4" w:space="0" w:color="auto"/>
            </w:tcBorders>
          </w:tcPr>
          <w:p w14:paraId="69BCD6AE"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**baseline</w:t>
            </w:r>
          </w:p>
          <w:p w14:paraId="0C84BE29"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6 months</w:t>
            </w:r>
          </w:p>
          <w:p w14:paraId="5B7FE26A"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6 months-baseline</w:t>
            </w:r>
          </w:p>
        </w:tc>
        <w:tc>
          <w:tcPr>
            <w:tcW w:w="1984" w:type="dxa"/>
          </w:tcPr>
          <w:p w14:paraId="541DED33" w14:textId="77777777" w:rsidR="00295824" w:rsidRPr="00295824" w:rsidRDefault="00295824" w:rsidP="00295824">
            <w:pPr>
              <w:keepNext/>
              <w:keepLines/>
              <w:widowControl w:val="0"/>
              <w:tabs>
                <w:tab w:val="left" w:pos="251"/>
                <w:tab w:val="center" w:pos="700"/>
              </w:tabs>
              <w:spacing w:before="20" w:after="20" w:line="240" w:lineRule="auto"/>
              <w:ind w:right="-57"/>
              <w:jc w:val="center"/>
              <w:rPr>
                <w:rFonts w:eastAsia="Times New Roman" w:cs="Times New Roman"/>
              </w:rPr>
            </w:pPr>
            <w:r w:rsidRPr="00295824">
              <w:rPr>
                <w:rFonts w:eastAsia="Times New Roman" w:cs="Times New Roman"/>
              </w:rPr>
              <w:t>27.4 (14.3, n=126)</w:t>
            </w:r>
          </w:p>
          <w:p w14:paraId="1B219E90" w14:textId="77777777" w:rsidR="00295824" w:rsidRPr="00295824" w:rsidRDefault="00295824" w:rsidP="00295824">
            <w:pPr>
              <w:keepNext/>
              <w:keepLines/>
              <w:widowControl w:val="0"/>
              <w:tabs>
                <w:tab w:val="left" w:pos="251"/>
                <w:tab w:val="center" w:pos="700"/>
              </w:tabs>
              <w:spacing w:before="20" w:after="20" w:line="240" w:lineRule="auto"/>
              <w:ind w:right="-57"/>
              <w:jc w:val="center"/>
              <w:rPr>
                <w:rFonts w:eastAsia="Times New Roman" w:cs="Times New Roman"/>
              </w:rPr>
            </w:pPr>
            <w:r w:rsidRPr="00295824">
              <w:rPr>
                <w:rFonts w:eastAsia="Times New Roman" w:cs="Times New Roman"/>
              </w:rPr>
              <w:t>28.3 (15.0, n=126)</w:t>
            </w:r>
          </w:p>
          <w:p w14:paraId="73CCB667" w14:textId="77777777" w:rsidR="00295824" w:rsidRPr="00295824" w:rsidRDefault="00295824" w:rsidP="00295824">
            <w:pPr>
              <w:keepNext/>
              <w:keepLines/>
              <w:widowControl w:val="0"/>
              <w:tabs>
                <w:tab w:val="left" w:pos="251"/>
                <w:tab w:val="center" w:pos="700"/>
              </w:tabs>
              <w:spacing w:before="20" w:after="20" w:line="240" w:lineRule="auto"/>
              <w:ind w:right="-57"/>
              <w:jc w:val="center"/>
              <w:rPr>
                <w:rFonts w:eastAsia="Times New Roman" w:cs="Times New Roman"/>
              </w:rPr>
            </w:pPr>
            <w:r w:rsidRPr="00295824">
              <w:rPr>
                <w:rFonts w:eastAsia="Times New Roman" w:cs="Times New Roman"/>
              </w:rPr>
              <w:t>0.8 (8.3, n=126)</w:t>
            </w:r>
          </w:p>
        </w:tc>
        <w:tc>
          <w:tcPr>
            <w:tcW w:w="1985" w:type="dxa"/>
          </w:tcPr>
          <w:p w14:paraId="0F7E812F"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28.7 (15.9, n= 153)</w:t>
            </w:r>
          </w:p>
          <w:p w14:paraId="032EB3FB"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29.5 (16.5, n= 153)</w:t>
            </w:r>
          </w:p>
          <w:p w14:paraId="31BB57BC"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0.9 (9.0, n= 153)</w:t>
            </w:r>
          </w:p>
        </w:tc>
        <w:tc>
          <w:tcPr>
            <w:tcW w:w="1843" w:type="dxa"/>
          </w:tcPr>
          <w:p w14:paraId="7B219FF0"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5401A675"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5E5BC279"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0.12 (-2.0, 2.28)</w:t>
            </w:r>
          </w:p>
        </w:tc>
        <w:tc>
          <w:tcPr>
            <w:tcW w:w="850" w:type="dxa"/>
          </w:tcPr>
          <w:p w14:paraId="01409259"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253B1383"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66683E63"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0.911</w:t>
            </w:r>
          </w:p>
        </w:tc>
      </w:tr>
      <w:tr w:rsidR="00295824" w:rsidRPr="00295824" w14:paraId="39BE85F2" w14:textId="77777777" w:rsidTr="00B87ACC">
        <w:tc>
          <w:tcPr>
            <w:tcW w:w="1447" w:type="dxa"/>
            <w:vMerge/>
            <w:tcBorders>
              <w:right w:val="single" w:sz="4" w:space="0" w:color="auto"/>
            </w:tcBorders>
          </w:tcPr>
          <w:p w14:paraId="33F35205" w14:textId="77777777" w:rsidR="00295824" w:rsidRPr="00295824" w:rsidRDefault="00295824" w:rsidP="00295824">
            <w:pPr>
              <w:keepNext/>
              <w:keepLines/>
              <w:widowControl w:val="0"/>
              <w:spacing w:before="20" w:after="20" w:line="240" w:lineRule="auto"/>
              <w:ind w:right="-57"/>
              <w:rPr>
                <w:rFonts w:eastAsia="Times New Roman" w:cs="Times New Roman"/>
                <w:b/>
                <w:bCs/>
              </w:rPr>
            </w:pPr>
          </w:p>
        </w:tc>
        <w:tc>
          <w:tcPr>
            <w:tcW w:w="1956" w:type="dxa"/>
            <w:gridSpan w:val="2"/>
            <w:tcBorders>
              <w:left w:val="single" w:sz="4" w:space="0" w:color="auto"/>
            </w:tcBorders>
          </w:tcPr>
          <w:p w14:paraId="189E545F"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***baseline</w:t>
            </w:r>
          </w:p>
          <w:p w14:paraId="0D179017"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12 months</w:t>
            </w:r>
          </w:p>
          <w:p w14:paraId="5BFF7215"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12 months-baseline</w:t>
            </w:r>
          </w:p>
        </w:tc>
        <w:tc>
          <w:tcPr>
            <w:tcW w:w="1984" w:type="dxa"/>
          </w:tcPr>
          <w:p w14:paraId="71C88484"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27.2 (13.6, n=77)</w:t>
            </w:r>
          </w:p>
          <w:p w14:paraId="3490A394"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29.1 (15.4, n=77)</w:t>
            </w:r>
          </w:p>
          <w:p w14:paraId="2BE046B3"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1.9 (8.6, n=77)</w:t>
            </w:r>
          </w:p>
        </w:tc>
        <w:tc>
          <w:tcPr>
            <w:tcW w:w="1985" w:type="dxa"/>
          </w:tcPr>
          <w:p w14:paraId="56050403"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28.9 (15.9, n=100)</w:t>
            </w:r>
          </w:p>
          <w:p w14:paraId="1977CFC4"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31.7 (15.5, n=100)</w:t>
            </w:r>
          </w:p>
          <w:p w14:paraId="246A6287"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2.8 (11.2, n=100)</w:t>
            </w:r>
          </w:p>
        </w:tc>
        <w:tc>
          <w:tcPr>
            <w:tcW w:w="1843" w:type="dxa"/>
          </w:tcPr>
          <w:p w14:paraId="2052A418"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1D6DF866"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1EDF2611"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0.48 (-2.53, 3.49)</w:t>
            </w:r>
          </w:p>
        </w:tc>
        <w:tc>
          <w:tcPr>
            <w:tcW w:w="850" w:type="dxa"/>
          </w:tcPr>
          <w:p w14:paraId="71C418D0"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0AF8DE13"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086C31C8"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0.754</w:t>
            </w:r>
          </w:p>
        </w:tc>
      </w:tr>
      <w:tr w:rsidR="00295824" w:rsidRPr="00295824" w14:paraId="68197162" w14:textId="77777777" w:rsidTr="00B87ACC">
        <w:tc>
          <w:tcPr>
            <w:tcW w:w="1447" w:type="dxa"/>
            <w:vMerge w:val="restart"/>
            <w:tcBorders>
              <w:right w:val="single" w:sz="4" w:space="0" w:color="auto"/>
            </w:tcBorders>
          </w:tcPr>
          <w:p w14:paraId="5D2568E8" w14:textId="77777777" w:rsidR="00295824" w:rsidRPr="00295824" w:rsidRDefault="00295824" w:rsidP="00295824">
            <w:pPr>
              <w:keepNext/>
              <w:keepLines/>
              <w:widowControl w:val="0"/>
              <w:spacing w:before="20" w:after="20" w:line="240" w:lineRule="auto"/>
              <w:ind w:right="-57"/>
              <w:rPr>
                <w:rFonts w:cstheme="majorBidi"/>
                <w:b/>
                <w:bCs/>
              </w:rPr>
            </w:pPr>
            <w:r w:rsidRPr="00295824">
              <w:rPr>
                <w:rFonts w:cstheme="majorBidi"/>
                <w:b/>
                <w:bCs/>
              </w:rPr>
              <w:t>GDS</w:t>
            </w:r>
          </w:p>
          <w:p w14:paraId="7F367DDE" w14:textId="77777777" w:rsidR="00295824" w:rsidRPr="00295824" w:rsidRDefault="00295824" w:rsidP="00295824">
            <w:pPr>
              <w:keepNext/>
              <w:keepLines/>
              <w:widowControl w:val="0"/>
              <w:spacing w:before="20" w:after="20" w:line="240" w:lineRule="auto"/>
              <w:ind w:right="-57"/>
              <w:rPr>
                <w:rFonts w:eastAsia="Times New Roman" w:cs="Times New Roman"/>
                <w:b/>
                <w:bCs/>
              </w:rPr>
            </w:pPr>
            <w:r w:rsidRPr="00295824">
              <w:rPr>
                <w:rFonts w:cstheme="majorBidi"/>
                <w:b/>
                <w:bCs/>
              </w:rPr>
              <w:t>(0-15, higher values worse)</w:t>
            </w:r>
          </w:p>
        </w:tc>
        <w:tc>
          <w:tcPr>
            <w:tcW w:w="1956" w:type="dxa"/>
            <w:gridSpan w:val="2"/>
            <w:tcBorders>
              <w:left w:val="single" w:sz="4" w:space="0" w:color="auto"/>
            </w:tcBorders>
          </w:tcPr>
          <w:p w14:paraId="6887BBEF"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**baseline</w:t>
            </w:r>
          </w:p>
          <w:p w14:paraId="3A41BDA1"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6 months</w:t>
            </w:r>
          </w:p>
          <w:p w14:paraId="0714A25B"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6 months-baseline</w:t>
            </w:r>
          </w:p>
        </w:tc>
        <w:tc>
          <w:tcPr>
            <w:tcW w:w="1984" w:type="dxa"/>
          </w:tcPr>
          <w:p w14:paraId="3DA540DF" w14:textId="77777777" w:rsidR="00295824" w:rsidRPr="00295824" w:rsidRDefault="00295824" w:rsidP="00295824">
            <w:pPr>
              <w:keepNext/>
              <w:keepLines/>
              <w:widowControl w:val="0"/>
              <w:tabs>
                <w:tab w:val="left" w:pos="251"/>
                <w:tab w:val="center" w:pos="700"/>
              </w:tabs>
              <w:spacing w:before="20" w:after="20" w:line="240" w:lineRule="auto"/>
              <w:ind w:right="-57"/>
              <w:jc w:val="center"/>
              <w:rPr>
                <w:rFonts w:eastAsia="Times New Roman" w:cs="Times New Roman"/>
              </w:rPr>
            </w:pPr>
            <w:r w:rsidRPr="00295824">
              <w:rPr>
                <w:rFonts w:eastAsia="Times New Roman" w:cs="Times New Roman"/>
              </w:rPr>
              <w:t>7.7 (2.3, n=154)</w:t>
            </w:r>
          </w:p>
          <w:p w14:paraId="07B66D41" w14:textId="77777777" w:rsidR="00295824" w:rsidRPr="00295824" w:rsidRDefault="00295824" w:rsidP="00295824">
            <w:pPr>
              <w:keepNext/>
              <w:keepLines/>
              <w:widowControl w:val="0"/>
              <w:tabs>
                <w:tab w:val="left" w:pos="251"/>
                <w:tab w:val="center" w:pos="700"/>
              </w:tabs>
              <w:spacing w:before="20" w:after="20" w:line="240" w:lineRule="auto"/>
              <w:ind w:right="-57"/>
              <w:jc w:val="center"/>
              <w:rPr>
                <w:rFonts w:eastAsia="Times New Roman" w:cs="Times New Roman"/>
              </w:rPr>
            </w:pPr>
            <w:r w:rsidRPr="00295824">
              <w:rPr>
                <w:rFonts w:eastAsia="Times New Roman" w:cs="Times New Roman"/>
              </w:rPr>
              <w:t>7.8 (2.5, n=154)</w:t>
            </w:r>
          </w:p>
          <w:p w14:paraId="7C89F99A" w14:textId="77777777" w:rsidR="00295824" w:rsidRPr="00295824" w:rsidRDefault="00295824" w:rsidP="00295824">
            <w:pPr>
              <w:keepNext/>
              <w:keepLines/>
              <w:widowControl w:val="0"/>
              <w:tabs>
                <w:tab w:val="left" w:pos="251"/>
                <w:tab w:val="center" w:pos="700"/>
              </w:tabs>
              <w:spacing w:before="20" w:after="20" w:line="240" w:lineRule="auto"/>
              <w:ind w:right="-57"/>
              <w:jc w:val="center"/>
              <w:rPr>
                <w:rFonts w:eastAsia="Times New Roman" w:cs="Times New Roman"/>
              </w:rPr>
            </w:pPr>
            <w:r w:rsidRPr="00295824">
              <w:rPr>
                <w:rFonts w:eastAsia="Times New Roman" w:cs="Times New Roman"/>
              </w:rPr>
              <w:t xml:space="preserve"> 0.3 (1.8, n=154)</w:t>
            </w:r>
          </w:p>
        </w:tc>
        <w:tc>
          <w:tcPr>
            <w:tcW w:w="1985" w:type="dxa"/>
          </w:tcPr>
          <w:p w14:paraId="5439827A"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7.7 (2.1, n=183)</w:t>
            </w:r>
          </w:p>
          <w:p w14:paraId="3D4F7423"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8.0 (2.5, n=183)</w:t>
            </w:r>
          </w:p>
          <w:p w14:paraId="2C27392F"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0.2 (1.9, n=183)</w:t>
            </w:r>
          </w:p>
        </w:tc>
        <w:tc>
          <w:tcPr>
            <w:tcW w:w="1843" w:type="dxa"/>
          </w:tcPr>
          <w:p w14:paraId="77C98B13"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09E9514A"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56E0413F"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-0.02 (-0.42, 0.39)</w:t>
            </w:r>
          </w:p>
        </w:tc>
        <w:tc>
          <w:tcPr>
            <w:tcW w:w="850" w:type="dxa"/>
          </w:tcPr>
          <w:p w14:paraId="74340505"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0AB189AE"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57FB8B3C"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0.942</w:t>
            </w:r>
          </w:p>
        </w:tc>
      </w:tr>
      <w:tr w:rsidR="00295824" w:rsidRPr="00295824" w14:paraId="5C6443FA" w14:textId="77777777" w:rsidTr="00B87ACC">
        <w:tc>
          <w:tcPr>
            <w:tcW w:w="1447" w:type="dxa"/>
            <w:vMerge/>
            <w:tcBorders>
              <w:right w:val="single" w:sz="4" w:space="0" w:color="auto"/>
            </w:tcBorders>
          </w:tcPr>
          <w:p w14:paraId="331FAEB8" w14:textId="77777777" w:rsidR="00295824" w:rsidRPr="00295824" w:rsidRDefault="00295824" w:rsidP="00295824">
            <w:pPr>
              <w:keepNext/>
              <w:keepLines/>
              <w:widowControl w:val="0"/>
              <w:spacing w:before="20" w:after="20" w:line="240" w:lineRule="auto"/>
              <w:ind w:right="-57"/>
              <w:rPr>
                <w:rFonts w:eastAsia="Times New Roman" w:cs="Times New Roman"/>
                <w:b/>
                <w:bCs/>
              </w:rPr>
            </w:pPr>
          </w:p>
        </w:tc>
        <w:tc>
          <w:tcPr>
            <w:tcW w:w="1956" w:type="dxa"/>
            <w:gridSpan w:val="2"/>
            <w:tcBorders>
              <w:left w:val="single" w:sz="4" w:space="0" w:color="auto"/>
              <w:bottom w:val="single" w:sz="4" w:space="0" w:color="auto"/>
            </w:tcBorders>
          </w:tcPr>
          <w:p w14:paraId="617E94D2"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***baseline</w:t>
            </w:r>
          </w:p>
          <w:p w14:paraId="50201D2C"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12 months</w:t>
            </w:r>
          </w:p>
          <w:p w14:paraId="7B0BF580" w14:textId="77777777" w:rsidR="00295824" w:rsidRPr="00295824" w:rsidRDefault="00295824" w:rsidP="00295824">
            <w:pPr>
              <w:keepNext/>
              <w:keepLines/>
              <w:widowControl w:val="0"/>
              <w:spacing w:before="20" w:after="20" w:line="240" w:lineRule="auto"/>
              <w:ind w:left="-57" w:right="-57"/>
              <w:jc w:val="right"/>
              <w:rPr>
                <w:rFonts w:eastAsia="Times New Roman" w:cs="Times New Roman"/>
                <w:b/>
              </w:rPr>
            </w:pPr>
            <w:r w:rsidRPr="00295824">
              <w:rPr>
                <w:rFonts w:eastAsia="Times New Roman" w:cs="Times New Roman"/>
                <w:b/>
              </w:rPr>
              <w:t>12 months-baseline</w:t>
            </w:r>
          </w:p>
        </w:tc>
        <w:tc>
          <w:tcPr>
            <w:tcW w:w="1984" w:type="dxa"/>
          </w:tcPr>
          <w:p w14:paraId="14D62B82"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7.7 (2.1, n=96)</w:t>
            </w:r>
          </w:p>
          <w:p w14:paraId="774FE560"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7.8 (2.5, n=96)</w:t>
            </w:r>
          </w:p>
          <w:p w14:paraId="4F1F9B32"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0.2 (2.0, n=96)</w:t>
            </w:r>
          </w:p>
        </w:tc>
        <w:tc>
          <w:tcPr>
            <w:tcW w:w="1985" w:type="dxa"/>
          </w:tcPr>
          <w:p w14:paraId="0A91A8CE"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8.0 (2.2, n=118)</w:t>
            </w:r>
          </w:p>
          <w:p w14:paraId="11059FEF"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8.5 (2.4, n=118)</w:t>
            </w:r>
          </w:p>
          <w:p w14:paraId="1FD5570A"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0.4 (1.7, n=118)</w:t>
            </w:r>
          </w:p>
        </w:tc>
        <w:tc>
          <w:tcPr>
            <w:tcW w:w="1843" w:type="dxa"/>
          </w:tcPr>
          <w:p w14:paraId="5678CB7C"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73233E5E"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2A1C92B0"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-0.21 (-0.72, 0.31)</w:t>
            </w:r>
          </w:p>
        </w:tc>
        <w:tc>
          <w:tcPr>
            <w:tcW w:w="850" w:type="dxa"/>
          </w:tcPr>
          <w:p w14:paraId="25342B34"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5D6A2562"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p>
          <w:p w14:paraId="4C2902FB" w14:textId="77777777" w:rsidR="00295824" w:rsidRPr="00295824" w:rsidRDefault="00295824" w:rsidP="00295824">
            <w:pPr>
              <w:keepNext/>
              <w:keepLines/>
              <w:widowControl w:val="0"/>
              <w:spacing w:before="20" w:after="20" w:line="240" w:lineRule="auto"/>
              <w:ind w:right="-57"/>
              <w:jc w:val="center"/>
              <w:rPr>
                <w:rFonts w:eastAsia="Times New Roman" w:cs="Times New Roman"/>
              </w:rPr>
            </w:pPr>
            <w:r w:rsidRPr="00295824">
              <w:rPr>
                <w:rFonts w:eastAsia="Times New Roman" w:cs="Times New Roman"/>
              </w:rPr>
              <w:t>0.421</w:t>
            </w:r>
          </w:p>
        </w:tc>
      </w:tr>
    </w:tbl>
    <w:p w14:paraId="0D90C423" w14:textId="77777777" w:rsidR="00295824" w:rsidRPr="00295824" w:rsidRDefault="00295824" w:rsidP="00295824">
      <w:pPr>
        <w:spacing w:after="0"/>
        <w:jc w:val="both"/>
        <w:rPr>
          <w:sz w:val="20"/>
          <w:szCs w:val="24"/>
        </w:rPr>
      </w:pPr>
      <w:r w:rsidRPr="00295824">
        <w:rPr>
          <w:sz w:val="20"/>
          <w:szCs w:val="24"/>
        </w:rPr>
        <w:t xml:space="preserve">* </w:t>
      </w:r>
      <w:r w:rsidRPr="00295824">
        <w:rPr>
          <w:sz w:val="18"/>
        </w:rPr>
        <w:t>Controlled for site, age</w:t>
      </w:r>
      <w:r w:rsidRPr="00295824">
        <w:rPr>
          <w:sz w:val="20"/>
          <w:szCs w:val="24"/>
        </w:rPr>
        <w:t>, gender, repeat falling or not in the year prior to screening, log number of falls in the year prior to falling, log rate of falling in the pre randomisation falls collection period, Hoehn and Yahr, and the outcome in question assessed at baseline.</w:t>
      </w:r>
    </w:p>
    <w:p w14:paraId="05C11EED" w14:textId="77777777" w:rsidR="00295824" w:rsidRPr="00295824" w:rsidRDefault="00295824" w:rsidP="00295824">
      <w:pPr>
        <w:spacing w:after="0"/>
        <w:jc w:val="both"/>
        <w:rPr>
          <w:sz w:val="20"/>
          <w:szCs w:val="24"/>
        </w:rPr>
      </w:pPr>
      <w:r w:rsidRPr="00295824">
        <w:rPr>
          <w:sz w:val="20"/>
          <w:szCs w:val="24"/>
        </w:rPr>
        <w:t xml:space="preserve">** Baseline results restricted to existing participant assessment at 6 months </w:t>
      </w:r>
    </w:p>
    <w:p w14:paraId="5CCC2404" w14:textId="77777777" w:rsidR="00295824" w:rsidRPr="00295824" w:rsidRDefault="00295824" w:rsidP="00295824">
      <w:pPr>
        <w:spacing w:after="0"/>
        <w:rPr>
          <w:sz w:val="20"/>
          <w:szCs w:val="24"/>
        </w:rPr>
      </w:pPr>
      <w:r w:rsidRPr="00295824">
        <w:rPr>
          <w:sz w:val="20"/>
          <w:szCs w:val="24"/>
        </w:rPr>
        <w:t>*** Baseline results restricted to existing participant assessment at 6 months</w:t>
      </w:r>
    </w:p>
    <w:p w14:paraId="1E8E96F4" w14:textId="77777777" w:rsidR="00295824" w:rsidRPr="00295824" w:rsidRDefault="00295824" w:rsidP="00295824"/>
    <w:p w14:paraId="5F41DEE3" w14:textId="77777777" w:rsidR="00295824" w:rsidRPr="00295824" w:rsidRDefault="00295824" w:rsidP="00295824">
      <w:r w:rsidRPr="00295824">
        <w:br w:type="page"/>
      </w:r>
    </w:p>
    <w:p w14:paraId="7D1098E8" w14:textId="77777777" w:rsidR="00295824" w:rsidRPr="00295824" w:rsidRDefault="00295824" w:rsidP="00295824">
      <w:r w:rsidRPr="00295824">
        <w:rPr>
          <w:b/>
          <w:iCs/>
          <w:sz w:val="28"/>
          <w:szCs w:val="28"/>
        </w:rPr>
        <w:lastRenderedPageBreak/>
        <w:t>Table 4: Chair Stand Test (CST) at 6 and 12 months</w:t>
      </w:r>
    </w:p>
    <w:tbl>
      <w:tblPr>
        <w:tblStyle w:val="TableGrid"/>
        <w:tblW w:w="10065" w:type="dxa"/>
        <w:tblInd w:w="-5" w:type="dxa"/>
        <w:tblLayout w:type="fixed"/>
        <w:tblLook w:val="04A0" w:firstRow="1" w:lastRow="0" w:firstColumn="1" w:lastColumn="0" w:noHBand="0" w:noVBand="1"/>
      </w:tblPr>
      <w:tblGrid>
        <w:gridCol w:w="1844"/>
        <w:gridCol w:w="1913"/>
        <w:gridCol w:w="355"/>
        <w:gridCol w:w="1559"/>
        <w:gridCol w:w="1701"/>
        <w:gridCol w:w="1701"/>
        <w:gridCol w:w="992"/>
      </w:tblGrid>
      <w:tr w:rsidR="00295824" w:rsidRPr="00295824" w14:paraId="2E8DA78E" w14:textId="77777777" w:rsidTr="00B87ACC">
        <w:tc>
          <w:tcPr>
            <w:tcW w:w="5671" w:type="dxa"/>
            <w:gridSpan w:val="4"/>
          </w:tcPr>
          <w:p w14:paraId="00C6F273" w14:textId="77777777" w:rsidR="00295824" w:rsidRPr="00295824" w:rsidRDefault="00295824" w:rsidP="00295824">
            <w:pPr>
              <w:rPr>
                <w:b/>
                <w:iCs/>
              </w:rPr>
            </w:pPr>
          </w:p>
        </w:tc>
        <w:tc>
          <w:tcPr>
            <w:tcW w:w="1701" w:type="dxa"/>
          </w:tcPr>
          <w:p w14:paraId="6B4FC41F" w14:textId="77777777" w:rsidR="00295824" w:rsidRPr="00295824" w:rsidRDefault="00295824" w:rsidP="00295824">
            <w:pPr>
              <w:jc w:val="center"/>
              <w:rPr>
                <w:b/>
                <w:iCs/>
              </w:rPr>
            </w:pPr>
            <w:r w:rsidRPr="00295824">
              <w:rPr>
                <w:b/>
                <w:iCs/>
              </w:rPr>
              <w:t>PDSAFE</w:t>
            </w:r>
          </w:p>
          <w:p w14:paraId="6E23C8C1" w14:textId="77777777" w:rsidR="00295824" w:rsidRPr="00295824" w:rsidRDefault="00295824" w:rsidP="00295824">
            <w:pPr>
              <w:jc w:val="center"/>
              <w:rPr>
                <w:b/>
                <w:iCs/>
              </w:rPr>
            </w:pPr>
            <w:r w:rsidRPr="00295824">
              <w:rPr>
                <w:b/>
                <w:iCs/>
              </w:rPr>
              <w:t>(n=238)</w:t>
            </w:r>
          </w:p>
        </w:tc>
        <w:tc>
          <w:tcPr>
            <w:tcW w:w="1701" w:type="dxa"/>
          </w:tcPr>
          <w:p w14:paraId="6DD98447" w14:textId="77777777" w:rsidR="00295824" w:rsidRPr="00295824" w:rsidRDefault="00295824" w:rsidP="00295824">
            <w:pPr>
              <w:jc w:val="center"/>
              <w:rPr>
                <w:b/>
                <w:iCs/>
              </w:rPr>
            </w:pPr>
            <w:r w:rsidRPr="00295824">
              <w:rPr>
                <w:b/>
                <w:iCs/>
              </w:rPr>
              <w:t>Control</w:t>
            </w:r>
          </w:p>
          <w:p w14:paraId="4CB494D9" w14:textId="77777777" w:rsidR="00295824" w:rsidRPr="00295824" w:rsidRDefault="00295824" w:rsidP="00295824">
            <w:pPr>
              <w:jc w:val="center"/>
              <w:rPr>
                <w:b/>
                <w:iCs/>
              </w:rPr>
            </w:pPr>
            <w:r w:rsidRPr="00295824">
              <w:rPr>
                <w:rFonts w:eastAsia="Times New Roman" w:cs="Times New Roman"/>
                <w:b/>
              </w:rPr>
              <w:t>(n=236)</w:t>
            </w:r>
          </w:p>
        </w:tc>
        <w:tc>
          <w:tcPr>
            <w:tcW w:w="992" w:type="dxa"/>
            <w:vAlign w:val="bottom"/>
          </w:tcPr>
          <w:p w14:paraId="46BF28D1" w14:textId="77777777" w:rsidR="00295824" w:rsidRPr="00295824" w:rsidRDefault="00295824" w:rsidP="00295824">
            <w:pPr>
              <w:jc w:val="center"/>
              <w:rPr>
                <w:b/>
                <w:iCs/>
              </w:rPr>
            </w:pPr>
            <w:r w:rsidRPr="00295824">
              <w:rPr>
                <w:b/>
                <w:iCs/>
              </w:rPr>
              <w:t>P*</w:t>
            </w:r>
          </w:p>
        </w:tc>
      </w:tr>
      <w:tr w:rsidR="00295824" w:rsidRPr="00295824" w14:paraId="0FFE6A24" w14:textId="77777777" w:rsidTr="00B87ACC">
        <w:tc>
          <w:tcPr>
            <w:tcW w:w="1844" w:type="dxa"/>
            <w:vMerge w:val="restart"/>
          </w:tcPr>
          <w:p w14:paraId="0B61ACF5" w14:textId="77777777" w:rsidR="00295824" w:rsidRPr="00295824" w:rsidRDefault="00295824" w:rsidP="00295824">
            <w:pPr>
              <w:rPr>
                <w:b/>
                <w:iCs/>
              </w:rPr>
            </w:pPr>
            <w:r w:rsidRPr="00295824">
              <w:rPr>
                <w:b/>
                <w:iCs/>
              </w:rPr>
              <w:t>Baseline amongst participants with 6 month</w:t>
            </w:r>
          </w:p>
          <w:p w14:paraId="3D34F996" w14:textId="77777777" w:rsidR="00295824" w:rsidRPr="00295824" w:rsidRDefault="00295824" w:rsidP="00295824">
            <w:pPr>
              <w:rPr>
                <w:b/>
                <w:iCs/>
              </w:rPr>
            </w:pPr>
            <w:r w:rsidRPr="00295824">
              <w:rPr>
                <w:b/>
                <w:iCs/>
              </w:rPr>
              <w:t xml:space="preserve">assessment </w:t>
            </w:r>
          </w:p>
        </w:tc>
        <w:tc>
          <w:tcPr>
            <w:tcW w:w="3827" w:type="dxa"/>
            <w:gridSpan w:val="3"/>
            <w:tcBorders>
              <w:bottom w:val="single" w:sz="4" w:space="0" w:color="auto"/>
            </w:tcBorders>
          </w:tcPr>
          <w:p w14:paraId="3457CD61" w14:textId="77777777" w:rsidR="00295824" w:rsidRPr="00295824" w:rsidRDefault="00295824" w:rsidP="00295824">
            <w:pPr>
              <w:rPr>
                <w:iCs/>
              </w:rPr>
            </w:pPr>
            <w:r w:rsidRPr="00295824">
              <w:rPr>
                <w:iCs/>
              </w:rPr>
              <w:t xml:space="preserve">Unable of those with a CST assessment </w:t>
            </w:r>
          </w:p>
        </w:tc>
        <w:tc>
          <w:tcPr>
            <w:tcW w:w="1701" w:type="dxa"/>
          </w:tcPr>
          <w:p w14:paraId="276ECC92" w14:textId="77777777" w:rsidR="00295824" w:rsidRPr="00295824" w:rsidRDefault="00295824" w:rsidP="00295824">
            <w:pPr>
              <w:jc w:val="center"/>
              <w:rPr>
                <w:iCs/>
              </w:rPr>
            </w:pPr>
            <w:r w:rsidRPr="00295824">
              <w:rPr>
                <w:iCs/>
              </w:rPr>
              <w:t>29/188 (15%)</w:t>
            </w:r>
          </w:p>
        </w:tc>
        <w:tc>
          <w:tcPr>
            <w:tcW w:w="1701" w:type="dxa"/>
          </w:tcPr>
          <w:p w14:paraId="60AAB7B5" w14:textId="77777777" w:rsidR="00295824" w:rsidRPr="00295824" w:rsidRDefault="00295824" w:rsidP="00295824">
            <w:pPr>
              <w:jc w:val="center"/>
              <w:rPr>
                <w:iCs/>
              </w:rPr>
            </w:pPr>
            <w:r w:rsidRPr="00295824">
              <w:rPr>
                <w:iCs/>
              </w:rPr>
              <w:t>35/213 (16%)</w:t>
            </w:r>
          </w:p>
        </w:tc>
        <w:tc>
          <w:tcPr>
            <w:tcW w:w="992" w:type="dxa"/>
            <w:vMerge w:val="restart"/>
          </w:tcPr>
          <w:p w14:paraId="10567D37" w14:textId="77777777" w:rsidR="00295824" w:rsidRPr="00295824" w:rsidRDefault="00295824" w:rsidP="00295824">
            <w:pPr>
              <w:jc w:val="center"/>
              <w:rPr>
                <w:iCs/>
              </w:rPr>
            </w:pPr>
          </w:p>
          <w:p w14:paraId="610E4E04" w14:textId="77777777" w:rsidR="00295824" w:rsidRPr="00295824" w:rsidRDefault="00295824" w:rsidP="00295824">
            <w:pPr>
              <w:jc w:val="center"/>
              <w:rPr>
                <w:iCs/>
              </w:rPr>
            </w:pPr>
          </w:p>
          <w:p w14:paraId="7CD3E1A4" w14:textId="77777777" w:rsidR="00295824" w:rsidRPr="00295824" w:rsidRDefault="00295824" w:rsidP="00295824">
            <w:pPr>
              <w:jc w:val="center"/>
              <w:rPr>
                <w:iCs/>
              </w:rPr>
            </w:pPr>
          </w:p>
          <w:p w14:paraId="678449E3" w14:textId="77777777" w:rsidR="00295824" w:rsidRPr="00295824" w:rsidRDefault="00295824" w:rsidP="00295824">
            <w:pPr>
              <w:jc w:val="center"/>
              <w:rPr>
                <w:iCs/>
              </w:rPr>
            </w:pPr>
          </w:p>
          <w:p w14:paraId="5913664D" w14:textId="77777777" w:rsidR="00295824" w:rsidRPr="00295824" w:rsidRDefault="00295824" w:rsidP="00295824">
            <w:pPr>
              <w:jc w:val="center"/>
              <w:rPr>
                <w:iCs/>
              </w:rPr>
            </w:pPr>
          </w:p>
          <w:p w14:paraId="584873D5" w14:textId="77777777" w:rsidR="00295824" w:rsidRPr="00295824" w:rsidRDefault="00295824" w:rsidP="00295824">
            <w:pPr>
              <w:jc w:val="center"/>
              <w:rPr>
                <w:iCs/>
              </w:rPr>
            </w:pPr>
          </w:p>
          <w:p w14:paraId="6E90A6BD" w14:textId="77777777" w:rsidR="00295824" w:rsidRPr="00295824" w:rsidRDefault="00295824" w:rsidP="00295824">
            <w:pPr>
              <w:jc w:val="center"/>
              <w:rPr>
                <w:iCs/>
              </w:rPr>
            </w:pPr>
            <w:r w:rsidRPr="00295824">
              <w:rPr>
                <w:iCs/>
              </w:rPr>
              <w:t>0.041</w:t>
            </w:r>
          </w:p>
          <w:p w14:paraId="3E59A43C" w14:textId="77777777" w:rsidR="00295824" w:rsidRPr="00295824" w:rsidRDefault="00295824" w:rsidP="00295824">
            <w:pPr>
              <w:jc w:val="center"/>
              <w:rPr>
                <w:iCs/>
              </w:rPr>
            </w:pPr>
            <w:r w:rsidRPr="00295824">
              <w:rPr>
                <w:iCs/>
              </w:rPr>
              <w:t>(n=401)</w:t>
            </w:r>
          </w:p>
        </w:tc>
      </w:tr>
      <w:tr w:rsidR="00295824" w:rsidRPr="00295824" w14:paraId="7416A060" w14:textId="77777777" w:rsidTr="00B87ACC">
        <w:tc>
          <w:tcPr>
            <w:tcW w:w="1844" w:type="dxa"/>
            <w:vMerge/>
          </w:tcPr>
          <w:p w14:paraId="2E3AA07A" w14:textId="77777777" w:rsidR="00295824" w:rsidRPr="00295824" w:rsidRDefault="00295824" w:rsidP="00295824">
            <w:pPr>
              <w:rPr>
                <w:b/>
                <w:iCs/>
              </w:rPr>
            </w:pPr>
          </w:p>
        </w:tc>
        <w:tc>
          <w:tcPr>
            <w:tcW w:w="1913" w:type="dxa"/>
            <w:tcBorders>
              <w:bottom w:val="single" w:sz="4" w:space="0" w:color="auto"/>
              <w:right w:val="nil"/>
            </w:tcBorders>
          </w:tcPr>
          <w:p w14:paraId="1A2B210B" w14:textId="77777777" w:rsidR="00295824" w:rsidRPr="00295824" w:rsidRDefault="00295824" w:rsidP="00295824">
            <w:pPr>
              <w:rPr>
                <w:iCs/>
              </w:rPr>
            </w:pPr>
            <w:r w:rsidRPr="00295824">
              <w:rPr>
                <w:iCs/>
              </w:rPr>
              <w:t>CST (seconds) amongst</w:t>
            </w:r>
          </w:p>
          <w:p w14:paraId="039F69BB" w14:textId="77777777" w:rsidR="00295824" w:rsidRPr="00295824" w:rsidRDefault="00295824" w:rsidP="00295824">
            <w:pPr>
              <w:rPr>
                <w:iCs/>
              </w:rPr>
            </w:pPr>
            <w:r w:rsidRPr="00295824">
              <w:rPr>
                <w:iCs/>
              </w:rPr>
              <w:t>those able</w:t>
            </w:r>
          </w:p>
        </w:tc>
        <w:tc>
          <w:tcPr>
            <w:tcW w:w="1914" w:type="dxa"/>
            <w:gridSpan w:val="2"/>
            <w:tcBorders>
              <w:top w:val="nil"/>
              <w:left w:val="nil"/>
              <w:bottom w:val="nil"/>
              <w:right w:val="single" w:sz="4" w:space="0" w:color="auto"/>
            </w:tcBorders>
          </w:tcPr>
          <w:p w14:paraId="15A7F065" w14:textId="77777777" w:rsidR="00295824" w:rsidRPr="00295824" w:rsidRDefault="00295824" w:rsidP="00295824">
            <w:pPr>
              <w:jc w:val="right"/>
              <w:rPr>
                <w:iCs/>
              </w:rPr>
            </w:pPr>
            <w:r w:rsidRPr="00295824">
              <w:rPr>
                <w:iCs/>
              </w:rPr>
              <w:t xml:space="preserve">median    </w:t>
            </w:r>
          </w:p>
          <w:p w14:paraId="66BE14C7" w14:textId="77777777" w:rsidR="00295824" w:rsidRPr="00295824" w:rsidRDefault="00295824" w:rsidP="00295824">
            <w:pPr>
              <w:jc w:val="right"/>
              <w:rPr>
                <w:iCs/>
              </w:rPr>
            </w:pPr>
            <w:r w:rsidRPr="00295824">
              <w:rPr>
                <w:iCs/>
              </w:rPr>
              <w:t>IQR</w:t>
            </w:r>
          </w:p>
          <w:p w14:paraId="252FF814" w14:textId="77777777" w:rsidR="00295824" w:rsidRPr="00295824" w:rsidRDefault="00295824" w:rsidP="00295824">
            <w:pPr>
              <w:jc w:val="right"/>
              <w:rPr>
                <w:iCs/>
              </w:rPr>
            </w:pPr>
          </w:p>
        </w:tc>
        <w:tc>
          <w:tcPr>
            <w:tcW w:w="1701" w:type="dxa"/>
            <w:tcBorders>
              <w:left w:val="single" w:sz="4" w:space="0" w:color="auto"/>
            </w:tcBorders>
          </w:tcPr>
          <w:p w14:paraId="3C4CCC51" w14:textId="77777777" w:rsidR="00295824" w:rsidRPr="00295824" w:rsidRDefault="00295824" w:rsidP="00295824">
            <w:pPr>
              <w:jc w:val="center"/>
              <w:rPr>
                <w:iCs/>
              </w:rPr>
            </w:pPr>
            <w:r w:rsidRPr="00295824">
              <w:rPr>
                <w:iCs/>
              </w:rPr>
              <w:t>14</w:t>
            </w:r>
          </w:p>
          <w:p w14:paraId="694709FA" w14:textId="77777777" w:rsidR="00295824" w:rsidRPr="00295824" w:rsidRDefault="00295824" w:rsidP="00295824">
            <w:pPr>
              <w:jc w:val="center"/>
              <w:rPr>
                <w:iCs/>
              </w:rPr>
            </w:pPr>
            <w:r w:rsidRPr="00295824">
              <w:rPr>
                <w:iCs/>
              </w:rPr>
              <w:t>11 to 18</w:t>
            </w:r>
          </w:p>
          <w:p w14:paraId="6556B1C1" w14:textId="77777777" w:rsidR="00295824" w:rsidRPr="00295824" w:rsidRDefault="00295824" w:rsidP="00295824">
            <w:pPr>
              <w:jc w:val="center"/>
              <w:rPr>
                <w:iCs/>
              </w:rPr>
            </w:pPr>
            <w:r w:rsidRPr="00295824">
              <w:rPr>
                <w:iCs/>
              </w:rPr>
              <w:t xml:space="preserve"> (n=159)</w:t>
            </w:r>
          </w:p>
        </w:tc>
        <w:tc>
          <w:tcPr>
            <w:tcW w:w="1701" w:type="dxa"/>
          </w:tcPr>
          <w:p w14:paraId="49EE3592" w14:textId="77777777" w:rsidR="00295824" w:rsidRPr="00295824" w:rsidRDefault="00295824" w:rsidP="00295824">
            <w:pPr>
              <w:jc w:val="center"/>
              <w:rPr>
                <w:iCs/>
              </w:rPr>
            </w:pPr>
            <w:r w:rsidRPr="00295824">
              <w:rPr>
                <w:iCs/>
              </w:rPr>
              <w:t>14</w:t>
            </w:r>
          </w:p>
          <w:p w14:paraId="5289F090" w14:textId="77777777" w:rsidR="00295824" w:rsidRPr="00295824" w:rsidRDefault="00295824" w:rsidP="00295824">
            <w:pPr>
              <w:jc w:val="center"/>
              <w:rPr>
                <w:iCs/>
              </w:rPr>
            </w:pPr>
            <w:r w:rsidRPr="00295824">
              <w:rPr>
                <w:iCs/>
              </w:rPr>
              <w:t>11 to 18</w:t>
            </w:r>
          </w:p>
          <w:p w14:paraId="10DEABF1" w14:textId="77777777" w:rsidR="00295824" w:rsidRPr="00295824" w:rsidRDefault="00295824" w:rsidP="00295824">
            <w:pPr>
              <w:jc w:val="center"/>
              <w:rPr>
                <w:iCs/>
              </w:rPr>
            </w:pPr>
            <w:r w:rsidRPr="00295824">
              <w:rPr>
                <w:iCs/>
              </w:rPr>
              <w:t xml:space="preserve"> (n=178)</w:t>
            </w:r>
          </w:p>
        </w:tc>
        <w:tc>
          <w:tcPr>
            <w:tcW w:w="992" w:type="dxa"/>
            <w:vMerge/>
          </w:tcPr>
          <w:p w14:paraId="4976F80B" w14:textId="77777777" w:rsidR="00295824" w:rsidRPr="00295824" w:rsidRDefault="00295824" w:rsidP="00295824">
            <w:pPr>
              <w:jc w:val="center"/>
              <w:rPr>
                <w:iCs/>
              </w:rPr>
            </w:pPr>
          </w:p>
        </w:tc>
      </w:tr>
      <w:tr w:rsidR="00295824" w:rsidRPr="00295824" w14:paraId="76A0AD31" w14:textId="77777777" w:rsidTr="00B87ACC">
        <w:tc>
          <w:tcPr>
            <w:tcW w:w="1844" w:type="dxa"/>
            <w:vMerge w:val="restart"/>
          </w:tcPr>
          <w:p w14:paraId="23136FAC" w14:textId="77777777" w:rsidR="00295824" w:rsidRPr="00295824" w:rsidRDefault="00295824" w:rsidP="00295824">
            <w:pPr>
              <w:rPr>
                <w:b/>
                <w:iCs/>
              </w:rPr>
            </w:pPr>
            <w:r w:rsidRPr="00295824">
              <w:rPr>
                <w:b/>
                <w:iCs/>
              </w:rPr>
              <w:t>6 month</w:t>
            </w:r>
          </w:p>
          <w:p w14:paraId="3BAFE96F" w14:textId="77777777" w:rsidR="00295824" w:rsidRPr="00295824" w:rsidRDefault="00295824" w:rsidP="00295824">
            <w:pPr>
              <w:rPr>
                <w:i/>
                <w:iCs/>
              </w:rPr>
            </w:pPr>
            <w:r w:rsidRPr="00295824">
              <w:rPr>
                <w:b/>
                <w:iCs/>
              </w:rPr>
              <w:t>assessment</w:t>
            </w:r>
          </w:p>
        </w:tc>
        <w:tc>
          <w:tcPr>
            <w:tcW w:w="3827" w:type="dxa"/>
            <w:gridSpan w:val="3"/>
            <w:tcBorders>
              <w:bottom w:val="single" w:sz="4" w:space="0" w:color="auto"/>
            </w:tcBorders>
          </w:tcPr>
          <w:p w14:paraId="669B19E5" w14:textId="77777777" w:rsidR="00295824" w:rsidRPr="00295824" w:rsidRDefault="00295824" w:rsidP="00295824">
            <w:pPr>
              <w:rPr>
                <w:iCs/>
              </w:rPr>
            </w:pPr>
            <w:r w:rsidRPr="00295824">
              <w:rPr>
                <w:iCs/>
              </w:rPr>
              <w:t xml:space="preserve">Unable of those with a CST assessment </w:t>
            </w:r>
          </w:p>
        </w:tc>
        <w:tc>
          <w:tcPr>
            <w:tcW w:w="1701" w:type="dxa"/>
          </w:tcPr>
          <w:p w14:paraId="673D4679" w14:textId="77777777" w:rsidR="00295824" w:rsidRPr="00295824" w:rsidRDefault="00295824" w:rsidP="00295824">
            <w:pPr>
              <w:jc w:val="center"/>
              <w:rPr>
                <w:iCs/>
              </w:rPr>
            </w:pPr>
            <w:r w:rsidRPr="00295824">
              <w:rPr>
                <w:iCs/>
              </w:rPr>
              <w:t>27/188 (14%)</w:t>
            </w:r>
          </w:p>
        </w:tc>
        <w:tc>
          <w:tcPr>
            <w:tcW w:w="1701" w:type="dxa"/>
          </w:tcPr>
          <w:p w14:paraId="34C57975" w14:textId="77777777" w:rsidR="00295824" w:rsidRPr="00295824" w:rsidRDefault="00295824" w:rsidP="00295824">
            <w:pPr>
              <w:jc w:val="center"/>
              <w:rPr>
                <w:iCs/>
              </w:rPr>
            </w:pPr>
            <w:r w:rsidRPr="00295824">
              <w:rPr>
                <w:iCs/>
              </w:rPr>
              <w:t>47/213 (22%)</w:t>
            </w:r>
          </w:p>
        </w:tc>
        <w:tc>
          <w:tcPr>
            <w:tcW w:w="992" w:type="dxa"/>
            <w:vMerge/>
          </w:tcPr>
          <w:p w14:paraId="16D14DC1" w14:textId="77777777" w:rsidR="00295824" w:rsidRPr="00295824" w:rsidRDefault="00295824" w:rsidP="00295824">
            <w:pPr>
              <w:jc w:val="center"/>
              <w:rPr>
                <w:iCs/>
              </w:rPr>
            </w:pPr>
          </w:p>
        </w:tc>
      </w:tr>
      <w:tr w:rsidR="00295824" w:rsidRPr="00295824" w14:paraId="2E0146AA" w14:textId="77777777" w:rsidTr="00B87ACC">
        <w:tc>
          <w:tcPr>
            <w:tcW w:w="1844" w:type="dxa"/>
            <w:vMerge/>
          </w:tcPr>
          <w:p w14:paraId="0D2126F7" w14:textId="77777777" w:rsidR="00295824" w:rsidRPr="00295824" w:rsidRDefault="00295824" w:rsidP="00295824">
            <w:pPr>
              <w:rPr>
                <w:i/>
                <w:iCs/>
              </w:rPr>
            </w:pPr>
          </w:p>
        </w:tc>
        <w:tc>
          <w:tcPr>
            <w:tcW w:w="2268" w:type="dxa"/>
            <w:gridSpan w:val="2"/>
            <w:tcBorders>
              <w:right w:val="nil"/>
            </w:tcBorders>
          </w:tcPr>
          <w:p w14:paraId="4BE09670" w14:textId="77777777" w:rsidR="00295824" w:rsidRPr="00295824" w:rsidRDefault="00295824" w:rsidP="00295824">
            <w:pPr>
              <w:rPr>
                <w:iCs/>
              </w:rPr>
            </w:pPr>
            <w:r w:rsidRPr="00295824">
              <w:rPr>
                <w:iCs/>
              </w:rPr>
              <w:t xml:space="preserve">CST (seconds) </w:t>
            </w:r>
          </w:p>
          <w:p w14:paraId="01F8362F" w14:textId="77777777" w:rsidR="00295824" w:rsidRPr="00295824" w:rsidRDefault="00295824" w:rsidP="00295824">
            <w:pPr>
              <w:rPr>
                <w:iCs/>
              </w:rPr>
            </w:pPr>
            <w:r w:rsidRPr="00295824">
              <w:rPr>
                <w:iCs/>
              </w:rPr>
              <w:t xml:space="preserve">amongst </w:t>
            </w:r>
          </w:p>
          <w:p w14:paraId="2A436757" w14:textId="77777777" w:rsidR="00295824" w:rsidRPr="00295824" w:rsidRDefault="00295824" w:rsidP="00295824">
            <w:pPr>
              <w:rPr>
                <w:iCs/>
              </w:rPr>
            </w:pPr>
            <w:r w:rsidRPr="00295824">
              <w:rPr>
                <w:iCs/>
              </w:rPr>
              <w:t>those able</w:t>
            </w:r>
          </w:p>
        </w:tc>
        <w:tc>
          <w:tcPr>
            <w:tcW w:w="1559" w:type="dxa"/>
            <w:tcBorders>
              <w:left w:val="nil"/>
            </w:tcBorders>
          </w:tcPr>
          <w:p w14:paraId="76E04C45" w14:textId="77777777" w:rsidR="00295824" w:rsidRPr="00295824" w:rsidRDefault="00295824" w:rsidP="00295824">
            <w:pPr>
              <w:jc w:val="right"/>
              <w:rPr>
                <w:iCs/>
              </w:rPr>
            </w:pPr>
            <w:r w:rsidRPr="00295824">
              <w:rPr>
                <w:iCs/>
              </w:rPr>
              <w:t xml:space="preserve"> median</w:t>
            </w:r>
          </w:p>
          <w:p w14:paraId="15DAF7D8" w14:textId="77777777" w:rsidR="00295824" w:rsidRPr="00295824" w:rsidRDefault="00295824" w:rsidP="00295824">
            <w:pPr>
              <w:jc w:val="right"/>
              <w:rPr>
                <w:iCs/>
              </w:rPr>
            </w:pPr>
            <w:r w:rsidRPr="00295824">
              <w:rPr>
                <w:iCs/>
              </w:rPr>
              <w:t>IQR</w:t>
            </w:r>
          </w:p>
          <w:p w14:paraId="0C62C7DA" w14:textId="77777777" w:rsidR="00295824" w:rsidRPr="00295824" w:rsidRDefault="00295824" w:rsidP="00295824">
            <w:pPr>
              <w:jc w:val="right"/>
              <w:rPr>
                <w:iCs/>
              </w:rPr>
            </w:pPr>
          </w:p>
        </w:tc>
        <w:tc>
          <w:tcPr>
            <w:tcW w:w="1701" w:type="dxa"/>
          </w:tcPr>
          <w:p w14:paraId="4499BA61" w14:textId="77777777" w:rsidR="00295824" w:rsidRPr="00295824" w:rsidRDefault="00295824" w:rsidP="00295824">
            <w:pPr>
              <w:jc w:val="center"/>
              <w:rPr>
                <w:iCs/>
              </w:rPr>
            </w:pPr>
            <w:r w:rsidRPr="00295824">
              <w:rPr>
                <w:iCs/>
              </w:rPr>
              <w:t>12</w:t>
            </w:r>
          </w:p>
          <w:p w14:paraId="58900051" w14:textId="77777777" w:rsidR="00295824" w:rsidRPr="00295824" w:rsidRDefault="00295824" w:rsidP="00295824">
            <w:pPr>
              <w:jc w:val="center"/>
              <w:rPr>
                <w:iCs/>
              </w:rPr>
            </w:pPr>
            <w:r w:rsidRPr="00295824">
              <w:rPr>
                <w:iCs/>
              </w:rPr>
              <w:t>10 to 15</w:t>
            </w:r>
          </w:p>
          <w:p w14:paraId="2768FE8A" w14:textId="77777777" w:rsidR="00295824" w:rsidRPr="00295824" w:rsidRDefault="00295824" w:rsidP="00295824">
            <w:pPr>
              <w:jc w:val="center"/>
              <w:rPr>
                <w:iCs/>
              </w:rPr>
            </w:pPr>
            <w:r w:rsidRPr="00295824">
              <w:rPr>
                <w:iCs/>
              </w:rPr>
              <w:t xml:space="preserve"> (n=161)</w:t>
            </w:r>
          </w:p>
        </w:tc>
        <w:tc>
          <w:tcPr>
            <w:tcW w:w="1701" w:type="dxa"/>
          </w:tcPr>
          <w:p w14:paraId="01F9C92E" w14:textId="77777777" w:rsidR="00295824" w:rsidRPr="00295824" w:rsidRDefault="00295824" w:rsidP="00295824">
            <w:pPr>
              <w:jc w:val="center"/>
              <w:rPr>
                <w:iCs/>
              </w:rPr>
            </w:pPr>
            <w:r w:rsidRPr="00295824">
              <w:rPr>
                <w:iCs/>
              </w:rPr>
              <w:t>13</w:t>
            </w:r>
          </w:p>
          <w:p w14:paraId="66A7A367" w14:textId="77777777" w:rsidR="00295824" w:rsidRPr="00295824" w:rsidRDefault="00295824" w:rsidP="00295824">
            <w:pPr>
              <w:jc w:val="center"/>
              <w:rPr>
                <w:iCs/>
              </w:rPr>
            </w:pPr>
            <w:r w:rsidRPr="00295824">
              <w:rPr>
                <w:iCs/>
              </w:rPr>
              <w:t>10 to 16</w:t>
            </w:r>
          </w:p>
          <w:p w14:paraId="4834A161" w14:textId="77777777" w:rsidR="00295824" w:rsidRPr="00295824" w:rsidRDefault="00295824" w:rsidP="00295824">
            <w:pPr>
              <w:jc w:val="center"/>
              <w:rPr>
                <w:iCs/>
              </w:rPr>
            </w:pPr>
            <w:r w:rsidRPr="00295824">
              <w:rPr>
                <w:iCs/>
              </w:rPr>
              <w:t xml:space="preserve"> (n=166)</w:t>
            </w:r>
          </w:p>
        </w:tc>
        <w:tc>
          <w:tcPr>
            <w:tcW w:w="992" w:type="dxa"/>
            <w:vMerge/>
          </w:tcPr>
          <w:p w14:paraId="261FD37E" w14:textId="77777777" w:rsidR="00295824" w:rsidRPr="00295824" w:rsidRDefault="00295824" w:rsidP="00295824">
            <w:pPr>
              <w:jc w:val="center"/>
              <w:rPr>
                <w:iCs/>
              </w:rPr>
            </w:pPr>
          </w:p>
        </w:tc>
      </w:tr>
      <w:tr w:rsidR="00295824" w:rsidRPr="00295824" w14:paraId="22ED41AE" w14:textId="77777777" w:rsidTr="00B87ACC">
        <w:tc>
          <w:tcPr>
            <w:tcW w:w="1844" w:type="dxa"/>
            <w:vMerge w:val="restart"/>
          </w:tcPr>
          <w:p w14:paraId="0200C2F3" w14:textId="77777777" w:rsidR="00295824" w:rsidRPr="00295824" w:rsidRDefault="00295824" w:rsidP="00295824">
            <w:pPr>
              <w:rPr>
                <w:b/>
                <w:iCs/>
              </w:rPr>
            </w:pPr>
            <w:r w:rsidRPr="00295824">
              <w:rPr>
                <w:b/>
                <w:iCs/>
              </w:rPr>
              <w:t>Baseline amongst participants with 12 month</w:t>
            </w:r>
          </w:p>
          <w:p w14:paraId="724399EC" w14:textId="77777777" w:rsidR="00295824" w:rsidRPr="00295824" w:rsidRDefault="00295824" w:rsidP="00295824">
            <w:pPr>
              <w:rPr>
                <w:b/>
                <w:iCs/>
              </w:rPr>
            </w:pPr>
            <w:r w:rsidRPr="00295824">
              <w:rPr>
                <w:b/>
                <w:iCs/>
              </w:rPr>
              <w:t>assessment</w:t>
            </w:r>
          </w:p>
        </w:tc>
        <w:tc>
          <w:tcPr>
            <w:tcW w:w="3827" w:type="dxa"/>
            <w:gridSpan w:val="3"/>
            <w:tcBorders>
              <w:bottom w:val="nil"/>
            </w:tcBorders>
          </w:tcPr>
          <w:p w14:paraId="2674F50A" w14:textId="77777777" w:rsidR="00295824" w:rsidRPr="00295824" w:rsidRDefault="00295824" w:rsidP="00295824">
            <w:pPr>
              <w:rPr>
                <w:iCs/>
              </w:rPr>
            </w:pPr>
            <w:r w:rsidRPr="00295824">
              <w:rPr>
                <w:iCs/>
              </w:rPr>
              <w:t>Unable of those with a CST assessment</w:t>
            </w:r>
          </w:p>
        </w:tc>
        <w:tc>
          <w:tcPr>
            <w:tcW w:w="1701" w:type="dxa"/>
          </w:tcPr>
          <w:p w14:paraId="6FE9463D" w14:textId="77777777" w:rsidR="00295824" w:rsidRPr="00295824" w:rsidRDefault="00295824" w:rsidP="00295824">
            <w:pPr>
              <w:jc w:val="center"/>
              <w:rPr>
                <w:iCs/>
              </w:rPr>
            </w:pPr>
            <w:r w:rsidRPr="00295824">
              <w:rPr>
                <w:iCs/>
              </w:rPr>
              <w:t>15/119 (13%)</w:t>
            </w:r>
          </w:p>
        </w:tc>
        <w:tc>
          <w:tcPr>
            <w:tcW w:w="1701" w:type="dxa"/>
          </w:tcPr>
          <w:p w14:paraId="6338888C" w14:textId="77777777" w:rsidR="00295824" w:rsidRPr="00295824" w:rsidRDefault="00295824" w:rsidP="00295824">
            <w:pPr>
              <w:jc w:val="center"/>
              <w:rPr>
                <w:iCs/>
              </w:rPr>
            </w:pPr>
            <w:r w:rsidRPr="00295824">
              <w:rPr>
                <w:iCs/>
              </w:rPr>
              <w:t>21/134 (16%)</w:t>
            </w:r>
          </w:p>
        </w:tc>
        <w:tc>
          <w:tcPr>
            <w:tcW w:w="992" w:type="dxa"/>
            <w:vMerge w:val="restart"/>
          </w:tcPr>
          <w:p w14:paraId="0ADB3C67" w14:textId="77777777" w:rsidR="00295824" w:rsidRPr="00295824" w:rsidRDefault="00295824" w:rsidP="00295824">
            <w:pPr>
              <w:jc w:val="center"/>
              <w:rPr>
                <w:iCs/>
              </w:rPr>
            </w:pPr>
          </w:p>
          <w:p w14:paraId="17A8F138" w14:textId="77777777" w:rsidR="00295824" w:rsidRPr="00295824" w:rsidRDefault="00295824" w:rsidP="00295824">
            <w:pPr>
              <w:jc w:val="center"/>
              <w:rPr>
                <w:iCs/>
              </w:rPr>
            </w:pPr>
          </w:p>
          <w:p w14:paraId="473AB4DB" w14:textId="77777777" w:rsidR="00295824" w:rsidRPr="00295824" w:rsidRDefault="00295824" w:rsidP="00295824">
            <w:pPr>
              <w:jc w:val="center"/>
              <w:rPr>
                <w:iCs/>
              </w:rPr>
            </w:pPr>
          </w:p>
          <w:p w14:paraId="32390249" w14:textId="77777777" w:rsidR="00295824" w:rsidRPr="00295824" w:rsidRDefault="00295824" w:rsidP="00295824">
            <w:pPr>
              <w:jc w:val="center"/>
              <w:rPr>
                <w:iCs/>
              </w:rPr>
            </w:pPr>
          </w:p>
          <w:p w14:paraId="5019845C" w14:textId="77777777" w:rsidR="00295824" w:rsidRPr="00295824" w:rsidRDefault="00295824" w:rsidP="00295824">
            <w:pPr>
              <w:jc w:val="center"/>
              <w:rPr>
                <w:iCs/>
              </w:rPr>
            </w:pPr>
          </w:p>
          <w:p w14:paraId="7DF78F17" w14:textId="77777777" w:rsidR="00295824" w:rsidRPr="00295824" w:rsidRDefault="00295824" w:rsidP="00295824">
            <w:pPr>
              <w:jc w:val="center"/>
              <w:rPr>
                <w:iCs/>
              </w:rPr>
            </w:pPr>
          </w:p>
          <w:p w14:paraId="1D39651C" w14:textId="77777777" w:rsidR="00295824" w:rsidRPr="00295824" w:rsidRDefault="00295824" w:rsidP="00295824">
            <w:pPr>
              <w:jc w:val="center"/>
              <w:rPr>
                <w:iCs/>
              </w:rPr>
            </w:pPr>
            <w:r w:rsidRPr="00295824">
              <w:rPr>
                <w:iCs/>
              </w:rPr>
              <w:t>0.163</w:t>
            </w:r>
          </w:p>
          <w:p w14:paraId="3DE8B179" w14:textId="77777777" w:rsidR="00295824" w:rsidRPr="00295824" w:rsidRDefault="00295824" w:rsidP="00295824">
            <w:pPr>
              <w:jc w:val="center"/>
              <w:rPr>
                <w:iCs/>
              </w:rPr>
            </w:pPr>
            <w:r w:rsidRPr="00295824">
              <w:rPr>
                <w:iCs/>
              </w:rPr>
              <w:t>(n=253)</w:t>
            </w:r>
          </w:p>
        </w:tc>
      </w:tr>
      <w:tr w:rsidR="00295824" w:rsidRPr="00295824" w14:paraId="31EDE373" w14:textId="77777777" w:rsidTr="00B87ACC">
        <w:tc>
          <w:tcPr>
            <w:tcW w:w="1844" w:type="dxa"/>
            <w:vMerge/>
            <w:tcBorders>
              <w:right w:val="single" w:sz="4" w:space="0" w:color="auto"/>
            </w:tcBorders>
          </w:tcPr>
          <w:p w14:paraId="02FD7812" w14:textId="77777777" w:rsidR="00295824" w:rsidRPr="00295824" w:rsidRDefault="00295824" w:rsidP="00295824">
            <w:pPr>
              <w:rPr>
                <w:b/>
                <w:iCs/>
              </w:rPr>
            </w:pPr>
          </w:p>
        </w:tc>
        <w:tc>
          <w:tcPr>
            <w:tcW w:w="2268" w:type="dxa"/>
            <w:gridSpan w:val="2"/>
            <w:tcBorders>
              <w:top w:val="single" w:sz="4" w:space="0" w:color="auto"/>
              <w:left w:val="single" w:sz="4" w:space="0" w:color="auto"/>
              <w:bottom w:val="single" w:sz="4" w:space="0" w:color="auto"/>
              <w:right w:val="nil"/>
            </w:tcBorders>
          </w:tcPr>
          <w:p w14:paraId="50F4056F" w14:textId="77777777" w:rsidR="00295824" w:rsidRPr="00295824" w:rsidRDefault="00295824" w:rsidP="00295824">
            <w:pPr>
              <w:rPr>
                <w:iCs/>
              </w:rPr>
            </w:pPr>
            <w:r w:rsidRPr="00295824">
              <w:rPr>
                <w:iCs/>
              </w:rPr>
              <w:t>CST (seconds)</w:t>
            </w:r>
          </w:p>
          <w:p w14:paraId="3C814453" w14:textId="77777777" w:rsidR="00295824" w:rsidRPr="00295824" w:rsidRDefault="00295824" w:rsidP="00295824">
            <w:pPr>
              <w:rPr>
                <w:iCs/>
              </w:rPr>
            </w:pPr>
            <w:r w:rsidRPr="00295824">
              <w:rPr>
                <w:iCs/>
              </w:rPr>
              <w:t xml:space="preserve">amongst </w:t>
            </w:r>
          </w:p>
          <w:p w14:paraId="4626FC31" w14:textId="77777777" w:rsidR="00295824" w:rsidRPr="00295824" w:rsidRDefault="00295824" w:rsidP="00295824">
            <w:pPr>
              <w:rPr>
                <w:iCs/>
              </w:rPr>
            </w:pPr>
            <w:r w:rsidRPr="00295824">
              <w:rPr>
                <w:iCs/>
              </w:rPr>
              <w:t>those able</w:t>
            </w:r>
          </w:p>
        </w:tc>
        <w:tc>
          <w:tcPr>
            <w:tcW w:w="1559" w:type="dxa"/>
            <w:tcBorders>
              <w:top w:val="single" w:sz="4" w:space="0" w:color="auto"/>
              <w:left w:val="nil"/>
              <w:bottom w:val="single" w:sz="4" w:space="0" w:color="auto"/>
              <w:right w:val="single" w:sz="4" w:space="0" w:color="auto"/>
            </w:tcBorders>
          </w:tcPr>
          <w:p w14:paraId="60A5CE0C" w14:textId="77777777" w:rsidR="00295824" w:rsidRPr="00295824" w:rsidRDefault="00295824" w:rsidP="00295824">
            <w:pPr>
              <w:jc w:val="right"/>
              <w:rPr>
                <w:iCs/>
              </w:rPr>
            </w:pPr>
            <w:r w:rsidRPr="00295824">
              <w:rPr>
                <w:iCs/>
              </w:rPr>
              <w:t>median</w:t>
            </w:r>
          </w:p>
          <w:p w14:paraId="53DE91ED" w14:textId="77777777" w:rsidR="00295824" w:rsidRPr="00295824" w:rsidRDefault="00295824" w:rsidP="00295824">
            <w:pPr>
              <w:jc w:val="right"/>
              <w:rPr>
                <w:iCs/>
              </w:rPr>
            </w:pPr>
            <w:r w:rsidRPr="00295824">
              <w:rPr>
                <w:iCs/>
              </w:rPr>
              <w:t>IQR</w:t>
            </w:r>
          </w:p>
          <w:p w14:paraId="1C911CB2" w14:textId="77777777" w:rsidR="00295824" w:rsidRPr="00295824" w:rsidRDefault="00295824" w:rsidP="00295824">
            <w:pPr>
              <w:jc w:val="right"/>
              <w:rPr>
                <w:iCs/>
              </w:rPr>
            </w:pPr>
          </w:p>
        </w:tc>
        <w:tc>
          <w:tcPr>
            <w:tcW w:w="1701" w:type="dxa"/>
            <w:tcBorders>
              <w:left w:val="single" w:sz="4" w:space="0" w:color="auto"/>
            </w:tcBorders>
          </w:tcPr>
          <w:p w14:paraId="0606AC37" w14:textId="77777777" w:rsidR="00295824" w:rsidRPr="00295824" w:rsidRDefault="00295824" w:rsidP="00295824">
            <w:pPr>
              <w:jc w:val="center"/>
              <w:rPr>
                <w:iCs/>
              </w:rPr>
            </w:pPr>
            <w:r w:rsidRPr="00295824">
              <w:rPr>
                <w:iCs/>
              </w:rPr>
              <w:t>14</w:t>
            </w:r>
          </w:p>
          <w:p w14:paraId="49095B66" w14:textId="77777777" w:rsidR="00295824" w:rsidRPr="00295824" w:rsidRDefault="00295824" w:rsidP="00295824">
            <w:pPr>
              <w:jc w:val="center"/>
              <w:rPr>
                <w:iCs/>
              </w:rPr>
            </w:pPr>
            <w:r w:rsidRPr="00295824">
              <w:rPr>
                <w:iCs/>
              </w:rPr>
              <w:t>11 to 17</w:t>
            </w:r>
          </w:p>
          <w:p w14:paraId="07043259" w14:textId="77777777" w:rsidR="00295824" w:rsidRPr="00295824" w:rsidRDefault="00295824" w:rsidP="00295824">
            <w:pPr>
              <w:jc w:val="center"/>
              <w:rPr>
                <w:iCs/>
              </w:rPr>
            </w:pPr>
            <w:r w:rsidRPr="00295824">
              <w:rPr>
                <w:iCs/>
              </w:rPr>
              <w:t xml:space="preserve"> (n =104)</w:t>
            </w:r>
          </w:p>
        </w:tc>
        <w:tc>
          <w:tcPr>
            <w:tcW w:w="1701" w:type="dxa"/>
          </w:tcPr>
          <w:p w14:paraId="470C2F16" w14:textId="77777777" w:rsidR="00295824" w:rsidRPr="00295824" w:rsidRDefault="00295824" w:rsidP="00295824">
            <w:pPr>
              <w:jc w:val="center"/>
              <w:rPr>
                <w:iCs/>
              </w:rPr>
            </w:pPr>
            <w:r w:rsidRPr="00295824">
              <w:rPr>
                <w:iCs/>
              </w:rPr>
              <w:t>14</w:t>
            </w:r>
          </w:p>
          <w:p w14:paraId="39774605" w14:textId="77777777" w:rsidR="00295824" w:rsidRPr="00295824" w:rsidRDefault="00295824" w:rsidP="00295824">
            <w:pPr>
              <w:jc w:val="center"/>
              <w:rPr>
                <w:iCs/>
              </w:rPr>
            </w:pPr>
            <w:r w:rsidRPr="00295824">
              <w:rPr>
                <w:iCs/>
              </w:rPr>
              <w:t>12 to 18</w:t>
            </w:r>
          </w:p>
          <w:p w14:paraId="2FC5FE4A" w14:textId="77777777" w:rsidR="00295824" w:rsidRPr="00295824" w:rsidRDefault="00295824" w:rsidP="00295824">
            <w:pPr>
              <w:jc w:val="center"/>
              <w:rPr>
                <w:iCs/>
              </w:rPr>
            </w:pPr>
            <w:r w:rsidRPr="00295824">
              <w:rPr>
                <w:iCs/>
              </w:rPr>
              <w:t xml:space="preserve"> (n=113)</w:t>
            </w:r>
          </w:p>
        </w:tc>
        <w:tc>
          <w:tcPr>
            <w:tcW w:w="992" w:type="dxa"/>
            <w:vMerge/>
          </w:tcPr>
          <w:p w14:paraId="59B939DE" w14:textId="77777777" w:rsidR="00295824" w:rsidRPr="00295824" w:rsidRDefault="00295824" w:rsidP="00295824">
            <w:pPr>
              <w:jc w:val="center"/>
              <w:rPr>
                <w:iCs/>
              </w:rPr>
            </w:pPr>
          </w:p>
        </w:tc>
      </w:tr>
      <w:tr w:rsidR="00295824" w:rsidRPr="00295824" w14:paraId="0E43DA3B" w14:textId="77777777" w:rsidTr="00B87ACC">
        <w:tc>
          <w:tcPr>
            <w:tcW w:w="1844" w:type="dxa"/>
            <w:vMerge w:val="restart"/>
          </w:tcPr>
          <w:p w14:paraId="0E3B788A" w14:textId="77777777" w:rsidR="00295824" w:rsidRPr="00295824" w:rsidRDefault="00295824" w:rsidP="00295824">
            <w:pPr>
              <w:rPr>
                <w:b/>
                <w:iCs/>
              </w:rPr>
            </w:pPr>
            <w:r w:rsidRPr="00295824">
              <w:rPr>
                <w:b/>
                <w:iCs/>
              </w:rPr>
              <w:t>12 month</w:t>
            </w:r>
          </w:p>
          <w:p w14:paraId="1A8BFDBB" w14:textId="77777777" w:rsidR="00295824" w:rsidRPr="00295824" w:rsidRDefault="00295824" w:rsidP="00295824">
            <w:pPr>
              <w:rPr>
                <w:i/>
                <w:iCs/>
              </w:rPr>
            </w:pPr>
            <w:r w:rsidRPr="00295824">
              <w:rPr>
                <w:b/>
                <w:iCs/>
              </w:rPr>
              <w:t>assessment</w:t>
            </w:r>
          </w:p>
        </w:tc>
        <w:tc>
          <w:tcPr>
            <w:tcW w:w="3827" w:type="dxa"/>
            <w:gridSpan w:val="3"/>
            <w:tcBorders>
              <w:top w:val="nil"/>
            </w:tcBorders>
          </w:tcPr>
          <w:p w14:paraId="0791C03C" w14:textId="77777777" w:rsidR="00295824" w:rsidRPr="00295824" w:rsidRDefault="00295824" w:rsidP="00295824">
            <w:pPr>
              <w:rPr>
                <w:iCs/>
              </w:rPr>
            </w:pPr>
            <w:r w:rsidRPr="00295824">
              <w:rPr>
                <w:iCs/>
              </w:rPr>
              <w:t>Unable of those with a CST assessment</w:t>
            </w:r>
          </w:p>
        </w:tc>
        <w:tc>
          <w:tcPr>
            <w:tcW w:w="1701" w:type="dxa"/>
          </w:tcPr>
          <w:p w14:paraId="7D887457" w14:textId="77777777" w:rsidR="00295824" w:rsidRPr="00295824" w:rsidRDefault="00295824" w:rsidP="00295824">
            <w:pPr>
              <w:jc w:val="center"/>
              <w:rPr>
                <w:iCs/>
              </w:rPr>
            </w:pPr>
            <w:r w:rsidRPr="00295824">
              <w:rPr>
                <w:iCs/>
              </w:rPr>
              <w:t>23/119 (19%)</w:t>
            </w:r>
          </w:p>
        </w:tc>
        <w:tc>
          <w:tcPr>
            <w:tcW w:w="1701" w:type="dxa"/>
          </w:tcPr>
          <w:p w14:paraId="76E436CC" w14:textId="77777777" w:rsidR="00295824" w:rsidRPr="00295824" w:rsidRDefault="00295824" w:rsidP="00295824">
            <w:pPr>
              <w:jc w:val="center"/>
              <w:rPr>
                <w:iCs/>
              </w:rPr>
            </w:pPr>
            <w:r w:rsidRPr="00295824">
              <w:rPr>
                <w:iCs/>
              </w:rPr>
              <w:t>38/134 (28%)</w:t>
            </w:r>
          </w:p>
        </w:tc>
        <w:tc>
          <w:tcPr>
            <w:tcW w:w="992" w:type="dxa"/>
            <w:vMerge/>
          </w:tcPr>
          <w:p w14:paraId="2C17206E" w14:textId="77777777" w:rsidR="00295824" w:rsidRPr="00295824" w:rsidRDefault="00295824" w:rsidP="00295824">
            <w:pPr>
              <w:jc w:val="center"/>
              <w:rPr>
                <w:iCs/>
              </w:rPr>
            </w:pPr>
          </w:p>
        </w:tc>
      </w:tr>
      <w:tr w:rsidR="00295824" w:rsidRPr="00295824" w14:paraId="7E08C0DE" w14:textId="77777777" w:rsidTr="00B87ACC">
        <w:tc>
          <w:tcPr>
            <w:tcW w:w="1844" w:type="dxa"/>
            <w:vMerge/>
          </w:tcPr>
          <w:p w14:paraId="5C17BABC" w14:textId="77777777" w:rsidR="00295824" w:rsidRPr="00295824" w:rsidRDefault="00295824" w:rsidP="00295824">
            <w:pPr>
              <w:rPr>
                <w:i/>
                <w:iCs/>
              </w:rPr>
            </w:pPr>
          </w:p>
        </w:tc>
        <w:tc>
          <w:tcPr>
            <w:tcW w:w="2268" w:type="dxa"/>
            <w:gridSpan w:val="2"/>
            <w:tcBorders>
              <w:right w:val="nil"/>
            </w:tcBorders>
          </w:tcPr>
          <w:p w14:paraId="1563AC12" w14:textId="77777777" w:rsidR="00295824" w:rsidRPr="00295824" w:rsidRDefault="00295824" w:rsidP="00295824">
            <w:pPr>
              <w:rPr>
                <w:iCs/>
              </w:rPr>
            </w:pPr>
            <w:r w:rsidRPr="00295824">
              <w:rPr>
                <w:iCs/>
              </w:rPr>
              <w:t>CST (seconds)</w:t>
            </w:r>
          </w:p>
          <w:p w14:paraId="2BCCE5FD" w14:textId="77777777" w:rsidR="00295824" w:rsidRPr="00295824" w:rsidRDefault="00295824" w:rsidP="00295824">
            <w:pPr>
              <w:rPr>
                <w:iCs/>
              </w:rPr>
            </w:pPr>
            <w:r w:rsidRPr="00295824">
              <w:rPr>
                <w:iCs/>
              </w:rPr>
              <w:t>amongst</w:t>
            </w:r>
          </w:p>
          <w:p w14:paraId="6E9FDE45" w14:textId="77777777" w:rsidR="00295824" w:rsidRPr="00295824" w:rsidRDefault="00295824" w:rsidP="00295824">
            <w:pPr>
              <w:rPr>
                <w:iCs/>
              </w:rPr>
            </w:pPr>
            <w:r w:rsidRPr="00295824">
              <w:rPr>
                <w:iCs/>
              </w:rPr>
              <w:t>those able</w:t>
            </w:r>
          </w:p>
        </w:tc>
        <w:tc>
          <w:tcPr>
            <w:tcW w:w="1559" w:type="dxa"/>
            <w:tcBorders>
              <w:left w:val="nil"/>
            </w:tcBorders>
          </w:tcPr>
          <w:p w14:paraId="061EE239" w14:textId="77777777" w:rsidR="00295824" w:rsidRPr="00295824" w:rsidRDefault="00295824" w:rsidP="00295824">
            <w:pPr>
              <w:jc w:val="right"/>
              <w:rPr>
                <w:iCs/>
              </w:rPr>
            </w:pPr>
            <w:r w:rsidRPr="00295824">
              <w:rPr>
                <w:iCs/>
              </w:rPr>
              <w:t>median</w:t>
            </w:r>
          </w:p>
          <w:p w14:paraId="69D96093" w14:textId="77777777" w:rsidR="00295824" w:rsidRPr="00295824" w:rsidRDefault="00295824" w:rsidP="00295824">
            <w:pPr>
              <w:jc w:val="right"/>
              <w:rPr>
                <w:iCs/>
              </w:rPr>
            </w:pPr>
            <w:r w:rsidRPr="00295824">
              <w:rPr>
                <w:iCs/>
              </w:rPr>
              <w:t>IQR</w:t>
            </w:r>
          </w:p>
          <w:p w14:paraId="535AC643" w14:textId="77777777" w:rsidR="00295824" w:rsidRPr="00295824" w:rsidRDefault="00295824" w:rsidP="00295824">
            <w:pPr>
              <w:jc w:val="right"/>
              <w:rPr>
                <w:iCs/>
              </w:rPr>
            </w:pPr>
          </w:p>
        </w:tc>
        <w:tc>
          <w:tcPr>
            <w:tcW w:w="1701" w:type="dxa"/>
          </w:tcPr>
          <w:p w14:paraId="5C74D087" w14:textId="77777777" w:rsidR="00295824" w:rsidRPr="00295824" w:rsidRDefault="00295824" w:rsidP="00295824">
            <w:pPr>
              <w:jc w:val="center"/>
              <w:rPr>
                <w:iCs/>
              </w:rPr>
            </w:pPr>
            <w:r w:rsidRPr="00295824">
              <w:rPr>
                <w:iCs/>
              </w:rPr>
              <w:t>12</w:t>
            </w:r>
          </w:p>
          <w:p w14:paraId="0870C33B" w14:textId="77777777" w:rsidR="00295824" w:rsidRPr="00295824" w:rsidRDefault="00295824" w:rsidP="00295824">
            <w:pPr>
              <w:jc w:val="center"/>
              <w:rPr>
                <w:iCs/>
              </w:rPr>
            </w:pPr>
            <w:r w:rsidRPr="00295824">
              <w:rPr>
                <w:iCs/>
              </w:rPr>
              <w:t>9 to 14</w:t>
            </w:r>
          </w:p>
          <w:p w14:paraId="68FE6F65" w14:textId="77777777" w:rsidR="00295824" w:rsidRPr="00295824" w:rsidRDefault="00295824" w:rsidP="00295824">
            <w:pPr>
              <w:jc w:val="center"/>
              <w:rPr>
                <w:iCs/>
              </w:rPr>
            </w:pPr>
            <w:r w:rsidRPr="00295824">
              <w:rPr>
                <w:iCs/>
              </w:rPr>
              <w:t xml:space="preserve"> (n=96)</w:t>
            </w:r>
          </w:p>
        </w:tc>
        <w:tc>
          <w:tcPr>
            <w:tcW w:w="1701" w:type="dxa"/>
          </w:tcPr>
          <w:p w14:paraId="0404620B" w14:textId="77777777" w:rsidR="00295824" w:rsidRPr="00295824" w:rsidRDefault="00295824" w:rsidP="00295824">
            <w:pPr>
              <w:jc w:val="center"/>
              <w:rPr>
                <w:iCs/>
              </w:rPr>
            </w:pPr>
            <w:r w:rsidRPr="00295824">
              <w:rPr>
                <w:iCs/>
              </w:rPr>
              <w:t>13</w:t>
            </w:r>
          </w:p>
          <w:p w14:paraId="3731E623" w14:textId="77777777" w:rsidR="00295824" w:rsidRPr="00295824" w:rsidRDefault="00295824" w:rsidP="00295824">
            <w:pPr>
              <w:jc w:val="center"/>
              <w:rPr>
                <w:iCs/>
              </w:rPr>
            </w:pPr>
            <w:r w:rsidRPr="00295824">
              <w:rPr>
                <w:iCs/>
              </w:rPr>
              <w:t>11 to 15</w:t>
            </w:r>
          </w:p>
          <w:p w14:paraId="105691A7" w14:textId="77777777" w:rsidR="00295824" w:rsidRPr="00295824" w:rsidRDefault="00295824" w:rsidP="00295824">
            <w:pPr>
              <w:jc w:val="center"/>
              <w:rPr>
                <w:iCs/>
              </w:rPr>
            </w:pPr>
            <w:r w:rsidRPr="00295824">
              <w:rPr>
                <w:iCs/>
              </w:rPr>
              <w:t xml:space="preserve"> (n=96)</w:t>
            </w:r>
          </w:p>
        </w:tc>
        <w:tc>
          <w:tcPr>
            <w:tcW w:w="992" w:type="dxa"/>
            <w:vMerge/>
          </w:tcPr>
          <w:p w14:paraId="641E6B56" w14:textId="77777777" w:rsidR="00295824" w:rsidRPr="00295824" w:rsidRDefault="00295824" w:rsidP="00295824">
            <w:pPr>
              <w:rPr>
                <w:iCs/>
              </w:rPr>
            </w:pPr>
          </w:p>
        </w:tc>
      </w:tr>
    </w:tbl>
    <w:p w14:paraId="30DC03CE" w14:textId="77777777" w:rsidR="00295824" w:rsidRPr="00295824" w:rsidRDefault="00295824" w:rsidP="00295824">
      <w:pPr>
        <w:ind w:left="360"/>
      </w:pPr>
      <w:r w:rsidRPr="00295824">
        <w:t>* Mann Whitney U test incorporating participants unable to perform test and times from participants able to perform test.</w:t>
      </w:r>
    </w:p>
    <w:p w14:paraId="038AB2C2" w14:textId="77777777" w:rsidR="00295824" w:rsidRPr="00295824" w:rsidRDefault="00295824" w:rsidP="00295824">
      <w:pPr>
        <w:rPr>
          <w:iCs/>
          <w:sz w:val="24"/>
          <w:szCs w:val="24"/>
        </w:rPr>
      </w:pPr>
    </w:p>
    <w:p w14:paraId="551A9AC5" w14:textId="77777777" w:rsidR="00B569C5" w:rsidRDefault="00B569C5" w:rsidP="00295824">
      <w:pPr>
        <w:rPr>
          <w:iCs/>
          <w:sz w:val="24"/>
          <w:szCs w:val="24"/>
        </w:rPr>
      </w:pPr>
    </w:p>
    <w:p w14:paraId="78B05BBE" w14:textId="77777777" w:rsidR="00B569C5" w:rsidRDefault="00B569C5" w:rsidP="00295824">
      <w:pPr>
        <w:rPr>
          <w:iCs/>
          <w:sz w:val="24"/>
          <w:szCs w:val="24"/>
        </w:rPr>
      </w:pPr>
    </w:p>
    <w:p w14:paraId="20BC829C" w14:textId="77777777" w:rsidR="00B569C5" w:rsidRDefault="00B569C5" w:rsidP="00295824">
      <w:pPr>
        <w:rPr>
          <w:iCs/>
          <w:sz w:val="24"/>
          <w:szCs w:val="24"/>
        </w:rPr>
      </w:pPr>
    </w:p>
    <w:p w14:paraId="7AEB5470" w14:textId="77777777" w:rsidR="00B569C5" w:rsidRDefault="00B569C5" w:rsidP="00295824">
      <w:pPr>
        <w:rPr>
          <w:iCs/>
          <w:sz w:val="24"/>
          <w:szCs w:val="24"/>
        </w:rPr>
      </w:pPr>
    </w:p>
    <w:p w14:paraId="31134E9D" w14:textId="77777777" w:rsidR="00B569C5" w:rsidRDefault="00B569C5" w:rsidP="00295824">
      <w:pPr>
        <w:rPr>
          <w:iCs/>
          <w:sz w:val="24"/>
          <w:szCs w:val="24"/>
        </w:rPr>
      </w:pPr>
    </w:p>
    <w:p w14:paraId="4CBBB5AD" w14:textId="77777777" w:rsidR="00B569C5" w:rsidRDefault="00B569C5" w:rsidP="00295824">
      <w:pPr>
        <w:rPr>
          <w:iCs/>
          <w:sz w:val="24"/>
          <w:szCs w:val="24"/>
        </w:rPr>
      </w:pPr>
    </w:p>
    <w:p w14:paraId="6074D2C7" w14:textId="77777777" w:rsidR="008105D8" w:rsidRDefault="008105D8" w:rsidP="00295824">
      <w:pPr>
        <w:rPr>
          <w:iCs/>
          <w:sz w:val="24"/>
          <w:szCs w:val="24"/>
        </w:rPr>
      </w:pPr>
    </w:p>
    <w:p w14:paraId="7CC706D6" w14:textId="77777777" w:rsidR="008105D8" w:rsidRDefault="008105D8" w:rsidP="00295824">
      <w:pPr>
        <w:rPr>
          <w:iCs/>
          <w:sz w:val="24"/>
          <w:szCs w:val="24"/>
        </w:rPr>
      </w:pPr>
    </w:p>
    <w:p w14:paraId="7A5E4B2E" w14:textId="77777777" w:rsidR="008105D8" w:rsidRDefault="008105D8" w:rsidP="00295824">
      <w:pPr>
        <w:rPr>
          <w:iCs/>
          <w:sz w:val="24"/>
          <w:szCs w:val="24"/>
        </w:rPr>
      </w:pPr>
    </w:p>
    <w:p w14:paraId="0E772544" w14:textId="77777777" w:rsidR="008105D8" w:rsidRDefault="008105D8" w:rsidP="00295824">
      <w:pPr>
        <w:rPr>
          <w:iCs/>
          <w:sz w:val="24"/>
          <w:szCs w:val="24"/>
        </w:rPr>
      </w:pPr>
    </w:p>
    <w:p w14:paraId="0BDD576E" w14:textId="77777777" w:rsidR="008105D8" w:rsidRDefault="008105D8" w:rsidP="00295824">
      <w:pPr>
        <w:rPr>
          <w:iCs/>
          <w:sz w:val="24"/>
          <w:szCs w:val="24"/>
        </w:rPr>
      </w:pPr>
    </w:p>
    <w:p w14:paraId="456FD381" w14:textId="77777777" w:rsidR="008105D8" w:rsidRDefault="008105D8" w:rsidP="00295824">
      <w:pPr>
        <w:rPr>
          <w:iCs/>
          <w:sz w:val="24"/>
          <w:szCs w:val="24"/>
        </w:rPr>
      </w:pPr>
    </w:p>
    <w:p w14:paraId="6E11CCB5" w14:textId="77777777" w:rsidR="008105D8" w:rsidRDefault="008105D8" w:rsidP="00295824">
      <w:pPr>
        <w:rPr>
          <w:iCs/>
          <w:sz w:val="24"/>
          <w:szCs w:val="24"/>
        </w:rPr>
      </w:pPr>
    </w:p>
    <w:p w14:paraId="3BE73B95" w14:textId="77777777" w:rsidR="008105D8" w:rsidRDefault="008105D8" w:rsidP="00295824">
      <w:pPr>
        <w:rPr>
          <w:iCs/>
          <w:sz w:val="24"/>
          <w:szCs w:val="24"/>
        </w:rPr>
      </w:pPr>
    </w:p>
    <w:p w14:paraId="30E59879" w14:textId="77777777" w:rsidR="008105D8" w:rsidRDefault="008105D8" w:rsidP="00295824">
      <w:pPr>
        <w:rPr>
          <w:iCs/>
          <w:sz w:val="24"/>
          <w:szCs w:val="24"/>
        </w:rPr>
      </w:pPr>
    </w:p>
    <w:p w14:paraId="70BDAF22" w14:textId="4991D174" w:rsidR="008105D8" w:rsidRDefault="00B427A1" w:rsidP="009E3404">
      <w:pPr>
        <w:spacing w:after="0" w:line="240" w:lineRule="auto"/>
        <w:rPr>
          <w:iCs/>
        </w:rPr>
      </w:pPr>
      <w:r>
        <w:rPr>
          <w:noProof/>
          <w:lang w:eastAsia="en-GB"/>
        </w:rPr>
        <w:lastRenderedPageBreak/>
        <w:drawing>
          <wp:inline distT="0" distB="0" distL="0" distR="0" wp14:anchorId="791D1EAA" wp14:editId="6D2E6787">
            <wp:extent cx="5731510" cy="8050757"/>
            <wp:effectExtent l="0" t="0" r="2540" b="7620"/>
            <wp:docPr id="2537" name="Picture 2537"/>
            <wp:cNvGraphicFramePr/>
            <a:graphic xmlns:a="http://schemas.openxmlformats.org/drawingml/2006/main">
              <a:graphicData uri="http://schemas.openxmlformats.org/drawingml/2006/picture">
                <pic:pic xmlns:pic="http://schemas.openxmlformats.org/drawingml/2006/picture">
                  <pic:nvPicPr>
                    <pic:cNvPr id="2537" name="Picture 2537"/>
                    <pic:cNvPicPr/>
                  </pic:nvPicPr>
                  <pic:blipFill>
                    <a:blip r:embed="rId9"/>
                    <a:stretch>
                      <a:fillRect/>
                    </a:stretch>
                  </pic:blipFill>
                  <pic:spPr>
                    <a:xfrm>
                      <a:off x="0" y="0"/>
                      <a:ext cx="5731510" cy="8050757"/>
                    </a:xfrm>
                    <a:prstGeom prst="rect">
                      <a:avLst/>
                    </a:prstGeom>
                  </pic:spPr>
                </pic:pic>
              </a:graphicData>
            </a:graphic>
          </wp:inline>
        </w:drawing>
      </w:r>
    </w:p>
    <w:p w14:paraId="37F4A902" w14:textId="77777777" w:rsidR="008105D8" w:rsidRDefault="008105D8" w:rsidP="009E3404">
      <w:pPr>
        <w:spacing w:after="0" w:line="240" w:lineRule="auto"/>
        <w:rPr>
          <w:iCs/>
        </w:rPr>
      </w:pPr>
    </w:p>
    <w:p w14:paraId="40047CBB" w14:textId="77777777" w:rsidR="008105D8" w:rsidRDefault="008105D8" w:rsidP="009E3404">
      <w:pPr>
        <w:spacing w:after="0" w:line="240" w:lineRule="auto"/>
        <w:rPr>
          <w:iCs/>
        </w:rPr>
      </w:pPr>
    </w:p>
    <w:p w14:paraId="0731E4F5" w14:textId="77777777" w:rsidR="008105D8" w:rsidRDefault="008105D8" w:rsidP="009E3404">
      <w:pPr>
        <w:spacing w:after="0" w:line="240" w:lineRule="auto"/>
        <w:rPr>
          <w:iCs/>
        </w:rPr>
      </w:pPr>
    </w:p>
    <w:p w14:paraId="2029485F" w14:textId="77777777" w:rsidR="008105D8" w:rsidRDefault="008105D8" w:rsidP="009E3404">
      <w:pPr>
        <w:spacing w:after="0" w:line="240" w:lineRule="auto"/>
        <w:rPr>
          <w:iCs/>
        </w:rPr>
      </w:pPr>
    </w:p>
    <w:p w14:paraId="47F63A11" w14:textId="77777777" w:rsidR="008105D8" w:rsidRDefault="008105D8">
      <w:pPr>
        <w:rPr>
          <w:iCs/>
        </w:rPr>
        <w:sectPr w:rsidR="008105D8" w:rsidSect="00263399">
          <w:footerReference w:type="default" r:id="rId10"/>
          <w:pgSz w:w="11906" w:h="16838"/>
          <w:pgMar w:top="1440" w:right="1440" w:bottom="1440" w:left="851" w:header="708" w:footer="708" w:gutter="0"/>
          <w:cols w:space="708"/>
          <w:docGrid w:linePitch="360"/>
        </w:sectPr>
      </w:pPr>
    </w:p>
    <w:p w14:paraId="727BDF2B" w14:textId="77777777" w:rsidR="008105D8" w:rsidRPr="008105D8" w:rsidRDefault="008105D8" w:rsidP="008105D8">
      <w:pPr>
        <w:spacing w:after="0" w:line="240" w:lineRule="auto"/>
        <w:rPr>
          <w:b/>
          <w:iCs/>
          <w:noProof/>
          <w:sz w:val="28"/>
          <w:szCs w:val="28"/>
          <w:lang w:eastAsia="en-GB"/>
        </w:rPr>
      </w:pPr>
      <w:r w:rsidRPr="008105D8">
        <w:rPr>
          <w:b/>
          <w:iCs/>
          <w:noProof/>
          <w:sz w:val="28"/>
          <w:szCs w:val="28"/>
          <w:lang w:eastAsia="en-GB"/>
        </w:rPr>
        <w:lastRenderedPageBreak/>
        <w:t>Figure 2: Overall and subgroup analysis of falling, near falling (during 0 to 6 months) and secondary outcomes (at 6 months)</w:t>
      </w:r>
    </w:p>
    <w:p w14:paraId="152D65FE" w14:textId="77777777" w:rsidR="008105D8" w:rsidRPr="008105D8" w:rsidRDefault="008105D8" w:rsidP="008105D8">
      <w:pPr>
        <w:spacing w:after="0" w:line="240" w:lineRule="auto"/>
        <w:rPr>
          <w:iCs/>
          <w:noProof/>
          <w:sz w:val="20"/>
          <w:szCs w:val="20"/>
          <w:lang w:eastAsia="en-GB"/>
        </w:rPr>
      </w:pPr>
    </w:p>
    <w:p w14:paraId="09AE6E02" w14:textId="77777777" w:rsidR="008105D8" w:rsidRPr="008105D8" w:rsidRDefault="008105D8" w:rsidP="008105D8">
      <w:pPr>
        <w:spacing w:after="0" w:line="240" w:lineRule="auto"/>
        <w:rPr>
          <w:b/>
          <w:iCs/>
          <w:sz w:val="28"/>
          <w:szCs w:val="28"/>
        </w:rPr>
      </w:pPr>
      <w:r w:rsidRPr="008105D8">
        <w:rPr>
          <w:b/>
          <w:iCs/>
          <w:noProof/>
          <w:sz w:val="28"/>
          <w:szCs w:val="28"/>
          <w:lang w:eastAsia="en-GB"/>
        </w:rPr>
        <w:drawing>
          <wp:inline distT="0" distB="0" distL="0" distR="0" wp14:anchorId="63375119" wp14:editId="5C2F283D">
            <wp:extent cx="9431655" cy="4407514"/>
            <wp:effectExtent l="0" t="0" r="0" b="0"/>
            <wp:docPr id="1" name="Picture 1" descr="M:\ResearchGroups\PDSAFESTATS\DATA June 2017\Report\OR_FRR_NFRR_MiniB_FES_Paper061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esearchGroups\PDSAFESTATS\DATA June 2017\Report\OR_FRR_NFRR_MiniB_FES_Paper06111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31655" cy="4407514"/>
                    </a:xfrm>
                    <a:prstGeom prst="rect">
                      <a:avLst/>
                    </a:prstGeom>
                    <a:noFill/>
                    <a:ln>
                      <a:noFill/>
                    </a:ln>
                  </pic:spPr>
                </pic:pic>
              </a:graphicData>
            </a:graphic>
          </wp:inline>
        </w:drawing>
      </w:r>
    </w:p>
    <w:p w14:paraId="03BF0711" w14:textId="77777777" w:rsidR="008105D8" w:rsidRPr="008105D8" w:rsidRDefault="008105D8" w:rsidP="008105D8">
      <w:pPr>
        <w:rPr>
          <w:b/>
          <w:iCs/>
        </w:rPr>
      </w:pPr>
      <w:r w:rsidRPr="008105D8">
        <w:rPr>
          <w:iCs/>
        </w:rPr>
        <w:t>* Test for interaction of PDSAFE contrast differing across subgroups, c</w:t>
      </w:r>
      <w:r w:rsidRPr="008105D8">
        <w:t>ontrolled for site, age, gender, repeat falling or not in the year prior to screening, log number of falls in the year prior to falling, log rate of falling in the pre randomisation falls collection period, Hoehn and Yahr, and the outcome in question assessed at baseline.</w:t>
      </w:r>
    </w:p>
    <w:p w14:paraId="590901E4" w14:textId="63BCE39C" w:rsidR="008105D8" w:rsidRPr="009E3404" w:rsidRDefault="008105D8" w:rsidP="00305865">
      <w:pPr>
        <w:spacing w:after="0"/>
        <w:rPr>
          <w:iCs/>
        </w:rPr>
      </w:pPr>
      <w:r w:rsidRPr="008105D8">
        <w:rPr>
          <w:iCs/>
        </w:rPr>
        <w:t>**OR= Odds Ratio; FRR=Falls Rate Ratio; NFRR= Near Falls Rate Ratio; Mini-BESTest= Balance Evaluation Systems Test; FES-I= Falls Efficacy Scale International</w:t>
      </w:r>
      <w:bookmarkStart w:id="0" w:name="_GoBack"/>
      <w:bookmarkEnd w:id="0"/>
    </w:p>
    <w:sectPr w:rsidR="008105D8" w:rsidRPr="009E3404" w:rsidSect="00305865">
      <w:pgSz w:w="16838" w:h="11906" w:orient="landscape"/>
      <w:pgMar w:top="851"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AD66EE" w16cid:durableId="1F8416B4"/>
  <w16cid:commentId w16cid:paraId="04858AE9" w16cid:durableId="1F8431E7"/>
  <w16cid:commentId w16cid:paraId="2CF5E5FC" w16cid:durableId="1F843240"/>
  <w16cid:commentId w16cid:paraId="15E75E9D" w16cid:durableId="1F84324D"/>
  <w16cid:commentId w16cid:paraId="76A88B89" w16cid:durableId="1F8432A0"/>
  <w16cid:commentId w16cid:paraId="30A5B89B" w16cid:durableId="1F841635"/>
  <w16cid:commentId w16cid:paraId="7B40BC4D" w16cid:durableId="1F8432E5"/>
  <w16cid:commentId w16cid:paraId="4FAC1912" w16cid:durableId="1F84335D"/>
  <w16cid:commentId w16cid:paraId="1F6B101F" w16cid:durableId="1F843DAC"/>
  <w16cid:commentId w16cid:paraId="321350D1" w16cid:durableId="1F841636"/>
  <w16cid:commentId w16cid:paraId="195DE81E" w16cid:durableId="1F843E10"/>
  <w16cid:commentId w16cid:paraId="51631504" w16cid:durableId="1F841637"/>
  <w16cid:commentId w16cid:paraId="57283A8B" w16cid:durableId="1F843E8F"/>
  <w16cid:commentId w16cid:paraId="4E7138AC" w16cid:durableId="1F841638"/>
  <w16cid:commentId w16cid:paraId="74BAEF89" w16cid:durableId="1F843F12"/>
  <w16cid:commentId w16cid:paraId="2190AA19" w16cid:durableId="1F843F4D"/>
  <w16cid:commentId w16cid:paraId="73C2DA2E" w16cid:durableId="1F8416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38766" w14:textId="77777777" w:rsidR="008105D8" w:rsidRDefault="008105D8">
      <w:pPr>
        <w:spacing w:after="0" w:line="240" w:lineRule="auto"/>
      </w:pPr>
      <w:r>
        <w:separator/>
      </w:r>
    </w:p>
  </w:endnote>
  <w:endnote w:type="continuationSeparator" w:id="0">
    <w:p w14:paraId="654743F0" w14:textId="77777777" w:rsidR="008105D8" w:rsidRDefault="00810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pthkdAdvTT86d47313">
    <w:panose1 w:val="00000000000000000000"/>
    <w:charset w:val="00"/>
    <w:family w:val="roman"/>
    <w:notTrueType/>
    <w:pitch w:val="default"/>
    <w:sig w:usb0="00000003" w:usb1="00000000" w:usb2="00000000" w:usb3="00000000" w:csb0="00000001" w:csb1="00000000"/>
  </w:font>
  <w:font w:name="VfjphkAdvTT43ccf47d">
    <w:panose1 w:val="00000000000000000000"/>
    <w:charset w:val="00"/>
    <w:family w:val="roman"/>
    <w:notTrueType/>
    <w:pitch w:val="default"/>
    <w:sig w:usb0="00000003" w:usb1="00000000" w:usb2="00000000" w:usb3="00000000" w:csb0="00000001" w:csb1="00000000"/>
  </w:font>
  <w:font w:name="AdvOT35fdff1a">
    <w:panose1 w:val="00000000000000000000"/>
    <w:charset w:val="00"/>
    <w:family w:val="roman"/>
    <w:notTrueType/>
    <w:pitch w:val="default"/>
    <w:sig w:usb0="00000003" w:usb1="00000000" w:usb2="00000000" w:usb3="00000000" w:csb0="00000001" w:csb1="00000000"/>
  </w:font>
  <w:font w:name="HelveticaNeueLTStd-Cn">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1A78E" w14:textId="72CCCDE9" w:rsidR="008105D8" w:rsidRDefault="00305865">
    <w:pPr>
      <w:pStyle w:val="Footer"/>
      <w:jc w:val="center"/>
    </w:pPr>
    <w:sdt>
      <w:sdtPr>
        <w:id w:val="1419364203"/>
        <w:docPartObj>
          <w:docPartGallery w:val="Page Numbers (Bottom of Page)"/>
          <w:docPartUnique/>
        </w:docPartObj>
      </w:sdtPr>
      <w:sdtEndPr>
        <w:rPr>
          <w:noProof/>
        </w:rPr>
      </w:sdtEndPr>
      <w:sdtContent>
        <w:r w:rsidR="008105D8">
          <w:fldChar w:fldCharType="begin"/>
        </w:r>
        <w:r w:rsidR="008105D8">
          <w:instrText xml:space="preserve"> PAGE   \* MERGEFORMAT </w:instrText>
        </w:r>
        <w:r w:rsidR="008105D8">
          <w:fldChar w:fldCharType="separate"/>
        </w:r>
        <w:r>
          <w:rPr>
            <w:noProof/>
          </w:rPr>
          <w:t>25</w:t>
        </w:r>
        <w:r w:rsidR="008105D8">
          <w:rPr>
            <w:noProof/>
          </w:rPr>
          <w:fldChar w:fldCharType="end"/>
        </w:r>
      </w:sdtContent>
    </w:sdt>
  </w:p>
  <w:p w14:paraId="3495A144" w14:textId="77777777" w:rsidR="008105D8" w:rsidRDefault="00810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0C20C" w14:textId="77777777" w:rsidR="008105D8" w:rsidRDefault="008105D8">
      <w:pPr>
        <w:spacing w:after="0" w:line="240" w:lineRule="auto"/>
      </w:pPr>
      <w:r>
        <w:separator/>
      </w:r>
    </w:p>
  </w:footnote>
  <w:footnote w:type="continuationSeparator" w:id="0">
    <w:p w14:paraId="7621E16E" w14:textId="77777777" w:rsidR="008105D8" w:rsidRDefault="008105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D9786A60"/>
    <w:lvl w:ilvl="0">
      <w:start w:val="1"/>
      <w:numFmt w:val="decimal"/>
      <w:lvlText w:val="%1."/>
      <w:lvlJc w:val="left"/>
      <w:pPr>
        <w:tabs>
          <w:tab w:val="num" w:pos="1276"/>
        </w:tabs>
        <w:ind w:left="1276" w:hanging="992"/>
      </w:pPr>
    </w:lvl>
    <w:lvl w:ilvl="1">
      <w:start w:val="1"/>
      <w:numFmt w:val="decimal"/>
      <w:lvlText w:val="%1.%2"/>
      <w:lvlJc w:val="left"/>
      <w:pPr>
        <w:tabs>
          <w:tab w:val="num" w:pos="1418"/>
        </w:tabs>
        <w:ind w:left="1418" w:hanging="992"/>
      </w:pPr>
      <w:rPr>
        <w:b/>
        <w:i w:val="0"/>
      </w:rPr>
    </w:lvl>
    <w:lvl w:ilvl="2">
      <w:start w:val="1"/>
      <w:numFmt w:val="decimal"/>
      <w:lvlText w:val="%1.%2.%3"/>
      <w:lvlJc w:val="left"/>
      <w:pPr>
        <w:tabs>
          <w:tab w:val="num" w:pos="6238"/>
        </w:tabs>
        <w:ind w:left="6238" w:hanging="992"/>
      </w:pPr>
    </w:lvl>
    <w:lvl w:ilvl="3">
      <w:start w:val="1"/>
      <w:numFmt w:val="decimal"/>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E92A59"/>
    <w:multiLevelType w:val="hybridMultilevel"/>
    <w:tmpl w:val="B490791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8C47C56"/>
    <w:multiLevelType w:val="hybridMultilevel"/>
    <w:tmpl w:val="62FE155E"/>
    <w:lvl w:ilvl="0" w:tplc="3B742808">
      <w:start w:val="16"/>
      <w:numFmt w:val="decimal"/>
      <w:lvlText w:val="%1"/>
      <w:lvlJc w:val="left"/>
      <w:pPr>
        <w:ind w:left="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708365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0629D1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0DAE40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CE82C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1A3FE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D6921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BA5F9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14E08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053060"/>
    <w:multiLevelType w:val="hybridMultilevel"/>
    <w:tmpl w:val="3B76731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 w15:restartNumberingAfterBreak="0">
    <w:nsid w:val="0C2A58BA"/>
    <w:multiLevelType w:val="hybridMultilevel"/>
    <w:tmpl w:val="4EE4D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E7696"/>
    <w:multiLevelType w:val="hybridMultilevel"/>
    <w:tmpl w:val="4150EAE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70B94"/>
    <w:multiLevelType w:val="hybridMultilevel"/>
    <w:tmpl w:val="BB7AC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F2F44"/>
    <w:multiLevelType w:val="hybridMultilevel"/>
    <w:tmpl w:val="8A0C707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03F7AC9"/>
    <w:multiLevelType w:val="hybridMultilevel"/>
    <w:tmpl w:val="ACE2E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EE2CD7"/>
    <w:multiLevelType w:val="hybridMultilevel"/>
    <w:tmpl w:val="E956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224FC"/>
    <w:multiLevelType w:val="hybridMultilevel"/>
    <w:tmpl w:val="FB86F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C84155"/>
    <w:multiLevelType w:val="hybridMultilevel"/>
    <w:tmpl w:val="530EC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D7A32"/>
    <w:multiLevelType w:val="hybridMultilevel"/>
    <w:tmpl w:val="3DD8EA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1E869F8"/>
    <w:multiLevelType w:val="hybridMultilevel"/>
    <w:tmpl w:val="597203B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25D926CE"/>
    <w:multiLevelType w:val="hybridMultilevel"/>
    <w:tmpl w:val="EF2C0548"/>
    <w:lvl w:ilvl="0" w:tplc="D46604BE">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CB37DAE"/>
    <w:multiLevelType w:val="hybridMultilevel"/>
    <w:tmpl w:val="86C6E3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F161D3A"/>
    <w:multiLevelType w:val="multilevel"/>
    <w:tmpl w:val="C59204D4"/>
    <w:lvl w:ilvl="0">
      <w:start w:val="1"/>
      <w:numFmt w:val="decimal"/>
      <w:lvlText w:val="%1"/>
      <w:lvlJc w:val="left"/>
      <w:pPr>
        <w:ind w:left="435" w:hanging="435"/>
      </w:pPr>
      <w:rPr>
        <w:rFonts w:hint="default"/>
      </w:rPr>
    </w:lvl>
    <w:lvl w:ilvl="1">
      <w:start w:val="1"/>
      <w:numFmt w:val="decimalZero"/>
      <w:lvlText w:val="%1.%2"/>
      <w:lvlJc w:val="left"/>
      <w:pPr>
        <w:ind w:left="378" w:hanging="435"/>
      </w:pPr>
      <w:rPr>
        <w:rFonts w:hint="default"/>
      </w:rPr>
    </w:lvl>
    <w:lvl w:ilvl="2">
      <w:start w:val="1"/>
      <w:numFmt w:val="decimal"/>
      <w:lvlText w:val="%1.%2.%3"/>
      <w:lvlJc w:val="left"/>
      <w:pPr>
        <w:ind w:left="606" w:hanging="720"/>
      </w:pPr>
      <w:rPr>
        <w:rFonts w:hint="default"/>
      </w:rPr>
    </w:lvl>
    <w:lvl w:ilvl="3">
      <w:start w:val="1"/>
      <w:numFmt w:val="decimal"/>
      <w:lvlText w:val="%1.%2.%3.%4"/>
      <w:lvlJc w:val="left"/>
      <w:pPr>
        <w:ind w:left="549" w:hanging="720"/>
      </w:pPr>
      <w:rPr>
        <w:rFonts w:hint="default"/>
      </w:rPr>
    </w:lvl>
    <w:lvl w:ilvl="4">
      <w:start w:val="1"/>
      <w:numFmt w:val="decimal"/>
      <w:lvlText w:val="%1.%2.%3.%4.%5"/>
      <w:lvlJc w:val="left"/>
      <w:pPr>
        <w:ind w:left="852" w:hanging="1080"/>
      </w:pPr>
      <w:rPr>
        <w:rFonts w:hint="default"/>
      </w:rPr>
    </w:lvl>
    <w:lvl w:ilvl="5">
      <w:start w:val="1"/>
      <w:numFmt w:val="decimal"/>
      <w:lvlText w:val="%1.%2.%3.%4.%5.%6"/>
      <w:lvlJc w:val="left"/>
      <w:pPr>
        <w:ind w:left="795" w:hanging="1080"/>
      </w:pPr>
      <w:rPr>
        <w:rFonts w:hint="default"/>
      </w:rPr>
    </w:lvl>
    <w:lvl w:ilvl="6">
      <w:start w:val="1"/>
      <w:numFmt w:val="decimal"/>
      <w:lvlText w:val="%1.%2.%3.%4.%5.%6.%7"/>
      <w:lvlJc w:val="left"/>
      <w:pPr>
        <w:ind w:left="1098" w:hanging="1440"/>
      </w:pPr>
      <w:rPr>
        <w:rFonts w:hint="default"/>
      </w:rPr>
    </w:lvl>
    <w:lvl w:ilvl="7">
      <w:start w:val="1"/>
      <w:numFmt w:val="decimal"/>
      <w:lvlText w:val="%1.%2.%3.%4.%5.%6.%7.%8"/>
      <w:lvlJc w:val="left"/>
      <w:pPr>
        <w:ind w:left="1041" w:hanging="1440"/>
      </w:pPr>
      <w:rPr>
        <w:rFonts w:hint="default"/>
      </w:rPr>
    </w:lvl>
    <w:lvl w:ilvl="8">
      <w:start w:val="1"/>
      <w:numFmt w:val="decimal"/>
      <w:lvlText w:val="%1.%2.%3.%4.%5.%6.%7.%8.%9"/>
      <w:lvlJc w:val="left"/>
      <w:pPr>
        <w:ind w:left="984" w:hanging="1440"/>
      </w:pPr>
      <w:rPr>
        <w:rFonts w:hint="default"/>
      </w:rPr>
    </w:lvl>
  </w:abstractNum>
  <w:abstractNum w:abstractNumId="17" w15:restartNumberingAfterBreak="0">
    <w:nsid w:val="2FA333B0"/>
    <w:multiLevelType w:val="hybridMultilevel"/>
    <w:tmpl w:val="6EA6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5F3147"/>
    <w:multiLevelType w:val="hybridMultilevel"/>
    <w:tmpl w:val="6F9C2B26"/>
    <w:lvl w:ilvl="0" w:tplc="D46604BE">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7BC55CC"/>
    <w:multiLevelType w:val="hybridMultilevel"/>
    <w:tmpl w:val="8772915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37DB180B"/>
    <w:multiLevelType w:val="hybridMultilevel"/>
    <w:tmpl w:val="4BFC5D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37EA420C"/>
    <w:multiLevelType w:val="hybridMultilevel"/>
    <w:tmpl w:val="2C6EC7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A947FDD"/>
    <w:multiLevelType w:val="hybridMultilevel"/>
    <w:tmpl w:val="0FB610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428E77A6"/>
    <w:multiLevelType w:val="hybridMultilevel"/>
    <w:tmpl w:val="ACA6D8B2"/>
    <w:lvl w:ilvl="0" w:tplc="D46604BE">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4AD6A6B"/>
    <w:multiLevelType w:val="hybridMultilevel"/>
    <w:tmpl w:val="D5EC71C2"/>
    <w:lvl w:ilvl="0" w:tplc="B0961F3A">
      <w:start w:val="1"/>
      <w:numFmt w:val="decimal"/>
      <w:lvlText w:val="%1."/>
      <w:lvlJc w:val="left"/>
      <w:pPr>
        <w:ind w:left="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ECE6D9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24525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4A537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7230B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482D14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CACD4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CE01D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A438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8063FDE"/>
    <w:multiLevelType w:val="hybridMultilevel"/>
    <w:tmpl w:val="BFF25BD0"/>
    <w:lvl w:ilvl="0" w:tplc="D46604BE">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BB805FD"/>
    <w:multiLevelType w:val="hybridMultilevel"/>
    <w:tmpl w:val="62A0209C"/>
    <w:lvl w:ilvl="0" w:tplc="D46604BE">
      <w:numFmt w:val="bullet"/>
      <w:lvlText w:val="-"/>
      <w:lvlJc w:val="left"/>
      <w:pPr>
        <w:ind w:left="1140" w:hanging="360"/>
      </w:pPr>
      <w:rPr>
        <w:rFonts w:ascii="Arial" w:eastAsia="Calibri"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7" w15:restartNumberingAfterBreak="0">
    <w:nsid w:val="534D698E"/>
    <w:multiLevelType w:val="hybridMultilevel"/>
    <w:tmpl w:val="C480018C"/>
    <w:lvl w:ilvl="0" w:tplc="DCA2ABE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41D3444"/>
    <w:multiLevelType w:val="hybridMultilevel"/>
    <w:tmpl w:val="BD98E0A0"/>
    <w:lvl w:ilvl="0" w:tplc="E7A65B06">
      <w:start w:val="1"/>
      <w:numFmt w:val="bullet"/>
      <w:lvlText w:val="–"/>
      <w:lvlJc w:val="left"/>
      <w:pPr>
        <w:tabs>
          <w:tab w:val="num" w:pos="720"/>
        </w:tabs>
        <w:ind w:left="720" w:hanging="360"/>
      </w:pPr>
      <w:rPr>
        <w:rFonts w:ascii="Arial" w:hAnsi="Arial" w:hint="default"/>
      </w:rPr>
    </w:lvl>
    <w:lvl w:ilvl="1" w:tplc="4E8847DE">
      <w:start w:val="1"/>
      <w:numFmt w:val="bullet"/>
      <w:lvlText w:val="–"/>
      <w:lvlJc w:val="left"/>
      <w:pPr>
        <w:tabs>
          <w:tab w:val="num" w:pos="1440"/>
        </w:tabs>
        <w:ind w:left="1440" w:hanging="360"/>
      </w:pPr>
      <w:rPr>
        <w:rFonts w:ascii="Arial" w:hAnsi="Arial" w:hint="default"/>
      </w:rPr>
    </w:lvl>
    <w:lvl w:ilvl="2" w:tplc="76CAA7F2" w:tentative="1">
      <w:start w:val="1"/>
      <w:numFmt w:val="bullet"/>
      <w:lvlText w:val="–"/>
      <w:lvlJc w:val="left"/>
      <w:pPr>
        <w:tabs>
          <w:tab w:val="num" w:pos="2160"/>
        </w:tabs>
        <w:ind w:left="2160" w:hanging="360"/>
      </w:pPr>
      <w:rPr>
        <w:rFonts w:ascii="Arial" w:hAnsi="Arial" w:hint="default"/>
      </w:rPr>
    </w:lvl>
    <w:lvl w:ilvl="3" w:tplc="86D65EA8" w:tentative="1">
      <w:start w:val="1"/>
      <w:numFmt w:val="bullet"/>
      <w:lvlText w:val="–"/>
      <w:lvlJc w:val="left"/>
      <w:pPr>
        <w:tabs>
          <w:tab w:val="num" w:pos="2880"/>
        </w:tabs>
        <w:ind w:left="2880" w:hanging="360"/>
      </w:pPr>
      <w:rPr>
        <w:rFonts w:ascii="Arial" w:hAnsi="Arial" w:hint="default"/>
      </w:rPr>
    </w:lvl>
    <w:lvl w:ilvl="4" w:tplc="EE362472" w:tentative="1">
      <w:start w:val="1"/>
      <w:numFmt w:val="bullet"/>
      <w:lvlText w:val="–"/>
      <w:lvlJc w:val="left"/>
      <w:pPr>
        <w:tabs>
          <w:tab w:val="num" w:pos="3600"/>
        </w:tabs>
        <w:ind w:left="3600" w:hanging="360"/>
      </w:pPr>
      <w:rPr>
        <w:rFonts w:ascii="Arial" w:hAnsi="Arial" w:hint="default"/>
      </w:rPr>
    </w:lvl>
    <w:lvl w:ilvl="5" w:tplc="869A3646" w:tentative="1">
      <w:start w:val="1"/>
      <w:numFmt w:val="bullet"/>
      <w:lvlText w:val="–"/>
      <w:lvlJc w:val="left"/>
      <w:pPr>
        <w:tabs>
          <w:tab w:val="num" w:pos="4320"/>
        </w:tabs>
        <w:ind w:left="4320" w:hanging="360"/>
      </w:pPr>
      <w:rPr>
        <w:rFonts w:ascii="Arial" w:hAnsi="Arial" w:hint="default"/>
      </w:rPr>
    </w:lvl>
    <w:lvl w:ilvl="6" w:tplc="7C5EB5F4" w:tentative="1">
      <w:start w:val="1"/>
      <w:numFmt w:val="bullet"/>
      <w:lvlText w:val="–"/>
      <w:lvlJc w:val="left"/>
      <w:pPr>
        <w:tabs>
          <w:tab w:val="num" w:pos="5040"/>
        </w:tabs>
        <w:ind w:left="5040" w:hanging="360"/>
      </w:pPr>
      <w:rPr>
        <w:rFonts w:ascii="Arial" w:hAnsi="Arial" w:hint="default"/>
      </w:rPr>
    </w:lvl>
    <w:lvl w:ilvl="7" w:tplc="DDDCC0E0" w:tentative="1">
      <w:start w:val="1"/>
      <w:numFmt w:val="bullet"/>
      <w:lvlText w:val="–"/>
      <w:lvlJc w:val="left"/>
      <w:pPr>
        <w:tabs>
          <w:tab w:val="num" w:pos="5760"/>
        </w:tabs>
        <w:ind w:left="5760" w:hanging="360"/>
      </w:pPr>
      <w:rPr>
        <w:rFonts w:ascii="Arial" w:hAnsi="Arial" w:hint="default"/>
      </w:rPr>
    </w:lvl>
    <w:lvl w:ilvl="8" w:tplc="EB98B4B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A746E4"/>
    <w:multiLevelType w:val="hybridMultilevel"/>
    <w:tmpl w:val="BADAC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D54990"/>
    <w:multiLevelType w:val="hybridMultilevel"/>
    <w:tmpl w:val="CC36CC14"/>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5AD27694"/>
    <w:multiLevelType w:val="hybridMultilevel"/>
    <w:tmpl w:val="F7AAFB76"/>
    <w:lvl w:ilvl="0" w:tplc="9802E9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655F53"/>
    <w:multiLevelType w:val="hybridMultilevel"/>
    <w:tmpl w:val="9A2C1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706549"/>
    <w:multiLevelType w:val="hybridMultilevel"/>
    <w:tmpl w:val="188C2A18"/>
    <w:lvl w:ilvl="0" w:tplc="149060C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D7326B"/>
    <w:multiLevelType w:val="hybridMultilevel"/>
    <w:tmpl w:val="FD80CE24"/>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35" w15:restartNumberingAfterBreak="0">
    <w:nsid w:val="5FC129AB"/>
    <w:multiLevelType w:val="hybridMultilevel"/>
    <w:tmpl w:val="A1D842D8"/>
    <w:lvl w:ilvl="0" w:tplc="D46604BE">
      <w:numFmt w:val="bullet"/>
      <w:lvlText w:val="-"/>
      <w:lvlJc w:val="left"/>
      <w:pPr>
        <w:ind w:left="1069" w:hanging="360"/>
      </w:pPr>
      <w:rPr>
        <w:rFonts w:ascii="Arial" w:eastAsia="Calibr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6" w15:restartNumberingAfterBreak="0">
    <w:nsid w:val="60311591"/>
    <w:multiLevelType w:val="hybridMultilevel"/>
    <w:tmpl w:val="29701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282892"/>
    <w:multiLevelType w:val="hybridMultilevel"/>
    <w:tmpl w:val="A2B482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B0109F"/>
    <w:multiLevelType w:val="hybridMultilevel"/>
    <w:tmpl w:val="AF3E7B3A"/>
    <w:lvl w:ilvl="0" w:tplc="E282352E">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A545B54"/>
    <w:multiLevelType w:val="hybridMultilevel"/>
    <w:tmpl w:val="C4660EB4"/>
    <w:lvl w:ilvl="0" w:tplc="61043542">
      <w:start w:val="1"/>
      <w:numFmt w:val="bullet"/>
      <w:lvlText w:val="•"/>
      <w:lvlJc w:val="left"/>
      <w:pPr>
        <w:tabs>
          <w:tab w:val="num" w:pos="720"/>
        </w:tabs>
        <w:ind w:left="720" w:hanging="360"/>
      </w:pPr>
      <w:rPr>
        <w:rFonts w:ascii="Arial" w:hAnsi="Arial" w:hint="default"/>
      </w:rPr>
    </w:lvl>
    <w:lvl w:ilvl="1" w:tplc="790C4468" w:tentative="1">
      <w:start w:val="1"/>
      <w:numFmt w:val="bullet"/>
      <w:lvlText w:val="•"/>
      <w:lvlJc w:val="left"/>
      <w:pPr>
        <w:tabs>
          <w:tab w:val="num" w:pos="1440"/>
        </w:tabs>
        <w:ind w:left="1440" w:hanging="360"/>
      </w:pPr>
      <w:rPr>
        <w:rFonts w:ascii="Arial" w:hAnsi="Arial" w:hint="default"/>
      </w:rPr>
    </w:lvl>
    <w:lvl w:ilvl="2" w:tplc="D368F1EC" w:tentative="1">
      <w:start w:val="1"/>
      <w:numFmt w:val="bullet"/>
      <w:lvlText w:val="•"/>
      <w:lvlJc w:val="left"/>
      <w:pPr>
        <w:tabs>
          <w:tab w:val="num" w:pos="2160"/>
        </w:tabs>
        <w:ind w:left="2160" w:hanging="360"/>
      </w:pPr>
      <w:rPr>
        <w:rFonts w:ascii="Arial" w:hAnsi="Arial" w:hint="default"/>
      </w:rPr>
    </w:lvl>
    <w:lvl w:ilvl="3" w:tplc="6EA295B2" w:tentative="1">
      <w:start w:val="1"/>
      <w:numFmt w:val="bullet"/>
      <w:lvlText w:val="•"/>
      <w:lvlJc w:val="left"/>
      <w:pPr>
        <w:tabs>
          <w:tab w:val="num" w:pos="2880"/>
        </w:tabs>
        <w:ind w:left="2880" w:hanging="360"/>
      </w:pPr>
      <w:rPr>
        <w:rFonts w:ascii="Arial" w:hAnsi="Arial" w:hint="default"/>
      </w:rPr>
    </w:lvl>
    <w:lvl w:ilvl="4" w:tplc="5022A302" w:tentative="1">
      <w:start w:val="1"/>
      <w:numFmt w:val="bullet"/>
      <w:lvlText w:val="•"/>
      <w:lvlJc w:val="left"/>
      <w:pPr>
        <w:tabs>
          <w:tab w:val="num" w:pos="3600"/>
        </w:tabs>
        <w:ind w:left="3600" w:hanging="360"/>
      </w:pPr>
      <w:rPr>
        <w:rFonts w:ascii="Arial" w:hAnsi="Arial" w:hint="default"/>
      </w:rPr>
    </w:lvl>
    <w:lvl w:ilvl="5" w:tplc="33EAF50A" w:tentative="1">
      <w:start w:val="1"/>
      <w:numFmt w:val="bullet"/>
      <w:lvlText w:val="•"/>
      <w:lvlJc w:val="left"/>
      <w:pPr>
        <w:tabs>
          <w:tab w:val="num" w:pos="4320"/>
        </w:tabs>
        <w:ind w:left="4320" w:hanging="360"/>
      </w:pPr>
      <w:rPr>
        <w:rFonts w:ascii="Arial" w:hAnsi="Arial" w:hint="default"/>
      </w:rPr>
    </w:lvl>
    <w:lvl w:ilvl="6" w:tplc="2886F2E0" w:tentative="1">
      <w:start w:val="1"/>
      <w:numFmt w:val="bullet"/>
      <w:lvlText w:val="•"/>
      <w:lvlJc w:val="left"/>
      <w:pPr>
        <w:tabs>
          <w:tab w:val="num" w:pos="5040"/>
        </w:tabs>
        <w:ind w:left="5040" w:hanging="360"/>
      </w:pPr>
      <w:rPr>
        <w:rFonts w:ascii="Arial" w:hAnsi="Arial" w:hint="default"/>
      </w:rPr>
    </w:lvl>
    <w:lvl w:ilvl="7" w:tplc="1C787608" w:tentative="1">
      <w:start w:val="1"/>
      <w:numFmt w:val="bullet"/>
      <w:lvlText w:val="•"/>
      <w:lvlJc w:val="left"/>
      <w:pPr>
        <w:tabs>
          <w:tab w:val="num" w:pos="5760"/>
        </w:tabs>
        <w:ind w:left="5760" w:hanging="360"/>
      </w:pPr>
      <w:rPr>
        <w:rFonts w:ascii="Arial" w:hAnsi="Arial" w:hint="default"/>
      </w:rPr>
    </w:lvl>
    <w:lvl w:ilvl="8" w:tplc="7B90C2B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C9676CD"/>
    <w:multiLevelType w:val="hybridMultilevel"/>
    <w:tmpl w:val="82266626"/>
    <w:lvl w:ilvl="0" w:tplc="F3324F58">
      <w:start w:val="1"/>
      <w:numFmt w:val="decimal"/>
      <w:lvlText w:val="%1."/>
      <w:lvlJc w:val="left"/>
      <w:pPr>
        <w:ind w:left="1440" w:hanging="360"/>
      </w:pPr>
      <w:rPr>
        <w:rFonts w:hint="default"/>
        <w:i w:val="0"/>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CBB0846"/>
    <w:multiLevelType w:val="hybridMultilevel"/>
    <w:tmpl w:val="21DEBC3C"/>
    <w:lvl w:ilvl="0" w:tplc="DA6AA10A">
      <w:start w:val="18"/>
      <w:numFmt w:val="decimal"/>
      <w:lvlText w:val="%1."/>
      <w:lvlJc w:val="left"/>
      <w:pPr>
        <w:ind w:left="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24614D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E9AA69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1B4BEF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56F16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56BC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890B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7505C7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FCCD0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02B7B4E"/>
    <w:multiLevelType w:val="hybridMultilevel"/>
    <w:tmpl w:val="665A1DDA"/>
    <w:lvl w:ilvl="0" w:tplc="F3324F58">
      <w:start w:val="1"/>
      <w:numFmt w:val="decimal"/>
      <w:lvlText w:val="%1."/>
      <w:lvlJc w:val="left"/>
      <w:pPr>
        <w:ind w:left="720" w:hanging="360"/>
      </w:pPr>
      <w:rPr>
        <w:rFonts w:hint="default"/>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B15EF5"/>
    <w:multiLevelType w:val="hybridMultilevel"/>
    <w:tmpl w:val="3F180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CF536D"/>
    <w:multiLevelType w:val="hybridMultilevel"/>
    <w:tmpl w:val="9FDA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D822B6"/>
    <w:multiLevelType w:val="hybridMultilevel"/>
    <w:tmpl w:val="9DB6F2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32B0AE1"/>
    <w:multiLevelType w:val="hybridMultilevel"/>
    <w:tmpl w:val="1DDA9FA4"/>
    <w:lvl w:ilvl="0" w:tplc="DB8C3C0E">
      <w:start w:val="1"/>
      <w:numFmt w:val="bullet"/>
      <w:lvlText w:val="•"/>
      <w:lvlJc w:val="left"/>
      <w:pPr>
        <w:tabs>
          <w:tab w:val="num" w:pos="720"/>
        </w:tabs>
        <w:ind w:left="720" w:hanging="360"/>
      </w:pPr>
      <w:rPr>
        <w:rFonts w:ascii="Arial" w:hAnsi="Arial" w:hint="default"/>
      </w:rPr>
    </w:lvl>
    <w:lvl w:ilvl="1" w:tplc="601EE00A">
      <w:start w:val="108"/>
      <w:numFmt w:val="bullet"/>
      <w:lvlText w:val="–"/>
      <w:lvlJc w:val="left"/>
      <w:pPr>
        <w:tabs>
          <w:tab w:val="num" w:pos="1440"/>
        </w:tabs>
        <w:ind w:left="1440" w:hanging="360"/>
      </w:pPr>
      <w:rPr>
        <w:rFonts w:ascii="Arial" w:hAnsi="Arial" w:hint="default"/>
      </w:rPr>
    </w:lvl>
    <w:lvl w:ilvl="2" w:tplc="600059C6" w:tentative="1">
      <w:start w:val="1"/>
      <w:numFmt w:val="bullet"/>
      <w:lvlText w:val="•"/>
      <w:lvlJc w:val="left"/>
      <w:pPr>
        <w:tabs>
          <w:tab w:val="num" w:pos="2160"/>
        </w:tabs>
        <w:ind w:left="2160" w:hanging="360"/>
      </w:pPr>
      <w:rPr>
        <w:rFonts w:ascii="Arial" w:hAnsi="Arial" w:hint="default"/>
      </w:rPr>
    </w:lvl>
    <w:lvl w:ilvl="3" w:tplc="85FEE53E" w:tentative="1">
      <w:start w:val="1"/>
      <w:numFmt w:val="bullet"/>
      <w:lvlText w:val="•"/>
      <w:lvlJc w:val="left"/>
      <w:pPr>
        <w:tabs>
          <w:tab w:val="num" w:pos="2880"/>
        </w:tabs>
        <w:ind w:left="2880" w:hanging="360"/>
      </w:pPr>
      <w:rPr>
        <w:rFonts w:ascii="Arial" w:hAnsi="Arial" w:hint="default"/>
      </w:rPr>
    </w:lvl>
    <w:lvl w:ilvl="4" w:tplc="2C7CE248" w:tentative="1">
      <w:start w:val="1"/>
      <w:numFmt w:val="bullet"/>
      <w:lvlText w:val="•"/>
      <w:lvlJc w:val="left"/>
      <w:pPr>
        <w:tabs>
          <w:tab w:val="num" w:pos="3600"/>
        </w:tabs>
        <w:ind w:left="3600" w:hanging="360"/>
      </w:pPr>
      <w:rPr>
        <w:rFonts w:ascii="Arial" w:hAnsi="Arial" w:hint="default"/>
      </w:rPr>
    </w:lvl>
    <w:lvl w:ilvl="5" w:tplc="709CA99E" w:tentative="1">
      <w:start w:val="1"/>
      <w:numFmt w:val="bullet"/>
      <w:lvlText w:val="•"/>
      <w:lvlJc w:val="left"/>
      <w:pPr>
        <w:tabs>
          <w:tab w:val="num" w:pos="4320"/>
        </w:tabs>
        <w:ind w:left="4320" w:hanging="360"/>
      </w:pPr>
      <w:rPr>
        <w:rFonts w:ascii="Arial" w:hAnsi="Arial" w:hint="default"/>
      </w:rPr>
    </w:lvl>
    <w:lvl w:ilvl="6" w:tplc="C25E18FE" w:tentative="1">
      <w:start w:val="1"/>
      <w:numFmt w:val="bullet"/>
      <w:lvlText w:val="•"/>
      <w:lvlJc w:val="left"/>
      <w:pPr>
        <w:tabs>
          <w:tab w:val="num" w:pos="5040"/>
        </w:tabs>
        <w:ind w:left="5040" w:hanging="360"/>
      </w:pPr>
      <w:rPr>
        <w:rFonts w:ascii="Arial" w:hAnsi="Arial" w:hint="default"/>
      </w:rPr>
    </w:lvl>
    <w:lvl w:ilvl="7" w:tplc="50E2702E" w:tentative="1">
      <w:start w:val="1"/>
      <w:numFmt w:val="bullet"/>
      <w:lvlText w:val="•"/>
      <w:lvlJc w:val="left"/>
      <w:pPr>
        <w:tabs>
          <w:tab w:val="num" w:pos="5760"/>
        </w:tabs>
        <w:ind w:left="5760" w:hanging="360"/>
      </w:pPr>
      <w:rPr>
        <w:rFonts w:ascii="Arial" w:hAnsi="Arial" w:hint="default"/>
      </w:rPr>
    </w:lvl>
    <w:lvl w:ilvl="8" w:tplc="F4668C7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4035D86"/>
    <w:multiLevelType w:val="hybridMultilevel"/>
    <w:tmpl w:val="35F44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52140A"/>
    <w:multiLevelType w:val="hybridMultilevel"/>
    <w:tmpl w:val="EBA00074"/>
    <w:lvl w:ilvl="0" w:tplc="D46604BE">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A9741BF"/>
    <w:multiLevelType w:val="hybridMultilevel"/>
    <w:tmpl w:val="FD7AB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29"/>
  </w:num>
  <w:num w:numId="4">
    <w:abstractNumId w:val="38"/>
  </w:num>
  <w:num w:numId="5">
    <w:abstractNumId w:val="11"/>
  </w:num>
  <w:num w:numId="6">
    <w:abstractNumId w:val="43"/>
  </w:num>
  <w:num w:numId="7">
    <w:abstractNumId w:val="34"/>
  </w:num>
  <w:num w:numId="8">
    <w:abstractNumId w:val="13"/>
  </w:num>
  <w:num w:numId="9">
    <w:abstractNumId w:val="35"/>
  </w:num>
  <w:num w:numId="10">
    <w:abstractNumId w:val="14"/>
  </w:num>
  <w:num w:numId="11">
    <w:abstractNumId w:val="23"/>
  </w:num>
  <w:num w:numId="12">
    <w:abstractNumId w:val="27"/>
  </w:num>
  <w:num w:numId="13">
    <w:abstractNumId w:val="48"/>
  </w:num>
  <w:num w:numId="14">
    <w:abstractNumId w:val="36"/>
  </w:num>
  <w:num w:numId="15">
    <w:abstractNumId w:val="32"/>
  </w:num>
  <w:num w:numId="16">
    <w:abstractNumId w:val="37"/>
  </w:num>
  <w:num w:numId="17">
    <w:abstractNumId w:val="24"/>
  </w:num>
  <w:num w:numId="18">
    <w:abstractNumId w:val="2"/>
  </w:num>
  <w:num w:numId="19">
    <w:abstractNumId w:val="41"/>
  </w:num>
  <w:num w:numId="20">
    <w:abstractNumId w:val="0"/>
  </w:num>
  <w:num w:numId="21">
    <w:abstractNumId w:val="31"/>
  </w:num>
  <w:num w:numId="22">
    <w:abstractNumId w:val="45"/>
  </w:num>
  <w:num w:numId="23">
    <w:abstractNumId w:val="16"/>
  </w:num>
  <w:num w:numId="24">
    <w:abstractNumId w:val="28"/>
  </w:num>
  <w:num w:numId="25">
    <w:abstractNumId w:val="46"/>
  </w:num>
  <w:num w:numId="26">
    <w:abstractNumId w:val="33"/>
  </w:num>
  <w:num w:numId="27">
    <w:abstractNumId w:val="19"/>
  </w:num>
  <w:num w:numId="28">
    <w:abstractNumId w:val="5"/>
  </w:num>
  <w:num w:numId="29">
    <w:abstractNumId w:val="9"/>
  </w:num>
  <w:num w:numId="30">
    <w:abstractNumId w:val="47"/>
  </w:num>
  <w:num w:numId="31">
    <w:abstractNumId w:val="42"/>
  </w:num>
  <w:num w:numId="32">
    <w:abstractNumId w:val="17"/>
  </w:num>
  <w:num w:numId="33">
    <w:abstractNumId w:val="40"/>
  </w:num>
  <w:num w:numId="34">
    <w:abstractNumId w:val="7"/>
  </w:num>
  <w:num w:numId="35">
    <w:abstractNumId w:val="39"/>
  </w:num>
  <w:num w:numId="36">
    <w:abstractNumId w:val="30"/>
  </w:num>
  <w:num w:numId="37">
    <w:abstractNumId w:val="4"/>
  </w:num>
  <w:num w:numId="38">
    <w:abstractNumId w:val="25"/>
  </w:num>
  <w:num w:numId="39">
    <w:abstractNumId w:val="21"/>
  </w:num>
  <w:num w:numId="40">
    <w:abstractNumId w:val="15"/>
  </w:num>
  <w:num w:numId="41">
    <w:abstractNumId w:val="12"/>
  </w:num>
  <w:num w:numId="42">
    <w:abstractNumId w:val="20"/>
  </w:num>
  <w:num w:numId="43">
    <w:abstractNumId w:val="22"/>
  </w:num>
  <w:num w:numId="44">
    <w:abstractNumId w:val="18"/>
  </w:num>
  <w:num w:numId="45">
    <w:abstractNumId w:val="6"/>
  </w:num>
  <w:num w:numId="46">
    <w:abstractNumId w:val="10"/>
  </w:num>
  <w:num w:numId="47">
    <w:abstractNumId w:val="44"/>
  </w:num>
  <w:num w:numId="48">
    <w:abstractNumId w:val="49"/>
  </w:num>
  <w:num w:numId="49">
    <w:abstractNumId w:val="3"/>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6A0"/>
    <w:rsid w:val="000131A3"/>
    <w:rsid w:val="00015E1A"/>
    <w:rsid w:val="0003770A"/>
    <w:rsid w:val="00037E5E"/>
    <w:rsid w:val="00072928"/>
    <w:rsid w:val="0007306C"/>
    <w:rsid w:val="000B165B"/>
    <w:rsid w:val="000C1F20"/>
    <w:rsid w:val="000C29B5"/>
    <w:rsid w:val="000C501D"/>
    <w:rsid w:val="000F5A29"/>
    <w:rsid w:val="000F6B13"/>
    <w:rsid w:val="000F7C07"/>
    <w:rsid w:val="00101DB4"/>
    <w:rsid w:val="00112A40"/>
    <w:rsid w:val="001341ED"/>
    <w:rsid w:val="001406C6"/>
    <w:rsid w:val="00183C88"/>
    <w:rsid w:val="001B44DE"/>
    <w:rsid w:val="001B4B2F"/>
    <w:rsid w:val="001B78B1"/>
    <w:rsid w:val="001C0122"/>
    <w:rsid w:val="001C5464"/>
    <w:rsid w:val="001D135D"/>
    <w:rsid w:val="001E7D83"/>
    <w:rsid w:val="0021312C"/>
    <w:rsid w:val="002530FB"/>
    <w:rsid w:val="00263399"/>
    <w:rsid w:val="00287467"/>
    <w:rsid w:val="00295824"/>
    <w:rsid w:val="002A1B7B"/>
    <w:rsid w:val="002A4D6F"/>
    <w:rsid w:val="002A74BC"/>
    <w:rsid w:val="002D58B2"/>
    <w:rsid w:val="00305865"/>
    <w:rsid w:val="00322BEA"/>
    <w:rsid w:val="003464B9"/>
    <w:rsid w:val="003A16D0"/>
    <w:rsid w:val="003F2F98"/>
    <w:rsid w:val="003F3C65"/>
    <w:rsid w:val="003F5151"/>
    <w:rsid w:val="004022B2"/>
    <w:rsid w:val="00406298"/>
    <w:rsid w:val="00430C5E"/>
    <w:rsid w:val="00433F59"/>
    <w:rsid w:val="00443B42"/>
    <w:rsid w:val="00460C95"/>
    <w:rsid w:val="00462FE3"/>
    <w:rsid w:val="00463480"/>
    <w:rsid w:val="004836DD"/>
    <w:rsid w:val="004860F4"/>
    <w:rsid w:val="004B4EF9"/>
    <w:rsid w:val="004C3A98"/>
    <w:rsid w:val="004E44A0"/>
    <w:rsid w:val="005006A0"/>
    <w:rsid w:val="00517D39"/>
    <w:rsid w:val="00526005"/>
    <w:rsid w:val="005709DC"/>
    <w:rsid w:val="00574DD5"/>
    <w:rsid w:val="005D536A"/>
    <w:rsid w:val="005D7B26"/>
    <w:rsid w:val="005F1CA6"/>
    <w:rsid w:val="005F587A"/>
    <w:rsid w:val="006249CD"/>
    <w:rsid w:val="00625060"/>
    <w:rsid w:val="00674B38"/>
    <w:rsid w:val="006809FC"/>
    <w:rsid w:val="00680ED7"/>
    <w:rsid w:val="006863EC"/>
    <w:rsid w:val="006B3E12"/>
    <w:rsid w:val="006C0891"/>
    <w:rsid w:val="006D4A79"/>
    <w:rsid w:val="006E52CF"/>
    <w:rsid w:val="00701C54"/>
    <w:rsid w:val="00701FFD"/>
    <w:rsid w:val="007131E2"/>
    <w:rsid w:val="00716944"/>
    <w:rsid w:val="00732FAA"/>
    <w:rsid w:val="0073614D"/>
    <w:rsid w:val="00765059"/>
    <w:rsid w:val="00784F69"/>
    <w:rsid w:val="00795709"/>
    <w:rsid w:val="007D179A"/>
    <w:rsid w:val="007E1376"/>
    <w:rsid w:val="007E64CC"/>
    <w:rsid w:val="008105D8"/>
    <w:rsid w:val="0085574F"/>
    <w:rsid w:val="008B2FB4"/>
    <w:rsid w:val="008D0738"/>
    <w:rsid w:val="008F72F7"/>
    <w:rsid w:val="009069DE"/>
    <w:rsid w:val="009166D5"/>
    <w:rsid w:val="009260FD"/>
    <w:rsid w:val="00955ECD"/>
    <w:rsid w:val="009E1256"/>
    <w:rsid w:val="009E3404"/>
    <w:rsid w:val="009E3B81"/>
    <w:rsid w:val="009E67D3"/>
    <w:rsid w:val="00A35DCB"/>
    <w:rsid w:val="00A46FC9"/>
    <w:rsid w:val="00A57AE5"/>
    <w:rsid w:val="00A62D2F"/>
    <w:rsid w:val="00A735FE"/>
    <w:rsid w:val="00A977EF"/>
    <w:rsid w:val="00AA2BBD"/>
    <w:rsid w:val="00AA4059"/>
    <w:rsid w:val="00AC540B"/>
    <w:rsid w:val="00AC7348"/>
    <w:rsid w:val="00B15708"/>
    <w:rsid w:val="00B24B83"/>
    <w:rsid w:val="00B25B4F"/>
    <w:rsid w:val="00B427A1"/>
    <w:rsid w:val="00B569C5"/>
    <w:rsid w:val="00B75E5D"/>
    <w:rsid w:val="00B847D9"/>
    <w:rsid w:val="00B87ACC"/>
    <w:rsid w:val="00B93B1D"/>
    <w:rsid w:val="00BA2E87"/>
    <w:rsid w:val="00BB3BAF"/>
    <w:rsid w:val="00BB4EE2"/>
    <w:rsid w:val="00BB7A33"/>
    <w:rsid w:val="00BC376D"/>
    <w:rsid w:val="00BC6BF6"/>
    <w:rsid w:val="00BE6F25"/>
    <w:rsid w:val="00BF6DAC"/>
    <w:rsid w:val="00C32D2A"/>
    <w:rsid w:val="00C34222"/>
    <w:rsid w:val="00C40952"/>
    <w:rsid w:val="00C64FA5"/>
    <w:rsid w:val="00C7579C"/>
    <w:rsid w:val="00D06414"/>
    <w:rsid w:val="00D3397A"/>
    <w:rsid w:val="00D64381"/>
    <w:rsid w:val="00D64C75"/>
    <w:rsid w:val="00D776BE"/>
    <w:rsid w:val="00D82E87"/>
    <w:rsid w:val="00D970C3"/>
    <w:rsid w:val="00DA6873"/>
    <w:rsid w:val="00DD3118"/>
    <w:rsid w:val="00DD3F09"/>
    <w:rsid w:val="00DE1978"/>
    <w:rsid w:val="00E1281C"/>
    <w:rsid w:val="00E32434"/>
    <w:rsid w:val="00E53574"/>
    <w:rsid w:val="00E62E43"/>
    <w:rsid w:val="00E62E53"/>
    <w:rsid w:val="00E83225"/>
    <w:rsid w:val="00E87E5D"/>
    <w:rsid w:val="00E93E5A"/>
    <w:rsid w:val="00F40E5E"/>
    <w:rsid w:val="00F46B26"/>
    <w:rsid w:val="00F53A04"/>
    <w:rsid w:val="00F714AD"/>
    <w:rsid w:val="00F816E1"/>
    <w:rsid w:val="00F8303B"/>
    <w:rsid w:val="00FB19E8"/>
    <w:rsid w:val="00FB7751"/>
    <w:rsid w:val="00FC00E0"/>
    <w:rsid w:val="00FC0701"/>
    <w:rsid w:val="00FF1B74"/>
    <w:rsid w:val="00FF2D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17FF"/>
  <w15:chartTrackingRefBased/>
  <w15:docId w15:val="{400D3A6A-E7F2-447F-8D15-131F2046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295824"/>
    <w:pPr>
      <w:keepNext/>
      <w:tabs>
        <w:tab w:val="num" w:pos="1276"/>
      </w:tabs>
      <w:spacing w:before="480" w:after="240" w:line="240" w:lineRule="auto"/>
      <w:ind w:left="1276" w:hanging="992"/>
      <w:outlineLvl w:val="0"/>
    </w:pPr>
    <w:rPr>
      <w:rFonts w:ascii="Times New Roman" w:eastAsia="Times New Roman" w:hAnsi="Times New Roman" w:cs="Times New Roman"/>
      <w:b/>
      <w:caps/>
      <w:sz w:val="28"/>
      <w:szCs w:val="20"/>
    </w:rPr>
  </w:style>
  <w:style w:type="paragraph" w:styleId="Heading2">
    <w:name w:val="heading 2"/>
    <w:basedOn w:val="Normal"/>
    <w:next w:val="Normal"/>
    <w:link w:val="Heading2Char"/>
    <w:unhideWhenUsed/>
    <w:qFormat/>
    <w:rsid w:val="005006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qFormat/>
    <w:rsid w:val="00295824"/>
    <w:pPr>
      <w:keepNext/>
      <w:tabs>
        <w:tab w:val="num" w:pos="6238"/>
      </w:tabs>
      <w:spacing w:after="120" w:line="240" w:lineRule="auto"/>
      <w:ind w:left="6238" w:hanging="992"/>
      <w:outlineLvl w:val="2"/>
    </w:pPr>
    <w:rPr>
      <w:rFonts w:ascii="Times New Roman" w:eastAsia="Times New Roman" w:hAnsi="Times New Roman" w:cs="Times New Roman"/>
      <w:b/>
      <w:sz w:val="24"/>
      <w:szCs w:val="20"/>
    </w:rPr>
  </w:style>
  <w:style w:type="paragraph" w:styleId="Heading4">
    <w:name w:val="heading 4"/>
    <w:next w:val="Normal"/>
    <w:link w:val="Heading4Char"/>
    <w:qFormat/>
    <w:rsid w:val="00295824"/>
    <w:pPr>
      <w:keepNext/>
      <w:tabs>
        <w:tab w:val="num" w:pos="992"/>
      </w:tabs>
      <w:spacing w:after="120" w:line="240" w:lineRule="auto"/>
      <w:ind w:left="992" w:hanging="992"/>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uiPriority w:val="9"/>
    <w:unhideWhenUsed/>
    <w:qFormat/>
    <w:rsid w:val="00B24B8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006A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32D2A"/>
    <w:pPr>
      <w:ind w:left="720"/>
      <w:contextualSpacing/>
    </w:pPr>
  </w:style>
  <w:style w:type="character" w:customStyle="1" w:styleId="Heading1Char">
    <w:name w:val="Heading 1 Char"/>
    <w:basedOn w:val="DefaultParagraphFont"/>
    <w:link w:val="Heading1"/>
    <w:rsid w:val="00295824"/>
    <w:rPr>
      <w:rFonts w:ascii="Times New Roman" w:eastAsia="Times New Roman" w:hAnsi="Times New Roman" w:cs="Times New Roman"/>
      <w:b/>
      <w:caps/>
      <w:sz w:val="28"/>
      <w:szCs w:val="20"/>
    </w:rPr>
  </w:style>
  <w:style w:type="character" w:customStyle="1" w:styleId="Heading3Char">
    <w:name w:val="Heading 3 Char"/>
    <w:basedOn w:val="DefaultParagraphFont"/>
    <w:link w:val="Heading3"/>
    <w:rsid w:val="00295824"/>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95824"/>
    <w:rPr>
      <w:rFonts w:ascii="Times New Roman" w:eastAsia="Times New Roman" w:hAnsi="Times New Roman" w:cs="Times New Roman"/>
      <w:b/>
      <w:sz w:val="24"/>
      <w:szCs w:val="20"/>
    </w:rPr>
  </w:style>
  <w:style w:type="paragraph" w:customStyle="1" w:styleId="Default">
    <w:name w:val="Default"/>
    <w:rsid w:val="00295824"/>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uiPriority w:val="22"/>
    <w:qFormat/>
    <w:rsid w:val="00295824"/>
    <w:rPr>
      <w:b/>
      <w:bCs/>
    </w:rPr>
  </w:style>
  <w:style w:type="character" w:styleId="CommentReference">
    <w:name w:val="annotation reference"/>
    <w:basedOn w:val="DefaultParagraphFont"/>
    <w:uiPriority w:val="99"/>
    <w:semiHidden/>
    <w:unhideWhenUsed/>
    <w:rsid w:val="00295824"/>
    <w:rPr>
      <w:sz w:val="16"/>
      <w:szCs w:val="16"/>
    </w:rPr>
  </w:style>
  <w:style w:type="paragraph" w:styleId="CommentText">
    <w:name w:val="annotation text"/>
    <w:basedOn w:val="Normal"/>
    <w:link w:val="CommentTextChar"/>
    <w:uiPriority w:val="99"/>
    <w:unhideWhenUsed/>
    <w:rsid w:val="00295824"/>
    <w:pPr>
      <w:spacing w:line="240" w:lineRule="auto"/>
    </w:pPr>
    <w:rPr>
      <w:sz w:val="20"/>
      <w:szCs w:val="20"/>
    </w:rPr>
  </w:style>
  <w:style w:type="character" w:customStyle="1" w:styleId="CommentTextChar">
    <w:name w:val="Comment Text Char"/>
    <w:basedOn w:val="DefaultParagraphFont"/>
    <w:link w:val="CommentText"/>
    <w:uiPriority w:val="99"/>
    <w:rsid w:val="00295824"/>
    <w:rPr>
      <w:sz w:val="20"/>
      <w:szCs w:val="20"/>
    </w:rPr>
  </w:style>
  <w:style w:type="paragraph" w:styleId="CommentSubject">
    <w:name w:val="annotation subject"/>
    <w:basedOn w:val="CommentText"/>
    <w:next w:val="CommentText"/>
    <w:link w:val="CommentSubjectChar"/>
    <w:uiPriority w:val="99"/>
    <w:semiHidden/>
    <w:unhideWhenUsed/>
    <w:rsid w:val="00295824"/>
    <w:rPr>
      <w:b/>
      <w:bCs/>
    </w:rPr>
  </w:style>
  <w:style w:type="character" w:customStyle="1" w:styleId="CommentSubjectChar">
    <w:name w:val="Comment Subject Char"/>
    <w:basedOn w:val="CommentTextChar"/>
    <w:link w:val="CommentSubject"/>
    <w:uiPriority w:val="99"/>
    <w:semiHidden/>
    <w:rsid w:val="00295824"/>
    <w:rPr>
      <w:b/>
      <w:bCs/>
      <w:sz w:val="20"/>
      <w:szCs w:val="20"/>
    </w:rPr>
  </w:style>
  <w:style w:type="paragraph" w:styleId="BalloonText">
    <w:name w:val="Balloon Text"/>
    <w:basedOn w:val="Normal"/>
    <w:link w:val="BalloonTextChar"/>
    <w:uiPriority w:val="99"/>
    <w:semiHidden/>
    <w:unhideWhenUsed/>
    <w:rsid w:val="00295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824"/>
    <w:rPr>
      <w:rFonts w:ascii="Tahoma" w:hAnsi="Tahoma" w:cs="Tahoma"/>
      <w:sz w:val="16"/>
      <w:szCs w:val="16"/>
    </w:rPr>
  </w:style>
  <w:style w:type="table" w:customStyle="1" w:styleId="GridTable21">
    <w:name w:val="Grid Table 21"/>
    <w:basedOn w:val="TableNormal"/>
    <w:uiPriority w:val="47"/>
    <w:rsid w:val="00295824"/>
    <w:pPr>
      <w:spacing w:after="0" w:line="240" w:lineRule="auto"/>
    </w:pPr>
    <w:rPr>
      <w:rFonts w:eastAsiaTheme="minorEastAsia"/>
      <w:lang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2958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824"/>
  </w:style>
  <w:style w:type="paragraph" w:styleId="Footer">
    <w:name w:val="footer"/>
    <w:basedOn w:val="Normal"/>
    <w:link w:val="FooterChar"/>
    <w:uiPriority w:val="99"/>
    <w:unhideWhenUsed/>
    <w:rsid w:val="002958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824"/>
  </w:style>
  <w:style w:type="table" w:styleId="TableGrid">
    <w:name w:val="Table Grid"/>
    <w:basedOn w:val="TableNormal"/>
    <w:uiPriority w:val="39"/>
    <w:rsid w:val="00295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58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295824"/>
    <w:pPr>
      <w:spacing w:after="0" w:line="240" w:lineRule="auto"/>
    </w:pPr>
  </w:style>
  <w:style w:type="paragraph" w:customStyle="1" w:styleId="TableNote">
    <w:name w:val="TableNote"/>
    <w:basedOn w:val="Normal"/>
    <w:rsid w:val="00295824"/>
    <w:pPr>
      <w:spacing w:after="0" w:line="300" w:lineRule="exact"/>
    </w:pPr>
    <w:rPr>
      <w:rFonts w:ascii="Times New Roman" w:eastAsia="Times New Roman" w:hAnsi="Times New Roman" w:cs="Times New Roman"/>
      <w:sz w:val="24"/>
      <w:szCs w:val="20"/>
    </w:rPr>
  </w:style>
  <w:style w:type="character" w:styleId="Hyperlink">
    <w:name w:val="Hyperlink"/>
    <w:basedOn w:val="DefaultParagraphFont"/>
    <w:rsid w:val="00295824"/>
    <w:rPr>
      <w:color w:val="0000FF"/>
      <w:u w:val="single"/>
    </w:rPr>
  </w:style>
  <w:style w:type="paragraph" w:customStyle="1" w:styleId="TableHeader">
    <w:name w:val="TableHeader"/>
    <w:basedOn w:val="Normal"/>
    <w:rsid w:val="00295824"/>
    <w:pPr>
      <w:spacing w:before="120" w:after="0" w:line="240" w:lineRule="auto"/>
    </w:pPr>
    <w:rPr>
      <w:rFonts w:ascii="Times New Roman" w:eastAsia="Times New Roman" w:hAnsi="Times New Roman" w:cs="Times New Roman"/>
      <w:b/>
      <w:sz w:val="24"/>
      <w:szCs w:val="20"/>
    </w:rPr>
  </w:style>
  <w:style w:type="paragraph" w:customStyle="1" w:styleId="TableSubHead">
    <w:name w:val="TableSubHead"/>
    <w:basedOn w:val="TableHeader"/>
    <w:rsid w:val="00295824"/>
  </w:style>
  <w:style w:type="table" w:customStyle="1" w:styleId="GridTable211">
    <w:name w:val="Grid Table 211"/>
    <w:basedOn w:val="TableNormal"/>
    <w:uiPriority w:val="47"/>
    <w:rsid w:val="00295824"/>
    <w:pPr>
      <w:spacing w:after="0" w:line="240" w:lineRule="auto"/>
    </w:pPr>
    <w:rPr>
      <w:rFonts w:eastAsiaTheme="minorEastAsia"/>
      <w:lang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gc">
    <w:name w:val="_tgc"/>
    <w:basedOn w:val="DefaultParagraphFont"/>
    <w:rsid w:val="00295824"/>
  </w:style>
  <w:style w:type="paragraph" w:styleId="PlainText">
    <w:name w:val="Plain Text"/>
    <w:basedOn w:val="Normal"/>
    <w:link w:val="PlainTextChar"/>
    <w:uiPriority w:val="99"/>
    <w:unhideWhenUsed/>
    <w:rsid w:val="0029582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95824"/>
    <w:rPr>
      <w:rFonts w:ascii="Calibri" w:hAnsi="Calibri"/>
      <w:szCs w:val="21"/>
    </w:rPr>
  </w:style>
  <w:style w:type="character" w:styleId="LineNumber">
    <w:name w:val="line number"/>
    <w:basedOn w:val="DefaultParagraphFont"/>
    <w:uiPriority w:val="99"/>
    <w:semiHidden/>
    <w:unhideWhenUsed/>
    <w:rsid w:val="00295824"/>
  </w:style>
  <w:style w:type="character" w:customStyle="1" w:styleId="st1">
    <w:name w:val="st1"/>
    <w:basedOn w:val="DefaultParagraphFont"/>
    <w:rsid w:val="00295824"/>
  </w:style>
  <w:style w:type="paragraph" w:styleId="Caption">
    <w:name w:val="caption"/>
    <w:basedOn w:val="Normal"/>
    <w:next w:val="Normal"/>
    <w:uiPriority w:val="35"/>
    <w:unhideWhenUsed/>
    <w:qFormat/>
    <w:rsid w:val="00295824"/>
    <w:pPr>
      <w:spacing w:after="200" w:line="240" w:lineRule="auto"/>
    </w:pPr>
    <w:rPr>
      <w:rFonts w:eastAsiaTheme="minorEastAsia"/>
      <w:b/>
      <w:iCs/>
      <w:color w:val="000000" w:themeColor="text1"/>
      <w:szCs w:val="18"/>
      <w:lang w:eastAsia="zh-CN"/>
    </w:rPr>
  </w:style>
  <w:style w:type="character" w:customStyle="1" w:styleId="Heading5Char">
    <w:name w:val="Heading 5 Char"/>
    <w:basedOn w:val="DefaultParagraphFont"/>
    <w:link w:val="Heading5"/>
    <w:uiPriority w:val="9"/>
    <w:rsid w:val="00B24B83"/>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B24B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01675">
      <w:bodyDiv w:val="1"/>
      <w:marLeft w:val="0"/>
      <w:marRight w:val="0"/>
      <w:marTop w:val="0"/>
      <w:marBottom w:val="0"/>
      <w:divBdr>
        <w:top w:val="none" w:sz="0" w:space="0" w:color="auto"/>
        <w:left w:val="none" w:sz="0" w:space="0" w:color="auto"/>
        <w:bottom w:val="none" w:sz="0" w:space="0" w:color="auto"/>
        <w:right w:val="none" w:sz="0" w:space="0" w:color="auto"/>
      </w:divBdr>
    </w:div>
    <w:div w:id="351035155">
      <w:bodyDiv w:val="1"/>
      <w:marLeft w:val="0"/>
      <w:marRight w:val="0"/>
      <w:marTop w:val="0"/>
      <w:marBottom w:val="0"/>
      <w:divBdr>
        <w:top w:val="none" w:sz="0" w:space="0" w:color="auto"/>
        <w:left w:val="none" w:sz="0" w:space="0" w:color="auto"/>
        <w:bottom w:val="none" w:sz="0" w:space="0" w:color="auto"/>
        <w:right w:val="none" w:sz="0" w:space="0" w:color="auto"/>
      </w:divBdr>
      <w:divsChild>
        <w:div w:id="1098019752">
          <w:marLeft w:val="-225"/>
          <w:marRight w:val="-225"/>
          <w:marTop w:val="0"/>
          <w:marBottom w:val="0"/>
          <w:divBdr>
            <w:top w:val="none" w:sz="0" w:space="0" w:color="auto"/>
            <w:left w:val="none" w:sz="0" w:space="0" w:color="auto"/>
            <w:bottom w:val="none" w:sz="0" w:space="0" w:color="auto"/>
            <w:right w:val="none" w:sz="0" w:space="0" w:color="auto"/>
          </w:divBdr>
          <w:divsChild>
            <w:div w:id="1378047347">
              <w:marLeft w:val="0"/>
              <w:marRight w:val="0"/>
              <w:marTop w:val="0"/>
              <w:marBottom w:val="0"/>
              <w:divBdr>
                <w:top w:val="none" w:sz="0" w:space="0" w:color="auto"/>
                <w:left w:val="none" w:sz="0" w:space="0" w:color="auto"/>
                <w:bottom w:val="none" w:sz="0" w:space="0" w:color="auto"/>
                <w:right w:val="none" w:sz="0" w:space="0" w:color="auto"/>
              </w:divBdr>
            </w:div>
          </w:divsChild>
        </w:div>
        <w:div w:id="1330861763">
          <w:marLeft w:val="-225"/>
          <w:marRight w:val="-225"/>
          <w:marTop w:val="0"/>
          <w:marBottom w:val="0"/>
          <w:divBdr>
            <w:top w:val="none" w:sz="0" w:space="0" w:color="auto"/>
            <w:left w:val="none" w:sz="0" w:space="0" w:color="auto"/>
            <w:bottom w:val="none" w:sz="0" w:space="0" w:color="auto"/>
            <w:right w:val="none" w:sz="0" w:space="0" w:color="auto"/>
          </w:divBdr>
          <w:divsChild>
            <w:div w:id="8123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4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coi_disclosur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47A2D-1DBE-4CBC-86E6-03E77B09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7625</Words>
  <Characters>43466</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50990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Ashburn A.M.</dc:creator>
  <cp:keywords/>
  <dc:description/>
  <cp:lastModifiedBy>Ashburn A.M.</cp:lastModifiedBy>
  <cp:revision>2</cp:revision>
  <cp:lastPrinted>2018-11-06T21:14:00Z</cp:lastPrinted>
  <dcterms:created xsi:type="dcterms:W3CDTF">2019-02-11T21:51:00Z</dcterms:created>
  <dcterms:modified xsi:type="dcterms:W3CDTF">2019-02-11T21:51:00Z</dcterms:modified>
</cp:coreProperties>
</file>