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205" w:rsidRPr="00D4189A" w:rsidRDefault="002F7205" w:rsidP="004533DC">
      <w:pPr>
        <w:jc w:val="center"/>
      </w:pPr>
      <w:bookmarkStart w:id="0" w:name="_Toc433713899"/>
    </w:p>
    <w:bookmarkEnd w:id="0"/>
    <w:p w:rsidR="002F7205" w:rsidRDefault="002F7205">
      <w:pPr>
        <w:pStyle w:val="Heading1"/>
      </w:pPr>
      <w:r w:rsidRPr="002C05C5">
        <w:t>Ren</w:t>
      </w:r>
      <w:r>
        <w:t>e</w:t>
      </w:r>
      <w:r w:rsidRPr="002C05C5">
        <w:t xml:space="preserve">wed: </w:t>
      </w:r>
      <w:r>
        <w:t xml:space="preserve">Protocol for a </w:t>
      </w:r>
      <w:r w:rsidRPr="002C05C5">
        <w:t xml:space="preserve">Randomised Controlled Trial </w:t>
      </w:r>
      <w:r>
        <w:t>of</w:t>
      </w:r>
      <w:r w:rsidRPr="002C05C5">
        <w:t xml:space="preserve"> A </w:t>
      </w:r>
      <w:r>
        <w:t>digital</w:t>
      </w:r>
      <w:r w:rsidRPr="002C05C5">
        <w:t xml:space="preserve"> Intervention to support quality of life in cancer survivor</w:t>
      </w:r>
      <w:r>
        <w:t>s</w:t>
      </w:r>
    </w:p>
    <w:p w:rsidR="002F7205" w:rsidRDefault="002F7205"/>
    <w:p w:rsidR="002F7205" w:rsidRDefault="002F7205">
      <w:pPr>
        <w:jc w:val="center"/>
        <w:rPr>
          <w:vertAlign w:val="superscript"/>
        </w:rPr>
      </w:pPr>
      <w:r w:rsidRPr="002C05C5">
        <w:t>Adele Krusche</w:t>
      </w:r>
      <w:r>
        <w:t>*</w:t>
      </w:r>
      <w:r w:rsidRPr="00F83E36">
        <w:rPr>
          <w:vertAlign w:val="superscript"/>
        </w:rPr>
        <w:t>1</w:t>
      </w:r>
      <w:r w:rsidRPr="00F83E36">
        <w:t>, Katherine Bradbury</w:t>
      </w:r>
      <w:r w:rsidRPr="00F83E36">
        <w:rPr>
          <w:vertAlign w:val="superscript"/>
        </w:rPr>
        <w:t>1</w:t>
      </w:r>
      <w:r w:rsidRPr="00F83E36">
        <w:t>, Teresa Corbett</w:t>
      </w:r>
      <w:r w:rsidRPr="00F83E36">
        <w:rPr>
          <w:vertAlign w:val="superscript"/>
        </w:rPr>
        <w:t>2</w:t>
      </w:r>
      <w:r w:rsidRPr="00F83E36">
        <w:t>, Jane Barnett</w:t>
      </w:r>
      <w:r w:rsidRPr="00F83E36">
        <w:rPr>
          <w:vertAlign w:val="superscript"/>
        </w:rPr>
        <w:t>3</w:t>
      </w:r>
      <w:r w:rsidRPr="00F83E36">
        <w:t>, Beth Stuart</w:t>
      </w:r>
      <w:r w:rsidRPr="00F83E36">
        <w:rPr>
          <w:vertAlign w:val="superscript"/>
        </w:rPr>
        <w:t>3</w:t>
      </w:r>
      <w:r w:rsidRPr="00F83E36">
        <w:t xml:space="preserve">, </w:t>
      </w:r>
      <w:proofErr w:type="spellStart"/>
      <w:r w:rsidRPr="00F83E36">
        <w:t>Guiqing</w:t>
      </w:r>
      <w:proofErr w:type="spellEnd"/>
      <w:r w:rsidRPr="00F83E36">
        <w:t xml:space="preserve"> Lily Yao</w:t>
      </w:r>
      <w:r w:rsidRPr="00F83E36">
        <w:rPr>
          <w:vertAlign w:val="superscript"/>
        </w:rPr>
        <w:t>1</w:t>
      </w:r>
      <w:r>
        <w:rPr>
          <w:vertAlign w:val="superscript"/>
        </w:rPr>
        <w:t>6</w:t>
      </w:r>
      <w:r w:rsidRPr="00F83E36">
        <w:t>, Roger Bacon</w:t>
      </w:r>
      <w:r w:rsidRPr="00F83E36">
        <w:rPr>
          <w:vertAlign w:val="superscript"/>
        </w:rPr>
        <w:t>4</w:t>
      </w:r>
      <w:r w:rsidRPr="00F83E36">
        <w:t xml:space="preserve">, </w:t>
      </w:r>
      <w:proofErr w:type="spellStart"/>
      <w:r w:rsidRPr="00F83E36">
        <w:t>Dankmar</w:t>
      </w:r>
      <w:proofErr w:type="spellEnd"/>
      <w:r w:rsidRPr="00F83E36">
        <w:t xml:space="preserve"> Böhning</w:t>
      </w:r>
      <w:r w:rsidRPr="00F83E36">
        <w:rPr>
          <w:vertAlign w:val="superscript"/>
        </w:rPr>
        <w:t>5</w:t>
      </w:r>
      <w:r w:rsidRPr="00F83E36">
        <w:t>,</w:t>
      </w:r>
      <w:r w:rsidRPr="00F83E36" w:rsidDel="00545C55">
        <w:t xml:space="preserve"> </w:t>
      </w:r>
      <w:r w:rsidRPr="00F83E36">
        <w:t>Tara Cheetham</w:t>
      </w:r>
      <w:r>
        <w:t>-Blake</w:t>
      </w:r>
      <w:r w:rsidRPr="00F83E36">
        <w:rPr>
          <w:vertAlign w:val="superscript"/>
        </w:rPr>
        <w:t>2</w:t>
      </w:r>
      <w:r w:rsidRPr="00F83E36">
        <w:t>, Diana Eccles</w:t>
      </w:r>
      <w:r w:rsidRPr="00F83E36">
        <w:rPr>
          <w:vertAlign w:val="superscript"/>
        </w:rPr>
        <w:t>6</w:t>
      </w:r>
      <w:r w:rsidRPr="00F83E36">
        <w:t>, Claire Foster</w:t>
      </w:r>
      <w:r w:rsidRPr="00F83E36">
        <w:rPr>
          <w:vertAlign w:val="superscript"/>
        </w:rPr>
        <w:t>7</w:t>
      </w:r>
      <w:r w:rsidRPr="00F83E36">
        <w:t>, Adam W.</w:t>
      </w:r>
      <w:r>
        <w:t xml:space="preserve"> </w:t>
      </w:r>
      <w:r w:rsidRPr="00F83E36">
        <w:t>A. Geraghty</w:t>
      </w:r>
      <w:r w:rsidRPr="00F83E36">
        <w:rPr>
          <w:vertAlign w:val="superscript"/>
        </w:rPr>
        <w:t>3</w:t>
      </w:r>
      <w:r w:rsidRPr="00F83E36">
        <w:t>, Geraldine Leydon</w:t>
      </w:r>
      <w:r w:rsidRPr="00F83E36">
        <w:rPr>
          <w:vertAlign w:val="superscript"/>
        </w:rPr>
        <w:t>3</w:t>
      </w:r>
      <w:r w:rsidRPr="00F83E36">
        <w:t>, Andre Müller</w:t>
      </w:r>
      <w:r w:rsidRPr="00F83E36">
        <w:rPr>
          <w:vertAlign w:val="superscript"/>
        </w:rPr>
        <w:t>8</w:t>
      </w:r>
      <w:r w:rsidRPr="00F83E36">
        <w:t>, Richard</w:t>
      </w:r>
      <w:r w:rsidR="006C7FB3">
        <w:t xml:space="preserve"> </w:t>
      </w:r>
      <w:r w:rsidR="00887454">
        <w:t>D</w:t>
      </w:r>
      <w:r w:rsidR="006C7FB3">
        <w:t>.</w:t>
      </w:r>
      <w:r w:rsidRPr="00F83E36">
        <w:t xml:space="preserve"> Neal</w:t>
      </w:r>
      <w:r w:rsidRPr="00F83E36">
        <w:rPr>
          <w:vertAlign w:val="superscript"/>
        </w:rPr>
        <w:t>9</w:t>
      </w:r>
      <w:r w:rsidRPr="00F83E36">
        <w:t>,  Richard Osborne</w:t>
      </w:r>
      <w:r w:rsidRPr="00F83E36">
        <w:rPr>
          <w:vertAlign w:val="superscript"/>
        </w:rPr>
        <w:t>10</w:t>
      </w:r>
      <w:r w:rsidRPr="00F83E36">
        <w:t>, Shanaya Rathod</w:t>
      </w:r>
      <w:r w:rsidRPr="00F83E36">
        <w:rPr>
          <w:vertAlign w:val="superscript"/>
        </w:rPr>
        <w:t>11</w:t>
      </w:r>
      <w:r w:rsidRPr="00F83E36">
        <w:t>, Alison Richardson</w:t>
      </w:r>
      <w:r w:rsidRPr="00F83E36">
        <w:rPr>
          <w:vertAlign w:val="superscript"/>
        </w:rPr>
        <w:t>2</w:t>
      </w:r>
      <w:r w:rsidRPr="00F83E36">
        <w:t xml:space="preserve">, </w:t>
      </w:r>
      <w:r w:rsidR="00887454" w:rsidRPr="00F83E36">
        <w:t>Geoff</w:t>
      </w:r>
      <w:r w:rsidR="00887454">
        <w:t>rey</w:t>
      </w:r>
      <w:r w:rsidR="00887454" w:rsidRPr="00F83E36">
        <w:t xml:space="preserve"> </w:t>
      </w:r>
      <w:r w:rsidRPr="00F83E36">
        <w:t>Sharman</w:t>
      </w:r>
      <w:r w:rsidRPr="00F83E36">
        <w:rPr>
          <w:vertAlign w:val="superscript"/>
        </w:rPr>
        <w:t>4</w:t>
      </w:r>
      <w:r w:rsidRPr="00F83E36">
        <w:t>, Kevin Summers</w:t>
      </w:r>
      <w:r w:rsidRPr="00F83E36">
        <w:rPr>
          <w:vertAlign w:val="superscript"/>
        </w:rPr>
        <w:t>4</w:t>
      </w:r>
      <w:r w:rsidRPr="00F83E36">
        <w:t xml:space="preserve">, </w:t>
      </w:r>
      <w:proofErr w:type="spellStart"/>
      <w:r w:rsidRPr="00F83E36">
        <w:t>Eila</w:t>
      </w:r>
      <w:proofErr w:type="spellEnd"/>
      <w:r w:rsidRPr="00F83E36">
        <w:t xml:space="preserve"> Watson</w:t>
      </w:r>
      <w:r w:rsidRPr="00F83E36">
        <w:rPr>
          <w:vertAlign w:val="superscript"/>
        </w:rPr>
        <w:t>12</w:t>
      </w:r>
      <w:r w:rsidRPr="00F83E36">
        <w:t>, Laura Wilde</w:t>
      </w:r>
      <w:r w:rsidRPr="00F83E36">
        <w:rPr>
          <w:vertAlign w:val="superscript"/>
        </w:rPr>
        <w:t>13</w:t>
      </w:r>
      <w:r w:rsidRPr="00F83E36">
        <w:t>, Clare Wilkinson</w:t>
      </w:r>
      <w:r w:rsidRPr="00F83E36">
        <w:rPr>
          <w:vertAlign w:val="superscript"/>
        </w:rPr>
        <w:t>14</w:t>
      </w:r>
      <w:r w:rsidRPr="00F83E36">
        <w:t>, Lucy Yardley</w:t>
      </w:r>
      <w:r w:rsidRPr="00F83E36">
        <w:rPr>
          <w:vertAlign w:val="superscript"/>
        </w:rPr>
        <w:t>1,15</w:t>
      </w:r>
      <w:r w:rsidRPr="00F83E36">
        <w:t xml:space="preserve"> and Paul Little</w:t>
      </w:r>
      <w:r w:rsidRPr="00F83E36">
        <w:rPr>
          <w:vertAlign w:val="superscript"/>
        </w:rPr>
        <w:t>3</w:t>
      </w:r>
    </w:p>
    <w:p w:rsidR="002F7205" w:rsidRDefault="002F7205">
      <w:pPr>
        <w:jc w:val="center"/>
      </w:pPr>
    </w:p>
    <w:p w:rsidR="002F7205" w:rsidRDefault="002F7205">
      <w:pPr>
        <w:spacing w:line="240" w:lineRule="auto"/>
        <w:jc w:val="center"/>
      </w:pPr>
      <w:r>
        <w:rPr>
          <w:vertAlign w:val="superscript"/>
        </w:rPr>
        <w:t>1</w:t>
      </w:r>
      <w:r w:rsidRPr="00E74DC8">
        <w:t>Department of Psychology, University of Southampton, Southampton,</w:t>
      </w:r>
    </w:p>
    <w:p w:rsidR="002F7205" w:rsidRDefault="002F7205">
      <w:pPr>
        <w:spacing w:line="240" w:lineRule="auto"/>
        <w:jc w:val="center"/>
      </w:pPr>
      <w:r>
        <w:rPr>
          <w:vertAlign w:val="superscript"/>
        </w:rPr>
        <w:t>2</w:t>
      </w:r>
      <w:r>
        <w:t>School</w:t>
      </w:r>
      <w:r w:rsidRPr="00E74DC8">
        <w:t xml:space="preserve"> of Health Sciences, University of Southampton</w:t>
      </w:r>
    </w:p>
    <w:p w:rsidR="002F7205" w:rsidRDefault="002F7205">
      <w:pPr>
        <w:spacing w:line="240" w:lineRule="auto"/>
        <w:jc w:val="center"/>
      </w:pPr>
      <w:r>
        <w:rPr>
          <w:vertAlign w:val="superscript"/>
        </w:rPr>
        <w:t>3</w:t>
      </w:r>
      <w:r w:rsidRPr="00E74DC8">
        <w:t>Primary Care and Population Sciences Division, University of Southampton</w:t>
      </w:r>
    </w:p>
    <w:p w:rsidR="002F7205" w:rsidRDefault="002F7205" w:rsidP="00B95F56">
      <w:pPr>
        <w:spacing w:line="240" w:lineRule="auto"/>
        <w:jc w:val="center"/>
      </w:pPr>
      <w:r>
        <w:rPr>
          <w:vertAlign w:val="superscript"/>
        </w:rPr>
        <w:t>4</w:t>
      </w:r>
      <w:r>
        <w:t>Patient and Public Involvement team for the CLASP project</w:t>
      </w:r>
    </w:p>
    <w:p w:rsidR="002F7205" w:rsidRDefault="002F7205">
      <w:pPr>
        <w:spacing w:line="240" w:lineRule="auto"/>
        <w:jc w:val="center"/>
      </w:pPr>
      <w:r>
        <w:rPr>
          <w:vertAlign w:val="superscript"/>
        </w:rPr>
        <w:t>5</w:t>
      </w:r>
      <w:r w:rsidRPr="00E74DC8">
        <w:t>Mathematical Sciences, University of Southampton</w:t>
      </w:r>
    </w:p>
    <w:p w:rsidR="002F7205" w:rsidRDefault="002F7205">
      <w:pPr>
        <w:spacing w:line="240" w:lineRule="auto"/>
        <w:jc w:val="center"/>
      </w:pPr>
      <w:r>
        <w:rPr>
          <w:vertAlign w:val="superscript"/>
        </w:rPr>
        <w:t>6</w:t>
      </w:r>
      <w:r w:rsidRPr="00E74DC8">
        <w:t>Southampton Clinical Trials Unit, University of Southampton</w:t>
      </w:r>
    </w:p>
    <w:p w:rsidR="002F7205" w:rsidRDefault="002F7205">
      <w:pPr>
        <w:spacing w:line="240" w:lineRule="auto"/>
        <w:jc w:val="center"/>
      </w:pPr>
      <w:r>
        <w:rPr>
          <w:vertAlign w:val="superscript"/>
        </w:rPr>
        <w:t>7</w:t>
      </w:r>
      <w:r w:rsidRPr="00E74DC8">
        <w:t>Macmillan Survivorship Research Group, University of Southampton</w:t>
      </w:r>
    </w:p>
    <w:p w:rsidR="002F7205" w:rsidRDefault="002F7205">
      <w:pPr>
        <w:spacing w:line="240" w:lineRule="auto"/>
        <w:jc w:val="center"/>
      </w:pPr>
      <w:r>
        <w:rPr>
          <w:vertAlign w:val="superscript"/>
        </w:rPr>
        <w:t>8</w:t>
      </w:r>
      <w:r>
        <w:t xml:space="preserve">Saw </w:t>
      </w:r>
      <w:proofErr w:type="spellStart"/>
      <w:r>
        <w:t>Swee</w:t>
      </w:r>
      <w:proofErr w:type="spellEnd"/>
      <w:r>
        <w:t xml:space="preserve"> Hock Public School of Health, National University of Singapore, </w:t>
      </w:r>
    </w:p>
    <w:p w:rsidR="002F7205" w:rsidRDefault="002F7205">
      <w:pPr>
        <w:spacing w:line="240" w:lineRule="auto"/>
        <w:jc w:val="center"/>
      </w:pPr>
      <w:r>
        <w:rPr>
          <w:vertAlign w:val="superscript"/>
        </w:rPr>
        <w:t>9</w:t>
      </w:r>
      <w:r>
        <w:t>Leeds Institute of Health Sciences,</w:t>
      </w:r>
      <w:r w:rsidRPr="00E74DC8">
        <w:t xml:space="preserve"> University</w:t>
      </w:r>
      <w:r>
        <w:t xml:space="preserve"> of Leeds</w:t>
      </w:r>
    </w:p>
    <w:p w:rsidR="002F7205" w:rsidRDefault="002F7205" w:rsidP="00B95F56">
      <w:pPr>
        <w:spacing w:line="240" w:lineRule="auto"/>
        <w:jc w:val="center"/>
      </w:pPr>
      <w:r w:rsidRPr="004046E6">
        <w:rPr>
          <w:vertAlign w:val="superscript"/>
        </w:rPr>
        <w:t>1</w:t>
      </w:r>
      <w:r>
        <w:rPr>
          <w:vertAlign w:val="superscript"/>
        </w:rPr>
        <w:t>0</w:t>
      </w:r>
      <w:r>
        <w:t>Dorset Cancer Centre</w:t>
      </w:r>
    </w:p>
    <w:p w:rsidR="002F7205" w:rsidRDefault="002F7205">
      <w:pPr>
        <w:spacing w:line="240" w:lineRule="auto"/>
        <w:jc w:val="center"/>
      </w:pPr>
      <w:r>
        <w:rPr>
          <w:vertAlign w:val="superscript"/>
        </w:rPr>
        <w:t>11</w:t>
      </w:r>
      <w:r w:rsidRPr="00E74DC8">
        <w:t>Southern Health NHS Foundation Trust, Southampton</w:t>
      </w:r>
    </w:p>
    <w:p w:rsidR="002F7205" w:rsidRDefault="002F7205">
      <w:pPr>
        <w:spacing w:line="240" w:lineRule="auto"/>
        <w:jc w:val="center"/>
      </w:pPr>
      <w:r>
        <w:rPr>
          <w:vertAlign w:val="superscript"/>
        </w:rPr>
        <w:t>12</w:t>
      </w:r>
      <w:r>
        <w:t>School of Nursing and Midwifery</w:t>
      </w:r>
      <w:r w:rsidRPr="00E74DC8">
        <w:t>, Oxford Brookes University</w:t>
      </w:r>
    </w:p>
    <w:p w:rsidR="002F7205" w:rsidRDefault="002F7205" w:rsidP="009B3C34">
      <w:pPr>
        <w:spacing w:line="240" w:lineRule="auto"/>
        <w:jc w:val="center"/>
      </w:pPr>
      <w:r w:rsidRPr="00A55456">
        <w:rPr>
          <w:vertAlign w:val="superscript"/>
        </w:rPr>
        <w:t>1</w:t>
      </w:r>
      <w:r>
        <w:rPr>
          <w:vertAlign w:val="superscript"/>
        </w:rPr>
        <w:t>3</w:t>
      </w:r>
      <w:r>
        <w:t>Faculty of Health &amp; Life Sciences, Coventry University</w:t>
      </w:r>
    </w:p>
    <w:p w:rsidR="002F7205" w:rsidRDefault="002F7205">
      <w:pPr>
        <w:spacing w:line="240" w:lineRule="auto"/>
        <w:jc w:val="center"/>
      </w:pPr>
      <w:r>
        <w:rPr>
          <w:vertAlign w:val="superscript"/>
        </w:rPr>
        <w:t>14</w:t>
      </w:r>
      <w:r>
        <w:t>School</w:t>
      </w:r>
      <w:r w:rsidRPr="00E74DC8">
        <w:t xml:space="preserve"> of Health Sciences, Bangor University</w:t>
      </w:r>
    </w:p>
    <w:p w:rsidR="002F7205" w:rsidRDefault="002F7205">
      <w:pPr>
        <w:spacing w:line="240" w:lineRule="auto"/>
        <w:jc w:val="center"/>
      </w:pPr>
      <w:r w:rsidRPr="00F83E36">
        <w:rPr>
          <w:vertAlign w:val="superscript"/>
        </w:rPr>
        <w:t>1</w:t>
      </w:r>
      <w:r>
        <w:rPr>
          <w:vertAlign w:val="superscript"/>
        </w:rPr>
        <w:t>5</w:t>
      </w:r>
      <w:r w:rsidRPr="00380C5F">
        <w:t>School of Experimental Psychology, University of Bristol</w:t>
      </w:r>
    </w:p>
    <w:p w:rsidR="002F7205" w:rsidRDefault="002F7205" w:rsidP="005F29DC">
      <w:pPr>
        <w:spacing w:line="240" w:lineRule="auto"/>
        <w:jc w:val="center"/>
      </w:pPr>
      <w:r w:rsidRPr="00F83E36">
        <w:rPr>
          <w:vertAlign w:val="superscript"/>
        </w:rPr>
        <w:t>1</w:t>
      </w:r>
      <w:r>
        <w:rPr>
          <w:vertAlign w:val="superscript"/>
        </w:rPr>
        <w:t xml:space="preserve">6 </w:t>
      </w:r>
      <w:r w:rsidRPr="00D7565D">
        <w:t>Biostatistics Research Group</w:t>
      </w:r>
      <w:r w:rsidRPr="00380C5F">
        <w:t xml:space="preserve">, University of </w:t>
      </w:r>
      <w:r>
        <w:t>Leicester</w:t>
      </w:r>
    </w:p>
    <w:p w:rsidR="002F7205" w:rsidRDefault="002F7205"/>
    <w:p w:rsidR="002F7205" w:rsidRDefault="002F7205">
      <w:pPr>
        <w:jc w:val="center"/>
      </w:pPr>
      <w:r w:rsidRPr="002C05C5">
        <w:t>*Corresponding author: a.s.krusche@soton.ac.uk</w:t>
      </w:r>
      <w:r>
        <w:t>, Psychology Department, Shackleton Building Room 3045, Highfield Campus, University of Southampton, University Road, Southampton, Hampshire. SO17 1BJ.</w:t>
      </w:r>
    </w:p>
    <w:p w:rsidR="002F7205" w:rsidRDefault="002F7205">
      <w:pPr>
        <w:jc w:val="center"/>
      </w:pPr>
    </w:p>
    <w:p w:rsidR="002F7205" w:rsidRDefault="002F7205" w:rsidP="00F83E36">
      <w:r w:rsidRPr="002C05C5">
        <w:rPr>
          <w:b/>
          <w:i/>
        </w:rPr>
        <w:t>Keywords:</w:t>
      </w:r>
      <w:r w:rsidRPr="002C05C5">
        <w:rPr>
          <w:i/>
        </w:rPr>
        <w:t xml:space="preserve"> e-health, </w:t>
      </w:r>
      <w:r>
        <w:rPr>
          <w:i/>
        </w:rPr>
        <w:t>psycho-oncology, digital</w:t>
      </w:r>
      <w:r w:rsidRPr="002C05C5">
        <w:rPr>
          <w:i/>
        </w:rPr>
        <w:t xml:space="preserve"> interventions, cancer, quality of life, survivorship</w:t>
      </w:r>
      <w:r w:rsidRPr="002C05C5">
        <w:br w:type="page"/>
      </w:r>
    </w:p>
    <w:p w:rsidR="002F7205" w:rsidRPr="00D4189A" w:rsidRDefault="002F7205" w:rsidP="007545FC">
      <w:pPr>
        <w:pStyle w:val="Heading1"/>
        <w:spacing w:line="276" w:lineRule="auto"/>
      </w:pPr>
      <w:r w:rsidRPr="002C05C5">
        <w:lastRenderedPageBreak/>
        <w:t>Abstract</w:t>
      </w:r>
    </w:p>
    <w:p w:rsidR="002F7205" w:rsidRDefault="002F7205">
      <w:pPr>
        <w:rPr>
          <w:b/>
        </w:rPr>
      </w:pPr>
      <w:r w:rsidRPr="00E74DC8">
        <w:rPr>
          <w:b/>
        </w:rPr>
        <w:t>Introduction</w:t>
      </w:r>
    </w:p>
    <w:p w:rsidR="002F7205" w:rsidRPr="004C23DF" w:rsidRDefault="002F7205" w:rsidP="00D1747A">
      <w:r>
        <w:t>L</w:t>
      </w:r>
      <w:r w:rsidRPr="004C23DF">
        <w:t xml:space="preserve">ow quality of life </w:t>
      </w:r>
      <w:r>
        <w:t>is common</w:t>
      </w:r>
      <w:r w:rsidRPr="004C23DF">
        <w:t xml:space="preserve"> in cancer survivors. </w:t>
      </w:r>
      <w:r>
        <w:t>Increasing physical activity, improving diet, supporting psychological wellbeing and weight loss can improve quality of life in several cancers and may limit relapse. The aim of the</w:t>
      </w:r>
      <w:r w:rsidRPr="004C23DF">
        <w:t xml:space="preserve"> </w:t>
      </w:r>
      <w:r>
        <w:t>randomised controlled trial</w:t>
      </w:r>
      <w:r w:rsidRPr="004C23DF">
        <w:t xml:space="preserve"> </w:t>
      </w:r>
      <w:r>
        <w:t>outlined in this protocol is</w:t>
      </w:r>
      <w:r w:rsidRPr="004C23DF">
        <w:t xml:space="preserve"> </w:t>
      </w:r>
      <w:r>
        <w:t xml:space="preserve">to </w:t>
      </w:r>
      <w:r w:rsidRPr="004C23DF">
        <w:t xml:space="preserve">examine </w:t>
      </w:r>
      <w:r>
        <w:t>whether</w:t>
      </w:r>
      <w:r w:rsidRPr="004C23DF">
        <w:t xml:space="preserve"> a </w:t>
      </w:r>
      <w:r>
        <w:t>digital</w:t>
      </w:r>
      <w:r w:rsidRPr="004C23DF">
        <w:t xml:space="preserve"> intervention</w:t>
      </w:r>
      <w:r>
        <w:t xml:space="preserve"> (Renewed),</w:t>
      </w:r>
      <w:r w:rsidRPr="004C23DF">
        <w:t xml:space="preserve"> </w:t>
      </w:r>
      <w:r>
        <w:t>with or without human support, can</w:t>
      </w:r>
      <w:r w:rsidRPr="004C23DF">
        <w:t xml:space="preserve"> improve quality of life in cancer survivors. Renewed</w:t>
      </w:r>
      <w:r>
        <w:t xml:space="preserve"> </w:t>
      </w:r>
      <w:r w:rsidRPr="004C23DF">
        <w:t xml:space="preserve">provides support for increasing physical activity, managing difficult emotions, eating a healthier diet and weight management. </w:t>
      </w:r>
    </w:p>
    <w:p w:rsidR="002F7205" w:rsidRPr="004C23DF" w:rsidRDefault="002F7205">
      <w:pPr>
        <w:rPr>
          <w:b/>
        </w:rPr>
      </w:pPr>
      <w:r w:rsidRPr="004C23DF">
        <w:rPr>
          <w:b/>
        </w:rPr>
        <w:t>Methods and analysis</w:t>
      </w:r>
    </w:p>
    <w:p w:rsidR="002F7205" w:rsidRPr="004C23DF" w:rsidRDefault="002F7205" w:rsidP="00286D1C">
      <w:r>
        <w:t>A</w:t>
      </w:r>
      <w:r w:rsidRPr="005273FE">
        <w:t xml:space="preserve"> randomised controlled trial </w:t>
      </w:r>
      <w:r>
        <w:t xml:space="preserve">is being conducted comparing </w:t>
      </w:r>
      <w:r w:rsidRPr="004C23DF">
        <w:t xml:space="preserve">usual care, access to Renewed or access to Renewed with brief human support. </w:t>
      </w:r>
      <w:r>
        <w:t xml:space="preserve">Cancer survivors who have had colorectal, breast or prostate cancer </w:t>
      </w:r>
      <w:r w:rsidRPr="004C23DF">
        <w:t xml:space="preserve">will be </w:t>
      </w:r>
      <w:r>
        <w:t xml:space="preserve">identified and </w:t>
      </w:r>
      <w:r w:rsidRPr="004C23DF">
        <w:t xml:space="preserve">invited through </w:t>
      </w:r>
      <w:r>
        <w:t>general</w:t>
      </w:r>
      <w:r w:rsidRPr="004C23DF">
        <w:t xml:space="preserve"> practic</w:t>
      </w:r>
      <w:r>
        <w:t xml:space="preserve">e </w:t>
      </w:r>
      <w:r w:rsidRPr="004C23DF">
        <w:t xml:space="preserve">searches and mail-outs. </w:t>
      </w:r>
      <w:r>
        <w:t>Participants are asked to complete b</w:t>
      </w:r>
      <w:r w:rsidRPr="004C23DF">
        <w:t xml:space="preserve">aseline measures immediately after screening and </w:t>
      </w:r>
      <w:r>
        <w:t>will</w:t>
      </w:r>
      <w:r w:rsidRPr="004C23DF">
        <w:t xml:space="preserve"> then be randomised to </w:t>
      </w:r>
      <w:r>
        <w:t>a study</w:t>
      </w:r>
      <w:r w:rsidRPr="004C23DF">
        <w:t xml:space="preserve"> group</w:t>
      </w:r>
      <w:r>
        <w:t>; this is all completed on the Renewed website.</w:t>
      </w:r>
      <w:r w:rsidRPr="004C23DF">
        <w:t xml:space="preserve"> </w:t>
      </w:r>
      <w:r>
        <w:t xml:space="preserve">The primary outcome is quality of life measured by the EORTC QLQ-c30. </w:t>
      </w:r>
      <w:r w:rsidRPr="004C23DF">
        <w:t>Secondary outcomes include anxiety and depression, fear of cancer recurrence, general wellbeing,</w:t>
      </w:r>
      <w:r>
        <w:t xml:space="preserve"> enablement</w:t>
      </w:r>
      <w:r w:rsidRPr="00286D1C">
        <w:t xml:space="preserve"> </w:t>
      </w:r>
      <w:r w:rsidRPr="004C23DF">
        <w:t>and items relating to costs for a health economics analysis</w:t>
      </w:r>
      <w:r>
        <w:t xml:space="preserve">. Process measures include: </w:t>
      </w:r>
      <w:r w:rsidRPr="004C23DF">
        <w:t>perceptions of human support, intervention usage and satisfaction</w:t>
      </w:r>
      <w:r>
        <w:t>, and adherence to behavioural changes.</w:t>
      </w:r>
      <w:r w:rsidRPr="004C23DF">
        <w:t xml:space="preserve"> </w:t>
      </w:r>
      <w:r>
        <w:t xml:space="preserve">Qualitative process evaluations will be conducted with patients and healthcare staff providing support. </w:t>
      </w:r>
    </w:p>
    <w:p w:rsidR="002F7205" w:rsidRPr="004C23DF" w:rsidRDefault="002F7205">
      <w:pPr>
        <w:rPr>
          <w:b/>
        </w:rPr>
      </w:pPr>
      <w:r w:rsidRPr="004C23DF">
        <w:rPr>
          <w:b/>
        </w:rPr>
        <w:t>Ethics and dissemination</w:t>
      </w:r>
    </w:p>
    <w:p w:rsidR="002F7205" w:rsidRPr="004C23DF" w:rsidRDefault="002F7205">
      <w:r w:rsidRPr="004C23DF">
        <w:t>The trial has been approved by the NHS Research Ethics Committee (Reference 1</w:t>
      </w:r>
      <w:r>
        <w:t>8</w:t>
      </w:r>
      <w:r w:rsidRPr="004C23DF">
        <w:t>/</w:t>
      </w:r>
      <w:r>
        <w:t>NW</w:t>
      </w:r>
      <w:r w:rsidRPr="004C23DF">
        <w:t>/0</w:t>
      </w:r>
      <w:r>
        <w:t>013</w:t>
      </w:r>
      <w:r w:rsidRPr="004C23DF">
        <w:t xml:space="preserve">). The results of this trial will be published in peer-reviewed journals and through conference presentations. </w:t>
      </w:r>
    </w:p>
    <w:p w:rsidR="002F7205" w:rsidRPr="004C23DF" w:rsidRDefault="002F7205">
      <w:pPr>
        <w:rPr>
          <w:b/>
        </w:rPr>
      </w:pPr>
      <w:r w:rsidRPr="004C23DF">
        <w:rPr>
          <w:b/>
        </w:rPr>
        <w:t xml:space="preserve">Trial registration number: </w:t>
      </w:r>
    </w:p>
    <w:p w:rsidR="002F7205" w:rsidRDefault="002F7205">
      <w:r w:rsidRPr="00EA797B">
        <w:t>ISRCTN: 96374224</w:t>
      </w:r>
      <w:r>
        <w:t xml:space="preserve">, </w:t>
      </w:r>
      <w:r w:rsidRPr="004C23DF">
        <w:t>N/RES Reference 1</w:t>
      </w:r>
      <w:r>
        <w:t>8</w:t>
      </w:r>
      <w:r w:rsidRPr="004C23DF">
        <w:t>/</w:t>
      </w:r>
      <w:r>
        <w:t>NW</w:t>
      </w:r>
      <w:r w:rsidRPr="004C23DF">
        <w:t>/0</w:t>
      </w:r>
      <w:r>
        <w:t>013</w:t>
      </w:r>
      <w:r w:rsidRPr="004C23DF">
        <w:t xml:space="preserve">, IRAS ID </w:t>
      </w:r>
      <w:r w:rsidRPr="00BE7F4B">
        <w:t xml:space="preserve">238636 </w:t>
      </w:r>
      <w:r w:rsidRPr="002C05C5">
        <w:br w:type="page"/>
      </w:r>
    </w:p>
    <w:p w:rsidR="002F7205" w:rsidRPr="004C23DF" w:rsidRDefault="002F7205" w:rsidP="004A79A7">
      <w:pPr>
        <w:pStyle w:val="Heading1"/>
      </w:pPr>
      <w:r w:rsidRPr="004C23DF">
        <w:lastRenderedPageBreak/>
        <w:t>Strengths and limitations</w:t>
      </w:r>
    </w:p>
    <w:p w:rsidR="002F7205" w:rsidRPr="004C23DF" w:rsidRDefault="002F7205" w:rsidP="0046525A">
      <w:pPr>
        <w:pStyle w:val="ListParagraph"/>
        <w:numPr>
          <w:ilvl w:val="0"/>
          <w:numId w:val="24"/>
        </w:numPr>
        <w:ind w:left="426" w:hanging="284"/>
      </w:pPr>
      <w:r>
        <w:t xml:space="preserve">The intervention is designed to be easy to implement at scale. </w:t>
      </w:r>
    </w:p>
    <w:p w:rsidR="002F7205" w:rsidRDefault="002F7205" w:rsidP="008B4C59">
      <w:pPr>
        <w:pStyle w:val="ListParagraph"/>
        <w:numPr>
          <w:ilvl w:val="0"/>
          <w:numId w:val="24"/>
        </w:numPr>
        <w:ind w:left="426" w:hanging="284"/>
      </w:pPr>
      <w:r>
        <w:t xml:space="preserve">The intervention was </w:t>
      </w:r>
      <w:r w:rsidRPr="004C23DF">
        <w:t xml:space="preserve">developed using </w:t>
      </w:r>
      <w:r>
        <w:t>evidence-, theory- and</w:t>
      </w:r>
      <w:r w:rsidRPr="004C23DF">
        <w:t xml:space="preserve"> Person-Based Approach</w:t>
      </w:r>
      <w:r>
        <w:t>es</w:t>
      </w:r>
      <w:r w:rsidRPr="004C23DF">
        <w:t>.</w:t>
      </w:r>
    </w:p>
    <w:p w:rsidR="002F7205" w:rsidRPr="005273FE" w:rsidRDefault="002F7205" w:rsidP="00B64C3F">
      <w:pPr>
        <w:pStyle w:val="ListParagraph"/>
        <w:numPr>
          <w:ilvl w:val="0"/>
          <w:numId w:val="24"/>
        </w:numPr>
        <w:ind w:left="426" w:hanging="284"/>
      </w:pPr>
      <w:r>
        <w:t>This trial will only be able to explore effects in patients with breast, colorectal and prostate cancer. However, this will enable</w:t>
      </w:r>
      <w:r w:rsidRPr="005273FE">
        <w:t xml:space="preserve"> exploration of whether the intervention </w:t>
      </w:r>
      <w:r>
        <w:t>might</w:t>
      </w:r>
      <w:r w:rsidRPr="005273FE">
        <w:t xml:space="preserve"> be a viable form of support for survivors of other cancers.</w:t>
      </w:r>
    </w:p>
    <w:p w:rsidR="002F7205" w:rsidRPr="004C23DF" w:rsidRDefault="002F7205">
      <w:pPr>
        <w:pStyle w:val="ListParagraph"/>
        <w:ind w:left="426" w:hanging="284"/>
      </w:pPr>
    </w:p>
    <w:p w:rsidR="002F7205" w:rsidRDefault="002F7205">
      <w:pPr>
        <w:pStyle w:val="ListParagraph"/>
        <w:ind w:left="1724" w:firstLine="0"/>
      </w:pPr>
    </w:p>
    <w:p w:rsidR="002F7205" w:rsidRDefault="002F7205">
      <w:bookmarkStart w:id="1" w:name="_Toc433713900"/>
      <w:r w:rsidRPr="002C05C5">
        <w:br w:type="page"/>
      </w:r>
    </w:p>
    <w:p w:rsidR="002F7205" w:rsidRPr="00D4189A" w:rsidRDefault="002F7205" w:rsidP="004A79A7">
      <w:pPr>
        <w:pStyle w:val="Heading1"/>
      </w:pPr>
      <w:r w:rsidRPr="002C05C5">
        <w:lastRenderedPageBreak/>
        <w:t>Ren</w:t>
      </w:r>
      <w:r>
        <w:t>e</w:t>
      </w:r>
      <w:r w:rsidRPr="002C05C5">
        <w:t>wed: Trial Design &amp; Protocol For A</w:t>
      </w:r>
      <w:r>
        <w:t xml:space="preserve"> Digital</w:t>
      </w:r>
      <w:r w:rsidRPr="002C05C5">
        <w:t xml:space="preserve"> Intervention to support quality of life in cancer survivors</w:t>
      </w:r>
    </w:p>
    <w:p w:rsidR="002F7205" w:rsidRDefault="002F7205" w:rsidP="005273FE">
      <w:r>
        <w:t>Population-based studies indicate that q</w:t>
      </w:r>
      <w:r w:rsidRPr="002C05C5">
        <w:t xml:space="preserve">uality of life </w:t>
      </w:r>
      <w:r>
        <w:t xml:space="preserve">(QoL) </w:t>
      </w:r>
      <w:r w:rsidRPr="002C05C5">
        <w:t xml:space="preserve">is poor in </w:t>
      </w:r>
      <w:r>
        <w:t xml:space="preserve">as many as a third of </w:t>
      </w:r>
      <w:r w:rsidRPr="002C05C5">
        <w:t>cancer survivors</w:t>
      </w:r>
      <w:r>
        <w:t xml:space="preserve"> post-treatment </w:t>
      </w:r>
      <w:r>
        <w:rPr>
          <w:noProof/>
        </w:rPr>
        <w:t>[1]</w:t>
      </w:r>
      <w:r w:rsidRPr="002C05C5">
        <w:t xml:space="preserve">, </w:t>
      </w:r>
      <w:r>
        <w:t xml:space="preserve">with levels </w:t>
      </w:r>
      <w:r w:rsidRPr="002C05C5">
        <w:t xml:space="preserve">equivalent </w:t>
      </w:r>
      <w:r>
        <w:t>to those in people living with</w:t>
      </w:r>
      <w:r w:rsidRPr="002C05C5">
        <w:t xml:space="preserve"> major chronic diseases </w:t>
      </w:r>
      <w:r>
        <w:rPr>
          <w:noProof/>
        </w:rPr>
        <w:t>[2, 3]</w:t>
      </w:r>
      <w:r>
        <w:t xml:space="preserve">. Those who struggle with aspects of quality of life after treatment experience </w:t>
      </w:r>
      <w:proofErr w:type="gramStart"/>
      <w:r w:rsidRPr="002C05C5">
        <w:t>particular</w:t>
      </w:r>
      <w:r>
        <w:t xml:space="preserve"> problems</w:t>
      </w:r>
      <w:proofErr w:type="gramEnd"/>
      <w:r>
        <w:t xml:space="preserve"> with</w:t>
      </w:r>
      <w:r w:rsidRPr="002C05C5">
        <w:t xml:space="preserve"> psychological distress and fatigue </w:t>
      </w:r>
      <w:r>
        <w:rPr>
          <w:noProof/>
        </w:rPr>
        <w:t>[2]</w:t>
      </w:r>
      <w:r>
        <w:t xml:space="preserve"> and social, physical and financial consequences </w:t>
      </w:r>
      <w:r>
        <w:rPr>
          <w:noProof/>
        </w:rPr>
        <w:t>[4, 5]</w:t>
      </w:r>
      <w:r>
        <w:t xml:space="preserve"> which can persist for ten years or more post-treatment </w:t>
      </w:r>
      <w:r>
        <w:rPr>
          <w:noProof/>
        </w:rPr>
        <w:t>[5]</w:t>
      </w:r>
      <w:r>
        <w:t xml:space="preserve">. This is a significant concern given the rising prevalence of secondary cancers due to heightened life expectancy and common environmental and lifestyle factors associated with increased risk, such as unhealthy diet </w:t>
      </w:r>
      <w:r>
        <w:rPr>
          <w:noProof/>
        </w:rPr>
        <w:t>[6-8]</w:t>
      </w:r>
      <w:r>
        <w:t>.</w:t>
      </w:r>
      <w:r w:rsidRPr="002C05C5">
        <w:t xml:space="preserve"> </w:t>
      </w:r>
      <w:r>
        <w:t xml:space="preserve">Up to 75% of survivors of cancer also then struggle with comorbid issues such as arthritis, high blood pressure and anxiety and depression which contribute to poorer quality of life </w:t>
      </w:r>
      <w:r>
        <w:rPr>
          <w:noProof/>
        </w:rPr>
        <w:t>[9]</w:t>
      </w:r>
      <w:r>
        <w:t xml:space="preserve">. </w:t>
      </w:r>
      <w:r w:rsidRPr="002C05C5">
        <w:t xml:space="preserve">Evidence suggests that </w:t>
      </w:r>
      <w:r>
        <w:t xml:space="preserve">early intervention could alleviate some </w:t>
      </w:r>
      <w:proofErr w:type="gramStart"/>
      <w:r>
        <w:t>longer term</w:t>
      </w:r>
      <w:proofErr w:type="gramEnd"/>
      <w:r>
        <w:t xml:space="preserve"> problems and reduce burden on the health service </w:t>
      </w:r>
      <w:r>
        <w:rPr>
          <w:noProof/>
        </w:rPr>
        <w:t>[10]</w:t>
      </w:r>
      <w:r>
        <w:t xml:space="preserve"> and that specifically </w:t>
      </w:r>
      <w:r w:rsidRPr="002C05C5">
        <w:t xml:space="preserve">addressing </w:t>
      </w:r>
      <w:r>
        <w:t>physical activity</w:t>
      </w:r>
      <w:r w:rsidRPr="002C05C5">
        <w:t>, psychological wellbeing</w:t>
      </w:r>
      <w:r>
        <w:t>, diet and weight loss</w:t>
      </w:r>
      <w:r w:rsidRPr="002C05C5">
        <w:t xml:space="preserve"> is likely to improve </w:t>
      </w:r>
      <w:r>
        <w:t>QoL</w:t>
      </w:r>
      <w:r w:rsidRPr="002C05C5">
        <w:t xml:space="preserve"> in </w:t>
      </w:r>
      <w:r>
        <w:t>survivors of a range of</w:t>
      </w:r>
      <w:r w:rsidRPr="002C05C5">
        <w:t xml:space="preserve"> cancers, and may limit relapse </w:t>
      </w:r>
      <w:r>
        <w:rPr>
          <w:noProof/>
        </w:rPr>
        <w:t>[11-14]</w:t>
      </w:r>
      <w:r>
        <w:t>.</w:t>
      </w:r>
    </w:p>
    <w:p w:rsidR="002F7205" w:rsidRDefault="002F7205">
      <w:pPr>
        <w:rPr>
          <w:i/>
        </w:rPr>
      </w:pPr>
      <w:bookmarkStart w:id="2" w:name="_Toc482364246"/>
      <w:bookmarkStart w:id="3" w:name="_Toc488310074"/>
      <w:r w:rsidRPr="00E74DC8">
        <w:rPr>
          <w:i/>
        </w:rPr>
        <w:t>Physical Activity</w:t>
      </w:r>
      <w:bookmarkEnd w:id="2"/>
      <w:bookmarkEnd w:id="3"/>
    </w:p>
    <w:p w:rsidR="002F7205" w:rsidRDefault="002F7205" w:rsidP="00DA7D92">
      <w:r w:rsidRPr="002C05C5">
        <w:t>The positive effects of physical activity in cancer survivors are well documented</w:t>
      </w:r>
      <w:r>
        <w:t>. M</w:t>
      </w:r>
      <w:r w:rsidRPr="002C05C5">
        <w:t xml:space="preserve">eta-analyses </w:t>
      </w:r>
      <w:r>
        <w:t>indicate</w:t>
      </w:r>
      <w:r w:rsidRPr="002C05C5">
        <w:t xml:space="preserve"> </w:t>
      </w:r>
      <w:r>
        <w:t xml:space="preserve">that </w:t>
      </w:r>
      <w:r w:rsidRPr="002C05C5">
        <w:t xml:space="preserve">physical activity interventions reduce fatigue in cancer survivors </w:t>
      </w:r>
      <w:r>
        <w:rPr>
          <w:noProof/>
        </w:rPr>
        <w:t>[15-18]</w:t>
      </w:r>
      <w:r w:rsidRPr="002C05C5">
        <w:t xml:space="preserve">. Overall, positive trends and impact of physical activity interventions exist for physiological, psychosocial and functional outcomes </w:t>
      </w:r>
      <w:r>
        <w:rPr>
          <w:noProof/>
        </w:rPr>
        <w:t>[19, 20]</w:t>
      </w:r>
      <w:r>
        <w:t>. A</w:t>
      </w:r>
      <w:r w:rsidRPr="002C05C5">
        <w:t xml:space="preserve">s a result, being sufficiently active is one of the cornerstones of a long-term self-care strategy for cancer survivors </w:t>
      </w:r>
      <w:r>
        <w:rPr>
          <w:noProof/>
        </w:rPr>
        <w:t>[21]</w:t>
      </w:r>
      <w:r w:rsidRPr="002C05C5">
        <w:t xml:space="preserve">. </w:t>
      </w:r>
    </w:p>
    <w:p w:rsidR="002F7205" w:rsidRDefault="002F7205">
      <w:pPr>
        <w:rPr>
          <w:i/>
        </w:rPr>
      </w:pPr>
      <w:bookmarkStart w:id="4" w:name="_Toc482364247"/>
      <w:bookmarkStart w:id="5" w:name="_Toc488310075"/>
      <w:r w:rsidRPr="00E74DC8">
        <w:rPr>
          <w:i/>
        </w:rPr>
        <w:t>Psychological Wellbeing</w:t>
      </w:r>
      <w:bookmarkEnd w:id="4"/>
      <w:bookmarkEnd w:id="5"/>
    </w:p>
    <w:p w:rsidR="002F7205" w:rsidRDefault="002F7205" w:rsidP="00DA7D92">
      <w:r w:rsidRPr="002C05C5">
        <w:t>The psychological wellbeing of cancer survivors can be enhanced through a range of approaches. Cognitive Behavioural Therapy (CBT) techniques aimed at survivors have been found to significantly reduce psychological distress</w:t>
      </w:r>
      <w:r>
        <w:t>,</w:t>
      </w:r>
      <w:r w:rsidRPr="002C05C5">
        <w:t xml:space="preserve"> including depression and anxiety </w:t>
      </w:r>
      <w:r>
        <w:rPr>
          <w:noProof/>
        </w:rPr>
        <w:t>[22]</w:t>
      </w:r>
      <w:r w:rsidRPr="002C05C5">
        <w:t>. Mindfulness-</w:t>
      </w:r>
      <w:r>
        <w:t>b</w:t>
      </w:r>
      <w:r w:rsidRPr="002C05C5">
        <w:t xml:space="preserve">ased interventions place emphasis on acceptance and awareness of the present </w:t>
      </w:r>
      <w:proofErr w:type="gramStart"/>
      <w:r w:rsidRPr="002C05C5">
        <w:t>through the use of</w:t>
      </w:r>
      <w:proofErr w:type="gramEnd"/>
      <w:r w:rsidRPr="002C05C5">
        <w:t xml:space="preserve"> mindfulness techniques</w:t>
      </w:r>
      <w:r>
        <w:t>,</w:t>
      </w:r>
      <w:r w:rsidRPr="002C05C5">
        <w:t xml:space="preserve"> </w:t>
      </w:r>
      <w:r w:rsidRPr="002C05C5">
        <w:lastRenderedPageBreak/>
        <w:t xml:space="preserve">including meditation exercises </w:t>
      </w:r>
      <w:r>
        <w:rPr>
          <w:noProof/>
        </w:rPr>
        <w:t>[23]</w:t>
      </w:r>
      <w:r w:rsidRPr="002C05C5">
        <w:t xml:space="preserve">. </w:t>
      </w:r>
      <w:r>
        <w:t>Review evidence indicates</w:t>
      </w:r>
      <w:r w:rsidRPr="002C05C5">
        <w:t xml:space="preserve"> </w:t>
      </w:r>
      <w:r>
        <w:t>mindfulness-based</w:t>
      </w:r>
      <w:r w:rsidRPr="002C05C5">
        <w:t xml:space="preserve"> </w:t>
      </w:r>
      <w:r>
        <w:t xml:space="preserve">techniques can reduce </w:t>
      </w:r>
      <w:r w:rsidRPr="002C05C5">
        <w:t>stress and anxiety</w:t>
      </w:r>
      <w:r>
        <w:t xml:space="preserve"> in</w:t>
      </w:r>
      <w:r w:rsidRPr="002C05C5">
        <w:t xml:space="preserve"> breast cancer survivors </w:t>
      </w:r>
      <w:r>
        <w:rPr>
          <w:noProof/>
        </w:rPr>
        <w:t>[24]</w:t>
      </w:r>
      <w:r>
        <w:t xml:space="preserve"> and </w:t>
      </w:r>
      <w:r w:rsidRPr="002C05C5">
        <w:t>improv</w:t>
      </w:r>
      <w:r>
        <w:t>e</w:t>
      </w:r>
      <w:r w:rsidRPr="002C05C5">
        <w:t xml:space="preserve"> </w:t>
      </w:r>
      <w:r>
        <w:t>QoL</w:t>
      </w:r>
      <w:r w:rsidRPr="002C05C5">
        <w:t xml:space="preserve"> </w:t>
      </w:r>
      <w:r>
        <w:t>in cancer survivors,</w:t>
      </w:r>
      <w:r w:rsidRPr="002C05C5">
        <w:t xml:space="preserve"> </w:t>
      </w:r>
      <w:r>
        <w:t>often by improving f</w:t>
      </w:r>
      <w:r w:rsidRPr="002C05C5">
        <w:t xml:space="preserve">ear of </w:t>
      </w:r>
      <w:r>
        <w:t>c</w:t>
      </w:r>
      <w:r w:rsidRPr="002C05C5">
        <w:t xml:space="preserve">ancer </w:t>
      </w:r>
      <w:r>
        <w:t>r</w:t>
      </w:r>
      <w:r w:rsidRPr="002C05C5">
        <w:t>ecurrence (FCR)</w:t>
      </w:r>
      <w:r>
        <w:t>, stress, anxiety and depression</w:t>
      </w:r>
      <w:r w:rsidRPr="002C05C5">
        <w:t xml:space="preserve"> </w:t>
      </w:r>
      <w:r>
        <w:rPr>
          <w:noProof/>
        </w:rPr>
        <w:t>[25]</w:t>
      </w:r>
      <w:r w:rsidRPr="002C05C5">
        <w:t>. Mindfulness-based interventions</w:t>
      </w:r>
      <w:r>
        <w:t xml:space="preserve"> also</w:t>
      </w:r>
      <w:r w:rsidRPr="002C05C5">
        <w:t xml:space="preserve"> effective</w:t>
      </w:r>
      <w:r>
        <w:t>ly reduce</w:t>
      </w:r>
      <w:r w:rsidRPr="002C05C5">
        <w:t xml:space="preserve"> cancer-related fatigue </w:t>
      </w:r>
      <w:r>
        <w:rPr>
          <w:noProof/>
        </w:rPr>
        <w:t>[26, 27]</w:t>
      </w:r>
      <w:r w:rsidRPr="002C05C5">
        <w:t xml:space="preserve">. </w:t>
      </w:r>
    </w:p>
    <w:p w:rsidR="002F7205" w:rsidRDefault="002F7205">
      <w:pPr>
        <w:rPr>
          <w:i/>
        </w:rPr>
      </w:pPr>
      <w:bookmarkStart w:id="6" w:name="_Toc482364249"/>
      <w:bookmarkStart w:id="7" w:name="_Toc488310077"/>
      <w:r w:rsidRPr="00E74DC8">
        <w:rPr>
          <w:i/>
        </w:rPr>
        <w:t>Diet</w:t>
      </w:r>
      <w:bookmarkEnd w:id="6"/>
      <w:bookmarkEnd w:id="7"/>
    </w:p>
    <w:p w:rsidR="002F7205" w:rsidRDefault="002F7205" w:rsidP="009100C7">
      <w:r>
        <w:t>Improving</w:t>
      </w:r>
      <w:r w:rsidRPr="002C05C5">
        <w:t xml:space="preserve"> diet can positively impact the health and wellbeing of cancer survivors. </w:t>
      </w:r>
      <w:r>
        <w:t xml:space="preserve">Lowering fat consumption reduces cancer relapse </w:t>
      </w:r>
      <w:r>
        <w:rPr>
          <w:noProof/>
        </w:rPr>
        <w:t>[28]</w:t>
      </w:r>
      <w:r>
        <w:t xml:space="preserve"> and data from the Healthy Survey for England indicates an association between increased fruit and vegetable intake and reduced cancer mortality. S</w:t>
      </w:r>
      <w:r w:rsidRPr="002C05C5">
        <w:t xml:space="preserve">ystematic review </w:t>
      </w:r>
      <w:r>
        <w:t>evidence also indicates</w:t>
      </w:r>
      <w:r w:rsidRPr="002C05C5">
        <w:t xml:space="preserve"> that </w:t>
      </w:r>
      <w:r>
        <w:t xml:space="preserve">healthy </w:t>
      </w:r>
      <w:r w:rsidRPr="002C05C5">
        <w:t xml:space="preserve">dietary changes </w:t>
      </w:r>
      <w:r>
        <w:t>improve</w:t>
      </w:r>
      <w:r w:rsidRPr="002C05C5">
        <w:t xml:space="preserve"> health-related </w:t>
      </w:r>
      <w:r>
        <w:t>QoL</w:t>
      </w:r>
      <w:r w:rsidRPr="002C05C5">
        <w:t xml:space="preserve"> </w:t>
      </w:r>
      <w:r>
        <w:t xml:space="preserve">in cancer survivors </w:t>
      </w:r>
      <w:r>
        <w:rPr>
          <w:noProof/>
        </w:rPr>
        <w:t>[29]</w:t>
      </w:r>
      <w:r w:rsidRPr="002C05C5">
        <w:t>.</w:t>
      </w:r>
      <w:r>
        <w:t xml:space="preserve"> </w:t>
      </w:r>
    </w:p>
    <w:p w:rsidR="002F7205" w:rsidRDefault="002F7205">
      <w:pPr>
        <w:rPr>
          <w:i/>
        </w:rPr>
      </w:pPr>
      <w:bookmarkStart w:id="8" w:name="_Toc482364250"/>
      <w:bookmarkStart w:id="9" w:name="_Toc488310078"/>
      <w:r w:rsidRPr="00E74DC8">
        <w:rPr>
          <w:i/>
        </w:rPr>
        <w:t>Weight Management</w:t>
      </w:r>
    </w:p>
    <w:p w:rsidR="002F7205" w:rsidRDefault="002F7205" w:rsidP="00DA7D92">
      <w:r w:rsidRPr="002C05C5">
        <w:t xml:space="preserve">Being overweight or obese is common among cancer survivors </w:t>
      </w:r>
      <w:r>
        <w:rPr>
          <w:noProof/>
        </w:rPr>
        <w:t>[15]</w:t>
      </w:r>
      <w:r>
        <w:t xml:space="preserve"> and associated with negative health and wellbeing consequences, including risk of cancer recurrence.</w:t>
      </w:r>
      <w:r w:rsidRPr="002C05C5">
        <w:t xml:space="preserve"> </w:t>
      </w:r>
      <w:r>
        <w:rPr>
          <w:noProof/>
        </w:rPr>
        <w:t>[30, 31]</w:t>
      </w:r>
      <w:r w:rsidRPr="002C05C5">
        <w:t xml:space="preserve">. </w:t>
      </w:r>
      <w:r>
        <w:t>Re</w:t>
      </w:r>
      <w:r w:rsidRPr="002C05C5">
        <w:t>view</w:t>
      </w:r>
      <w:r>
        <w:t xml:space="preserve"> evidence suggests</w:t>
      </w:r>
      <w:r w:rsidRPr="002C05C5">
        <w:t xml:space="preserve"> that weight loss </w:t>
      </w:r>
      <w:r>
        <w:t>is</w:t>
      </w:r>
      <w:r w:rsidRPr="002C05C5">
        <w:t xml:space="preserve"> feasible and safe for cancer survivors </w:t>
      </w:r>
      <w:r>
        <w:rPr>
          <w:noProof/>
        </w:rPr>
        <w:t>[32]</w:t>
      </w:r>
      <w:r w:rsidRPr="002C05C5">
        <w:t>. In addition, breast cancer-related biomarkers reduced by 30-40% in breast cancer survivors who lost 5% or more of their body weight, indicating a lower risk of cancer recurrence</w:t>
      </w:r>
      <w:r>
        <w:t xml:space="preserve"> [30]</w:t>
      </w:r>
      <w:r w:rsidRPr="002C05C5">
        <w:t xml:space="preserve">. </w:t>
      </w:r>
      <w:r>
        <w:t>W</w:t>
      </w:r>
      <w:r w:rsidRPr="002C05C5">
        <w:t xml:space="preserve">eight-loss </w:t>
      </w:r>
      <w:r>
        <w:t xml:space="preserve">also has </w:t>
      </w:r>
      <w:r w:rsidRPr="002C05C5">
        <w:t xml:space="preserve">a positive effect on </w:t>
      </w:r>
      <w:r>
        <w:t>QoL</w:t>
      </w:r>
      <w:r w:rsidRPr="002C05C5">
        <w:t xml:space="preserve"> in cancer survivors </w:t>
      </w:r>
      <w:r>
        <w:rPr>
          <w:noProof/>
        </w:rPr>
        <w:t>[32]</w:t>
      </w:r>
      <w:r w:rsidRPr="002C05C5">
        <w:t>.</w:t>
      </w:r>
    </w:p>
    <w:p w:rsidR="002F7205" w:rsidRDefault="002F7205">
      <w:pPr>
        <w:rPr>
          <w:i/>
        </w:rPr>
      </w:pPr>
      <w:r w:rsidRPr="00E74DC8">
        <w:rPr>
          <w:i/>
        </w:rPr>
        <w:t>Using the internet</w:t>
      </w:r>
      <w:bookmarkEnd w:id="8"/>
      <w:bookmarkEnd w:id="9"/>
    </w:p>
    <w:p w:rsidR="002F7205" w:rsidRDefault="002F7205" w:rsidP="001420A0">
      <w:r w:rsidRPr="005273FE">
        <w:t xml:space="preserve">The current study </w:t>
      </w:r>
      <w:r>
        <w:t>will evaluate</w:t>
      </w:r>
      <w:r w:rsidRPr="005273FE">
        <w:t xml:space="preserve"> a digital intervention created specifically to improve </w:t>
      </w:r>
      <w:r>
        <w:t>QoL</w:t>
      </w:r>
      <w:r w:rsidRPr="005273FE">
        <w:t xml:space="preserve"> in cancer survivors. </w:t>
      </w:r>
      <w:r w:rsidRPr="005E1876">
        <w:t xml:space="preserve">A </w:t>
      </w:r>
      <w:r>
        <w:t>digital intervention</w:t>
      </w:r>
      <w:r w:rsidRPr="005E1876">
        <w:t xml:space="preserve"> is likely to be an efficient and cost-effective mode of delivery of an intervention to support </w:t>
      </w:r>
      <w:r w:rsidRPr="006A6F28">
        <w:t xml:space="preserve">cancer survivors in improving their </w:t>
      </w:r>
      <w:r>
        <w:t>QoL</w:t>
      </w:r>
      <w:r w:rsidRPr="006A6F28">
        <w:t xml:space="preserve">. </w:t>
      </w:r>
      <w:r w:rsidRPr="005273FE">
        <w:t xml:space="preserve">The internet is now used extensively and successfully by older adults for disease self-management </w:t>
      </w:r>
      <w:r>
        <w:rPr>
          <w:noProof/>
        </w:rPr>
        <w:t>[33]</w:t>
      </w:r>
      <w:r w:rsidRPr="005273FE">
        <w:t xml:space="preserve"> and a recent review found that internet-based interventions can be as effective as face-to-face therapy, becoming a viable cost-effective alternative </w:t>
      </w:r>
      <w:r>
        <w:rPr>
          <w:noProof/>
        </w:rPr>
        <w:t>[34]</w:t>
      </w:r>
      <w:r w:rsidRPr="005273FE">
        <w:t xml:space="preserve">. </w:t>
      </w:r>
    </w:p>
    <w:p w:rsidR="002F7205" w:rsidRDefault="002F7205">
      <w:pPr>
        <w:rPr>
          <w:b/>
        </w:rPr>
      </w:pPr>
      <w:r w:rsidRPr="00E74DC8">
        <w:rPr>
          <w:b/>
        </w:rPr>
        <w:t>Aims and hypotheses</w:t>
      </w:r>
    </w:p>
    <w:p w:rsidR="002F7205" w:rsidRDefault="002F7205" w:rsidP="002B6377">
      <w:r>
        <w:lastRenderedPageBreak/>
        <w:t xml:space="preserve">The aim of the Renewed trial is to evaluate the effectiveness and cost-effectiveness of two trial arms using an intervention designed to improve QoL in breast, colon and prostate cancer survivors: the first arm will be given access to a digital intervention (Renewed) and the second will be given access to Renewed accompanied by brief human support. </w:t>
      </w:r>
    </w:p>
    <w:p w:rsidR="002F7205" w:rsidRDefault="002F7205" w:rsidP="00DC4F0E">
      <w:r>
        <w:t>The research aims to answer the following questions:</w:t>
      </w:r>
    </w:p>
    <w:p w:rsidR="002F7205" w:rsidRPr="009100C7" w:rsidRDefault="002F7205" w:rsidP="007E2625">
      <w:pPr>
        <w:spacing w:before="0"/>
        <w:rPr>
          <w:i/>
          <w:iCs/>
        </w:rPr>
      </w:pPr>
      <w:r>
        <w:rPr>
          <w:i/>
          <w:iCs/>
        </w:rPr>
        <w:t>Primary Research Question:</w:t>
      </w:r>
    </w:p>
    <w:p w:rsidR="002F7205" w:rsidRDefault="002F7205" w:rsidP="007E2625">
      <w:pPr>
        <w:pStyle w:val="ListParagraph"/>
        <w:numPr>
          <w:ilvl w:val="0"/>
          <w:numId w:val="27"/>
        </w:numPr>
        <w:spacing w:before="0"/>
      </w:pPr>
      <w:r w:rsidRPr="00DC4F0E">
        <w:t xml:space="preserve">Does the Renewed </w:t>
      </w:r>
      <w:r>
        <w:t>intervention</w:t>
      </w:r>
      <w:r w:rsidRPr="00DC4F0E">
        <w:t xml:space="preserve">, with or without </w:t>
      </w:r>
      <w:r>
        <w:t xml:space="preserve">human </w:t>
      </w:r>
      <w:r w:rsidRPr="00DC4F0E">
        <w:t xml:space="preserve">support, result in </w:t>
      </w:r>
      <w:r>
        <w:t>a difference in</w:t>
      </w:r>
      <w:r w:rsidRPr="00DC4F0E">
        <w:t xml:space="preserve"> </w:t>
      </w:r>
      <w:r>
        <w:t>QoL</w:t>
      </w:r>
      <w:r w:rsidRPr="00DC4F0E">
        <w:t xml:space="preserve"> </w:t>
      </w:r>
      <w:r>
        <w:t xml:space="preserve">(as measured by the EORTC QLQ-c30; EORTC </w:t>
      </w:r>
      <w:r>
        <w:rPr>
          <w:noProof/>
        </w:rPr>
        <w:t>[35</w:t>
      </w:r>
      <w:proofErr w:type="gramStart"/>
      <w:r>
        <w:rPr>
          <w:noProof/>
        </w:rPr>
        <w:t>]</w:t>
      </w:r>
      <w:r w:rsidDel="003F15E2">
        <w:t xml:space="preserve"> </w:t>
      </w:r>
      <w:r>
        <w:t>)</w:t>
      </w:r>
      <w:proofErr w:type="gramEnd"/>
      <w:r>
        <w:t xml:space="preserve"> </w:t>
      </w:r>
      <w:r w:rsidRPr="00DC4F0E">
        <w:t xml:space="preserve">at six-month follow-up compared to treatment as usual? </w:t>
      </w:r>
      <w:r w:rsidRPr="00C7165D">
        <w:t xml:space="preserve"> </w:t>
      </w:r>
    </w:p>
    <w:p w:rsidR="002F7205" w:rsidRPr="009100C7" w:rsidRDefault="002F7205" w:rsidP="007E2625">
      <w:pPr>
        <w:spacing w:before="0"/>
        <w:ind w:left="0" w:firstLine="0"/>
        <w:rPr>
          <w:i/>
          <w:iCs/>
        </w:rPr>
      </w:pPr>
      <w:r>
        <w:rPr>
          <w:i/>
          <w:iCs/>
        </w:rPr>
        <w:t>Secondary Research Questions:</w:t>
      </w:r>
    </w:p>
    <w:p w:rsidR="002F7205" w:rsidRDefault="002F7205" w:rsidP="007E2625">
      <w:pPr>
        <w:pStyle w:val="ListParagraph"/>
        <w:numPr>
          <w:ilvl w:val="0"/>
          <w:numId w:val="30"/>
        </w:numPr>
        <w:spacing w:before="0"/>
      </w:pPr>
      <w:r w:rsidRPr="00DC4F0E">
        <w:t xml:space="preserve">Does the Renewed </w:t>
      </w:r>
      <w:r>
        <w:t>intervention</w:t>
      </w:r>
      <w:r w:rsidRPr="00DC4F0E">
        <w:t xml:space="preserve">, with or without </w:t>
      </w:r>
      <w:r>
        <w:t xml:space="preserve">human </w:t>
      </w:r>
      <w:r w:rsidRPr="00DC4F0E">
        <w:t xml:space="preserve">support, result in a difference in </w:t>
      </w:r>
      <w:r>
        <w:t>QoL</w:t>
      </w:r>
      <w:r w:rsidRPr="00DC4F0E">
        <w:t xml:space="preserve"> at 12-month follow-up compared to treatment as usual?</w:t>
      </w:r>
    </w:p>
    <w:p w:rsidR="002F7205" w:rsidRPr="00DC4F0E" w:rsidRDefault="002F7205" w:rsidP="007E2625">
      <w:pPr>
        <w:pStyle w:val="ListParagraph"/>
        <w:numPr>
          <w:ilvl w:val="0"/>
          <w:numId w:val="30"/>
        </w:numPr>
        <w:spacing w:before="0"/>
      </w:pPr>
      <w:r>
        <w:t xml:space="preserve">Is the Renewed intervention, with or without human support, more cost-effective than usual care in improving QoL in cancer survivors? </w:t>
      </w:r>
    </w:p>
    <w:p w:rsidR="002F7205" w:rsidRPr="00DC4F0E" w:rsidRDefault="002F7205" w:rsidP="007E2625">
      <w:pPr>
        <w:pStyle w:val="ListParagraph"/>
        <w:numPr>
          <w:ilvl w:val="0"/>
          <w:numId w:val="30"/>
        </w:numPr>
        <w:spacing w:before="0"/>
      </w:pPr>
      <w:r w:rsidRPr="00DC4F0E">
        <w:t xml:space="preserve">Does the Renewed </w:t>
      </w:r>
      <w:r>
        <w:t>intervention, with or without human support,</w:t>
      </w:r>
      <w:r w:rsidRPr="00DC4F0E">
        <w:t xml:space="preserve"> result in a difference in </w:t>
      </w:r>
      <w:r>
        <w:t xml:space="preserve">psychological and overall </w:t>
      </w:r>
      <w:r w:rsidRPr="00DC4F0E">
        <w:t>well-being (including low mood and fear of cancer recurrence) at six-month and 12-month follow-up?</w:t>
      </w:r>
    </w:p>
    <w:p w:rsidR="002F7205" w:rsidRPr="00B64C3F" w:rsidRDefault="002F7205" w:rsidP="007E2625">
      <w:pPr>
        <w:pStyle w:val="ListParagraph"/>
        <w:numPr>
          <w:ilvl w:val="0"/>
          <w:numId w:val="30"/>
        </w:numPr>
        <w:spacing w:before="0" w:after="240"/>
      </w:pPr>
      <w:r w:rsidRPr="00B64C3F">
        <w:t xml:space="preserve">Does the Renewed </w:t>
      </w:r>
      <w:r>
        <w:t>intervention</w:t>
      </w:r>
      <w:r w:rsidRPr="00B64C3F">
        <w:t>, with or without human support, help to reduce the risk of secondary cancers</w:t>
      </w:r>
      <w:r>
        <w:t xml:space="preserve"> (recurrence, metastatic cancer or another form of cancer)</w:t>
      </w:r>
      <w:r w:rsidRPr="00B64C3F">
        <w:t xml:space="preserve">? </w:t>
      </w:r>
    </w:p>
    <w:p w:rsidR="002F7205" w:rsidRPr="006A6F28" w:rsidRDefault="002F7205" w:rsidP="00721201">
      <w:pPr>
        <w:autoSpaceDE/>
        <w:autoSpaceDN/>
        <w:adjustRightInd/>
        <w:spacing w:before="0"/>
        <w:ind w:left="0" w:right="0" w:firstLine="0"/>
        <w:contextualSpacing w:val="0"/>
        <w:rPr>
          <w:rFonts w:ascii="interfaceregular" w:eastAsia="Times New Roman" w:hAnsi="interfaceregular" w:cs="Arial"/>
          <w:color w:val="333333"/>
          <w:sz w:val="23"/>
          <w:szCs w:val="23"/>
          <w:lang w:val="en" w:eastAsia="zh-CN"/>
        </w:rPr>
      </w:pPr>
      <w:r w:rsidRPr="00721201">
        <w:rPr>
          <w:rFonts w:ascii="interfaceregular" w:eastAsia="Times New Roman" w:hAnsi="interfaceregular" w:cs="Arial"/>
          <w:i/>
          <w:color w:val="333333"/>
          <w:sz w:val="23"/>
          <w:szCs w:val="23"/>
          <w:lang w:val="en" w:eastAsia="zh-CN"/>
        </w:rPr>
        <w:t xml:space="preserve">Qualitative Process analysis research questions: </w:t>
      </w:r>
    </w:p>
    <w:p w:rsidR="002F7205" w:rsidRDefault="002F7205" w:rsidP="007E2625">
      <w:pPr>
        <w:numPr>
          <w:ilvl w:val="0"/>
          <w:numId w:val="29"/>
        </w:numPr>
        <w:autoSpaceDE/>
        <w:autoSpaceDN/>
        <w:adjustRightInd/>
        <w:spacing w:before="0"/>
        <w:ind w:right="0"/>
        <w:contextualSpacing w:val="0"/>
        <w:rPr>
          <w:rFonts w:ascii="interfaceregular" w:eastAsia="Times New Roman" w:hAnsi="interfaceregular" w:cs="Arial"/>
          <w:color w:val="333333"/>
          <w:sz w:val="23"/>
          <w:szCs w:val="23"/>
          <w:lang w:val="en" w:eastAsia="zh-CN"/>
        </w:rPr>
      </w:pPr>
      <w:r w:rsidRPr="006A6F28">
        <w:rPr>
          <w:rFonts w:ascii="interfaceregular" w:eastAsia="Times New Roman" w:hAnsi="interfaceregular" w:cs="Arial"/>
          <w:color w:val="333333"/>
          <w:sz w:val="23"/>
          <w:szCs w:val="23"/>
          <w:lang w:val="en" w:eastAsia="zh-CN"/>
        </w:rPr>
        <w:t xml:space="preserve">Is the </w:t>
      </w:r>
      <w:r>
        <w:rPr>
          <w:rFonts w:ascii="interfaceregular" w:eastAsia="Times New Roman" w:hAnsi="interfaceregular" w:cs="Arial"/>
          <w:color w:val="333333"/>
          <w:sz w:val="23"/>
          <w:szCs w:val="23"/>
          <w:lang w:val="en" w:eastAsia="zh-CN"/>
        </w:rPr>
        <w:t xml:space="preserve">Renewed intervention with or without human support, </w:t>
      </w:r>
      <w:r w:rsidRPr="006A6F28">
        <w:rPr>
          <w:rFonts w:ascii="interfaceregular" w:eastAsia="Times New Roman" w:hAnsi="interfaceregular" w:cs="Arial"/>
          <w:color w:val="333333"/>
          <w:sz w:val="23"/>
          <w:szCs w:val="23"/>
          <w:lang w:val="en" w:eastAsia="zh-CN"/>
        </w:rPr>
        <w:t xml:space="preserve">acceptable to patients </w:t>
      </w:r>
      <w:r>
        <w:rPr>
          <w:rFonts w:ascii="interfaceregular" w:eastAsia="Times New Roman" w:hAnsi="interfaceregular" w:cs="Arial"/>
          <w:color w:val="333333"/>
          <w:sz w:val="23"/>
          <w:szCs w:val="23"/>
          <w:lang w:val="en" w:eastAsia="zh-CN"/>
        </w:rPr>
        <w:t>and healthcare practitioners</w:t>
      </w:r>
      <w:r w:rsidRPr="006A6F28">
        <w:rPr>
          <w:rFonts w:ascii="interfaceregular" w:eastAsia="Times New Roman" w:hAnsi="interfaceregular" w:cs="Arial"/>
          <w:color w:val="333333"/>
          <w:sz w:val="23"/>
          <w:szCs w:val="23"/>
          <w:lang w:val="en" w:eastAsia="zh-CN"/>
        </w:rPr>
        <w:t>?</w:t>
      </w:r>
    </w:p>
    <w:p w:rsidR="002F7205" w:rsidRPr="006A6F28" w:rsidRDefault="002F7205" w:rsidP="007E2625">
      <w:pPr>
        <w:numPr>
          <w:ilvl w:val="0"/>
          <w:numId w:val="29"/>
        </w:numPr>
        <w:autoSpaceDE/>
        <w:autoSpaceDN/>
        <w:adjustRightInd/>
        <w:spacing w:before="0"/>
        <w:ind w:right="0"/>
        <w:contextualSpacing w:val="0"/>
        <w:rPr>
          <w:rFonts w:ascii="interfaceregular" w:eastAsia="Times New Roman" w:hAnsi="interfaceregular" w:cs="Arial"/>
          <w:color w:val="333333"/>
          <w:sz w:val="23"/>
          <w:szCs w:val="23"/>
          <w:lang w:val="en" w:eastAsia="zh-CN"/>
        </w:rPr>
      </w:pPr>
      <w:r>
        <w:rPr>
          <w:rFonts w:ascii="interfaceregular" w:eastAsia="Times New Roman" w:hAnsi="interfaceregular" w:cs="Arial"/>
          <w:color w:val="333333"/>
          <w:sz w:val="23"/>
          <w:szCs w:val="23"/>
          <w:lang w:val="en" w:eastAsia="zh-CN"/>
        </w:rPr>
        <w:t xml:space="preserve">Is the Renewed support feasible for healthcare practitioners to implement in practice? </w:t>
      </w:r>
    </w:p>
    <w:p w:rsidR="002F7205" w:rsidRPr="00D4189A" w:rsidRDefault="002F7205" w:rsidP="004A79A7">
      <w:pPr>
        <w:pStyle w:val="Heading1"/>
      </w:pPr>
      <w:bookmarkStart w:id="10" w:name="_Toc433713901"/>
      <w:bookmarkEnd w:id="1"/>
      <w:r w:rsidRPr="002C05C5">
        <w:t>Methods</w:t>
      </w:r>
      <w:bookmarkEnd w:id="10"/>
    </w:p>
    <w:p w:rsidR="002F7205" w:rsidRDefault="002F7205" w:rsidP="00F83E36">
      <w:pPr>
        <w:pStyle w:val="Heading2"/>
        <w:spacing w:before="0"/>
      </w:pPr>
      <w:r w:rsidRPr="002C05C5">
        <w:t>Study Design</w:t>
      </w:r>
      <w:r>
        <w:t xml:space="preserve"> </w:t>
      </w:r>
    </w:p>
    <w:p w:rsidR="002F7205" w:rsidRDefault="002F7205" w:rsidP="009100C7">
      <w:bookmarkStart w:id="11" w:name="_Toc459899638"/>
      <w:bookmarkStart w:id="12" w:name="_Toc459899639"/>
      <w:bookmarkStart w:id="13" w:name="_Toc459899640"/>
      <w:bookmarkStart w:id="14" w:name="_Toc459899641"/>
      <w:bookmarkStart w:id="15" w:name="_Toc459899642"/>
      <w:bookmarkStart w:id="16" w:name="_Toc459899643"/>
      <w:bookmarkStart w:id="17" w:name="_Toc459899644"/>
      <w:bookmarkStart w:id="18" w:name="_Toc459899645"/>
      <w:bookmarkStart w:id="19" w:name="_Toc459899646"/>
      <w:bookmarkStart w:id="20" w:name="_Toc459899647"/>
      <w:bookmarkEnd w:id="11"/>
      <w:bookmarkEnd w:id="12"/>
      <w:bookmarkEnd w:id="13"/>
      <w:bookmarkEnd w:id="14"/>
      <w:bookmarkEnd w:id="15"/>
      <w:bookmarkEnd w:id="16"/>
      <w:bookmarkEnd w:id="17"/>
      <w:bookmarkEnd w:id="18"/>
      <w:bookmarkEnd w:id="19"/>
      <w:bookmarkEnd w:id="20"/>
      <w:r>
        <w:lastRenderedPageBreak/>
        <w:t xml:space="preserve">The Renewed study is a pragmatic, randomised controlled trial comparing usual care, the Renewed intervention, and Renewed accompanied by brief human support. </w:t>
      </w:r>
      <w:r w:rsidRPr="002C05C5">
        <w:t>The long-term aim is for the intervention to potentially help cancer survivors with other forms of cancer.</w:t>
      </w:r>
      <w:r>
        <w:t xml:space="preserve"> A</w:t>
      </w:r>
      <w:r w:rsidRPr="002C05C5">
        <w:t>t this stage, we have chosen three contrasting common survivor groups</w:t>
      </w:r>
      <w:r>
        <w:t>,</w:t>
      </w:r>
      <w:r w:rsidRPr="002C05C5">
        <w:t xml:space="preserve"> </w:t>
      </w:r>
      <w:r>
        <w:t xml:space="preserve">who have no metastatic disease, </w:t>
      </w:r>
      <w:r w:rsidRPr="002C05C5">
        <w:t xml:space="preserve">to deal with the likely varying issues in </w:t>
      </w:r>
      <w:r>
        <w:t xml:space="preserve">needs and </w:t>
      </w:r>
      <w:r w:rsidRPr="002C05C5">
        <w:t>preferences</w:t>
      </w:r>
      <w:r>
        <w:t xml:space="preserve"> </w:t>
      </w:r>
      <w:r w:rsidRPr="002C05C5">
        <w:t xml:space="preserve">across gender and age spectrums: breast cancer survivors (younger and older women); prostate cancer survivors </w:t>
      </w:r>
      <w:r>
        <w:t xml:space="preserve">and those on active surveillance/watchful waiting for prostate cancer </w:t>
      </w:r>
      <w:r w:rsidRPr="002C05C5">
        <w:t>(predominantly older men); colorectal cancer (a range of age and gender). By working with these groups</w:t>
      </w:r>
      <w:r>
        <w:t>,</w:t>
      </w:r>
      <w:r w:rsidRPr="002C05C5">
        <w:t xml:space="preserve"> we will </w:t>
      </w:r>
      <w:r>
        <w:t>explore</w:t>
      </w:r>
      <w:r w:rsidRPr="002C05C5">
        <w:t xml:space="preserve"> to what extent the intervention is likely to be generalisable to other survivor groups.</w:t>
      </w:r>
      <w:r>
        <w:t xml:space="preserve"> See Figure 1 for an outline of the flow of the study.</w:t>
      </w:r>
    </w:p>
    <w:p w:rsidR="002F7205" w:rsidRDefault="002F7205" w:rsidP="009100C7">
      <w:pPr>
        <w:rPr>
          <w:b/>
        </w:rPr>
      </w:pPr>
      <w:r>
        <w:rPr>
          <w:b/>
        </w:rPr>
        <w:t>Patient and Public Involvement</w:t>
      </w:r>
    </w:p>
    <w:p w:rsidR="002F7205" w:rsidRDefault="002F7205" w:rsidP="009753CF">
      <w:r>
        <w:t>When first designing the study, the research team received input from six patient representatives who had experienced breast, prostate or colorectal cancer, in addition to members of Macmillan Cancer Support, Prostate Cancer UK, Breast Cancer Care, Bowel Cancer UK, Cancer Research UK and the National Cancer Research Institute. All parties had input into the original grant proposal and played a part in developing and agreeing the research questions, study procedures (e.g. inclusion criteria) and choice of primary outcome.</w:t>
      </w:r>
    </w:p>
    <w:p w:rsidR="002F7205" w:rsidRDefault="002F7205">
      <w:r>
        <w:t xml:space="preserve">After securing funding, an additional two patient representatives were recruited to replace two patient representatives who were unable to continue their involvement due to ill health. Our panel of six patient representatives, and representatives from Prostate Cancer UK, Breast Cancer Care and Bowel Cancer UK are part of the study management team and attend regular meetings to contribute to the development of the Renewed intervention and the study protocol and procedures for the RCT. They assisted in refining the study design, for example, making suggestions for the frequency and mode of support delivery for patients randomised to the support arm, which were implemented. The patient representatives also took part in qualitative interviews and provided detailed comments on draft </w:t>
      </w:r>
      <w:r>
        <w:lastRenderedPageBreak/>
        <w:t>intervention materials (in addition to feedback obtained by qualitative interviews with 33 research participants recruited from primary care, see Bradbury et al, in prep). This feedback was used to inform modifications to the intervention to maximise engagement and minimise any burden posed by the intervention.</w:t>
      </w:r>
    </w:p>
    <w:p w:rsidR="002F7205" w:rsidRDefault="002F7205" w:rsidP="009753CF">
      <w:r>
        <w:t xml:space="preserve">At the end of data collection, patient and charity representatives will be involved in the discussion and interpretation of the trial and process evaluation data and in planning dissemination with stakeholders.  </w:t>
      </w:r>
    </w:p>
    <w:p w:rsidR="002F7205" w:rsidRDefault="002F7205" w:rsidP="009753CF">
      <w:r>
        <w:rPr>
          <w:b/>
          <w:bCs/>
        </w:rPr>
        <w:t xml:space="preserve">Recruitment </w:t>
      </w:r>
    </w:p>
    <w:p w:rsidR="002F7205" w:rsidRDefault="002F7205" w:rsidP="00872C74">
      <w:r w:rsidRPr="002C05C5">
        <w:t xml:space="preserve">Participants </w:t>
      </w:r>
      <w:r>
        <w:t>(</w:t>
      </w:r>
      <w:r w:rsidRPr="002C05C5">
        <w:rPr>
          <w:i/>
        </w:rPr>
        <w:t xml:space="preserve">n </w:t>
      </w:r>
      <w:r w:rsidRPr="002C05C5">
        <w:t>= 2500)</w:t>
      </w:r>
      <w:r>
        <w:t xml:space="preserve"> </w:t>
      </w:r>
      <w:r w:rsidRPr="002C05C5">
        <w:t>will be recruited</w:t>
      </w:r>
      <w:r>
        <w:t xml:space="preserve"> across England and Wales</w:t>
      </w:r>
      <w:r w:rsidRPr="002C05C5">
        <w:t xml:space="preserve"> </w:t>
      </w:r>
      <w:r>
        <w:t xml:space="preserve">from sites in Southampton, Oxford and Bangor, </w:t>
      </w:r>
      <w:r w:rsidRPr="002C05C5">
        <w:t xml:space="preserve">via </w:t>
      </w:r>
      <w:r>
        <w:t>general practitioner (</w:t>
      </w:r>
      <w:r w:rsidRPr="002C05C5">
        <w:t>GP</w:t>
      </w:r>
      <w:r>
        <w:t>)</w:t>
      </w:r>
      <w:r w:rsidRPr="002C05C5">
        <w:t xml:space="preserve"> surgery mail-outs</w:t>
      </w:r>
      <w:r>
        <w:t>.</w:t>
      </w:r>
      <w:r w:rsidRPr="002C05C5">
        <w:t xml:space="preserve"> </w:t>
      </w:r>
      <w:r>
        <w:t>Practices will be informed about the study via Clinical Research Networks and practices who opt-in can proceed to participate. Practice staff will search</w:t>
      </w:r>
      <w:r w:rsidRPr="002C05C5">
        <w:t xml:space="preserve"> </w:t>
      </w:r>
      <w:r>
        <w:t>GP</w:t>
      </w:r>
      <w:r w:rsidRPr="002C05C5">
        <w:t xml:space="preserve"> databases for eligible patients (see </w:t>
      </w:r>
      <w:r>
        <w:t xml:space="preserve">Table 1 </w:t>
      </w:r>
      <w:r w:rsidRPr="002C05C5">
        <w:t>inclusion/exclusion criteria).</w:t>
      </w:r>
    </w:p>
    <w:p w:rsidR="002F7205" w:rsidRPr="00F950F7" w:rsidRDefault="002F7205" w:rsidP="00F950F7">
      <w:pPr>
        <w:spacing w:before="0" w:line="360" w:lineRule="auto"/>
        <w:ind w:left="0" w:right="0" w:firstLine="0"/>
        <w:contextualSpacing w:val="0"/>
        <w:rPr>
          <w:rFonts w:eastAsia="Times New Roman"/>
          <w:color w:val="222A35"/>
        </w:rPr>
      </w:pPr>
      <w:r w:rsidRPr="00F950F7">
        <w:rPr>
          <w:rFonts w:eastAsia="Times New Roman"/>
          <w:color w:val="222A35"/>
        </w:rPr>
        <w:t>Table 1 Inclusion/exclusion Criteria</w:t>
      </w:r>
    </w:p>
    <w:tbl>
      <w:tblPr>
        <w:tblStyle w:val="TableGrid"/>
        <w:tblpPr w:leftFromText="181" w:rightFromText="181" w:vertAnchor="text" w:tblpX="-431" w:tblpY="1"/>
        <w:tblW w:w="5579" w:type="pct"/>
        <w:tblLook w:val="04A0" w:firstRow="1" w:lastRow="0" w:firstColumn="1" w:lastColumn="0" w:noHBand="0" w:noVBand="1"/>
      </w:tblPr>
      <w:tblGrid>
        <w:gridCol w:w="7366"/>
        <w:gridCol w:w="1276"/>
        <w:gridCol w:w="1418"/>
      </w:tblGrid>
      <w:tr w:rsidR="002F7205" w:rsidRPr="00F950F7" w:rsidTr="00F950F7">
        <w:trPr>
          <w:trHeight w:val="397"/>
        </w:trPr>
        <w:tc>
          <w:tcPr>
            <w:tcW w:w="3661" w:type="pct"/>
            <w:tcBorders>
              <w:left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b/>
                <w:color w:val="222A35"/>
              </w:rPr>
            </w:pPr>
            <w:r w:rsidRPr="00F950F7">
              <w:rPr>
                <w:rFonts w:eastAsia="Times New Roman"/>
                <w:b/>
                <w:color w:val="222A35"/>
              </w:rPr>
              <w:t>Criteria</w:t>
            </w:r>
          </w:p>
        </w:tc>
        <w:tc>
          <w:tcPr>
            <w:tcW w:w="634" w:type="pct"/>
            <w:tcBorders>
              <w:left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b/>
                <w:color w:val="222A35"/>
              </w:rPr>
            </w:pPr>
            <w:r w:rsidRPr="00F950F7">
              <w:rPr>
                <w:rFonts w:eastAsia="Times New Roman"/>
                <w:b/>
                <w:color w:val="222A35"/>
              </w:rPr>
              <w:t xml:space="preserve">Screened by GP </w:t>
            </w:r>
          </w:p>
        </w:tc>
        <w:tc>
          <w:tcPr>
            <w:tcW w:w="705" w:type="pct"/>
            <w:tcBorders>
              <w:left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b/>
                <w:color w:val="222A35"/>
              </w:rPr>
            </w:pPr>
            <w:r w:rsidRPr="00F950F7">
              <w:rPr>
                <w:rFonts w:eastAsia="Times New Roman"/>
                <w:b/>
                <w:color w:val="222A35"/>
              </w:rPr>
              <w:t>Screened online</w:t>
            </w:r>
          </w:p>
        </w:tc>
      </w:tr>
      <w:tr w:rsidR="002F7205" w:rsidRPr="00F950F7" w:rsidTr="00F950F7">
        <w:trPr>
          <w:trHeight w:val="397"/>
        </w:trPr>
        <w:tc>
          <w:tcPr>
            <w:tcW w:w="3661" w:type="pct"/>
            <w:tcBorders>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i/>
                <w:color w:val="222A35"/>
              </w:rPr>
            </w:pPr>
            <w:r w:rsidRPr="00F950F7">
              <w:rPr>
                <w:rFonts w:eastAsia="Times New Roman"/>
                <w:i/>
                <w:color w:val="222A35"/>
              </w:rPr>
              <w:t>Inclusions</w:t>
            </w:r>
          </w:p>
        </w:tc>
        <w:tc>
          <w:tcPr>
            <w:tcW w:w="634" w:type="pct"/>
            <w:tcBorders>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b/>
                <w:color w:val="222A35"/>
              </w:rPr>
            </w:pPr>
          </w:p>
        </w:tc>
        <w:tc>
          <w:tcPr>
            <w:tcW w:w="705" w:type="pct"/>
            <w:tcBorders>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b/>
                <w:color w:val="222A35"/>
              </w:rPr>
            </w:pP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Aged at least 18 years</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Had a diagnosis of colorectal, breast or prostate cancer</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108" w:firstLine="0"/>
              <w:contextualSpacing w:val="0"/>
              <w:rPr>
                <w:rFonts w:eastAsia="Times New Roman"/>
                <w:color w:val="222A35"/>
              </w:rPr>
            </w:pPr>
            <w:r w:rsidRPr="00F950F7">
              <w:rPr>
                <w:rFonts w:eastAsia="Times New Roman"/>
                <w:color w:val="222A35"/>
              </w:rPr>
              <w:t>Finished primary cancer treatment within prior ten years/diagnosis in prior ten years, unless on active surveillance for prostate cancer</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Have internet access</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Impaired quality of life (≤ 85 on the EORTC)</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i/>
                <w:color w:val="222A35"/>
              </w:rPr>
            </w:pPr>
            <w:r w:rsidRPr="00F950F7">
              <w:rPr>
                <w:rFonts w:eastAsia="Times New Roman"/>
                <w:i/>
                <w:color w:val="222A35"/>
              </w:rPr>
              <w:t>Exclusions</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Have had more than one type of cancer in the preceding five years</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 xml:space="preserve">Has metastatic cancer </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Has sarcoma or lymphoma of the breast</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Receiving cancer treatment or had recent treatment (in last month)</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897" w:firstLine="0"/>
              <w:contextualSpacing w:val="0"/>
              <w:rPr>
                <w:rFonts w:eastAsia="Times New Roman"/>
                <w:color w:val="222A35"/>
              </w:rPr>
            </w:pPr>
            <w:r w:rsidRPr="00F950F7">
              <w:rPr>
                <w:rFonts w:eastAsia="Times New Roman"/>
                <w:color w:val="222A35"/>
              </w:rPr>
              <w:t>x</w:t>
            </w: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Expecting to start cancer treatment during the study period</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sz w:val="22"/>
                <w:szCs w:val="22"/>
              </w:rPr>
            </w:pPr>
            <w:r w:rsidRPr="00F950F7">
              <w:rPr>
                <w:rFonts w:eastAsia="Times New Roman"/>
                <w:color w:val="222A35"/>
              </w:rPr>
              <w:t>Severe mental health problems and/or major uncontrolled depression/schizophrenia or dementia</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lang w:val="fr-FR"/>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lang w:val="fr-FR"/>
              </w:rPr>
            </w:pPr>
          </w:p>
        </w:tc>
      </w:tr>
      <w:tr w:rsidR="002F7205" w:rsidRPr="00F950F7" w:rsidTr="00F950F7">
        <w:trPr>
          <w:trHeight w:val="397"/>
        </w:trPr>
        <w:tc>
          <w:tcPr>
            <w:tcW w:w="3661"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 xml:space="preserve">Lives in the same household as another participant </w:t>
            </w:r>
          </w:p>
        </w:tc>
        <w:tc>
          <w:tcPr>
            <w:tcW w:w="634"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r w:rsidRPr="00F950F7">
              <w:rPr>
                <w:rFonts w:eastAsia="Times New Roman"/>
                <w:color w:val="222A35"/>
              </w:rPr>
              <w:t>x</w:t>
            </w:r>
          </w:p>
        </w:tc>
        <w:tc>
          <w:tcPr>
            <w:tcW w:w="705" w:type="pct"/>
            <w:tcBorders>
              <w:top w:val="single" w:sz="4" w:space="0" w:color="FFFFFF"/>
              <w:left w:val="single" w:sz="4" w:space="0" w:color="FFFFFF"/>
              <w:bottom w:val="single" w:sz="4" w:space="0" w:color="FFFFFF"/>
              <w:right w:val="single" w:sz="4" w:space="0" w:color="FFFFFF"/>
            </w:tcBorders>
            <w:vAlign w:val="center"/>
          </w:tcPr>
          <w:p w:rsidR="002F7205" w:rsidRPr="00F950F7" w:rsidRDefault="002F7205" w:rsidP="00F950F7">
            <w:pPr>
              <w:spacing w:before="0" w:line="240" w:lineRule="auto"/>
              <w:ind w:left="0" w:right="0" w:firstLine="0"/>
              <w:contextualSpacing w:val="0"/>
              <w:rPr>
                <w:rFonts w:eastAsia="Times New Roman"/>
                <w:color w:val="222A35"/>
              </w:rPr>
            </w:pPr>
          </w:p>
        </w:tc>
      </w:tr>
      <w:tr w:rsidR="002F7205" w:rsidRPr="00F950F7" w:rsidTr="00721201">
        <w:trPr>
          <w:trHeight w:val="397"/>
        </w:trPr>
        <w:tc>
          <w:tcPr>
            <w:tcW w:w="5000" w:type="pct"/>
            <w:gridSpan w:val="3"/>
            <w:tcBorders>
              <w:left w:val="single" w:sz="4" w:space="0" w:color="FFFFFF"/>
              <w:bottom w:val="single" w:sz="4" w:space="0" w:color="auto"/>
              <w:right w:val="single" w:sz="4" w:space="0" w:color="FFFFFF"/>
            </w:tcBorders>
            <w:vAlign w:val="center"/>
          </w:tcPr>
          <w:p w:rsidR="002F7205" w:rsidRPr="00F950F7" w:rsidRDefault="002F7205" w:rsidP="00721201">
            <w:pPr>
              <w:spacing w:before="0" w:line="276" w:lineRule="auto"/>
              <w:ind w:left="0" w:right="0" w:firstLine="0"/>
              <w:contextualSpacing w:val="0"/>
              <w:rPr>
                <w:rFonts w:eastAsia="Times New Roman"/>
                <w:i/>
                <w:color w:val="222A35"/>
              </w:rPr>
            </w:pPr>
            <w:r w:rsidRPr="00F950F7">
              <w:rPr>
                <w:rFonts w:eastAsia="Times New Roman"/>
                <w:color w:val="222A35"/>
              </w:rPr>
              <w:lastRenderedPageBreak/>
              <w:t>Primary treatments can include:  Bone marrow and stem cell transplants; Breast-conserving surgery; Chemotherapy; Colostomy / partial colostomy; Immunotherapy; Lumpectomy; Mastectomy; Orchidectomy; Radical prostatectomy; Radiotherapy; Targeted therapy; Trans-urethral resection – TUR</w:t>
            </w:r>
          </w:p>
        </w:tc>
      </w:tr>
    </w:tbl>
    <w:p w:rsidR="002F7205" w:rsidRDefault="002F7205" w:rsidP="00872C74"/>
    <w:p w:rsidR="002F7205" w:rsidRDefault="002F7205" w:rsidP="00872C74">
      <w:r w:rsidRPr="002C05C5">
        <w:t xml:space="preserve">Lists </w:t>
      </w:r>
      <w:r>
        <w:t xml:space="preserve">of potentially eligible patients </w:t>
      </w:r>
      <w:r w:rsidRPr="002C05C5">
        <w:t xml:space="preserve">will be screened by GPs prior to mail out. Anonymous data </w:t>
      </w:r>
      <w:r>
        <w:t xml:space="preserve">(age, cancer type, postcode and diagnosis date) </w:t>
      </w:r>
      <w:r w:rsidRPr="002C05C5">
        <w:t xml:space="preserve">will be collected </w:t>
      </w:r>
      <w:r>
        <w:t xml:space="preserve">via GP record searches on all invited patients to allow exploration of the generalisability of our sample. </w:t>
      </w:r>
      <w:r w:rsidRPr="002C05C5">
        <w:t xml:space="preserve"> </w:t>
      </w:r>
    </w:p>
    <w:p w:rsidR="002F7205" w:rsidRDefault="002F7205" w:rsidP="00C33C8E">
      <w:r>
        <w:t xml:space="preserve">Patients will be mailed </w:t>
      </w:r>
      <w:r w:rsidRPr="002C05C5">
        <w:t>a letter of invitation, an information sheet, instructions on how to start the study</w:t>
      </w:r>
      <w:r>
        <w:t xml:space="preserve"> and a reply slip collecting reasons for non-participation</w:t>
      </w:r>
      <w:r w:rsidRPr="002C05C5">
        <w:t xml:space="preserve">. </w:t>
      </w:r>
      <w:r>
        <w:t>O</w:t>
      </w:r>
      <w:r w:rsidRPr="002C05C5">
        <w:t xml:space="preserve">pportunistic recruitment by clinicians in </w:t>
      </w:r>
      <w:r>
        <w:t>participating</w:t>
      </w:r>
      <w:r w:rsidRPr="002C05C5">
        <w:t xml:space="preserve"> surgeries</w:t>
      </w:r>
      <w:r>
        <w:t xml:space="preserve"> will also be used to recruit patients who fit the inclusion criteria</w:t>
      </w:r>
      <w:r w:rsidRPr="002C05C5">
        <w:t xml:space="preserve">. Posters </w:t>
      </w:r>
      <w:r>
        <w:t xml:space="preserve">advertising the study </w:t>
      </w:r>
      <w:r w:rsidRPr="002C05C5">
        <w:t>may also be presented in waiting areas.</w:t>
      </w:r>
      <w:r>
        <w:t xml:space="preserve"> The expected dates of recruitment run from October 2017 until July 2019.</w:t>
      </w:r>
    </w:p>
    <w:p w:rsidR="002F7205" w:rsidRDefault="002F7205">
      <w:pPr>
        <w:rPr>
          <w:b/>
        </w:rPr>
      </w:pPr>
      <w:r w:rsidRPr="00E74DC8">
        <w:rPr>
          <w:b/>
        </w:rPr>
        <w:t>Eligibility Criteria</w:t>
      </w:r>
    </w:p>
    <w:p w:rsidR="002F7205" w:rsidRDefault="002F7205">
      <w:r>
        <w:t xml:space="preserve">See Table 1. </w:t>
      </w:r>
      <w:r w:rsidRPr="002C05C5">
        <w:t xml:space="preserve">We will be using a cut-off of 85 on the </w:t>
      </w:r>
      <w:r>
        <w:t>primary outcome measure for QoL (where 100 is the best possible score), the EORTC QLQ-c30 (</w:t>
      </w:r>
      <w:r w:rsidRPr="002C05C5">
        <w:t>EORTC</w:t>
      </w:r>
      <w:r>
        <w:t xml:space="preserve">) </w:t>
      </w:r>
      <w:r>
        <w:rPr>
          <w:noProof/>
        </w:rPr>
        <w:t>[35]</w:t>
      </w:r>
      <w:r w:rsidRPr="002C05C5">
        <w:t xml:space="preserve"> so that those scoring above 85 </w:t>
      </w:r>
      <w:r>
        <w:t xml:space="preserve">(who have high quality of life) </w:t>
      </w:r>
      <w:r w:rsidRPr="002C05C5">
        <w:t>will be excluded</w:t>
      </w:r>
      <w:r>
        <w:t xml:space="preserve">. </w:t>
      </w:r>
      <w:r w:rsidRPr="002C05C5">
        <w:t xml:space="preserve">This score was calculated using existing data examining the change in </w:t>
      </w:r>
      <w:r>
        <w:t xml:space="preserve">QoL scores for </w:t>
      </w:r>
      <w:r w:rsidRPr="002C05C5">
        <w:t xml:space="preserve">cancer survivors, where the lowest scoring two thirds scored 87.1 or lower, median 80.9, </w:t>
      </w:r>
      <w:r>
        <w:rPr>
          <w:noProof/>
        </w:rPr>
        <w:t>[36] (higher scores denoting higher QOL)</w:t>
      </w:r>
      <w:r w:rsidRPr="002C05C5">
        <w:t xml:space="preserve">. Participants will be excluded if they </w:t>
      </w:r>
      <w:r>
        <w:t>have</w:t>
      </w:r>
      <w:r w:rsidRPr="002C05C5">
        <w:t xml:space="preserve"> had sarcoma or lymphoma of the breast</w:t>
      </w:r>
      <w:r>
        <w:t xml:space="preserve"> as these have a different course, prognosis and treatment, as agreed by the clinical members of the research team. Those living in the</w:t>
      </w:r>
      <w:r w:rsidRPr="002C05C5">
        <w:t xml:space="preserve"> same household as another study participant</w:t>
      </w:r>
      <w:r>
        <w:t xml:space="preserve"> will also be excluded to avoid potential contamination across study groups. </w:t>
      </w:r>
    </w:p>
    <w:p w:rsidR="002F7205" w:rsidRDefault="002F7205">
      <w:pPr>
        <w:rPr>
          <w:b/>
        </w:rPr>
      </w:pPr>
      <w:r w:rsidRPr="00E74DC8">
        <w:rPr>
          <w:b/>
        </w:rPr>
        <w:t>Sample size and power calculation</w:t>
      </w:r>
    </w:p>
    <w:p w:rsidR="002F7205" w:rsidRDefault="002F7205" w:rsidP="00C33C8E">
      <w:r>
        <w:t xml:space="preserve">The primary outcome is QOL as measured by the total </w:t>
      </w:r>
      <w:r w:rsidRPr="002C05C5">
        <w:t>EORTC score</w:t>
      </w:r>
      <w:r>
        <w:t xml:space="preserve"> at six months.  The study is powered to detect a standardised effect size of 0.3,</w:t>
      </w:r>
      <w:r w:rsidRPr="002C05C5">
        <w:t xml:space="preserve"> consistent with our previous internet</w:t>
      </w:r>
      <w:r>
        <w:t>-</w:t>
      </w:r>
      <w:r w:rsidRPr="002C05C5">
        <w:t>based behavioural interventions</w:t>
      </w:r>
      <w:r w:rsidRPr="00015FB8">
        <w:t xml:space="preserve"> </w:t>
      </w:r>
      <w:r>
        <w:rPr>
          <w:noProof/>
        </w:rPr>
        <w:t>[37]</w:t>
      </w:r>
      <w:r>
        <w:t>.</w:t>
      </w:r>
      <w:r w:rsidRPr="002C05C5" w:rsidDel="00207D15">
        <w:t xml:space="preserve"> </w:t>
      </w:r>
      <w:r w:rsidRPr="002C05C5">
        <w:t xml:space="preserve">The key pair-wise comparison </w:t>
      </w:r>
      <w:r>
        <w:t>is</w:t>
      </w:r>
      <w:r w:rsidRPr="002C05C5">
        <w:t xml:space="preserve"> each of the two intervention groups versus controls. To detect a difference of 0.3 S</w:t>
      </w:r>
      <w:r>
        <w:t xml:space="preserve">tandard </w:t>
      </w:r>
      <w:r w:rsidRPr="002C05C5">
        <w:t>M</w:t>
      </w:r>
      <w:r>
        <w:t xml:space="preserve">ean </w:t>
      </w:r>
      <w:r w:rsidRPr="002C05C5">
        <w:t>D</w:t>
      </w:r>
      <w:r>
        <w:t>ifference</w:t>
      </w:r>
      <w:r w:rsidRPr="002C05C5">
        <w:t xml:space="preserve"> </w:t>
      </w:r>
      <w:r>
        <w:t xml:space="preserve">(SMD) </w:t>
      </w:r>
      <w:r w:rsidRPr="002C05C5">
        <w:t xml:space="preserve">in any pairwise </w:t>
      </w:r>
      <w:r w:rsidRPr="002C05C5">
        <w:lastRenderedPageBreak/>
        <w:t>comparison between intervention and control for 80% power and alpha=0.05 requires 176 intervention participants in each intervention group and 176 controls</w:t>
      </w:r>
      <w:r>
        <w:t xml:space="preserve">, giving a total of 528 participants per cancer type.  </w:t>
      </w:r>
      <w:proofErr w:type="gramStart"/>
      <w:r>
        <w:t>In order to</w:t>
      </w:r>
      <w:proofErr w:type="gramEnd"/>
      <w:r>
        <w:t xml:space="preserve"> explore the difference in the key subgroups (breast, colon and prostate cancers), this requires that we include 528 participants in each of the three clinical groups. This gives </w:t>
      </w:r>
      <w:proofErr w:type="gramStart"/>
      <w:r>
        <w:t xml:space="preserve">a total of </w:t>
      </w:r>
      <w:r w:rsidRPr="002C05C5">
        <w:t xml:space="preserve">1584 </w:t>
      </w:r>
      <w:r>
        <w:t>participants</w:t>
      </w:r>
      <w:proofErr w:type="gramEnd"/>
      <w:r w:rsidRPr="002C05C5">
        <w:t xml:space="preserve">, or 1980 allowing for 20% loss to follow-up. Even though this is an individually randomised design cluster effects are possible: if we assume eight patients per intervention group per practice then to allow for clustering at a practice level and assuming an ICC of 0.03 then the inflation factor is 1.21 (1+ (8-1*0.03)) which will require 2396 participants. Allowing for some leeway in our assumptions we will </w:t>
      </w:r>
      <w:r>
        <w:t>aim to</w:t>
      </w:r>
      <w:r w:rsidRPr="002C05C5">
        <w:t xml:space="preserve"> recruit approximately 835 patients per cancer type (</w:t>
      </w:r>
      <w:r>
        <w:t xml:space="preserve">total </w:t>
      </w:r>
      <w:r w:rsidRPr="002C05C5">
        <w:rPr>
          <w:i/>
        </w:rPr>
        <w:t xml:space="preserve">n </w:t>
      </w:r>
      <w:r w:rsidRPr="002C05C5">
        <w:t>= 2500).</w:t>
      </w:r>
    </w:p>
    <w:p w:rsidR="002F7205" w:rsidRDefault="002F7205">
      <w:pPr>
        <w:rPr>
          <w:b/>
        </w:rPr>
      </w:pPr>
      <w:r w:rsidRPr="00E74DC8">
        <w:rPr>
          <w:b/>
        </w:rPr>
        <w:t>Randomisation and blinding</w:t>
      </w:r>
    </w:p>
    <w:p w:rsidR="002F7205" w:rsidRDefault="002F7205" w:rsidP="005E4C59">
      <w:r>
        <w:t xml:space="preserve">After online screening, patients will complete online consent and baseline measures. LifeGuide software will then randomise each participant to one of the three study groups using computer-generated random numbers. </w:t>
      </w:r>
      <w:r w:rsidRPr="002C05C5">
        <w:t xml:space="preserve">Once randomised, participants will be informed of their allocation and, if in one of the </w:t>
      </w:r>
      <w:r>
        <w:t>intervention</w:t>
      </w:r>
      <w:r w:rsidRPr="002C05C5">
        <w:t xml:space="preserve"> arms, </w:t>
      </w:r>
      <w:r>
        <w:t>given access</w:t>
      </w:r>
      <w:r w:rsidRPr="002C05C5">
        <w:t xml:space="preserve"> to Renewed. </w:t>
      </w:r>
      <w:r>
        <w:t>R</w:t>
      </w:r>
      <w:r w:rsidRPr="002C05C5">
        <w:t xml:space="preserve">andomisation will be stratified by cancer type: breast/prostate/colon and by EORTC score (high/low </w:t>
      </w:r>
      <w:r>
        <w:t>QoL</w:t>
      </w:r>
      <w:r w:rsidRPr="002C05C5">
        <w:t>; 64 or less/65</w:t>
      </w:r>
      <w:r>
        <w:t>-85</w:t>
      </w:r>
      <w:r w:rsidRPr="002C05C5">
        <w:t xml:space="preserve"> taking 65 as the lower 25% CI from previous study data </w:t>
      </w:r>
      <w:r>
        <w:rPr>
          <w:noProof/>
        </w:rPr>
        <w:t>[36])</w:t>
      </w:r>
      <w:r w:rsidRPr="002C05C5">
        <w:t>. Blinding of randomisation</w:t>
      </w:r>
      <w:r>
        <w:t xml:space="preserve"> is ensured by</w:t>
      </w:r>
      <w:r w:rsidRPr="002C05C5">
        <w:t xml:space="preserve"> </w:t>
      </w:r>
      <w:r>
        <w:t xml:space="preserve">the use </w:t>
      </w:r>
      <w:proofErr w:type="gramStart"/>
      <w:r>
        <w:t xml:space="preserve">of </w:t>
      </w:r>
      <w:r w:rsidRPr="002C05C5">
        <w:t xml:space="preserve"> automated</w:t>
      </w:r>
      <w:proofErr w:type="gramEnd"/>
      <w:r w:rsidRPr="002C05C5">
        <w:t xml:space="preserve"> </w:t>
      </w:r>
      <w:r>
        <w:t>computer</w:t>
      </w:r>
      <w:r w:rsidRPr="002C05C5">
        <w:t xml:space="preserve"> software. Blinding of patients</w:t>
      </w:r>
      <w:r>
        <w:t xml:space="preserve"> to the intervention</w:t>
      </w:r>
      <w:r w:rsidRPr="002C05C5">
        <w:t xml:space="preserve"> is not possible. Participants will be informed online as to which group they have been allocated to immediately and will </w:t>
      </w:r>
      <w:r>
        <w:t xml:space="preserve">also </w:t>
      </w:r>
      <w:r w:rsidRPr="002C05C5">
        <w:t xml:space="preserve">be sent notification via email. Practice staff involved in the support arm of the trial will be notified by email when one of their patients is randomised to the Renewed + Support arm of the trial so that they can </w:t>
      </w:r>
      <w:r>
        <w:t>provide</w:t>
      </w:r>
      <w:r w:rsidRPr="002C05C5">
        <w:t xml:space="preserve"> support</w:t>
      </w:r>
      <w:r w:rsidRPr="00F817AD">
        <w:t xml:space="preserve">. </w:t>
      </w:r>
    </w:p>
    <w:p w:rsidR="002F7205" w:rsidRDefault="002F7205" w:rsidP="00175EA6">
      <w:pPr>
        <w:rPr>
          <w:b/>
        </w:rPr>
      </w:pPr>
      <w:r>
        <w:rPr>
          <w:b/>
        </w:rPr>
        <w:t xml:space="preserve">Renewed intervention </w:t>
      </w:r>
    </w:p>
    <w:p w:rsidR="002F7205" w:rsidRDefault="002F7205" w:rsidP="00980A0A">
      <w:r w:rsidRPr="002C05C5">
        <w:t xml:space="preserve">Participants randomised to the </w:t>
      </w:r>
      <w:r>
        <w:t>intervention</w:t>
      </w:r>
      <w:r w:rsidRPr="002C05C5">
        <w:t xml:space="preserve"> group</w:t>
      </w:r>
      <w:r>
        <w:t>s</w:t>
      </w:r>
      <w:r w:rsidRPr="002C05C5">
        <w:t xml:space="preserve"> will have access to their usual medical care and have access to the Renewed intervention. </w:t>
      </w:r>
      <w:r>
        <w:t xml:space="preserve"> </w:t>
      </w:r>
    </w:p>
    <w:p w:rsidR="002F7205" w:rsidRDefault="002F7205" w:rsidP="002260D5">
      <w:r w:rsidRPr="002C05C5">
        <w:lastRenderedPageBreak/>
        <w:t xml:space="preserve">The Renewed intervention was created using </w:t>
      </w:r>
      <w:proofErr w:type="spellStart"/>
      <w:r w:rsidRPr="002C05C5">
        <w:t>Lifeguide</w:t>
      </w:r>
      <w:proofErr w:type="spellEnd"/>
      <w:r w:rsidRPr="002C05C5">
        <w:t xml:space="preserve"> software (</w:t>
      </w:r>
      <w:hyperlink r:id="rId7" w:history="1">
        <w:r w:rsidRPr="002C05C5">
          <w:rPr>
            <w:rStyle w:val="Hyperlink"/>
            <w:color w:val="222A35" w:themeColor="text2" w:themeShade="80"/>
          </w:rPr>
          <w:t>www.lifeguideonline.org</w:t>
        </w:r>
      </w:hyperlink>
      <w:r>
        <w:rPr>
          <w:rStyle w:val="Hyperlink"/>
          <w:color w:val="222A35" w:themeColor="text2" w:themeShade="80"/>
        </w:rPr>
        <w:t>)</w:t>
      </w:r>
      <w:r w:rsidRPr="002C05C5">
        <w:t xml:space="preserve"> </w:t>
      </w:r>
      <w:r>
        <w:rPr>
          <w:noProof/>
        </w:rPr>
        <w:t>[38, 39].</w:t>
      </w:r>
      <w:r>
        <w:t xml:space="preserve"> </w:t>
      </w:r>
      <w:r>
        <w:rPr>
          <w:rFonts w:eastAsiaTheme="minorHAnsi"/>
          <w:sz w:val="23"/>
          <w:szCs w:val="23"/>
        </w:rPr>
        <w:t>During</w:t>
      </w:r>
      <w:r w:rsidRPr="0082337D">
        <w:rPr>
          <w:rFonts w:eastAsiaTheme="minorHAnsi"/>
          <w:sz w:val="23"/>
          <w:szCs w:val="23"/>
        </w:rPr>
        <w:t xml:space="preserve"> the development of Renewed a synthesis of the growing evidence base </w:t>
      </w:r>
      <w:r>
        <w:rPr>
          <w:rFonts w:eastAsiaTheme="minorHAnsi"/>
          <w:sz w:val="23"/>
          <w:szCs w:val="23"/>
        </w:rPr>
        <w:t>was</w:t>
      </w:r>
      <w:r w:rsidRPr="0082337D">
        <w:rPr>
          <w:rFonts w:eastAsiaTheme="minorHAnsi"/>
          <w:sz w:val="23"/>
          <w:szCs w:val="23"/>
        </w:rPr>
        <w:t xml:space="preserve"> conducted that relates to </w:t>
      </w:r>
      <w:r>
        <w:rPr>
          <w:rFonts w:eastAsiaTheme="minorHAnsi"/>
          <w:sz w:val="23"/>
          <w:szCs w:val="23"/>
        </w:rPr>
        <w:t>digital</w:t>
      </w:r>
      <w:r w:rsidRPr="0082337D">
        <w:rPr>
          <w:rFonts w:eastAsiaTheme="minorHAnsi"/>
          <w:sz w:val="23"/>
          <w:szCs w:val="23"/>
        </w:rPr>
        <w:t xml:space="preserve"> interventions directed at improving </w:t>
      </w:r>
      <w:r>
        <w:rPr>
          <w:rFonts w:eastAsiaTheme="minorHAnsi"/>
          <w:sz w:val="23"/>
          <w:szCs w:val="23"/>
        </w:rPr>
        <w:t>QoL</w:t>
      </w:r>
      <w:r w:rsidRPr="0082337D">
        <w:rPr>
          <w:rFonts w:eastAsiaTheme="minorHAnsi"/>
          <w:sz w:val="23"/>
          <w:szCs w:val="23"/>
        </w:rPr>
        <w:t xml:space="preserve"> in cancer survivors</w:t>
      </w:r>
      <w:r>
        <w:rPr>
          <w:rFonts w:eastAsiaTheme="minorHAnsi"/>
          <w:sz w:val="23"/>
          <w:szCs w:val="23"/>
        </w:rPr>
        <w:t xml:space="preserve"> </w:t>
      </w:r>
      <w:r>
        <w:rPr>
          <w:rFonts w:eastAsiaTheme="minorHAnsi"/>
          <w:noProof/>
          <w:sz w:val="23"/>
          <w:szCs w:val="23"/>
        </w:rPr>
        <w:t>[40]</w:t>
      </w:r>
      <w:r>
        <w:rPr>
          <w:rFonts w:eastAsiaTheme="minorHAnsi"/>
          <w:sz w:val="23"/>
          <w:szCs w:val="23"/>
        </w:rPr>
        <w:t xml:space="preserve">. </w:t>
      </w:r>
      <w:r>
        <w:t>C</w:t>
      </w:r>
      <w:r w:rsidRPr="007C3052">
        <w:t xml:space="preserve">onsistent with best practice in digital behaviour change intervention development </w:t>
      </w:r>
      <w:r>
        <w:rPr>
          <w:noProof/>
        </w:rPr>
        <w:t>[41, 42]</w:t>
      </w:r>
      <w:r w:rsidRPr="007C3052">
        <w:rPr>
          <w:noProof/>
        </w:rPr>
        <w:t xml:space="preserve">, </w:t>
      </w:r>
      <w:r w:rsidRPr="007C3052">
        <w:t>iterative qualitative research was used to elicit user (patient and health professional) views and experiences of the intervention modules throughout development</w:t>
      </w:r>
      <w:r>
        <w:t xml:space="preserve">, including barriers and facilitators to engagement with altering diet and exercise </w:t>
      </w:r>
      <w:r>
        <w:rPr>
          <w:noProof/>
        </w:rPr>
        <w:t>[43]</w:t>
      </w:r>
      <w:r w:rsidRPr="007C3052">
        <w:t>. The content of Renewed has been refined based on these findings</w:t>
      </w:r>
      <w:r>
        <w:t xml:space="preserve">. </w:t>
      </w:r>
    </w:p>
    <w:p w:rsidR="002F7205" w:rsidRDefault="002F7205" w:rsidP="003208A4">
      <w:r w:rsidRPr="00752F98">
        <w:t>See</w:t>
      </w:r>
      <w:r>
        <w:t xml:space="preserve"> Figure 2</w:t>
      </w:r>
      <w:r w:rsidRPr="00752F98">
        <w:t xml:space="preserve"> </w:t>
      </w:r>
      <w:r w:rsidRPr="002C05C5">
        <w:t xml:space="preserve">for a detailed diagram showing the flow of participants through the intervention, incorporating </w:t>
      </w:r>
      <w:proofErr w:type="spellStart"/>
      <w:r w:rsidRPr="002C05C5">
        <w:t>TiDIER</w:t>
      </w:r>
      <w:proofErr w:type="spellEnd"/>
      <w:r w:rsidRPr="002C05C5">
        <w:t xml:space="preserve"> guidelines </w:t>
      </w:r>
      <w:r>
        <w:rPr>
          <w:noProof/>
        </w:rPr>
        <w:t>[44]</w:t>
      </w:r>
      <w:r w:rsidRPr="002C05C5">
        <w:t xml:space="preserve">. There are four </w:t>
      </w:r>
      <w:r>
        <w:t>interventions within</w:t>
      </w:r>
      <w:r w:rsidRPr="002C05C5">
        <w:t xml:space="preserve"> Renewed</w:t>
      </w:r>
      <w:r>
        <w:t xml:space="preserve"> that participants can choose to view</w:t>
      </w:r>
      <w:r w:rsidRPr="002C05C5">
        <w:t xml:space="preserve">: Getting Active for increasing physical activity, Healthy Paths for stress reduction, Eat for Health for diet improvement and </w:t>
      </w:r>
      <w:proofErr w:type="spellStart"/>
      <w:r w:rsidRPr="002C05C5">
        <w:t>POWeR</w:t>
      </w:r>
      <w:proofErr w:type="spellEnd"/>
      <w:proofErr w:type="gramStart"/>
      <w:r w:rsidRPr="002C05C5">
        <w:t>+</w:t>
      </w:r>
      <w:r>
        <w:rPr>
          <w:noProof/>
        </w:rPr>
        <w:t>[</w:t>
      </w:r>
      <w:proofErr w:type="gramEnd"/>
      <w:r>
        <w:rPr>
          <w:noProof/>
        </w:rPr>
        <w:t>45]</w:t>
      </w:r>
      <w:r w:rsidRPr="002C05C5">
        <w:t xml:space="preserve"> for weight loss. In the </w:t>
      </w:r>
      <w:r>
        <w:t xml:space="preserve">introductory pages, </w:t>
      </w:r>
      <w:proofErr w:type="gramStart"/>
      <w:r w:rsidRPr="002C05C5">
        <w:t>Renewed</w:t>
      </w:r>
      <w:proofErr w:type="gramEnd"/>
      <w:r>
        <w:t xml:space="preserve"> provides participants with tailored suggestions of the aspects of the website which might be most helpful to them, based on </w:t>
      </w:r>
      <w:r w:rsidRPr="002C05C5">
        <w:t>the</w:t>
      </w:r>
      <w:r>
        <w:t>ir</w:t>
      </w:r>
      <w:r w:rsidRPr="002C05C5">
        <w:t xml:space="preserve"> answers </w:t>
      </w:r>
      <w:r>
        <w:t>to the baseline QoL measure (EORTC)</w:t>
      </w:r>
      <w:r w:rsidRPr="002C05C5">
        <w:t xml:space="preserve">. </w:t>
      </w:r>
      <w:r>
        <w:t>T</w:t>
      </w:r>
      <w:r w:rsidRPr="002C05C5">
        <w:t xml:space="preserve">here is also advice and information about active surveillance/watchful waiting for prostate cancer </w:t>
      </w:r>
      <w:r>
        <w:t>for men being monitored</w:t>
      </w:r>
      <w:r w:rsidRPr="002C05C5">
        <w:t>.</w:t>
      </w:r>
      <w:r>
        <w:t xml:space="preserve"> After the introduction, participants are presented with their homepage containing buttons to the separate interventions with some brief information about what to expect from each; </w:t>
      </w:r>
      <w:proofErr w:type="spellStart"/>
      <w:r>
        <w:t>POWeR</w:t>
      </w:r>
      <w:proofErr w:type="spellEnd"/>
      <w:r>
        <w:t xml:space="preserve"> is only presented to participants who have a BMI of over 25.</w:t>
      </w:r>
      <w:r w:rsidRPr="002C05C5">
        <w:t xml:space="preserve"> </w:t>
      </w:r>
    </w:p>
    <w:p w:rsidR="002F7205" w:rsidRDefault="002F7205" w:rsidP="009100C7">
      <w:r>
        <w:t xml:space="preserve">Participants </w:t>
      </w:r>
      <w:proofErr w:type="gramStart"/>
      <w:r>
        <w:t>are able to</w:t>
      </w:r>
      <w:proofErr w:type="gramEnd"/>
      <w:r>
        <w:t xml:space="preserve"> come back to the intervention and view which content they prefer</w:t>
      </w:r>
      <w:r w:rsidRPr="002C05C5">
        <w:t xml:space="preserve"> </w:t>
      </w:r>
      <w:r>
        <w:t xml:space="preserve">as often as they choose. If </w:t>
      </w:r>
      <w:r w:rsidRPr="002C05C5">
        <w:t>a participant accesse</w:t>
      </w:r>
      <w:r>
        <w:t>s one of these interventions</w:t>
      </w:r>
      <w:r w:rsidRPr="002C05C5">
        <w:t xml:space="preserve"> they will be sent brief automated emails as reminders and for motivation with tips, interesting facts and brief information and advice.</w:t>
      </w:r>
      <w:r>
        <w:t xml:space="preserve"> Content is tailored throughout Renewed, where appropriate, to present information most relevant to specific cancer types (e.g. concerns about exercising with a colostomy bag) and the developers of the interventions worked together to ensure that conflicting advice is not given. Where appropriate, Renewed links to existing helpful websites rather than duplicating information: links to external resources are provided throughout Renewed, some of which are tailored by cancer type. For example, </w:t>
      </w:r>
      <w:r>
        <w:lastRenderedPageBreak/>
        <w:t xml:space="preserve">these include information about returning to work and connecting with other survivors of cancer (from the homepage) and links to websites providing further emotional support on Healthy Paths and websites about group exercise on Getting Active.  </w:t>
      </w:r>
    </w:p>
    <w:p w:rsidR="002F7205" w:rsidRDefault="002F7205">
      <w:pPr>
        <w:rPr>
          <w:i/>
        </w:rPr>
      </w:pPr>
      <w:r w:rsidRPr="00E74DC8">
        <w:rPr>
          <w:i/>
        </w:rPr>
        <w:t>Getting Active</w:t>
      </w:r>
    </w:p>
    <w:p w:rsidR="002F7205" w:rsidRDefault="002F7205" w:rsidP="004674B2">
      <w:r w:rsidRPr="002C05C5">
        <w:t xml:space="preserve">Getting Active is designed to </w:t>
      </w:r>
      <w:r>
        <w:t>help participants increase their</w:t>
      </w:r>
      <w:r w:rsidRPr="002C05C5">
        <w:t xml:space="preserve"> physical activity</w:t>
      </w:r>
      <w:r>
        <w:t>. It includes</w:t>
      </w:r>
      <w:r w:rsidRPr="002C05C5">
        <w:t xml:space="preserve"> a quiz designed to increase motivation for physical activity </w:t>
      </w:r>
      <w:r>
        <w:t>by highlighting the benefits of increasing activity. Getting Active encourages gently increasing physical activity, taking a graded approach. C</w:t>
      </w:r>
      <w:r w:rsidRPr="002C05C5">
        <w:t>ontent address</w:t>
      </w:r>
      <w:r>
        <w:t>es</w:t>
      </w:r>
      <w:r w:rsidRPr="002C05C5">
        <w:t xml:space="preserve"> </w:t>
      </w:r>
      <w:r>
        <w:t xml:space="preserve">common </w:t>
      </w:r>
      <w:r w:rsidRPr="002C05C5">
        <w:t xml:space="preserve">barriers and concerns (e.g. </w:t>
      </w:r>
      <w:r>
        <w:t>feeling</w:t>
      </w:r>
      <w:r w:rsidRPr="002C05C5">
        <w:t xml:space="preserve"> tired</w:t>
      </w:r>
      <w:r>
        <w:t>, co-morbidities</w:t>
      </w:r>
      <w:r w:rsidRPr="002C05C5">
        <w:t xml:space="preserve">). </w:t>
      </w:r>
      <w:r>
        <w:t>There are</w:t>
      </w:r>
      <w:r w:rsidRPr="002C05C5">
        <w:t xml:space="preserve"> various activity options such as exercising at home and walking. </w:t>
      </w:r>
      <w:r>
        <w:t>U</w:t>
      </w:r>
      <w:r w:rsidRPr="002C05C5">
        <w:t xml:space="preserve">sers </w:t>
      </w:r>
      <w:r>
        <w:t>can set</w:t>
      </w:r>
      <w:r w:rsidRPr="002C05C5">
        <w:t xml:space="preserve"> </w:t>
      </w:r>
      <w:r>
        <w:t xml:space="preserve">and review </w:t>
      </w:r>
      <w:r w:rsidRPr="002C05C5">
        <w:t>physical activity goals</w:t>
      </w:r>
      <w:r>
        <w:t xml:space="preserve"> and receive tailored feedback on their progress</w:t>
      </w:r>
      <w:r w:rsidRPr="002C05C5">
        <w:t xml:space="preserve">. </w:t>
      </w:r>
    </w:p>
    <w:p w:rsidR="002F7205" w:rsidRDefault="002F7205">
      <w:pPr>
        <w:rPr>
          <w:i/>
        </w:rPr>
      </w:pPr>
      <w:r w:rsidRPr="00E74DC8">
        <w:rPr>
          <w:i/>
        </w:rPr>
        <w:t>Healthy Paths and Healthy Mind</w:t>
      </w:r>
    </w:p>
    <w:p w:rsidR="002F7205" w:rsidRDefault="002F7205" w:rsidP="004674B2">
      <w:r w:rsidRPr="002C05C5">
        <w:t xml:space="preserve">Healthy Paths </w:t>
      </w:r>
      <w:r>
        <w:t>aims</w:t>
      </w:r>
      <w:r w:rsidRPr="002C05C5">
        <w:t xml:space="preserve"> to reduce stress and improve </w:t>
      </w:r>
      <w:r>
        <w:t xml:space="preserve">psychological distress </w:t>
      </w:r>
      <w:proofErr w:type="gramStart"/>
      <w:r w:rsidRPr="002C05C5">
        <w:t>through the use of</w:t>
      </w:r>
      <w:proofErr w:type="gramEnd"/>
      <w:r w:rsidRPr="002C05C5">
        <w:t xml:space="preserve"> mindfulness-based and CBT techniques</w:t>
      </w:r>
      <w:r>
        <w:t xml:space="preserve"> </w:t>
      </w:r>
      <w:r>
        <w:rPr>
          <w:noProof/>
        </w:rPr>
        <w:t>[46]</w:t>
      </w:r>
      <w:r w:rsidRPr="002C05C5">
        <w:t xml:space="preserve">. </w:t>
      </w:r>
      <w:r>
        <w:t>It was amended for the current study to include specific information for cancer survivors about fear of recurrence and feelings of loss following cancer.</w:t>
      </w:r>
      <w:r w:rsidRPr="002C05C5">
        <w:t xml:space="preserve"> The role of the stressor is </w:t>
      </w:r>
      <w:proofErr w:type="gramStart"/>
      <w:r w:rsidRPr="002C05C5">
        <w:t>acknowledged</w:t>
      </w:r>
      <w:proofErr w:type="gramEnd"/>
      <w:r w:rsidRPr="002C05C5">
        <w:t xml:space="preserve"> and patients are encouraged to use a variety of emotional regulation strategies to develop effective coping skills. There are </w:t>
      </w:r>
      <w:proofErr w:type="gramStart"/>
      <w:r w:rsidRPr="002C05C5">
        <w:t>a number of</w:t>
      </w:r>
      <w:proofErr w:type="gramEnd"/>
      <w:r w:rsidRPr="002C05C5">
        <w:t xml:space="preserve"> mindfulness-based exercises</w:t>
      </w:r>
      <w:r>
        <w:t xml:space="preserve"> as well as </w:t>
      </w:r>
      <w:r w:rsidRPr="002C05C5">
        <w:t>behavioural activation</w:t>
      </w:r>
      <w:r>
        <w:t xml:space="preserve"> strategies</w:t>
      </w:r>
      <w:r w:rsidRPr="002C05C5">
        <w:t xml:space="preserve"> </w:t>
      </w:r>
      <w:r>
        <w:rPr>
          <w:noProof/>
        </w:rPr>
        <w:t>[47]</w:t>
      </w:r>
      <w:r w:rsidRPr="002C05C5">
        <w:rPr>
          <w:noProof/>
        </w:rPr>
        <w:t xml:space="preserve"> </w:t>
      </w:r>
      <w:r w:rsidRPr="002C05C5">
        <w:t xml:space="preserve">and cognitive exercises focusing on emotion regulation </w:t>
      </w:r>
      <w:r>
        <w:t>(</w:t>
      </w:r>
      <w:r w:rsidRPr="002C05C5">
        <w:t xml:space="preserve">positive thought </w:t>
      </w:r>
      <w:r>
        <w:t>logging</w:t>
      </w:r>
      <w:r w:rsidRPr="002C05C5">
        <w:t xml:space="preserve"> and </w:t>
      </w:r>
      <w:r>
        <w:t>self-compassion</w:t>
      </w:r>
      <w:r w:rsidRPr="002C05C5">
        <w:t xml:space="preserve"> exercise</w:t>
      </w:r>
      <w:r>
        <w:t>s)</w:t>
      </w:r>
      <w:r w:rsidRPr="002C05C5">
        <w:t xml:space="preserve">. </w:t>
      </w:r>
    </w:p>
    <w:p w:rsidR="002F7205" w:rsidRDefault="002F7205" w:rsidP="006D752A">
      <w:r w:rsidRPr="002C05C5">
        <w:t>Healthy Mind is a ‘</w:t>
      </w:r>
      <w:proofErr w:type="spellStart"/>
      <w:r w:rsidRPr="002C05C5">
        <w:t>lite</w:t>
      </w:r>
      <w:proofErr w:type="spellEnd"/>
      <w:r w:rsidRPr="002C05C5">
        <w:t xml:space="preserve">’ version of Healthy Paths in the form of an app which includes similar techniques </w:t>
      </w:r>
      <w:r>
        <w:t>to</w:t>
      </w:r>
      <w:r w:rsidRPr="002C05C5">
        <w:t xml:space="preserve"> Healthy Paths (i.e. CBT elements and mindfulness-based practices</w:t>
      </w:r>
      <w:proofErr w:type="gramStart"/>
      <w:r w:rsidRPr="002C05C5">
        <w:t>), but</w:t>
      </w:r>
      <w:proofErr w:type="gramEnd"/>
      <w:r w:rsidRPr="002C05C5">
        <w:t xml:space="preserve"> is for more general stress-reduction and does not address cancer-specific concerns.</w:t>
      </w:r>
    </w:p>
    <w:p w:rsidR="002F7205" w:rsidRDefault="002F7205">
      <w:pPr>
        <w:rPr>
          <w:i/>
        </w:rPr>
      </w:pPr>
      <w:proofErr w:type="spellStart"/>
      <w:r w:rsidRPr="00E74DC8">
        <w:rPr>
          <w:i/>
        </w:rPr>
        <w:t>POWeR</w:t>
      </w:r>
      <w:proofErr w:type="spellEnd"/>
      <w:r w:rsidRPr="00E74DC8">
        <w:rPr>
          <w:i/>
        </w:rPr>
        <w:t>+</w:t>
      </w:r>
    </w:p>
    <w:p w:rsidR="002F7205" w:rsidRDefault="002F7205" w:rsidP="004674B2">
      <w:proofErr w:type="spellStart"/>
      <w:r w:rsidRPr="002C05C5">
        <w:t>POWeR</w:t>
      </w:r>
      <w:proofErr w:type="spellEnd"/>
      <w:r w:rsidRPr="002C05C5">
        <w:t>+ is a</w:t>
      </w:r>
      <w:r>
        <w:t xml:space="preserve">n online weight management intervention which </w:t>
      </w:r>
      <w:r w:rsidRPr="002C05C5">
        <w:t>has been shown to be effective and cost effective</w:t>
      </w:r>
      <w:r w:rsidR="00246AD8">
        <w:t>,</w:t>
      </w:r>
      <w:r w:rsidRPr="002C05C5">
        <w:t xml:space="preserve"> </w:t>
      </w:r>
      <w:r w:rsidR="00246AD8">
        <w:t xml:space="preserve">described in full elsewhere </w:t>
      </w:r>
      <w:r>
        <w:rPr>
          <w:noProof/>
        </w:rPr>
        <w:t>[45]</w:t>
      </w:r>
      <w:r w:rsidRPr="002C05C5">
        <w:t xml:space="preserve">. </w:t>
      </w:r>
      <w:r w:rsidR="00246AD8">
        <w:t>I</w:t>
      </w:r>
      <w:r>
        <w:t xml:space="preserve">n brief: Participants can follow a low calorie or low carbohydrate eating plan and can choose between increasing walking and any other physical activities. </w:t>
      </w:r>
      <w:r>
        <w:lastRenderedPageBreak/>
        <w:t>P</w:t>
      </w:r>
      <w:r w:rsidRPr="002C05C5">
        <w:t>articipants set themselves goals</w:t>
      </w:r>
      <w:r>
        <w:t xml:space="preserve"> and review weight, goals and plans on a weekly basis, receiving t</w:t>
      </w:r>
      <w:r w:rsidRPr="002C05C5">
        <w:t xml:space="preserve">ailored feedback on progress. </w:t>
      </w:r>
      <w:r>
        <w:t>Participants also have access to 25 sessions which</w:t>
      </w:r>
      <w:r w:rsidRPr="002C05C5">
        <w:t xml:space="preserve"> include topics such as </w:t>
      </w:r>
      <w:r>
        <w:t>coping with cravings</w:t>
      </w:r>
      <w:r w:rsidRPr="002C05C5">
        <w:t xml:space="preserve">, gaining social support and </w:t>
      </w:r>
      <w:r>
        <w:t>relapse prevention</w:t>
      </w:r>
      <w:r w:rsidRPr="002C05C5">
        <w:t xml:space="preserve">. </w:t>
      </w:r>
    </w:p>
    <w:p w:rsidR="002F7205" w:rsidRDefault="002F7205">
      <w:pPr>
        <w:rPr>
          <w:i/>
        </w:rPr>
      </w:pPr>
      <w:r w:rsidRPr="00E74DC8">
        <w:rPr>
          <w:i/>
        </w:rPr>
        <w:t>Eat for Health</w:t>
      </w:r>
    </w:p>
    <w:p w:rsidR="002F7205" w:rsidRDefault="002F7205" w:rsidP="004674B2">
      <w:r w:rsidRPr="002C05C5">
        <w:t xml:space="preserve">Eat for Health </w:t>
      </w:r>
      <w:r>
        <w:t>is</w:t>
      </w:r>
      <w:r w:rsidRPr="002C05C5">
        <w:t xml:space="preserve"> </w:t>
      </w:r>
      <w:r>
        <w:t>based on a healthy diet (high in fruit and vegetables; reduced fat, sugar, alcohol, red and processed meats) which can reduce mortality rates in cancer survivors</w:t>
      </w:r>
      <w:r w:rsidR="00C7660E">
        <w:t xml:space="preserve"> </w:t>
      </w:r>
      <w:r>
        <w:rPr>
          <w:noProof/>
        </w:rPr>
        <w:t>[48]</w:t>
      </w:r>
      <w:r>
        <w:t xml:space="preserve">. It differs from </w:t>
      </w:r>
      <w:proofErr w:type="spellStart"/>
      <w:r>
        <w:t>POWeR</w:t>
      </w:r>
      <w:proofErr w:type="spellEnd"/>
      <w:r>
        <w:t xml:space="preserve"> in that the focus is on eating a healthy diet rather than losing weight and is </w:t>
      </w:r>
      <w:r w:rsidRPr="002C05C5">
        <w:t>designed to enhance cancer survivor knowledge of healthy eating and increase motivation to make changes to eating habits. Eat for Health includes a short quiz about</w:t>
      </w:r>
      <w:r>
        <w:t xml:space="preserve"> the benefits of</w:t>
      </w:r>
      <w:r w:rsidRPr="002C05C5">
        <w:t xml:space="preserve"> healthy eating, an easy to follow eating plan using a traffic light system, </w:t>
      </w:r>
      <w:r>
        <w:t xml:space="preserve">patient stories modelling overcoming challenges, </w:t>
      </w:r>
      <w:r w:rsidRPr="002C05C5">
        <w:t>meal plans</w:t>
      </w:r>
      <w:r>
        <w:t xml:space="preserve"> and </w:t>
      </w:r>
      <w:r w:rsidRPr="002C05C5">
        <w:t xml:space="preserve">healthy recipes. </w:t>
      </w:r>
      <w:r>
        <w:t>Participants</w:t>
      </w:r>
      <w:r w:rsidRPr="002C05C5">
        <w:t xml:space="preserve"> </w:t>
      </w:r>
      <w:proofErr w:type="gramStart"/>
      <w:r w:rsidRPr="002C05C5">
        <w:t>are able to</w:t>
      </w:r>
      <w:proofErr w:type="gramEnd"/>
      <w:r w:rsidRPr="002C05C5">
        <w:t xml:space="preserve"> </w:t>
      </w:r>
      <w:r>
        <w:t xml:space="preserve">set, </w:t>
      </w:r>
      <w:r w:rsidRPr="002C05C5">
        <w:t>review and change their eating goals</w:t>
      </w:r>
      <w:r>
        <w:t xml:space="preserve"> and receive personalised feedback on their progress</w:t>
      </w:r>
      <w:r w:rsidRPr="002C05C5">
        <w:t xml:space="preserve">. </w:t>
      </w:r>
    </w:p>
    <w:p w:rsidR="002F7205" w:rsidRPr="00C543BA" w:rsidRDefault="002F7205" w:rsidP="00CA04A7">
      <w:pPr>
        <w:rPr>
          <w:b/>
          <w:bCs/>
        </w:rPr>
      </w:pPr>
      <w:r w:rsidRPr="00C543BA">
        <w:rPr>
          <w:b/>
          <w:bCs/>
        </w:rPr>
        <w:t>Renewed accompanied by brief human support</w:t>
      </w:r>
    </w:p>
    <w:p w:rsidR="002F7205" w:rsidRDefault="002F7205" w:rsidP="007F7727">
      <w:r w:rsidRPr="002C05C5">
        <w:t xml:space="preserve">Participants in the Renewed group with </w:t>
      </w:r>
      <w:r>
        <w:t xml:space="preserve">accompanying brief human support will receive </w:t>
      </w:r>
      <w:r w:rsidRPr="002C05C5">
        <w:t xml:space="preserve">support </w:t>
      </w:r>
      <w:r>
        <w:t>from</w:t>
      </w:r>
      <w:r w:rsidRPr="002C05C5">
        <w:t xml:space="preserve"> a nurse or health care assistant (HCA) </w:t>
      </w:r>
      <w:r>
        <w:t>(</w:t>
      </w:r>
      <w:r w:rsidRPr="002C05C5">
        <w:t xml:space="preserve">at their surgery where possible, or else a central support facilitator </w:t>
      </w:r>
      <w:r>
        <w:t xml:space="preserve">or research nurse </w:t>
      </w:r>
      <w:r w:rsidRPr="002C05C5">
        <w:t xml:space="preserve">employed by the study team </w:t>
      </w:r>
      <w:r>
        <w:t xml:space="preserve">where the practice </w:t>
      </w:r>
      <w:proofErr w:type="gramStart"/>
      <w:r>
        <w:t>are</w:t>
      </w:r>
      <w:proofErr w:type="gramEnd"/>
      <w:r>
        <w:t xml:space="preserve"> unable to provide their own support). ‘Supporters’ are able to view the Renewed intervention but do not need specific knowledge of Renewed content:</w:t>
      </w:r>
      <w:r w:rsidRPr="002C05C5">
        <w:t xml:space="preserve"> Supporters will receive </w:t>
      </w:r>
      <w:r>
        <w:t>brief web-based</w:t>
      </w:r>
      <w:r w:rsidRPr="002C05C5">
        <w:t xml:space="preserve"> training to learn how to </w:t>
      </w:r>
      <w:r>
        <w:t>provide support using the</w:t>
      </w:r>
      <w:r w:rsidRPr="002C05C5">
        <w:t xml:space="preserve"> CARE </w:t>
      </w:r>
      <w:r>
        <w:t>approach</w:t>
      </w:r>
      <w:r w:rsidRPr="002C05C5">
        <w:t xml:space="preserve"> (Congratulate, Ask, Reassure, Encourage </w:t>
      </w:r>
      <w:r>
        <w:rPr>
          <w:noProof/>
        </w:rPr>
        <w:t>[49, 50]), which aims to help build patients’ autonomous motivation for engaging with the digital intervention and offline behavoiural changes (e.g. getting more active)</w:t>
      </w:r>
      <w:r w:rsidRPr="002C05C5">
        <w:t>.</w:t>
      </w:r>
    </w:p>
    <w:p w:rsidR="002F7205" w:rsidRDefault="002F7205" w:rsidP="00980A0A">
      <w:r>
        <w:t xml:space="preserve">Three </w:t>
      </w:r>
      <w:proofErr w:type="gramStart"/>
      <w:r>
        <w:t>ten minute</w:t>
      </w:r>
      <w:proofErr w:type="gramEnd"/>
      <w:r>
        <w:t xml:space="preserve"> support sessions will be offered in person, by phone or email. The first will be offered </w:t>
      </w:r>
      <w:r w:rsidRPr="002C05C5">
        <w:t xml:space="preserve">two weeks after initially logging on to Renewed. </w:t>
      </w:r>
      <w:r>
        <w:t>Supporters are also asked to send encouraging, supportive emails at weeks two and four after randomisation and templates are supplied for this</w:t>
      </w:r>
      <w:r w:rsidRPr="002C05C5">
        <w:t xml:space="preserve">. Follow-up support will be offered at four and eight weeks after </w:t>
      </w:r>
      <w:r>
        <w:t>baseline</w:t>
      </w:r>
      <w:r w:rsidRPr="002C05C5">
        <w:t>.</w:t>
      </w:r>
      <w:r>
        <w:t xml:space="preserve"> Not all participants </w:t>
      </w:r>
      <w:r>
        <w:lastRenderedPageBreak/>
        <w:t xml:space="preserve">will want support and they can choose </w:t>
      </w:r>
      <w:proofErr w:type="gramStart"/>
      <w:r>
        <w:t>whether or not</w:t>
      </w:r>
      <w:proofErr w:type="gramEnd"/>
      <w:r>
        <w:t xml:space="preserve"> to contact their Supporter; Supporters will keep a record of the frequency and nature of support they provide to participants. P</w:t>
      </w:r>
      <w:r w:rsidRPr="002C05C5">
        <w:t xml:space="preserve">articipants can </w:t>
      </w:r>
      <w:r>
        <w:t>contact their supporter</w:t>
      </w:r>
      <w:r w:rsidRPr="002C05C5">
        <w:t xml:space="preserve"> </w:t>
      </w:r>
      <w:r>
        <w:t>through</w:t>
      </w:r>
      <w:r w:rsidRPr="002C05C5">
        <w:t xml:space="preserve"> the website. </w:t>
      </w:r>
      <w:r>
        <w:t>Number and type (email/phone/face-to-face) of support contacts, as well as length of appointments, will be recorded</w:t>
      </w:r>
      <w:r w:rsidRPr="002C05C5">
        <w:t xml:space="preserve">. </w:t>
      </w:r>
    </w:p>
    <w:p w:rsidR="002F7205" w:rsidRDefault="002F7205">
      <w:pPr>
        <w:pStyle w:val="Heading2"/>
      </w:pPr>
      <w:r>
        <w:t>Usual Care</w:t>
      </w:r>
    </w:p>
    <w:p w:rsidR="002F7205" w:rsidRDefault="002F7205">
      <w:pPr>
        <w:pStyle w:val="Heading2"/>
        <w:rPr>
          <w:b w:val="0"/>
          <w:bCs/>
        </w:rPr>
      </w:pPr>
      <w:r w:rsidRPr="00980A0A">
        <w:rPr>
          <w:b w:val="0"/>
          <w:bCs/>
        </w:rPr>
        <w:t xml:space="preserve">Participants allocated to usual care will receive a link to the NHS </w:t>
      </w:r>
      <w:proofErr w:type="spellStart"/>
      <w:r w:rsidRPr="00980A0A">
        <w:rPr>
          <w:b w:val="0"/>
          <w:bCs/>
        </w:rPr>
        <w:t>LiveWell</w:t>
      </w:r>
      <w:proofErr w:type="spellEnd"/>
      <w:r w:rsidRPr="00980A0A">
        <w:rPr>
          <w:b w:val="0"/>
          <w:bCs/>
        </w:rPr>
        <w:t xml:space="preserve"> website where they can access advice about living a healthier lifestyle. Other than this, participants in the usual care group will continue to use their existing medical support as they usually would.</w:t>
      </w:r>
      <w:r>
        <w:rPr>
          <w:b w:val="0"/>
          <w:bCs/>
        </w:rPr>
        <w:t xml:space="preserve"> At the end of the study, participants will be asked what other interventions, if any, they have used while taking part in the study.</w:t>
      </w:r>
    </w:p>
    <w:p w:rsidR="002F7205" w:rsidRDefault="002F7205">
      <w:pPr>
        <w:pStyle w:val="Heading2"/>
      </w:pPr>
      <w:r>
        <w:t xml:space="preserve">Data Collection </w:t>
      </w:r>
    </w:p>
    <w:p w:rsidR="002F7205" w:rsidRDefault="002F7205" w:rsidP="00721201">
      <w:pPr>
        <w:spacing w:before="0"/>
      </w:pPr>
      <w:r w:rsidRPr="002C05C5">
        <w:t xml:space="preserve">Participants will receive three automated notifications to complete follow-up measures at six and 12 months; one </w:t>
      </w:r>
      <w:r>
        <w:t xml:space="preserve">being the initial invitation </w:t>
      </w:r>
      <w:r w:rsidRPr="002C05C5">
        <w:t xml:space="preserve">to ask them to complete the </w:t>
      </w:r>
      <w:r>
        <w:t xml:space="preserve">online </w:t>
      </w:r>
      <w:r w:rsidRPr="002C05C5">
        <w:t xml:space="preserve">questionnaires and reminders at one week and two weeks later if they are not complete. Participants will receive a £10 gift voucher via email when they complete the six-month follow-up questionnaires online. If, after six weeks, participants have not completed the six-month follow-up questionnaires online, paper-based questionnaires will be sent </w:t>
      </w:r>
      <w:r>
        <w:t>with a</w:t>
      </w:r>
      <w:r w:rsidRPr="002C05C5">
        <w:t xml:space="preserve"> £10 gift voucher for high street stores (regardless of </w:t>
      </w:r>
      <w:r>
        <w:t xml:space="preserve">paper-based </w:t>
      </w:r>
      <w:r w:rsidRPr="002C05C5">
        <w:t xml:space="preserve">questionnaire completion). </w:t>
      </w:r>
      <w:r>
        <w:t>I</w:t>
      </w:r>
      <w:r w:rsidRPr="002C05C5">
        <w:t>f paper-based question</w:t>
      </w:r>
      <w:r>
        <w:t>naires</w:t>
      </w:r>
      <w:r w:rsidRPr="002C05C5">
        <w:t xml:space="preserve"> are not returned</w:t>
      </w:r>
      <w:r>
        <w:t xml:space="preserve"> </w:t>
      </w:r>
      <w:r w:rsidRPr="00BB1BA9">
        <w:t xml:space="preserve">after </w:t>
      </w:r>
      <w:r w:rsidRPr="007545FC">
        <w:t>two weeks of being sent</w:t>
      </w:r>
      <w:r w:rsidRPr="00BB1BA9">
        <w:t>, research</w:t>
      </w:r>
      <w:r w:rsidRPr="002C05C5">
        <w:t xml:space="preserve"> staff </w:t>
      </w:r>
      <w:r>
        <w:t>(blind to group allocation) will</w:t>
      </w:r>
      <w:r w:rsidRPr="002C05C5">
        <w:t xml:space="preserve"> phone participants to request limited responses over the phone (the EORTC); a maximum of two phone </w:t>
      </w:r>
      <w:r>
        <w:t>contacts per participant</w:t>
      </w:r>
      <w:r w:rsidRPr="002C05C5">
        <w:t xml:space="preserve"> </w:t>
      </w:r>
      <w:r>
        <w:t>will</w:t>
      </w:r>
      <w:r w:rsidRPr="002C05C5">
        <w:t xml:space="preserve"> be made. The procedure will be the same for 12-month follow-ups but with no further vouchers given. If at any stage the participant indicates that they would not be willing to complete any further measures, no further contact will be made regarding the follow-ups. At study completion, the </w:t>
      </w:r>
      <w:r>
        <w:t>usual care (waitlist) group</w:t>
      </w:r>
      <w:r w:rsidRPr="002C05C5">
        <w:t xml:space="preserve"> will be given access to the Renewed website.</w:t>
      </w:r>
      <w:r w:rsidRPr="005F29DC">
        <w:t xml:space="preserve"> </w:t>
      </w:r>
      <w:r>
        <w:t>Participants will be asked if they would like a copy of the study results, and if so whether they would prefer to receive these by email or post.</w:t>
      </w:r>
    </w:p>
    <w:p w:rsidR="002F7205" w:rsidRPr="007545FC" w:rsidRDefault="002F7205" w:rsidP="00C52610">
      <w:pPr>
        <w:rPr>
          <w:i/>
        </w:rPr>
      </w:pPr>
      <w:r w:rsidRPr="007545FC">
        <w:rPr>
          <w:i/>
        </w:rPr>
        <w:lastRenderedPageBreak/>
        <w:t>Sub</w:t>
      </w:r>
      <w:r>
        <w:rPr>
          <w:i/>
        </w:rPr>
        <w:t>-</w:t>
      </w:r>
      <w:r w:rsidRPr="007545FC">
        <w:rPr>
          <w:i/>
        </w:rPr>
        <w:t xml:space="preserve">study </w:t>
      </w:r>
      <w:r>
        <w:rPr>
          <w:i/>
        </w:rPr>
        <w:t>Examining</w:t>
      </w:r>
      <w:r w:rsidRPr="007545FC">
        <w:rPr>
          <w:i/>
        </w:rPr>
        <w:t xml:space="preserve"> Follow-up Questionnaire Design</w:t>
      </w:r>
    </w:p>
    <w:p w:rsidR="002F7205" w:rsidRDefault="002F7205" w:rsidP="00444397">
      <w:r w:rsidRPr="00C12FAB">
        <w:t>There has been extensive research into how the design and presentation of questionnaires affects response rates and response qualit</w:t>
      </w:r>
      <w:r>
        <w:t xml:space="preserve">y, see </w:t>
      </w:r>
      <w:r>
        <w:rPr>
          <w:noProof/>
        </w:rPr>
        <w:t>[51]</w:t>
      </w:r>
      <w:r>
        <w:t xml:space="preserve"> for an overview. </w:t>
      </w:r>
      <w:r w:rsidRPr="002C05C5">
        <w:t xml:space="preserve">Two versions of the 12-month outcome measures will be used, to test whether completion rates can be increased by enhanced presentation. Users will be randomised to either the control </w:t>
      </w:r>
      <w:r>
        <w:t xml:space="preserve">(‘normal’) </w:t>
      </w:r>
      <w:r w:rsidRPr="002C05C5">
        <w:t>outcome measure</w:t>
      </w:r>
      <w:r>
        <w:t>s</w:t>
      </w:r>
      <w:r w:rsidRPr="002C05C5">
        <w:t xml:space="preserve"> or the enhanced outcome measure</w:t>
      </w:r>
      <w:r>
        <w:t>s</w:t>
      </w:r>
      <w:r w:rsidRPr="002C05C5">
        <w:t xml:space="preserve">. For both versions, the wording and scales will remain the same, but the presentation (e.g. use of images, page layout and messages encouraging completion) will be altered for the enhanced version. </w:t>
      </w:r>
    </w:p>
    <w:p w:rsidR="002F7205" w:rsidRDefault="002F7205">
      <w:pPr>
        <w:rPr>
          <w:b/>
        </w:rPr>
      </w:pPr>
      <w:r w:rsidRPr="00E74DC8">
        <w:rPr>
          <w:b/>
        </w:rPr>
        <w:t>Measures</w:t>
      </w:r>
    </w:p>
    <w:p w:rsidR="002F7205" w:rsidRDefault="002F7205" w:rsidP="00444397">
      <w:r>
        <w:t xml:space="preserve">Table 2 presents a list of the measures and when they will be presented to participants. </w:t>
      </w:r>
      <w:r w:rsidRPr="002C05C5">
        <w:t xml:space="preserve">Measures will be </w:t>
      </w:r>
      <w:r>
        <w:t>collected via the</w:t>
      </w:r>
      <w:r w:rsidRPr="002C05C5">
        <w:t xml:space="preserve"> website.</w:t>
      </w:r>
    </w:p>
    <w:p w:rsidR="002F7205" w:rsidRPr="008F0744" w:rsidRDefault="002F7205" w:rsidP="00F950F7">
      <w:pPr>
        <w:spacing w:before="0" w:line="360" w:lineRule="auto"/>
        <w:ind w:left="0" w:right="0" w:firstLine="0"/>
        <w:contextualSpacing w:val="0"/>
      </w:pPr>
      <w:r w:rsidRPr="008F0744">
        <w:t xml:space="preserve">Table </w:t>
      </w:r>
      <w:r>
        <w:t>2</w:t>
      </w:r>
      <w:r w:rsidRPr="008F0744">
        <w:t xml:space="preserve"> Measures and times presented</w:t>
      </w:r>
    </w:p>
    <w:tbl>
      <w:tblPr>
        <w:tblStyle w:val="TableGrid"/>
        <w:tblW w:w="5000" w:type="pct"/>
        <w:tblLook w:val="04A0" w:firstRow="1" w:lastRow="0" w:firstColumn="1" w:lastColumn="0" w:noHBand="0" w:noVBand="1"/>
      </w:tblPr>
      <w:tblGrid>
        <w:gridCol w:w="2254"/>
        <w:gridCol w:w="2254"/>
        <w:gridCol w:w="2254"/>
        <w:gridCol w:w="2254"/>
      </w:tblGrid>
      <w:tr w:rsidR="002F7205" w:rsidRPr="008F0744" w:rsidTr="00C02AA7">
        <w:trPr>
          <w:trHeight w:val="340"/>
        </w:trPr>
        <w:tc>
          <w:tcPr>
            <w:tcW w:w="1250" w:type="pct"/>
            <w:tcBorders>
              <w:left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b/>
              </w:rPr>
            </w:pPr>
            <w:r w:rsidRPr="008F0744">
              <w:rPr>
                <w:b/>
              </w:rPr>
              <w:t>Measure</w:t>
            </w:r>
          </w:p>
        </w:tc>
        <w:tc>
          <w:tcPr>
            <w:tcW w:w="1250" w:type="pct"/>
            <w:tcBorders>
              <w:left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b/>
              </w:rPr>
            </w:pPr>
            <w:r w:rsidRPr="008F0744">
              <w:rPr>
                <w:b/>
              </w:rPr>
              <w:t>Baseline</w:t>
            </w:r>
          </w:p>
        </w:tc>
        <w:tc>
          <w:tcPr>
            <w:tcW w:w="1250" w:type="pct"/>
            <w:tcBorders>
              <w:left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b/>
              </w:rPr>
            </w:pPr>
            <w:r w:rsidRPr="008F0744">
              <w:rPr>
                <w:b/>
              </w:rPr>
              <w:t>Six months</w:t>
            </w:r>
          </w:p>
        </w:tc>
        <w:tc>
          <w:tcPr>
            <w:tcW w:w="1250" w:type="pct"/>
            <w:tcBorders>
              <w:left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b/>
              </w:rPr>
            </w:pPr>
            <w:r w:rsidRPr="008F0744">
              <w:rPr>
                <w:b/>
              </w:rPr>
              <w:t>12 Months</w:t>
            </w:r>
          </w:p>
        </w:tc>
      </w:tr>
      <w:tr w:rsidR="002F7205" w:rsidRPr="008F0744" w:rsidTr="00C02AA7">
        <w:trPr>
          <w:trHeight w:val="340"/>
        </w:trPr>
        <w:tc>
          <w:tcPr>
            <w:tcW w:w="1250" w:type="pct"/>
            <w:tcBorders>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113" w:right="0" w:firstLine="0"/>
              <w:contextualSpacing w:val="0"/>
              <w:rPr>
                <w:b/>
              </w:rPr>
            </w:pPr>
            <w:r>
              <w:rPr>
                <w:b/>
              </w:rPr>
              <w:t>Primary Outcome</w:t>
            </w:r>
          </w:p>
        </w:tc>
        <w:tc>
          <w:tcPr>
            <w:tcW w:w="1250" w:type="pct"/>
            <w:tcBorders>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b/>
              </w:rPr>
            </w:pPr>
          </w:p>
        </w:tc>
        <w:tc>
          <w:tcPr>
            <w:tcW w:w="1250" w:type="pct"/>
            <w:tcBorders>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b/>
              </w:rPr>
            </w:pPr>
          </w:p>
        </w:tc>
        <w:tc>
          <w:tcPr>
            <w:tcW w:w="1250" w:type="pct"/>
            <w:tcBorders>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b/>
              </w:rPr>
            </w:pP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EORTC QLQ-c30</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D92A69" w:rsidRDefault="002F7205" w:rsidP="00C02AA7">
            <w:pPr>
              <w:spacing w:before="0" w:line="240" w:lineRule="auto"/>
              <w:ind w:left="0" w:right="0" w:hanging="113"/>
              <w:contextualSpacing w:val="0"/>
              <w:rPr>
                <w:b/>
              </w:rPr>
            </w:pPr>
            <w:r w:rsidRPr="00D92A69">
              <w:rPr>
                <w:b/>
              </w:rPr>
              <w:t>Secondary Outcomes</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r w:rsidRPr="008F0744">
              <w:t>HADS</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r w:rsidRPr="008F0744">
              <w:t>FRRS</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EQ-5D-5L</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r w:rsidRPr="008F0744">
              <w:t xml:space="preserve">PA </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897" w:firstLine="0"/>
              <w:contextualSpacing w:val="0"/>
            </w:pP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MYCAW</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Personal costs data for heath economics</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D92A69" w:rsidRDefault="002F7205" w:rsidP="00C02AA7">
            <w:pPr>
              <w:spacing w:before="0" w:line="240" w:lineRule="auto"/>
              <w:ind w:left="0" w:right="0" w:hanging="113"/>
              <w:contextualSpacing w:val="0"/>
              <w:rPr>
                <w:b/>
              </w:rPr>
            </w:pPr>
            <w:r>
              <w:rPr>
                <w:b/>
              </w:rPr>
              <w:t>Process Measures</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TAQ</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lang w:val="fr-FR"/>
              </w:rPr>
            </w:pPr>
            <w:r w:rsidRPr="008F0744">
              <w:rPr>
                <w:lang w:val="fr-FR"/>
              </w:rPr>
              <w:t>PEI</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lang w:val="fr-FR"/>
              </w:rPr>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lang w:val="fr-FR"/>
              </w:rPr>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rPr>
                <w:lang w:val="fr-FR"/>
              </w:rPr>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 xml:space="preserve">Website satisfaction </w:t>
            </w:r>
            <w:r>
              <w:t>and usage</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PETS</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r>
      <w:tr w:rsidR="002F7205" w:rsidRPr="008F0744" w:rsidTr="00C02AA7">
        <w:trPr>
          <w:trHeight w:val="340"/>
        </w:trPr>
        <w:tc>
          <w:tcPr>
            <w:tcW w:w="1250" w:type="pct"/>
            <w:tcBorders>
              <w:top w:val="single" w:sz="4" w:space="0" w:color="FFFFFF" w:themeColor="background1"/>
              <w:left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Usage of other interventions during past year</w:t>
            </w:r>
          </w:p>
        </w:tc>
        <w:tc>
          <w:tcPr>
            <w:tcW w:w="1250" w:type="pct"/>
            <w:tcBorders>
              <w:top w:val="single" w:sz="4" w:space="0" w:color="FFFFFF" w:themeColor="background1"/>
              <w:left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p>
        </w:tc>
        <w:tc>
          <w:tcPr>
            <w:tcW w:w="1250" w:type="pct"/>
            <w:tcBorders>
              <w:top w:val="single" w:sz="4" w:space="0" w:color="FFFFFF" w:themeColor="background1"/>
              <w:left w:val="single" w:sz="4" w:space="0" w:color="FFFFFF" w:themeColor="background1"/>
              <w:right w:val="single" w:sz="4" w:space="0" w:color="FFFFFF" w:themeColor="background1"/>
            </w:tcBorders>
            <w:vAlign w:val="center"/>
          </w:tcPr>
          <w:p w:rsidR="002F7205" w:rsidRPr="008F0744" w:rsidRDefault="002F7205" w:rsidP="00C02AA7">
            <w:pPr>
              <w:spacing w:before="0" w:line="240" w:lineRule="auto"/>
              <w:ind w:left="0" w:right="0" w:firstLine="0"/>
              <w:contextualSpacing w:val="0"/>
            </w:pPr>
            <w:r w:rsidRPr="008F0744">
              <w:t>x</w:t>
            </w:r>
          </w:p>
        </w:tc>
      </w:tr>
      <w:tr w:rsidR="002F7205" w:rsidRPr="008F0744" w:rsidTr="00C02AA7">
        <w:trPr>
          <w:trHeight w:val="340"/>
        </w:trPr>
        <w:tc>
          <w:tcPr>
            <w:tcW w:w="5000" w:type="pct"/>
            <w:gridSpan w:val="4"/>
            <w:tcBorders>
              <w:left w:val="single" w:sz="4" w:space="0" w:color="FFFFFF" w:themeColor="background1"/>
              <w:bottom w:val="single" w:sz="4" w:space="0" w:color="auto"/>
              <w:right w:val="single" w:sz="4" w:space="0" w:color="FFFFFF" w:themeColor="background1"/>
            </w:tcBorders>
            <w:vAlign w:val="center"/>
          </w:tcPr>
          <w:p w:rsidR="002F7205" w:rsidRPr="008F0744" w:rsidRDefault="002F7205" w:rsidP="00F950F7">
            <w:pPr>
              <w:spacing w:before="0" w:line="240" w:lineRule="auto"/>
              <w:ind w:left="0" w:right="0" w:firstLine="0"/>
              <w:contextualSpacing w:val="0"/>
            </w:pPr>
            <w:r w:rsidRPr="008F0744">
              <w:t>Demographics include gender, age, marital status, years of education, ethnicity, height and weight</w:t>
            </w:r>
            <w:r>
              <w:t xml:space="preserve"> and are taken at baseline</w:t>
            </w:r>
            <w:r w:rsidRPr="008F0744">
              <w:t xml:space="preserve">; EORTC QLQ-c30,  EORTC Quality of Life </w:t>
            </w:r>
            <w:r w:rsidRPr="008F0744">
              <w:lastRenderedPageBreak/>
              <w:t xml:space="preserve">Questionnaire-c30 as primary outcome; </w:t>
            </w:r>
            <w:r w:rsidRPr="008F0744">
              <w:rPr>
                <w:noProof/>
              </w:rPr>
              <w:t xml:space="preserve">HADS, </w:t>
            </w:r>
            <w:r w:rsidRPr="008F0744">
              <w:t>Hospital Anxiety and Depression Scale; FRRS, Fear of Relapse/Recurrence Scale;</w:t>
            </w:r>
            <w:r>
              <w:t xml:space="preserve"> </w:t>
            </w:r>
            <w:r w:rsidRPr="008F0744">
              <w:t>EQ-5D-5L, Euro-</w:t>
            </w:r>
            <w:proofErr w:type="spellStart"/>
            <w:r w:rsidRPr="008F0744">
              <w:t>Qol</w:t>
            </w:r>
            <w:proofErr w:type="spellEnd"/>
            <w:r w:rsidRPr="008F0744">
              <w:rPr>
                <w:noProof/>
              </w:rPr>
              <w:t xml:space="preserve">; </w:t>
            </w:r>
            <w:r w:rsidRPr="008F0744">
              <w:t>PA, Physical activity checker;</w:t>
            </w:r>
            <w:r>
              <w:t xml:space="preserve"> </w:t>
            </w:r>
            <w:r w:rsidRPr="008F0744">
              <w:t>MYCAW, Measure Yourself Concerns and Wellbeing</w:t>
            </w:r>
            <w:r w:rsidRPr="008F0744">
              <w:rPr>
                <w:noProof/>
              </w:rPr>
              <w:t>;</w:t>
            </w:r>
            <w:r>
              <w:rPr>
                <w:noProof/>
              </w:rPr>
              <w:t xml:space="preserve"> </w:t>
            </w:r>
            <w:r w:rsidRPr="008F0744">
              <w:rPr>
                <w:noProof/>
              </w:rPr>
              <w:t xml:space="preserve">TAQ, </w:t>
            </w:r>
            <w:r w:rsidRPr="008F0744">
              <w:t>Treatment Appraisal Questionnaire</w:t>
            </w:r>
            <w:r w:rsidRPr="008F0744">
              <w:rPr>
                <w:noProof/>
              </w:rPr>
              <w:t xml:space="preserve">; PEI, </w:t>
            </w:r>
            <w:r w:rsidRPr="00BA199A">
              <w:t xml:space="preserve">Patient </w:t>
            </w:r>
            <w:r w:rsidRPr="00E74DC8">
              <w:t>Enablement</w:t>
            </w:r>
            <w:r w:rsidRPr="00BA199A">
              <w:t xml:space="preserve"> Instrument; </w:t>
            </w:r>
            <w:r w:rsidRPr="008F0744">
              <w:t xml:space="preserve">Website satisfaction measure; PETS, Problematic Experiences of Therapy Scale </w:t>
            </w:r>
          </w:p>
          <w:p w:rsidR="002F7205" w:rsidRPr="008F0744" w:rsidRDefault="002F7205" w:rsidP="00C02AA7">
            <w:pPr>
              <w:spacing w:before="0" w:line="240" w:lineRule="auto"/>
              <w:ind w:left="0" w:right="0" w:firstLine="0"/>
              <w:contextualSpacing w:val="0"/>
            </w:pPr>
          </w:p>
        </w:tc>
      </w:tr>
    </w:tbl>
    <w:p w:rsidR="002F7205" w:rsidRDefault="002F7205" w:rsidP="00C52610">
      <w:r w:rsidRPr="002C05C5">
        <w:lastRenderedPageBreak/>
        <w:t xml:space="preserve"> </w:t>
      </w:r>
      <w:r>
        <w:t xml:space="preserve">The primary outcome of QoL will be measured using the total score on the EORTC QLQ-c30 </w:t>
      </w:r>
      <w:r>
        <w:rPr>
          <w:noProof/>
        </w:rPr>
        <w:t xml:space="preserve">[35]. The EORTC has 30 items and contains five functioning subscales: physical, emotional, social, role and cognitive and eight symptom subscales: pain, fatigue, nausea and vomiting, dyspnea, sleep problems, loss of appetite, constipation and diarrhoea, financial impact and overall quality of life. Each item has a four-point response scale from “not at all” to “very much” and scores are calculated using a linear conversion to create a score from 0 to 100. It is one of the most widely used meaures for health-related QoL in cancer research [52]. </w:t>
      </w:r>
    </w:p>
    <w:p w:rsidR="002F7205" w:rsidRDefault="002F7205" w:rsidP="00C543BA">
      <w:r w:rsidRPr="009100C7">
        <w:t xml:space="preserve">The Fear of Relapse/Recurrence Scale (FRRS; </w:t>
      </w:r>
      <w:r>
        <w:rPr>
          <w:noProof/>
        </w:rPr>
        <w:t>[53]</w:t>
      </w:r>
      <w:r w:rsidRPr="009100C7">
        <w:t xml:space="preserve">) </w:t>
      </w:r>
      <w:r>
        <w:t xml:space="preserve">has been </w:t>
      </w:r>
      <w:r w:rsidRPr="009100C7">
        <w:t>modified to 3 items so that “I will probably have a relapse in the next 5 years” and “I am certain that I have been cured of cancer” are omitted as they do not apply to those on Active Surveillance</w:t>
      </w:r>
      <w:r>
        <w:t>. The</w:t>
      </w:r>
      <w:r w:rsidRPr="009100C7">
        <w:t xml:space="preserve"> Patient Enablement Instrument</w:t>
      </w:r>
      <w:r>
        <w:t xml:space="preserve"> was modified so that it asks about confidence and understanding relating to health </w:t>
      </w:r>
      <w:proofErr w:type="gramStart"/>
      <w:r>
        <w:t>as a result of</w:t>
      </w:r>
      <w:proofErr w:type="gramEnd"/>
      <w:r>
        <w:t xml:space="preserve"> using the website as opposed to receiving support from a doctor</w:t>
      </w:r>
      <w:r w:rsidRPr="009100C7">
        <w:t xml:space="preserve"> (PEI; </w:t>
      </w:r>
      <w:r w:rsidRPr="005F29DC">
        <w:rPr>
          <w:noProof/>
        </w:rPr>
        <w:t>[54, 55]</w:t>
      </w:r>
      <w:r w:rsidRPr="009100C7">
        <w:t>)</w:t>
      </w:r>
      <w:r>
        <w:t xml:space="preserve">. </w:t>
      </w:r>
      <w:r w:rsidRPr="009100C7">
        <w:t xml:space="preserve">Data regarding website and/or app usage (e.g. pages accessed, time spent on each page) will be downloaded using </w:t>
      </w:r>
      <w:proofErr w:type="spellStart"/>
      <w:r w:rsidRPr="009100C7">
        <w:t>Lifeguide</w:t>
      </w:r>
      <w:proofErr w:type="spellEnd"/>
      <w:r w:rsidRPr="009100C7">
        <w:t xml:space="preserve"> software. </w:t>
      </w:r>
      <w:r w:rsidRPr="002C05C5">
        <w:t xml:space="preserve">A </w:t>
      </w:r>
      <w:r>
        <w:t xml:space="preserve">medical record </w:t>
      </w:r>
      <w:r w:rsidRPr="002C05C5">
        <w:t xml:space="preserve">notes review will be conducted </w:t>
      </w:r>
      <w:r w:rsidRPr="009100C7">
        <w:t>after 12-month follow-up</w:t>
      </w:r>
      <w:r w:rsidRPr="002C05C5">
        <w:t xml:space="preserve"> to extract N</w:t>
      </w:r>
      <w:r>
        <w:t xml:space="preserve">ational </w:t>
      </w:r>
      <w:r w:rsidRPr="002C05C5">
        <w:t>H</w:t>
      </w:r>
      <w:r>
        <w:t xml:space="preserve">ealth </w:t>
      </w:r>
      <w:r w:rsidRPr="002C05C5">
        <w:t>S</w:t>
      </w:r>
      <w:r>
        <w:t>ervice</w:t>
      </w:r>
      <w:r w:rsidRPr="002C05C5">
        <w:t xml:space="preserve"> </w:t>
      </w:r>
      <w:r>
        <w:t xml:space="preserve">(NHS) </w:t>
      </w:r>
      <w:r w:rsidRPr="002C05C5">
        <w:t>and P</w:t>
      </w:r>
      <w:r>
        <w:t xml:space="preserve">ersonal </w:t>
      </w:r>
      <w:r w:rsidRPr="002C05C5">
        <w:t>S</w:t>
      </w:r>
      <w:r>
        <w:t>ocial</w:t>
      </w:r>
      <w:r w:rsidRPr="002C05C5">
        <w:t xml:space="preserve"> </w:t>
      </w:r>
      <w:r>
        <w:t>S</w:t>
      </w:r>
      <w:r w:rsidRPr="002C05C5">
        <w:t xml:space="preserve">ervice use. </w:t>
      </w:r>
      <w:r w:rsidRPr="009100C7">
        <w:t xml:space="preserve">This will enable collection of data pertaining to clinical status including cancer </w:t>
      </w:r>
      <w:r>
        <w:t>recurrence</w:t>
      </w:r>
      <w:r w:rsidRPr="00C543BA">
        <w:t>.</w:t>
      </w:r>
      <w:r>
        <w:t xml:space="preserve"> </w:t>
      </w:r>
      <w:r w:rsidRPr="002C05C5">
        <w:t>Online questions will be used to collect patients’ personal costs. The EQ-5D-5L</w:t>
      </w:r>
      <w:r>
        <w:t xml:space="preserve"> </w:t>
      </w:r>
      <w:r>
        <w:rPr>
          <w:noProof/>
        </w:rPr>
        <w:t>[56, 57]</w:t>
      </w:r>
      <w:r w:rsidRPr="002C05C5">
        <w:t xml:space="preserve"> </w:t>
      </w:r>
      <w:r>
        <w:t xml:space="preserve">which measures medical QoL (QALY) </w:t>
      </w:r>
      <w:r w:rsidRPr="002C05C5">
        <w:t>will be collected at baseline, 6 months and 12 months. We will apply the UK tariff to translate the EQ-5D-5L to utility scores.</w:t>
      </w:r>
    </w:p>
    <w:p w:rsidR="002F7205" w:rsidRDefault="002F7205" w:rsidP="00444397">
      <w:pPr>
        <w:rPr>
          <w:b/>
        </w:rPr>
      </w:pPr>
      <w:r w:rsidRPr="00E74DC8">
        <w:rPr>
          <w:b/>
        </w:rPr>
        <w:t>Statistical analysis</w:t>
      </w:r>
    </w:p>
    <w:p w:rsidR="002F7205" w:rsidRDefault="002F7205" w:rsidP="00444397">
      <w:r w:rsidRPr="002C05C5">
        <w:t xml:space="preserve">SPSS, Stata and Excel software will be used to evaluate outcomes. All participant data will be analysed, including those who have withdrawn, unless participant/s specifically request that their data be removed from the data set. All participants will be analysed on an intention to treat basis, i.e. as </w:t>
      </w:r>
      <w:r w:rsidRPr="002C05C5">
        <w:lastRenderedPageBreak/>
        <w:t>randomised</w:t>
      </w:r>
      <w:r>
        <w:t xml:space="preserve"> with any missing data imputed using a chained equations multiple imputation model.  Complete cases analysis will be undertaken as a sensitivity analysis.  </w:t>
      </w:r>
    </w:p>
    <w:p w:rsidR="002F7205" w:rsidRDefault="002F7205" w:rsidP="00444397">
      <w:r w:rsidRPr="002C05C5">
        <w:t xml:space="preserve">Linear regression models will be used for the analysis of continuous variables, controlling for baseline values, stratification variables, practice as a cluster variable, </w:t>
      </w:r>
      <w:proofErr w:type="gramStart"/>
      <w:r w:rsidRPr="002C05C5">
        <w:t>and also</w:t>
      </w:r>
      <w:proofErr w:type="gramEnd"/>
      <w:r w:rsidRPr="002C05C5">
        <w:t xml:space="preserve"> controlling for potential confounding variables as appropriate, both for the overall trial sample and for each clinical subgroup (breast, prostate, colon).  Results will be produced for the trial overall and within each cancer type. </w:t>
      </w:r>
      <w:r w:rsidRPr="0050275C">
        <w:t>We will undertake pre-specified subgroup analyses, including exploring possible mediators and moderators in the context of the process analysis. These analyses will be set out in full in the Statistical Analysis Plan prior to the final follow</w:t>
      </w:r>
      <w:r>
        <w:t>-</w:t>
      </w:r>
      <w:r w:rsidRPr="0050275C">
        <w:t>ups</w:t>
      </w:r>
      <w:r>
        <w:t>.</w:t>
      </w:r>
    </w:p>
    <w:p w:rsidR="002F7205" w:rsidRDefault="002F7205" w:rsidP="00444397">
      <w:r>
        <w:t xml:space="preserve">To examine how </w:t>
      </w:r>
      <w:r w:rsidRPr="00C12FAB">
        <w:t>the design and presentation of questionnaires affects response rates and response qualit</w:t>
      </w:r>
      <w:r>
        <w:t>y,</w:t>
      </w:r>
      <w:r w:rsidRPr="002C05C5">
        <w:t xml:space="preserve"> </w:t>
      </w:r>
      <w:r>
        <w:t>w</w:t>
      </w:r>
      <w:r w:rsidRPr="002C05C5">
        <w:t>e will compare the initial completion rate for the control outcome measures versus the enhanced outcome measures using a factorial design where participants will be allocated to see the normal or enhanced questionnaires</w:t>
      </w:r>
      <w:r>
        <w:t xml:space="preserve">. A ratio of </w:t>
      </w:r>
      <w:r w:rsidRPr="002C05C5">
        <w:t>1</w:t>
      </w:r>
      <w:r w:rsidRPr="00E21568">
        <w:t>:2</w:t>
      </w:r>
      <w:r>
        <w:t xml:space="preserve"> (</w:t>
      </w:r>
      <w:proofErr w:type="spellStart"/>
      <w:proofErr w:type="gramStart"/>
      <w:r>
        <w:t>normal:enhanced</w:t>
      </w:r>
      <w:proofErr w:type="spellEnd"/>
      <w:proofErr w:type="gramEnd"/>
      <w:r>
        <w:t>) will be used when allocating participants</w:t>
      </w:r>
      <w:r w:rsidRPr="00E21568">
        <w:t xml:space="preserve"> to get a feel for how the enhanced questionnaire presentation might impact upon study completion</w:t>
      </w:r>
      <w:r w:rsidRPr="007545FC">
        <w:t xml:space="preserve">, given that unenhanced questions are already presented at </w:t>
      </w:r>
      <w:r w:rsidRPr="00E21568">
        <w:t>baseline</w:t>
      </w:r>
      <w:r w:rsidRPr="007545FC">
        <w:t xml:space="preserve"> and six months</w:t>
      </w:r>
      <w:r w:rsidRPr="00E21568">
        <w:t>.</w:t>
      </w:r>
    </w:p>
    <w:p w:rsidR="002F7205" w:rsidRDefault="002F7205" w:rsidP="00D6113D">
      <w:pPr>
        <w:rPr>
          <w:i/>
        </w:rPr>
      </w:pPr>
      <w:r>
        <w:rPr>
          <w:i/>
        </w:rPr>
        <w:t xml:space="preserve">Health economics </w:t>
      </w:r>
    </w:p>
    <w:p w:rsidR="002F7205" w:rsidRDefault="002F7205">
      <w:pPr>
        <w:rPr>
          <w:b/>
        </w:rPr>
      </w:pPr>
      <w:r w:rsidRPr="002C05C5">
        <w:t>Published unit costs (P</w:t>
      </w:r>
      <w:r>
        <w:t xml:space="preserve">ersonal </w:t>
      </w:r>
      <w:r w:rsidRPr="002C05C5">
        <w:t>S</w:t>
      </w:r>
      <w:r>
        <w:t xml:space="preserve">ocial </w:t>
      </w:r>
      <w:r w:rsidRPr="002C05C5">
        <w:t>S</w:t>
      </w:r>
      <w:r>
        <w:t xml:space="preserve">ervices </w:t>
      </w:r>
      <w:r w:rsidRPr="002C05C5">
        <w:t>R</w:t>
      </w:r>
      <w:r>
        <w:t xml:space="preserve">esearch </w:t>
      </w:r>
      <w:r w:rsidRPr="002C05C5">
        <w:t>U</w:t>
      </w:r>
      <w:r>
        <w:t>nit</w:t>
      </w:r>
      <w:r w:rsidRPr="002C05C5">
        <w:t>, B</w:t>
      </w:r>
      <w:r>
        <w:t xml:space="preserve">ritish </w:t>
      </w:r>
      <w:r w:rsidRPr="002C05C5">
        <w:t>N</w:t>
      </w:r>
      <w:r>
        <w:t xml:space="preserve">ational </w:t>
      </w:r>
      <w:r w:rsidRPr="002C05C5">
        <w:t>F</w:t>
      </w:r>
      <w:r>
        <w:t>ormulary</w:t>
      </w:r>
      <w:r w:rsidRPr="002C05C5">
        <w:t xml:space="preserve"> and national reference costs) will be applied to itemised resource usage in calculating total cost per person. The health economic analysis will include cost effectiveness (£/unit of primary outcome) and cost utility (£/</w:t>
      </w:r>
      <w:r>
        <w:t xml:space="preserve">EQ-5D-5L </w:t>
      </w:r>
      <w:r w:rsidRPr="002C05C5">
        <w:t>Q</w:t>
      </w:r>
      <w:r>
        <w:t>ALY</w:t>
      </w:r>
      <w:r w:rsidRPr="002C05C5">
        <w:t xml:space="preserve">) analysis. The costs of the study will be from an NHS perspective with exploration of a quasi-social perspective including the time required by patients interacting with the intervention. </w:t>
      </w:r>
      <w:r w:rsidRPr="00C543BA">
        <w:t xml:space="preserve">The study will identify and quantify the resources required to deliver the intervention, and any impact on NHS service usage and personal costs. We will explore the potential change in NHS service use and change in the pattern of use </w:t>
      </w:r>
      <w:r>
        <w:t xml:space="preserve">of </w:t>
      </w:r>
      <w:r w:rsidRPr="00C543BA">
        <w:t xml:space="preserve">such services, such as whether the new intervention will reduce medication (e.g. depression related drugs), GP consultations and community nurse and special </w:t>
      </w:r>
      <w:r w:rsidRPr="00C543BA">
        <w:lastRenderedPageBreak/>
        <w:t>service usage. The key resource usage of the intervention covers nursing support time, software. Personal costs will be collected on time off work (both patients / carers), cost of use of internet (personal time) and costs of over counter medications. The economic analyses of both costs, quality of life (EORTC &amp; QALY), provided minimally worthwhile improvements are shown, will be summarised in terms of incremental cost effectiveness ratios and cost effectiveness acceptability</w:t>
      </w:r>
      <w:r w:rsidRPr="002C05C5">
        <w:t xml:space="preserve"> curves.</w:t>
      </w:r>
    </w:p>
    <w:p w:rsidR="002F7205" w:rsidRPr="00D6113D" w:rsidRDefault="002F7205">
      <w:pPr>
        <w:rPr>
          <w:b/>
          <w:bCs/>
          <w:iCs/>
        </w:rPr>
      </w:pPr>
      <w:r w:rsidRPr="00D6113D">
        <w:rPr>
          <w:b/>
          <w:bCs/>
          <w:iCs/>
        </w:rPr>
        <w:t>Qualitative process studies</w:t>
      </w:r>
    </w:p>
    <w:p w:rsidR="002F7205" w:rsidRDefault="002F7205" w:rsidP="00951135">
      <w:r w:rsidRPr="002C05C5">
        <w:t xml:space="preserve">There will be two qualitative </w:t>
      </w:r>
      <w:r>
        <w:t xml:space="preserve">process </w:t>
      </w:r>
      <w:r w:rsidRPr="002C05C5">
        <w:t>studies.</w:t>
      </w:r>
      <w:r>
        <w:t xml:space="preserve"> </w:t>
      </w:r>
      <w:r w:rsidRPr="002C05C5">
        <w:t xml:space="preserve">One </w:t>
      </w:r>
      <w:r>
        <w:t>will examine</w:t>
      </w:r>
      <w:r w:rsidRPr="002C05C5">
        <w:t xml:space="preserve"> </w:t>
      </w:r>
      <w:r>
        <w:t>participants’</w:t>
      </w:r>
      <w:r w:rsidRPr="002C05C5">
        <w:t xml:space="preserve"> </w:t>
      </w:r>
      <w:r>
        <w:t>experiences of using the intervention and participating in the trial</w:t>
      </w:r>
      <w:r w:rsidRPr="002C05C5">
        <w:t xml:space="preserve">. Participants will be emailed the information sheet with an invitation to take part in this additional study. Eight to </w:t>
      </w:r>
      <w:r>
        <w:t>ten</w:t>
      </w:r>
      <w:r w:rsidRPr="002C05C5">
        <w:t xml:space="preserve"> participants per cancer type (</w:t>
      </w:r>
      <w:r w:rsidRPr="002C05C5">
        <w:rPr>
          <w:i/>
        </w:rPr>
        <w:t xml:space="preserve">n </w:t>
      </w:r>
      <w:r w:rsidRPr="002C05C5">
        <w:t>= 24 - 30) will be purposively sampled until saturation (by cancer type, age and gender)</w:t>
      </w:r>
      <w:r>
        <w:t xml:space="preserve">. Participants will be invited </w:t>
      </w:r>
      <w:r w:rsidRPr="002C05C5">
        <w:t xml:space="preserve">to take part after they have taken part in the </w:t>
      </w:r>
      <w:r>
        <w:t>trial</w:t>
      </w:r>
      <w:r w:rsidRPr="002C05C5">
        <w:t xml:space="preserve"> for at least 1-2 months. </w:t>
      </w:r>
      <w:r>
        <w:t xml:space="preserve">Additional consent will be sought for these studies. </w:t>
      </w:r>
      <w:r w:rsidRPr="002C05C5">
        <w:t xml:space="preserve">Interviews (face-to-face or by phone) will consist of open-ended questions to elicit </w:t>
      </w:r>
      <w:r>
        <w:t>detailed responses</w:t>
      </w:r>
      <w:r w:rsidRPr="002C05C5">
        <w:t>. Each interview will last approximately 60 minutes. These interviews will enable the research team to further assess the acceptability and helpfulness of the intervention</w:t>
      </w:r>
      <w:r>
        <w:t xml:space="preserve"> and any barriers to engagement</w:t>
      </w:r>
      <w:r w:rsidRPr="002C05C5">
        <w:t xml:space="preserve">. Control participants will also be invited in the same way to participate in brief interviews to elicit qualitative feedback about the brief advice link they were given at baseline (the NHS </w:t>
      </w:r>
      <w:proofErr w:type="spellStart"/>
      <w:r w:rsidRPr="002C05C5">
        <w:t>LiveWell</w:t>
      </w:r>
      <w:proofErr w:type="spellEnd"/>
      <w:r w:rsidRPr="002C05C5">
        <w:t xml:space="preserve"> website) and the study.</w:t>
      </w:r>
    </w:p>
    <w:p w:rsidR="002F7205" w:rsidRDefault="002F7205">
      <w:pPr>
        <w:rPr>
          <w:b/>
        </w:rPr>
      </w:pPr>
      <w:r w:rsidRPr="002C05C5">
        <w:t xml:space="preserve">The second </w:t>
      </w:r>
      <w:r>
        <w:t>qualitative process s</w:t>
      </w:r>
      <w:r w:rsidRPr="002C05C5">
        <w:t>tudy will be conducted with</w:t>
      </w:r>
      <w:r>
        <w:t xml:space="preserve"> Supporters,</w:t>
      </w:r>
      <w:r w:rsidRPr="002C05C5">
        <w:t xml:space="preserve"> to </w:t>
      </w:r>
      <w:r>
        <w:t xml:space="preserve">explore their views of supporting patients in using Renewed online. This study will </w:t>
      </w:r>
      <w:r w:rsidRPr="002C05C5">
        <w:t xml:space="preserve">elicit </w:t>
      </w:r>
      <w:r>
        <w:t>perceptions of</w:t>
      </w:r>
      <w:r w:rsidRPr="002C05C5">
        <w:t xml:space="preserve"> the </w:t>
      </w:r>
      <w:r>
        <w:t xml:space="preserve">initial training </w:t>
      </w:r>
      <w:r w:rsidRPr="002C05C5">
        <w:t xml:space="preserve">website, </w:t>
      </w:r>
      <w:r>
        <w:t xml:space="preserve">providing support to patients and the general study procedures. </w:t>
      </w:r>
      <w:r w:rsidRPr="002C05C5">
        <w:t>After at least 1-2 months of participation, support providers, GPs and any other primary care staff significantly involved in trial procedures or intervention delivery (</w:t>
      </w:r>
      <w:r w:rsidRPr="002C05C5">
        <w:rPr>
          <w:i/>
        </w:rPr>
        <w:t xml:space="preserve">n </w:t>
      </w:r>
      <w:r w:rsidRPr="002C05C5">
        <w:t>= 20, or until saturation) will be invited to take part in this additional study. Focus groups, interviews or phone interviews will be held, depending on availability or else electronic</w:t>
      </w:r>
      <w:r>
        <w:t xml:space="preserve"> (written)</w:t>
      </w:r>
      <w:r w:rsidRPr="002C05C5">
        <w:t xml:space="preserve"> feedback will be requested.</w:t>
      </w:r>
    </w:p>
    <w:p w:rsidR="002F7205" w:rsidRDefault="002F7205" w:rsidP="00D6113D">
      <w:r>
        <w:lastRenderedPageBreak/>
        <w:t>In both process studies i</w:t>
      </w:r>
      <w:r w:rsidRPr="002C05C5">
        <w:t xml:space="preserve">nterviews will be recorded and fully transcribed. </w:t>
      </w:r>
      <w:r>
        <w:t>T</w:t>
      </w:r>
      <w:r w:rsidRPr="002C05C5">
        <w:t>ranscriptions will be anonymised. To ensure that we remain open to</w:t>
      </w:r>
      <w:r>
        <w:t>,</w:t>
      </w:r>
      <w:r w:rsidRPr="002C05C5">
        <w:t xml:space="preserve"> and grounded in</w:t>
      </w:r>
      <w:r>
        <w:t>,</w:t>
      </w:r>
      <w:r w:rsidRPr="002C05C5">
        <w:t xml:space="preserve"> </w:t>
      </w:r>
      <w:r>
        <w:t>interviewee</w:t>
      </w:r>
      <w:r w:rsidRPr="002C05C5">
        <w:t xml:space="preserve"> perspectives we will carry out inductive thematic analysis of all textual data </w:t>
      </w:r>
      <w:r>
        <w:rPr>
          <w:noProof/>
        </w:rPr>
        <w:t>[58]</w:t>
      </w:r>
      <w:r w:rsidRPr="002C05C5">
        <w:t xml:space="preserve">, triangulated where appropriate with other trial data (e.g. web usage), and with discussion among team members (including our PPI representatives) to elaborate our interpretations </w:t>
      </w:r>
      <w:r>
        <w:rPr>
          <w:noProof/>
        </w:rPr>
        <w:t>[58]</w:t>
      </w:r>
      <w:r w:rsidRPr="002C05C5">
        <w:t>.</w:t>
      </w:r>
    </w:p>
    <w:p w:rsidR="002F7205" w:rsidRDefault="002F7205">
      <w:pPr>
        <w:rPr>
          <w:b/>
        </w:rPr>
      </w:pPr>
      <w:r w:rsidRPr="00E74DC8">
        <w:rPr>
          <w:b/>
        </w:rPr>
        <w:t>Handling of adverse events</w:t>
      </w:r>
    </w:p>
    <w:p w:rsidR="002F7205" w:rsidRDefault="002F7205" w:rsidP="00D6113D">
      <w:r>
        <w:t xml:space="preserve">It is very unlikely that there will be any adverse events during </w:t>
      </w:r>
      <w:r w:rsidRPr="00210D4D">
        <w:t>screening</w:t>
      </w:r>
      <w:r>
        <w:t xml:space="preserve"> and questionnaire completion</w:t>
      </w:r>
      <w:r w:rsidRPr="00210D4D">
        <w:t>, given that screening online consists of answering questions, however, participants are repeatedly told that the</w:t>
      </w:r>
      <w:r>
        <w:t>y can contact the research team who can signpost them to other support services as appropriate.</w:t>
      </w:r>
      <w:r w:rsidRPr="00210D4D">
        <w:t xml:space="preserve"> </w:t>
      </w:r>
      <w:r>
        <w:t>Participants have</w:t>
      </w:r>
      <w:r w:rsidRPr="002C05C5">
        <w:t xml:space="preserve"> the right to withdraw from the study at any time. If a participant withdraws having completed questionnaires, their data will be retained to evaluate potential differences and reasons for attrition</w:t>
      </w:r>
      <w:r>
        <w:t xml:space="preserve">, unless they ask us not to use their data. </w:t>
      </w:r>
      <w:r w:rsidRPr="00210D4D">
        <w:t>Should a participant be ineligible for the study for any reason, they are presented with a page of alternative support services.</w:t>
      </w:r>
      <w:r>
        <w:t xml:space="preserve"> </w:t>
      </w:r>
    </w:p>
    <w:p w:rsidR="002F7205" w:rsidRDefault="002F7205" w:rsidP="007545FC">
      <w:pPr>
        <w:spacing w:after="240"/>
      </w:pPr>
      <w:r w:rsidRPr="002C05C5">
        <w:t>An</w:t>
      </w:r>
      <w:r>
        <w:t>y</w:t>
      </w:r>
      <w:r w:rsidRPr="002C05C5">
        <w:t xml:space="preserve"> S</w:t>
      </w:r>
      <w:r>
        <w:t xml:space="preserve">erious </w:t>
      </w:r>
      <w:r w:rsidRPr="002C05C5">
        <w:t>A</w:t>
      </w:r>
      <w:r>
        <w:t xml:space="preserve">dverse </w:t>
      </w:r>
      <w:r w:rsidRPr="002C05C5">
        <w:t>E</w:t>
      </w:r>
      <w:r>
        <w:t>vent (SAE)</w:t>
      </w:r>
      <w:r w:rsidRPr="002C05C5">
        <w:t xml:space="preserve"> occurring to a research participant will be reported to the </w:t>
      </w:r>
      <w:r>
        <w:t xml:space="preserve">Ethics </w:t>
      </w:r>
      <w:r w:rsidRPr="002C05C5">
        <w:t xml:space="preserve">Committee where, in the opinion of the Chief Investigator, the event was related to administration of any of the research </w:t>
      </w:r>
      <w:proofErr w:type="gramStart"/>
      <w:r w:rsidRPr="002C05C5">
        <w:t>procedures, and</w:t>
      </w:r>
      <w:proofErr w:type="gramEnd"/>
      <w:r w:rsidRPr="002C05C5">
        <w:t xml:space="preserve"> was an unexpected occurrence. </w:t>
      </w:r>
      <w:r w:rsidRPr="003031F5">
        <w:t xml:space="preserve">Non-serious AEs will not be collected. Pre-planned hospitalisation e.g. for pre-existing conditions which have not worsened or elective procedures for a pre-existing condition will not </w:t>
      </w:r>
      <w:r>
        <w:t xml:space="preserve">be classed as an SAE. </w:t>
      </w:r>
      <w:r w:rsidRPr="002C05C5">
        <w:t xml:space="preserve">GP </w:t>
      </w:r>
      <w:r>
        <w:t>surgeries</w:t>
      </w:r>
      <w:r w:rsidRPr="002C05C5">
        <w:t xml:space="preserve"> will inform the research team and/or the C</w:t>
      </w:r>
      <w:r>
        <w:t xml:space="preserve">linical </w:t>
      </w:r>
      <w:r w:rsidRPr="002C05C5">
        <w:t>T</w:t>
      </w:r>
      <w:r>
        <w:t xml:space="preserve">rials </w:t>
      </w:r>
      <w:r w:rsidRPr="002C05C5">
        <w:t>U</w:t>
      </w:r>
      <w:r>
        <w:t>nit</w:t>
      </w:r>
      <w:r w:rsidRPr="002C05C5">
        <w:t xml:space="preserve"> of any SAEs within 24 hours of becoming aware of the event occurring. GP </w:t>
      </w:r>
      <w:r>
        <w:t xml:space="preserve">surgeries </w:t>
      </w:r>
      <w:r w:rsidRPr="002C05C5">
        <w:t>will be provided with an SOP and a form for SAE reporting. Reports of SAEs will be provided to the Committee within 15 days of the Chief Investigator becoming aware of the event. All SAEs will also be sent to the T</w:t>
      </w:r>
      <w:r>
        <w:t xml:space="preserve">rial </w:t>
      </w:r>
      <w:r w:rsidRPr="002C05C5">
        <w:t>S</w:t>
      </w:r>
      <w:r>
        <w:t xml:space="preserve">teering </w:t>
      </w:r>
      <w:r w:rsidRPr="002C05C5">
        <w:t>C</w:t>
      </w:r>
      <w:r>
        <w:t>ommittee</w:t>
      </w:r>
      <w:r w:rsidRPr="002C05C5">
        <w:t>.</w:t>
      </w:r>
    </w:p>
    <w:p w:rsidR="002F7205" w:rsidRPr="00C543BA" w:rsidRDefault="002F7205" w:rsidP="007545FC">
      <w:pPr>
        <w:spacing w:after="240"/>
        <w:rPr>
          <w:b/>
          <w:bCs/>
        </w:rPr>
      </w:pPr>
      <w:r>
        <w:rPr>
          <w:b/>
          <w:bCs/>
        </w:rPr>
        <w:t xml:space="preserve">Ethics and dissemination </w:t>
      </w:r>
    </w:p>
    <w:p w:rsidR="002F7205" w:rsidRDefault="002F7205" w:rsidP="00F636DE">
      <w:pPr>
        <w:rPr>
          <w:i/>
          <w:iCs/>
        </w:rPr>
      </w:pPr>
      <w:r>
        <w:rPr>
          <w:i/>
          <w:iCs/>
        </w:rPr>
        <w:t>Ethics</w:t>
      </w:r>
    </w:p>
    <w:p w:rsidR="002F7205" w:rsidRPr="00D6113D" w:rsidRDefault="002F7205" w:rsidP="00D6113D">
      <w:pPr>
        <w:rPr>
          <w:i/>
          <w:iCs/>
        </w:rPr>
      </w:pPr>
      <w:r w:rsidRPr="00F83E36">
        <w:rPr>
          <w:rFonts w:ascii="interfaceregular" w:hAnsi="interfaceregular" w:cs="Arial" w:hint="eastAsia"/>
          <w:color w:val="auto"/>
          <w:lang w:val="en"/>
        </w:rPr>
        <w:lastRenderedPageBreak/>
        <w:t xml:space="preserve">Ethical approval for the Renewed study has been obtained from the </w:t>
      </w:r>
      <w:r w:rsidRPr="00F83E36">
        <w:rPr>
          <w:color w:val="auto"/>
        </w:rPr>
        <w:t>NHS Research Ethics Committee via the Int</w:t>
      </w:r>
      <w:r>
        <w:t xml:space="preserve">egrated Research Application System, </w:t>
      </w:r>
      <w:r w:rsidRPr="002C05C5">
        <w:rPr>
          <w:rFonts w:cstheme="minorHAnsi"/>
        </w:rPr>
        <w:t xml:space="preserve">ID </w:t>
      </w:r>
      <w:r>
        <w:rPr>
          <w:rFonts w:cstheme="minorHAnsi"/>
        </w:rPr>
        <w:t>238636,</w:t>
      </w:r>
      <w:r w:rsidRPr="00125767">
        <w:t xml:space="preserve"> </w:t>
      </w:r>
      <w:r w:rsidRPr="002C05C5">
        <w:t xml:space="preserve">N/RES Reference </w:t>
      </w:r>
      <w:r>
        <w:rPr>
          <w:rFonts w:cstheme="minorHAnsi"/>
        </w:rPr>
        <w:t>18/NW/0013</w:t>
      </w:r>
      <w:r>
        <w:rPr>
          <w:rFonts w:ascii="interfaceregular" w:hAnsi="interfaceregular" w:cs="Arial"/>
          <w:color w:val="333333"/>
          <w:sz w:val="23"/>
          <w:szCs w:val="23"/>
          <w:lang w:val="en"/>
        </w:rPr>
        <w:t>. R&amp;D approvals have been obtained from all relevant Clinical Research Networks.</w:t>
      </w:r>
    </w:p>
    <w:p w:rsidR="002F7205" w:rsidRPr="00FF2A39" w:rsidRDefault="002F7205">
      <w:pPr>
        <w:rPr>
          <w:bCs/>
          <w:i/>
          <w:iCs/>
        </w:rPr>
      </w:pPr>
      <w:bookmarkStart w:id="21" w:name="_Toc433713903"/>
      <w:r w:rsidRPr="00FF2A39">
        <w:rPr>
          <w:bCs/>
          <w:i/>
          <w:iCs/>
        </w:rPr>
        <w:t>Dissemination</w:t>
      </w:r>
    </w:p>
    <w:p w:rsidR="002F7205" w:rsidRDefault="002F7205">
      <w:r w:rsidRPr="002C05C5">
        <w:t xml:space="preserve">The results of this trial will be published in peer-reviewed journals and through conference presentations. Press releases will be utilised to disseminate the findings to the </w:t>
      </w:r>
      <w:proofErr w:type="gramStart"/>
      <w:r w:rsidRPr="002C05C5">
        <w:t>general public</w:t>
      </w:r>
      <w:proofErr w:type="gramEnd"/>
      <w:r w:rsidRPr="002C05C5">
        <w:t xml:space="preserve"> and the findings will also be sent to the GP </w:t>
      </w:r>
      <w:r>
        <w:t>surgeries</w:t>
      </w:r>
      <w:r w:rsidRPr="002C05C5">
        <w:t xml:space="preserve"> who participate and to those participants who request them. </w:t>
      </w:r>
      <w:r>
        <w:t xml:space="preserve">Social media networks connected to the research group (e.g. Twitter) will be used to disseminate published research. If proven effective, </w:t>
      </w:r>
      <w:proofErr w:type="gramStart"/>
      <w:r>
        <w:t>Renewed</w:t>
      </w:r>
      <w:proofErr w:type="gramEnd"/>
      <w:r>
        <w:t xml:space="preserve"> will be developed with service providers and charities to explore mechanisms through which it can be made available to patients. </w:t>
      </w:r>
    </w:p>
    <w:p w:rsidR="002F7205" w:rsidRDefault="002F7205">
      <w:r>
        <w:br w:type="page"/>
      </w:r>
    </w:p>
    <w:p w:rsidR="002F7205" w:rsidRPr="00D4189A" w:rsidRDefault="002F7205" w:rsidP="00C7660E">
      <w:r w:rsidRPr="002C05C5">
        <w:rPr>
          <w:b/>
        </w:rPr>
        <w:lastRenderedPageBreak/>
        <w:t>Acknowledgements</w:t>
      </w:r>
      <w:r w:rsidRPr="002C05C5">
        <w:t xml:space="preserve"> The trial team would like to thank </w:t>
      </w:r>
      <w:r>
        <w:t>Julie Hooper, Megan Liddiard and Karen Middleton for their assistance with the recruitment of GP surgeries. Eat for Health was largely developed by Tara Cheetham</w:t>
      </w:r>
      <w:r w:rsidR="00732B88">
        <w:t>-Blake</w:t>
      </w:r>
      <w:r>
        <w:t xml:space="preserve"> in collaboration with Joanna Slodkowska-Barabasz, also of the University of Southampton. We would also like to thank Kirsten Smith, Mary Steele and </w:t>
      </w:r>
      <w:proofErr w:type="spellStart"/>
      <w:r>
        <w:t>Jin</w:t>
      </w:r>
      <w:proofErr w:type="spellEnd"/>
      <w:r>
        <w:t xml:space="preserve"> Zhang of the University of Southampton for their work on programming Renewed Online. </w:t>
      </w:r>
      <w:r w:rsidR="00732B88">
        <w:t>We would like to thank all of our PPIs who helped in discussions surrounding study procedures and helped us to develop our intervention on the project: Tamsin Burford, Geoff Sharman, Kevin Summers, Roger Bacon and other members of the PPI team who wish to remain anonymous.</w:t>
      </w:r>
    </w:p>
    <w:p w:rsidR="002F7205" w:rsidRDefault="002F7205">
      <w:r w:rsidRPr="002C05C5">
        <w:rPr>
          <w:b/>
        </w:rPr>
        <w:t>Contributors</w:t>
      </w:r>
      <w:r w:rsidRPr="002C05C5">
        <w:t xml:space="preserve"> </w:t>
      </w:r>
      <w:r>
        <w:t>AK</w:t>
      </w:r>
      <w:r w:rsidRPr="002C05C5">
        <w:t xml:space="preserve"> drafted the manuscript with input from all authors.</w:t>
      </w:r>
      <w:r>
        <w:t xml:space="preserve"> </w:t>
      </w:r>
      <w:r w:rsidRPr="002C05C5">
        <w:t>LY and PL designed the study and secured funding. LY</w:t>
      </w:r>
      <w:r>
        <w:t xml:space="preserve"> and KB lead the overall development of Renewed online. LY, AK, KB, JB, and </w:t>
      </w:r>
      <w:proofErr w:type="spellStart"/>
      <w:r>
        <w:t>TeC</w:t>
      </w:r>
      <w:proofErr w:type="spellEnd"/>
      <w:r>
        <w:t xml:space="preserve"> developed procedures for study design</w:t>
      </w:r>
      <w:r w:rsidR="00732B88">
        <w:t xml:space="preserve"> with help from LW</w:t>
      </w:r>
      <w:r>
        <w:t xml:space="preserve">. LY and KB oversaw the development of </w:t>
      </w:r>
      <w:proofErr w:type="gramStart"/>
      <w:r>
        <w:t>all of</w:t>
      </w:r>
      <w:proofErr w:type="gramEnd"/>
      <w:r>
        <w:t xml:space="preserve"> the intervention and had final approval of all content. AK and AG developed resources for Healthy Paths. AM, KS and </w:t>
      </w:r>
      <w:proofErr w:type="spellStart"/>
      <w:r>
        <w:t>TeC</w:t>
      </w:r>
      <w:proofErr w:type="spellEnd"/>
      <w:r>
        <w:t xml:space="preserve"> developed resources for Getting Active. </w:t>
      </w:r>
      <w:proofErr w:type="spellStart"/>
      <w:r>
        <w:t>TaC</w:t>
      </w:r>
      <w:proofErr w:type="spellEnd"/>
      <w:r>
        <w:t xml:space="preserve"> developed additional content for men on Active Surveillance. All co-authors and PPI reps </w:t>
      </w:r>
      <w:r w:rsidR="005B687D">
        <w:t xml:space="preserve">(RB, GL, GS, KS) </w:t>
      </w:r>
      <w:r>
        <w:t xml:space="preserve">also provided input into the development of Renewed. </w:t>
      </w:r>
      <w:r w:rsidRPr="002C05C5">
        <w:t xml:space="preserve">BS wrote the statistical analysis plan. </w:t>
      </w:r>
      <w:r>
        <w:t>GLY</w:t>
      </w:r>
      <w:r w:rsidRPr="002C05C5">
        <w:t xml:space="preserve"> wrote the plan for the health</w:t>
      </w:r>
      <w:r>
        <w:t xml:space="preserve"> </w:t>
      </w:r>
      <w:r w:rsidRPr="002C05C5">
        <w:t xml:space="preserve">economic analysis. </w:t>
      </w:r>
      <w:r w:rsidR="00732B88">
        <w:t>DB, DE, CF, R</w:t>
      </w:r>
      <w:bookmarkStart w:id="22" w:name="_GoBack"/>
      <w:bookmarkEnd w:id="22"/>
      <w:r w:rsidR="00732B88">
        <w:t xml:space="preserve">DN, RO, SR, AR, EW and CW contributed to the study design as part of the management team and contributed to the final version of the manuscript. </w:t>
      </w:r>
      <w:r w:rsidRPr="002C05C5">
        <w:t>All authors approved the final manuscript. A</w:t>
      </w:r>
      <w:r>
        <w:t>K</w:t>
      </w:r>
      <w:r w:rsidRPr="002C05C5">
        <w:t xml:space="preserve"> is the guarantor.</w:t>
      </w:r>
      <w:r w:rsidRPr="00255DED">
        <w:t xml:space="preserve"> </w:t>
      </w:r>
    </w:p>
    <w:p w:rsidR="002F7205" w:rsidRDefault="002F7205">
      <w:pPr>
        <w:rPr>
          <w:rFonts w:eastAsia="SimSun"/>
        </w:rPr>
      </w:pPr>
      <w:r w:rsidRPr="002C05C5">
        <w:rPr>
          <w:b/>
        </w:rPr>
        <w:t>Funding</w:t>
      </w:r>
      <w:r w:rsidRPr="002C05C5">
        <w:t xml:space="preserve"> </w:t>
      </w:r>
      <w:r w:rsidRPr="002455C4">
        <w:t>This protocol presents independent research funded by the National Institute for Health Research (NIHR) under its Programme Grants for Applied Research Programme (Reference Number RP-PG-0514-20001). The views expressed are those of the author(s) and not necessarily those of the NHS, the NIHR or the Department of Health.</w:t>
      </w:r>
    </w:p>
    <w:p w:rsidR="002F7205" w:rsidRDefault="002F7205">
      <w:r w:rsidRPr="007545FC">
        <w:rPr>
          <w:b/>
        </w:rPr>
        <w:t>Competing interests</w:t>
      </w:r>
      <w:r w:rsidRPr="002C05C5">
        <w:t xml:space="preserve"> None declared. </w:t>
      </w:r>
    </w:p>
    <w:p w:rsidR="002F7205" w:rsidRDefault="002F7205">
      <w:r w:rsidRPr="002C05C5">
        <w:rPr>
          <w:b/>
        </w:rPr>
        <w:lastRenderedPageBreak/>
        <w:t>Ethics approval</w:t>
      </w:r>
      <w:r w:rsidRPr="002C05C5">
        <w:t xml:space="preserve"> This trial was approved in </w:t>
      </w:r>
      <w:r>
        <w:t>March 2017</w:t>
      </w:r>
      <w:r w:rsidRPr="002C05C5">
        <w:t xml:space="preserve"> by </w:t>
      </w:r>
      <w:r>
        <w:t xml:space="preserve">Ethics and Research Governance in Southampton, ID 25160 and has been approved by the NHS Research Ethics Committee via the Integrated Research Application System, </w:t>
      </w:r>
      <w:r w:rsidRPr="002C05C5">
        <w:rPr>
          <w:rFonts w:cstheme="minorHAnsi"/>
        </w:rPr>
        <w:t xml:space="preserve">ID </w:t>
      </w:r>
      <w:r>
        <w:rPr>
          <w:rFonts w:cstheme="minorHAnsi"/>
        </w:rPr>
        <w:t>238636,</w:t>
      </w:r>
      <w:r w:rsidRPr="00125767">
        <w:t xml:space="preserve"> </w:t>
      </w:r>
      <w:r w:rsidRPr="002C05C5">
        <w:t xml:space="preserve">N/RES Reference </w:t>
      </w:r>
      <w:r>
        <w:rPr>
          <w:rFonts w:cstheme="minorHAnsi"/>
        </w:rPr>
        <w:t>18/NW/0013.</w:t>
      </w:r>
    </w:p>
    <w:p w:rsidR="002F7205" w:rsidRDefault="002F7205">
      <w:r w:rsidRPr="002C05C5">
        <w:rPr>
          <w:b/>
        </w:rPr>
        <w:t>Provenance and peer review</w:t>
      </w:r>
      <w:r w:rsidRPr="002C05C5">
        <w:t xml:space="preserve"> Not commissioned; externally peer reviewed. </w:t>
      </w:r>
    </w:p>
    <w:p w:rsidR="002F7205" w:rsidRDefault="002F7205">
      <w:r w:rsidRPr="002C05C5">
        <w:rPr>
          <w:b/>
        </w:rPr>
        <w:t>Data sharing statement</w:t>
      </w:r>
      <w:r w:rsidRPr="002C05C5">
        <w:t xml:space="preserve"> </w:t>
      </w:r>
      <w:r>
        <w:t>Data collection will begin with the trial and will be made available upon completion.</w:t>
      </w:r>
    </w:p>
    <w:p w:rsidR="002F7205" w:rsidRPr="00D4189A" w:rsidRDefault="002F7205" w:rsidP="008F0744">
      <w:pPr>
        <w:pStyle w:val="Heading2"/>
        <w:sectPr w:rsidR="002F7205" w:rsidRPr="00D4189A" w:rsidSect="00721201">
          <w:headerReference w:type="default"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2C05C5">
        <w:t xml:space="preserve">Open Access </w:t>
      </w:r>
      <w:r w:rsidRPr="00E74DC8">
        <w:rPr>
          <w:b w:val="0"/>
        </w:rPr>
        <w:t xml:space="preserve">This is an Open Access article distributed in accordance with the Creative Commons Attribution </w:t>
      </w:r>
      <w:proofErr w:type="gramStart"/>
      <w:r w:rsidRPr="00E74DC8">
        <w:rPr>
          <w:b w:val="0"/>
        </w:rPr>
        <w:t>Non Commercial</w:t>
      </w:r>
      <w:proofErr w:type="gramEnd"/>
      <w:r w:rsidRPr="00E74DC8">
        <w:rPr>
          <w:b w:val="0"/>
        </w:rPr>
        <w:t xml:space="preserve"> (CC BY-NC 4.0) license, which permits others to distribute, remix, adapt, build upon this work non-commercially, and license their derivative works on different terms, provided the original work is properly cited and the use is non-commercial. See: http:// creativecommons.org/licenses/by-</w:t>
      </w:r>
      <w:proofErr w:type="spellStart"/>
      <w:r w:rsidRPr="00E74DC8">
        <w:rPr>
          <w:b w:val="0"/>
        </w:rPr>
        <w:t>nc</w:t>
      </w:r>
      <w:proofErr w:type="spellEnd"/>
      <w:r w:rsidRPr="00E74DC8">
        <w:rPr>
          <w:b w:val="0"/>
        </w:rPr>
        <w:t>/4.0/</w:t>
      </w:r>
      <w:bookmarkEnd w:id="21"/>
    </w:p>
    <w:p w:rsidR="002F7205" w:rsidRDefault="002F7205">
      <w:pPr>
        <w:pStyle w:val="Heading1"/>
      </w:pPr>
      <w:r w:rsidRPr="002C05C5">
        <w:lastRenderedPageBreak/>
        <w:t>References</w:t>
      </w:r>
    </w:p>
    <w:p w:rsidR="002F7205" w:rsidRPr="00241C0F" w:rsidRDefault="002F7205" w:rsidP="002F7205">
      <w:pPr>
        <w:pStyle w:val="EndNoteBibliography"/>
        <w:spacing w:line="480" w:lineRule="auto"/>
        <w:ind w:left="720" w:hanging="720"/>
      </w:pPr>
      <w:bookmarkStart w:id="23" w:name="_ENREF_1"/>
      <w:r w:rsidRPr="00241C0F">
        <w:t>1.</w:t>
      </w:r>
      <w:r w:rsidRPr="00241C0F">
        <w:tab/>
        <w:t xml:space="preserve">Foster, C., et al., </w:t>
      </w:r>
      <w:r w:rsidRPr="00241C0F">
        <w:rPr>
          <w:i/>
        </w:rPr>
        <w:t>Psychosocial implications of living 5 years or more following a cancer diagnosis: a systematic review of the research evidence.</w:t>
      </w:r>
      <w:r w:rsidRPr="00241C0F">
        <w:t xml:space="preserve"> European journal of cancer care, 2009. </w:t>
      </w:r>
      <w:r w:rsidRPr="00241C0F">
        <w:rPr>
          <w:b/>
        </w:rPr>
        <w:t>18</w:t>
      </w:r>
      <w:r w:rsidRPr="00241C0F">
        <w:t>(3): p. 223-247.</w:t>
      </w:r>
    </w:p>
    <w:p w:rsidR="002F7205" w:rsidRPr="00241C0F" w:rsidRDefault="002F7205" w:rsidP="002F7205">
      <w:pPr>
        <w:pStyle w:val="EndNoteBibliography"/>
        <w:spacing w:line="480" w:lineRule="auto"/>
        <w:ind w:left="720" w:hanging="720"/>
      </w:pPr>
      <w:r w:rsidRPr="00241C0F">
        <w:t>2.</w:t>
      </w:r>
      <w:r w:rsidRPr="00241C0F">
        <w:tab/>
        <w:t xml:space="preserve">Elliott, J., et al., </w:t>
      </w:r>
      <w:r w:rsidRPr="00241C0F">
        <w:rPr>
          <w:i/>
        </w:rPr>
        <w:t>The health and well-being of cancer survivors in the UK: findings from a population-based survey.</w:t>
      </w:r>
      <w:r w:rsidRPr="00241C0F">
        <w:t xml:space="preserve"> British journal of cancer, 2011. </w:t>
      </w:r>
      <w:r w:rsidRPr="00241C0F">
        <w:rPr>
          <w:b/>
        </w:rPr>
        <w:t>105</w:t>
      </w:r>
      <w:r w:rsidRPr="00241C0F">
        <w:t>: p. S11-S20.</w:t>
      </w:r>
    </w:p>
    <w:p w:rsidR="002F7205" w:rsidRPr="00241C0F" w:rsidRDefault="002F7205" w:rsidP="002F7205">
      <w:pPr>
        <w:pStyle w:val="EndNoteBibliography"/>
        <w:spacing w:line="480" w:lineRule="auto"/>
        <w:ind w:left="720" w:hanging="720"/>
      </w:pPr>
      <w:r w:rsidRPr="00241C0F">
        <w:t>3.</w:t>
      </w:r>
      <w:r w:rsidRPr="00241C0F">
        <w:tab/>
        <w:t xml:space="preserve">Richards, M. </w:t>
      </w:r>
      <w:r w:rsidRPr="00241C0F">
        <w:rPr>
          <w:i/>
        </w:rPr>
        <w:t xml:space="preserve">Quality of life of cancer survivors in England: Report on a pilot survey using Patient Reported Outcome Measures (PROMS). </w:t>
      </w:r>
      <w:r w:rsidRPr="00241C0F">
        <w:t>. 2012.</w:t>
      </w:r>
    </w:p>
    <w:p w:rsidR="002F7205" w:rsidRPr="00241C0F" w:rsidRDefault="002F7205" w:rsidP="002F7205">
      <w:pPr>
        <w:pStyle w:val="EndNoteBibliography"/>
        <w:spacing w:line="480" w:lineRule="auto"/>
        <w:ind w:left="720" w:hanging="720"/>
      </w:pPr>
      <w:r w:rsidRPr="00241C0F">
        <w:t>4.</w:t>
      </w:r>
      <w:r w:rsidRPr="00241C0F">
        <w:tab/>
        <w:t xml:space="preserve">Foster, C., et al., </w:t>
      </w:r>
      <w:r w:rsidRPr="00241C0F">
        <w:rPr>
          <w:i/>
        </w:rPr>
        <w:t>Improving the lives of people living with and beyond cancer: Generating the evidence needed to inform policy and practice.</w:t>
      </w:r>
      <w:r w:rsidRPr="00241C0F">
        <w:t xml:space="preserve"> Journal of Cancer Policy, 2018. </w:t>
      </w:r>
      <w:r w:rsidRPr="00241C0F">
        <w:rPr>
          <w:b/>
        </w:rPr>
        <w:t>15</w:t>
      </w:r>
      <w:r w:rsidRPr="00241C0F">
        <w:t>: p. 92-95.</w:t>
      </w:r>
    </w:p>
    <w:p w:rsidR="002F7205" w:rsidRPr="00241C0F" w:rsidRDefault="002F7205" w:rsidP="002F7205">
      <w:pPr>
        <w:pStyle w:val="EndNoteBibliography"/>
        <w:spacing w:line="480" w:lineRule="auto"/>
        <w:ind w:left="720" w:hanging="720"/>
      </w:pPr>
      <w:r w:rsidRPr="00241C0F">
        <w:t>5.</w:t>
      </w:r>
      <w:r w:rsidRPr="00241C0F">
        <w:tab/>
        <w:t xml:space="preserve">Armes, J., et al., </w:t>
      </w:r>
      <w:r w:rsidRPr="00241C0F">
        <w:rPr>
          <w:i/>
        </w:rPr>
        <w:t>Patients' supportive care needs beyond the end of cancer treatment: a prospective, longitudinal survey.</w:t>
      </w:r>
      <w:r w:rsidRPr="00241C0F">
        <w:t xml:space="preserve"> Journal of Clinical Oncology, 2009. </w:t>
      </w:r>
      <w:r w:rsidRPr="00241C0F">
        <w:rPr>
          <w:b/>
        </w:rPr>
        <w:t>27</w:t>
      </w:r>
      <w:r w:rsidRPr="00241C0F">
        <w:t>(36): p. 6172-6179.</w:t>
      </w:r>
    </w:p>
    <w:p w:rsidR="002F7205" w:rsidRPr="00241C0F" w:rsidRDefault="002F7205" w:rsidP="002F7205">
      <w:pPr>
        <w:pStyle w:val="EndNoteBibliography"/>
        <w:spacing w:line="480" w:lineRule="auto"/>
        <w:ind w:left="720" w:hanging="720"/>
      </w:pPr>
      <w:r w:rsidRPr="00241C0F">
        <w:t>6.</w:t>
      </w:r>
      <w:r w:rsidRPr="00241C0F">
        <w:tab/>
        <w:t xml:space="preserve">Morton, L.M., et al. </w:t>
      </w:r>
      <w:r w:rsidRPr="00241C0F">
        <w:rPr>
          <w:i/>
        </w:rPr>
        <w:t>The rising incidence of second cancers: patterns of occurrence and identification of risk factors for children and adults</w:t>
      </w:r>
      <w:r w:rsidRPr="00241C0F">
        <w:t xml:space="preserve">. in </w:t>
      </w:r>
      <w:r w:rsidRPr="00241C0F">
        <w:rPr>
          <w:i/>
        </w:rPr>
        <w:t>American Society of Clinical Oncology educational book. American Society of Clinical Oncology. Meeting</w:t>
      </w:r>
      <w:r w:rsidRPr="00241C0F">
        <w:t>. 2014.</w:t>
      </w:r>
    </w:p>
    <w:p w:rsidR="002F7205" w:rsidRPr="00241C0F" w:rsidRDefault="002F7205" w:rsidP="002F7205">
      <w:pPr>
        <w:pStyle w:val="EndNoteBibliography"/>
        <w:spacing w:line="480" w:lineRule="auto"/>
        <w:ind w:left="720" w:hanging="720"/>
      </w:pPr>
      <w:r w:rsidRPr="00241C0F">
        <w:t>7.</w:t>
      </w:r>
      <w:r w:rsidRPr="00241C0F">
        <w:tab/>
        <w:t xml:space="preserve">Coleman, M., et al., </w:t>
      </w:r>
      <w:r w:rsidRPr="00241C0F">
        <w:rPr>
          <w:i/>
        </w:rPr>
        <w:t>Cancer survival in Australia, Canada, Denmark, Norway, Sweden, and the UK, 1995–2007 (the International Cancer Benchmarking Partnership): an analysis of population-based cancer registry data.</w:t>
      </w:r>
      <w:r w:rsidRPr="00241C0F">
        <w:t xml:space="preserve"> The Lancet, 2011. </w:t>
      </w:r>
      <w:r w:rsidRPr="00241C0F">
        <w:rPr>
          <w:b/>
        </w:rPr>
        <w:t>377</w:t>
      </w:r>
      <w:r w:rsidRPr="00241C0F">
        <w:t>(9760): p. 127-138.</w:t>
      </w:r>
    </w:p>
    <w:p w:rsidR="002F7205" w:rsidRPr="00241C0F" w:rsidRDefault="002F7205" w:rsidP="002F7205">
      <w:pPr>
        <w:pStyle w:val="EndNoteBibliography"/>
        <w:spacing w:line="480" w:lineRule="auto"/>
        <w:ind w:left="720" w:hanging="720"/>
      </w:pPr>
      <w:r w:rsidRPr="00241C0F">
        <w:t>8.</w:t>
      </w:r>
      <w:r w:rsidRPr="00241C0F">
        <w:tab/>
        <w:t xml:space="preserve">Schwedhelm, C., et al., </w:t>
      </w:r>
      <w:r w:rsidRPr="00241C0F">
        <w:rPr>
          <w:i/>
        </w:rPr>
        <w:t>Effect of diet on mortality and cancer recurrence among cancer survivors: a systematic review and meta-analysis of cohort studies.</w:t>
      </w:r>
      <w:r w:rsidRPr="00241C0F">
        <w:t xml:space="preserve"> Nutrition reviews, 2016. </w:t>
      </w:r>
      <w:r w:rsidRPr="00241C0F">
        <w:rPr>
          <w:b/>
        </w:rPr>
        <w:t>74</w:t>
      </w:r>
      <w:r w:rsidRPr="00241C0F">
        <w:t>(12): p. 737-748.</w:t>
      </w:r>
    </w:p>
    <w:p w:rsidR="002F7205" w:rsidRPr="00241C0F" w:rsidRDefault="002F7205" w:rsidP="002F7205">
      <w:pPr>
        <w:pStyle w:val="EndNoteBibliography"/>
        <w:spacing w:line="480" w:lineRule="auto"/>
        <w:ind w:left="720" w:hanging="720"/>
      </w:pPr>
      <w:r w:rsidRPr="00241C0F">
        <w:lastRenderedPageBreak/>
        <w:t>9.</w:t>
      </w:r>
      <w:r w:rsidRPr="00241C0F">
        <w:tab/>
        <w:t xml:space="preserve">Cummings, A., et al., </w:t>
      </w:r>
      <w:r w:rsidRPr="00241C0F">
        <w:rPr>
          <w:i/>
        </w:rPr>
        <w:t>Comorbidities are associated with poorer quality of life and functioning and worse symptoms in the 5 years following colorectal cancer surgery: Results from the ColoREctal Well-being (CREW) cohort study.</w:t>
      </w:r>
      <w:r w:rsidRPr="00241C0F">
        <w:t xml:space="preserve"> Psychooncology, 2018. </w:t>
      </w:r>
      <w:r w:rsidRPr="00241C0F">
        <w:rPr>
          <w:b/>
        </w:rPr>
        <w:t>27</w:t>
      </w:r>
      <w:r w:rsidRPr="00241C0F">
        <w:t>(10): p. 2427-2435.</w:t>
      </w:r>
    </w:p>
    <w:p w:rsidR="002F7205" w:rsidRPr="00241C0F" w:rsidRDefault="002F7205" w:rsidP="002F7205">
      <w:pPr>
        <w:pStyle w:val="EndNoteBibliography"/>
        <w:spacing w:line="480" w:lineRule="auto"/>
        <w:ind w:left="720" w:hanging="720"/>
      </w:pPr>
      <w:r w:rsidRPr="00241C0F">
        <w:t>10.</w:t>
      </w:r>
      <w:r w:rsidRPr="00241C0F">
        <w:tab/>
        <w:t xml:space="preserve">Van de Poll-Franse, L., et al., </w:t>
      </w:r>
      <w:r w:rsidRPr="00241C0F">
        <w:rPr>
          <w:i/>
        </w:rPr>
        <w:t>Increased health care utilisation among 10-year breast cancer survivors.</w:t>
      </w:r>
      <w:r w:rsidRPr="00241C0F">
        <w:t xml:space="preserve"> Supportive care in cancer, 2006. </w:t>
      </w:r>
      <w:r w:rsidRPr="00241C0F">
        <w:rPr>
          <w:b/>
        </w:rPr>
        <w:t>14</w:t>
      </w:r>
      <w:r w:rsidRPr="00241C0F">
        <w:t>(5): p. 436-443.</w:t>
      </w:r>
    </w:p>
    <w:p w:rsidR="002F7205" w:rsidRPr="00241C0F" w:rsidRDefault="002F7205" w:rsidP="002F7205">
      <w:pPr>
        <w:pStyle w:val="EndNoteBibliography"/>
        <w:spacing w:line="480" w:lineRule="auto"/>
        <w:ind w:left="720" w:hanging="720"/>
      </w:pPr>
      <w:r w:rsidRPr="00241C0F">
        <w:t>11.</w:t>
      </w:r>
      <w:r w:rsidRPr="00241C0F">
        <w:tab/>
        <w:t xml:space="preserve">Halfdanarson, T.R., et al., </w:t>
      </w:r>
      <w:r w:rsidRPr="00241C0F">
        <w:rPr>
          <w:i/>
        </w:rPr>
        <w:t>Does dietary counseling improve quality of life in cancer patients? A systematic review and meta-analysis.</w:t>
      </w:r>
      <w:r w:rsidRPr="00241C0F">
        <w:t xml:space="preserve"> The journal of supportive oncology, 2007. </w:t>
      </w:r>
      <w:r w:rsidRPr="00241C0F">
        <w:rPr>
          <w:b/>
        </w:rPr>
        <w:t>6</w:t>
      </w:r>
      <w:r w:rsidRPr="00241C0F">
        <w:t>(5): p. 234-237.</w:t>
      </w:r>
    </w:p>
    <w:p w:rsidR="002F7205" w:rsidRPr="00241C0F" w:rsidRDefault="002F7205" w:rsidP="002F7205">
      <w:pPr>
        <w:pStyle w:val="EndNoteBibliography"/>
        <w:spacing w:line="480" w:lineRule="auto"/>
        <w:ind w:left="720" w:hanging="720"/>
      </w:pPr>
      <w:r w:rsidRPr="00241C0F">
        <w:t>12.</w:t>
      </w:r>
      <w:r w:rsidRPr="00241C0F">
        <w:tab/>
        <w:t xml:space="preserve">Kangas, M., D.H. Bovbjerg, and G.H. Montgomery, </w:t>
      </w:r>
      <w:r w:rsidRPr="00241C0F">
        <w:rPr>
          <w:i/>
        </w:rPr>
        <w:t>" Cancer-related fatigue: A systematic and meta-analytic review of non-pharmacological therapies for cancer patients": Correction to Kangas, Bovbjerg, and Montgomery (2008).</w:t>
      </w:r>
      <w:r w:rsidRPr="00241C0F">
        <w:t xml:space="preserve"> 2009.</w:t>
      </w:r>
    </w:p>
    <w:p w:rsidR="002F7205" w:rsidRPr="00241C0F" w:rsidRDefault="002F7205" w:rsidP="002F7205">
      <w:pPr>
        <w:pStyle w:val="EndNoteBibliography"/>
        <w:spacing w:line="480" w:lineRule="auto"/>
        <w:ind w:left="720" w:hanging="720"/>
      </w:pPr>
      <w:r w:rsidRPr="00241C0F">
        <w:rPr>
          <w:rFonts w:hint="eastAsia"/>
        </w:rPr>
        <w:t>13.</w:t>
      </w:r>
      <w:r w:rsidRPr="00241C0F">
        <w:rPr>
          <w:rFonts w:hint="eastAsia"/>
        </w:rPr>
        <w:tab/>
        <w:t xml:space="preserve">Mishra, S.I., et al., </w:t>
      </w:r>
      <w:r w:rsidRPr="00241C0F">
        <w:rPr>
          <w:rFonts w:hint="eastAsia"/>
          <w:i/>
        </w:rPr>
        <w:t>Exercise interventions on health‐rel</w:t>
      </w:r>
      <w:r w:rsidRPr="00241C0F">
        <w:rPr>
          <w:i/>
        </w:rPr>
        <w:t>ated quality of life for cancer survivors.</w:t>
      </w:r>
      <w:r w:rsidRPr="00241C0F">
        <w:t xml:space="preserve"> The Cochrane Library, 2012.</w:t>
      </w:r>
    </w:p>
    <w:p w:rsidR="002F7205" w:rsidRPr="00241C0F" w:rsidRDefault="002F7205" w:rsidP="002F7205">
      <w:pPr>
        <w:pStyle w:val="EndNoteBibliography"/>
        <w:spacing w:line="480" w:lineRule="auto"/>
        <w:ind w:left="720" w:hanging="720"/>
      </w:pPr>
      <w:r w:rsidRPr="00241C0F">
        <w:t>14.</w:t>
      </w:r>
      <w:r w:rsidRPr="00241C0F">
        <w:tab/>
        <w:t xml:space="preserve">Piet, J., H. Wurtzen, and R. Zachariae, </w:t>
      </w:r>
      <w:r w:rsidRPr="00241C0F">
        <w:rPr>
          <w:i/>
        </w:rPr>
        <w:t>The Effect of Mindfulness-Based Therapy on Symptoms of Anxiety and Depression in Adult Cancer Patients and Survivors: A Systematic Review and Meta-Analysis.</w:t>
      </w:r>
      <w:r w:rsidRPr="00241C0F">
        <w:t xml:space="preserve"> Journal of Consulting &amp; Clinical Psychology., 2012. </w:t>
      </w:r>
      <w:r w:rsidRPr="00241C0F">
        <w:rPr>
          <w:b/>
        </w:rPr>
        <w:t>80</w:t>
      </w:r>
      <w:r w:rsidRPr="00241C0F">
        <w:t>(6): p. 1007-1020.</w:t>
      </w:r>
    </w:p>
    <w:p w:rsidR="002F7205" w:rsidRPr="00241C0F" w:rsidRDefault="002F7205" w:rsidP="002F7205">
      <w:pPr>
        <w:pStyle w:val="EndNoteBibliography"/>
        <w:spacing w:line="480" w:lineRule="auto"/>
        <w:ind w:left="720" w:hanging="720"/>
      </w:pPr>
      <w:r w:rsidRPr="00241C0F">
        <w:t>15.</w:t>
      </w:r>
      <w:r w:rsidRPr="00241C0F">
        <w:tab/>
        <w:t xml:space="preserve">Courneya, K.S., P.T. Katzmarzyk, and E. Bacon, </w:t>
      </w:r>
      <w:r w:rsidRPr="00241C0F">
        <w:rPr>
          <w:i/>
        </w:rPr>
        <w:t>Physical activity and obesity in Canadian cancer survivors.</w:t>
      </w:r>
      <w:r w:rsidRPr="00241C0F">
        <w:t xml:space="preserve"> Cancer, 2008. </w:t>
      </w:r>
      <w:r w:rsidRPr="00241C0F">
        <w:rPr>
          <w:b/>
        </w:rPr>
        <w:t>112</w:t>
      </w:r>
      <w:r w:rsidRPr="00241C0F">
        <w:t>(11): p. 2475-2482.</w:t>
      </w:r>
    </w:p>
    <w:p w:rsidR="002F7205" w:rsidRPr="00241C0F" w:rsidRDefault="002F7205" w:rsidP="002F7205">
      <w:pPr>
        <w:pStyle w:val="EndNoteBibliography"/>
        <w:spacing w:line="480" w:lineRule="auto"/>
        <w:ind w:left="720" w:hanging="720"/>
      </w:pPr>
      <w:r w:rsidRPr="00241C0F">
        <w:t>16.</w:t>
      </w:r>
      <w:r w:rsidRPr="00241C0F">
        <w:tab/>
        <w:t>Cramp, F. and</w:t>
      </w:r>
      <w:r w:rsidRPr="00241C0F">
        <w:rPr>
          <w:rFonts w:hint="eastAsia"/>
        </w:rPr>
        <w:t xml:space="preserve"> J. Byron‐Daniel, </w:t>
      </w:r>
      <w:r w:rsidRPr="00241C0F">
        <w:rPr>
          <w:rFonts w:hint="eastAsia"/>
          <w:i/>
        </w:rPr>
        <w:t>Exercise for the management of cancer‐related fatigue in adults.</w:t>
      </w:r>
      <w:r w:rsidRPr="00241C0F">
        <w:rPr>
          <w:rFonts w:hint="eastAsia"/>
        </w:rPr>
        <w:t xml:space="preserve"> The Cochrane Library, 2012.</w:t>
      </w:r>
    </w:p>
    <w:p w:rsidR="002F7205" w:rsidRPr="00241C0F" w:rsidRDefault="002F7205" w:rsidP="002F7205">
      <w:pPr>
        <w:pStyle w:val="EndNoteBibliography"/>
        <w:spacing w:line="480" w:lineRule="auto"/>
        <w:ind w:left="720" w:hanging="720"/>
      </w:pPr>
      <w:r w:rsidRPr="00241C0F">
        <w:t>17.</w:t>
      </w:r>
      <w:r w:rsidRPr="00241C0F">
        <w:tab/>
        <w:t xml:space="preserve">Speck, R.M., et al., </w:t>
      </w:r>
      <w:r w:rsidRPr="00241C0F">
        <w:rPr>
          <w:i/>
        </w:rPr>
        <w:t>An update of controlled physical activity trials in cancer survivors: a systematic review and meta-analysis.</w:t>
      </w:r>
      <w:r w:rsidRPr="00241C0F">
        <w:t xml:space="preserve"> Journal of Cancer Survivorship, 2010. </w:t>
      </w:r>
      <w:r w:rsidRPr="00241C0F">
        <w:rPr>
          <w:b/>
        </w:rPr>
        <w:t>4</w:t>
      </w:r>
      <w:r w:rsidRPr="00241C0F">
        <w:t>(2): p. 87-100.</w:t>
      </w:r>
    </w:p>
    <w:p w:rsidR="002F7205" w:rsidRPr="00241C0F" w:rsidRDefault="002F7205" w:rsidP="002F7205">
      <w:pPr>
        <w:pStyle w:val="EndNoteBibliography"/>
        <w:spacing w:line="480" w:lineRule="auto"/>
        <w:ind w:left="720" w:hanging="720"/>
      </w:pPr>
      <w:r w:rsidRPr="00241C0F">
        <w:lastRenderedPageBreak/>
        <w:t>18.</w:t>
      </w:r>
      <w:r w:rsidRPr="00241C0F">
        <w:tab/>
        <w:t xml:space="preserve">Duncan, M., et al., </w:t>
      </w:r>
      <w:r w:rsidRPr="00241C0F">
        <w:rPr>
          <w:i/>
        </w:rPr>
        <w:t>Review of systematic reviews of non-pharmacological interventions to improve quality of life in cancer survivors.</w:t>
      </w:r>
      <w:r w:rsidRPr="00241C0F">
        <w:t xml:space="preserve"> BMJ open, 2017. </w:t>
      </w:r>
      <w:r w:rsidRPr="00241C0F">
        <w:rPr>
          <w:b/>
        </w:rPr>
        <w:t>7</w:t>
      </w:r>
      <w:r w:rsidRPr="00241C0F">
        <w:t>(11): p. e015860.</w:t>
      </w:r>
    </w:p>
    <w:p w:rsidR="002F7205" w:rsidRPr="00241C0F" w:rsidRDefault="002F7205" w:rsidP="002F7205">
      <w:pPr>
        <w:pStyle w:val="EndNoteBibliography"/>
        <w:spacing w:line="480" w:lineRule="auto"/>
        <w:ind w:left="720" w:hanging="720"/>
      </w:pPr>
      <w:r w:rsidRPr="00241C0F">
        <w:t>19.</w:t>
      </w:r>
      <w:r w:rsidRPr="00241C0F">
        <w:tab/>
        <w:t xml:space="preserve">Davies, N., L. Batehup, and R. Thomas, </w:t>
      </w:r>
      <w:r w:rsidRPr="00241C0F">
        <w:rPr>
          <w:i/>
        </w:rPr>
        <w:t>The role of diet and physical activity in breast, colorectal, and prostate cancer survivorship: a review of the literature.</w:t>
      </w:r>
      <w:r w:rsidRPr="00241C0F">
        <w:t xml:space="preserve"> British journal of cancer, 2011. </w:t>
      </w:r>
      <w:r w:rsidRPr="00241C0F">
        <w:rPr>
          <w:b/>
        </w:rPr>
        <w:t>105</w:t>
      </w:r>
      <w:r w:rsidRPr="00241C0F">
        <w:t>(Suppl 1): p. S52.</w:t>
      </w:r>
    </w:p>
    <w:p w:rsidR="002F7205" w:rsidRPr="00241C0F" w:rsidRDefault="002F7205" w:rsidP="002F7205">
      <w:pPr>
        <w:pStyle w:val="EndNoteBibliography"/>
        <w:spacing w:line="480" w:lineRule="auto"/>
        <w:ind w:left="720" w:hanging="720"/>
      </w:pPr>
      <w:r w:rsidRPr="00241C0F">
        <w:t>20.</w:t>
      </w:r>
      <w:r w:rsidRPr="00241C0F">
        <w:tab/>
        <w:t xml:space="preserve">Battaglini, C.L., et al., </w:t>
      </w:r>
      <w:r w:rsidRPr="00241C0F">
        <w:rPr>
          <w:i/>
        </w:rPr>
        <w:t>Twenty-five years of research on the effects of exercise training in breast cancer survivors: a systematic review of the literature.</w:t>
      </w:r>
      <w:r w:rsidRPr="00241C0F">
        <w:t xml:space="preserve"> World journal of clinical oncology, 2014. </w:t>
      </w:r>
      <w:r w:rsidRPr="00241C0F">
        <w:rPr>
          <w:b/>
        </w:rPr>
        <w:t>5</w:t>
      </w:r>
      <w:r w:rsidRPr="00241C0F">
        <w:t>(2): p. 177.</w:t>
      </w:r>
    </w:p>
    <w:p w:rsidR="002F7205" w:rsidRPr="00241C0F" w:rsidRDefault="002F7205" w:rsidP="002F7205">
      <w:pPr>
        <w:pStyle w:val="EndNoteBibliography"/>
        <w:spacing w:line="480" w:lineRule="auto"/>
        <w:ind w:left="720" w:hanging="720"/>
      </w:pPr>
      <w:r w:rsidRPr="00241C0F">
        <w:t>21.</w:t>
      </w:r>
      <w:r w:rsidRPr="00241C0F">
        <w:tab/>
        <w:t xml:space="preserve">Rock, C.L., et al., </w:t>
      </w:r>
      <w:r w:rsidRPr="00241C0F">
        <w:rPr>
          <w:i/>
        </w:rPr>
        <w:t>Nutrition and physical activity guidelines for cancer survivors.</w:t>
      </w:r>
      <w:r w:rsidRPr="00241C0F">
        <w:t xml:space="preserve"> CA: a cancer journal for clinicians, 2012. </w:t>
      </w:r>
      <w:r w:rsidRPr="00241C0F">
        <w:rPr>
          <w:b/>
        </w:rPr>
        <w:t>62</w:t>
      </w:r>
      <w:r w:rsidRPr="00241C0F">
        <w:t>(4): p. 242-274.</w:t>
      </w:r>
    </w:p>
    <w:p w:rsidR="002F7205" w:rsidRPr="00241C0F" w:rsidRDefault="002F7205" w:rsidP="002F7205">
      <w:pPr>
        <w:pStyle w:val="EndNoteBibliography"/>
        <w:spacing w:line="480" w:lineRule="auto"/>
        <w:ind w:left="720" w:hanging="720"/>
      </w:pPr>
      <w:r w:rsidRPr="00241C0F">
        <w:t>22.</w:t>
      </w:r>
      <w:r w:rsidRPr="00241C0F">
        <w:tab/>
        <w:t xml:space="preserve">Osborn, R.L., A.C. Demoncada, and M. Feuerstein, </w:t>
      </w:r>
      <w:r w:rsidRPr="00241C0F">
        <w:rPr>
          <w:i/>
        </w:rPr>
        <w:t>Psychosocial interventions for depression, anxiety, and quality of life in cancer survivors: meta-analyses.</w:t>
      </w:r>
      <w:r w:rsidRPr="00241C0F">
        <w:t xml:space="preserve"> The International Journal of Psychiatry in Medicine, 2006. </w:t>
      </w:r>
      <w:r w:rsidRPr="00241C0F">
        <w:rPr>
          <w:b/>
        </w:rPr>
        <w:t>36</w:t>
      </w:r>
      <w:r w:rsidRPr="00241C0F">
        <w:t>(1): p. 13-34.</w:t>
      </w:r>
    </w:p>
    <w:p w:rsidR="002F7205" w:rsidRPr="00241C0F" w:rsidRDefault="002F7205" w:rsidP="002F7205">
      <w:pPr>
        <w:pStyle w:val="EndNoteBibliography"/>
        <w:spacing w:line="480" w:lineRule="auto"/>
        <w:ind w:left="720" w:hanging="720"/>
      </w:pPr>
      <w:r w:rsidRPr="00241C0F">
        <w:t>23.</w:t>
      </w:r>
      <w:r w:rsidRPr="00241C0F">
        <w:tab/>
        <w:t xml:space="preserve">Nyklíček, I. and K.F. Kuijpers, </w:t>
      </w:r>
      <w:r w:rsidRPr="00241C0F">
        <w:rPr>
          <w:i/>
        </w:rPr>
        <w:t>Effects of mindfulness-based stress reduction intervention on psychological well-being and quality of life: is increased mindfulness indeed the mechanism?</w:t>
      </w:r>
      <w:r w:rsidRPr="00241C0F">
        <w:t xml:space="preserve"> Annals of Behavioral Medicine, 2008. </w:t>
      </w:r>
      <w:r w:rsidRPr="00241C0F">
        <w:rPr>
          <w:b/>
        </w:rPr>
        <w:t>35</w:t>
      </w:r>
      <w:r w:rsidRPr="00241C0F">
        <w:t>(3): p. 331-340.</w:t>
      </w:r>
    </w:p>
    <w:p w:rsidR="002F7205" w:rsidRPr="00241C0F" w:rsidRDefault="002F7205" w:rsidP="002F7205">
      <w:pPr>
        <w:pStyle w:val="EndNoteBibliography"/>
        <w:spacing w:line="480" w:lineRule="auto"/>
        <w:ind w:left="720" w:hanging="720"/>
      </w:pPr>
      <w:r w:rsidRPr="00241C0F">
        <w:t>24.</w:t>
      </w:r>
      <w:r w:rsidRPr="00241C0F">
        <w:tab/>
        <w:t xml:space="preserve">Matchim, Y., J.M. Armer, and B.R. Stewart. </w:t>
      </w:r>
      <w:r w:rsidRPr="00241C0F">
        <w:rPr>
          <w:i/>
        </w:rPr>
        <w:t>Mindfulness-based stress reduction among breast cancer survivors: a literature review and discussion</w:t>
      </w:r>
      <w:r w:rsidRPr="00241C0F">
        <w:t xml:space="preserve">. in </w:t>
      </w:r>
      <w:r w:rsidRPr="00241C0F">
        <w:rPr>
          <w:i/>
        </w:rPr>
        <w:t>Oncol Nurs Forum</w:t>
      </w:r>
      <w:r w:rsidRPr="00241C0F">
        <w:t>. 2011.</w:t>
      </w:r>
    </w:p>
    <w:p w:rsidR="002F7205" w:rsidRPr="00241C0F" w:rsidRDefault="002F7205" w:rsidP="002F7205">
      <w:pPr>
        <w:pStyle w:val="EndNoteBibliography"/>
        <w:spacing w:line="480" w:lineRule="auto"/>
        <w:ind w:left="720" w:hanging="720"/>
      </w:pPr>
      <w:r w:rsidRPr="00241C0F">
        <w:t>25.</w:t>
      </w:r>
      <w:r w:rsidRPr="00241C0F">
        <w:tab/>
        <w:t xml:space="preserve">Crane-Okada, R., et al., </w:t>
      </w:r>
      <w:r w:rsidRPr="00241C0F">
        <w:rPr>
          <w:i/>
        </w:rPr>
        <w:t>Mindful movement program for older breast cancer survivors: a pilot study.</w:t>
      </w:r>
      <w:r w:rsidRPr="00241C0F">
        <w:t xml:space="preserve"> Cancer nursing, 2012. </w:t>
      </w:r>
      <w:r w:rsidRPr="00241C0F">
        <w:rPr>
          <w:b/>
        </w:rPr>
        <w:t>35</w:t>
      </w:r>
      <w:r w:rsidRPr="00241C0F">
        <w:t>(4): p. E1-E13.</w:t>
      </w:r>
    </w:p>
    <w:p w:rsidR="002F7205" w:rsidRPr="00241C0F" w:rsidRDefault="002F7205" w:rsidP="002F7205">
      <w:pPr>
        <w:pStyle w:val="EndNoteBibliography"/>
        <w:spacing w:line="480" w:lineRule="auto"/>
        <w:ind w:left="720" w:hanging="720"/>
      </w:pPr>
      <w:r w:rsidRPr="00241C0F">
        <w:t>26.</w:t>
      </w:r>
      <w:r w:rsidRPr="00241C0F">
        <w:tab/>
        <w:t xml:space="preserve">Johns, S.A., et al., </w:t>
      </w:r>
      <w:r w:rsidRPr="00241C0F">
        <w:rPr>
          <w:i/>
        </w:rPr>
        <w:t>Randomized controlled pilot study of mindfulness-based stress reduction for persistently fatigued cancer survivors.</w:t>
      </w:r>
      <w:r w:rsidRPr="00241C0F">
        <w:t xml:space="preserve"> Psycho-Oncology, 2015. </w:t>
      </w:r>
      <w:r w:rsidRPr="00241C0F">
        <w:rPr>
          <w:b/>
        </w:rPr>
        <w:t>24</w:t>
      </w:r>
      <w:r w:rsidRPr="00241C0F">
        <w:t>(8): p. 885-893.</w:t>
      </w:r>
    </w:p>
    <w:p w:rsidR="002F7205" w:rsidRPr="00241C0F" w:rsidRDefault="002F7205" w:rsidP="002F7205">
      <w:pPr>
        <w:pStyle w:val="EndNoteBibliography"/>
        <w:spacing w:line="480" w:lineRule="auto"/>
        <w:ind w:left="720" w:hanging="720"/>
      </w:pPr>
      <w:r w:rsidRPr="00241C0F">
        <w:t>27.</w:t>
      </w:r>
      <w:r w:rsidRPr="00241C0F">
        <w:tab/>
        <w:t xml:space="preserve">van der Lee, M.L. and B. Garssen, </w:t>
      </w:r>
      <w:r w:rsidRPr="00241C0F">
        <w:rPr>
          <w:i/>
        </w:rPr>
        <w:t>Mindfulness-based cognitive therapy reduces chronic cancer-related fatigue: a treatment study.</w:t>
      </w:r>
      <w:r w:rsidRPr="00241C0F">
        <w:t xml:space="preserve"> Psycho-Oncology, 2012. </w:t>
      </w:r>
      <w:r w:rsidRPr="00241C0F">
        <w:rPr>
          <w:b/>
        </w:rPr>
        <w:t>21</w:t>
      </w:r>
      <w:r w:rsidRPr="00241C0F">
        <w:t>(3): p. 264-272.</w:t>
      </w:r>
    </w:p>
    <w:p w:rsidR="002F7205" w:rsidRPr="00241C0F" w:rsidRDefault="002F7205" w:rsidP="002F7205">
      <w:pPr>
        <w:pStyle w:val="EndNoteBibliography"/>
        <w:spacing w:line="480" w:lineRule="auto"/>
        <w:ind w:left="720" w:hanging="720"/>
      </w:pPr>
      <w:r w:rsidRPr="00241C0F">
        <w:lastRenderedPageBreak/>
        <w:t>28.</w:t>
      </w:r>
      <w:r w:rsidRPr="00241C0F">
        <w:tab/>
        <w:t xml:space="preserve">Blackburn, G.L. and K.A. Wang, </w:t>
      </w:r>
      <w:r w:rsidRPr="00241C0F">
        <w:rPr>
          <w:i/>
        </w:rPr>
        <w:t>Dietary fat reduction and breast cancer outcome: results from the Women's Intervention Nutrition Study (WINS).</w:t>
      </w:r>
      <w:r w:rsidRPr="00241C0F">
        <w:t xml:space="preserve"> The American journal of clinical nutrition, 2007. </w:t>
      </w:r>
      <w:r w:rsidRPr="00241C0F">
        <w:rPr>
          <w:b/>
        </w:rPr>
        <w:t>86</w:t>
      </w:r>
      <w:r w:rsidRPr="00241C0F">
        <w:t>(3): p. 878S-881S.</w:t>
      </w:r>
    </w:p>
    <w:p w:rsidR="002F7205" w:rsidRPr="00241C0F" w:rsidRDefault="002F7205" w:rsidP="002F7205">
      <w:pPr>
        <w:pStyle w:val="EndNoteBibliography"/>
        <w:spacing w:line="480" w:lineRule="auto"/>
        <w:ind w:left="720" w:hanging="720"/>
      </w:pPr>
      <w:r w:rsidRPr="00241C0F">
        <w:t>29.</w:t>
      </w:r>
      <w:r w:rsidRPr="00241C0F">
        <w:tab/>
        <w:t xml:space="preserve">Kassianos, A.P., et al., </w:t>
      </w:r>
      <w:r w:rsidRPr="00241C0F">
        <w:rPr>
          <w:i/>
        </w:rPr>
        <w:t>Quality of life and dietary changes among cancer patients: A systematic review.</w:t>
      </w:r>
      <w:r w:rsidRPr="00241C0F">
        <w:t xml:space="preserve"> Quality of Life Research, 2015. </w:t>
      </w:r>
      <w:r w:rsidRPr="00241C0F">
        <w:rPr>
          <w:b/>
        </w:rPr>
        <w:t>24</w:t>
      </w:r>
      <w:r w:rsidRPr="00241C0F">
        <w:t>(3): p. 705-719.</w:t>
      </w:r>
    </w:p>
    <w:p w:rsidR="002F7205" w:rsidRPr="00241C0F" w:rsidRDefault="002F7205" w:rsidP="002F7205">
      <w:pPr>
        <w:pStyle w:val="EndNoteBibliography"/>
        <w:spacing w:line="480" w:lineRule="auto"/>
        <w:ind w:left="720" w:hanging="720"/>
      </w:pPr>
      <w:r w:rsidRPr="00241C0F">
        <w:t>30.</w:t>
      </w:r>
      <w:r w:rsidRPr="00241C0F">
        <w:tab/>
        <w:t xml:space="preserve">Karahalios, A., D.R. English, and J.A. Simpson, </w:t>
      </w:r>
      <w:r w:rsidRPr="00241C0F">
        <w:rPr>
          <w:i/>
        </w:rPr>
        <w:t>Weight change and risk of colorectal cancer: a systematic review and meta-analysis.</w:t>
      </w:r>
      <w:r w:rsidRPr="00241C0F">
        <w:t xml:space="preserve"> American journal of epidemiology, 2015. </w:t>
      </w:r>
      <w:r w:rsidRPr="00241C0F">
        <w:rPr>
          <w:b/>
        </w:rPr>
        <w:t>181</w:t>
      </w:r>
      <w:r w:rsidRPr="00241C0F">
        <w:t>(11): p. 832-845.</w:t>
      </w:r>
    </w:p>
    <w:p w:rsidR="002F7205" w:rsidRPr="00241C0F" w:rsidRDefault="002F7205" w:rsidP="002F7205">
      <w:pPr>
        <w:pStyle w:val="EndNoteBibliography"/>
        <w:spacing w:line="480" w:lineRule="auto"/>
        <w:ind w:left="720" w:hanging="720"/>
      </w:pPr>
      <w:r w:rsidRPr="00241C0F">
        <w:t>31.</w:t>
      </w:r>
      <w:r w:rsidRPr="00241C0F">
        <w:tab/>
        <w:t xml:space="preserve">Vance, V., et al., </w:t>
      </w:r>
      <w:r w:rsidRPr="00241C0F">
        <w:rPr>
          <w:i/>
        </w:rPr>
        <w:t>Weight gain in breast cancer survivors: prevalence, pattern and health consequences.</w:t>
      </w:r>
      <w:r w:rsidRPr="00241C0F">
        <w:t xml:space="preserve"> Obesity reviews, 2011. </w:t>
      </w:r>
      <w:r w:rsidRPr="00241C0F">
        <w:rPr>
          <w:b/>
        </w:rPr>
        <w:t>12</w:t>
      </w:r>
      <w:r w:rsidRPr="00241C0F">
        <w:t>(4): p. 282-294.</w:t>
      </w:r>
    </w:p>
    <w:p w:rsidR="002F7205" w:rsidRPr="00241C0F" w:rsidRDefault="002F7205" w:rsidP="002F7205">
      <w:pPr>
        <w:pStyle w:val="EndNoteBibliography"/>
        <w:spacing w:line="480" w:lineRule="auto"/>
        <w:ind w:left="720" w:hanging="720"/>
      </w:pPr>
      <w:r w:rsidRPr="00241C0F">
        <w:t>32.</w:t>
      </w:r>
      <w:r w:rsidRPr="00241C0F">
        <w:tab/>
        <w:t xml:space="preserve">Reeves, M.M., et al., </w:t>
      </w:r>
      <w:r w:rsidRPr="00241C0F">
        <w:rPr>
          <w:i/>
        </w:rPr>
        <w:t>Weight loss intervention trials in women with breast cancer: a systematic review.</w:t>
      </w:r>
      <w:r w:rsidRPr="00241C0F">
        <w:t xml:space="preserve"> Obesity reviews, 2014. </w:t>
      </w:r>
      <w:r w:rsidRPr="00241C0F">
        <w:rPr>
          <w:b/>
        </w:rPr>
        <w:t>15</w:t>
      </w:r>
      <w:r w:rsidRPr="00241C0F">
        <w:t>(9): p. 749-768.</w:t>
      </w:r>
    </w:p>
    <w:p w:rsidR="002F7205" w:rsidRPr="00241C0F" w:rsidRDefault="002F7205" w:rsidP="002F7205">
      <w:pPr>
        <w:pStyle w:val="EndNoteBibliography"/>
        <w:spacing w:line="480" w:lineRule="auto"/>
        <w:ind w:left="720" w:hanging="720"/>
      </w:pPr>
      <w:r w:rsidRPr="00241C0F">
        <w:t>33.</w:t>
      </w:r>
      <w:r w:rsidRPr="00241C0F">
        <w:tab/>
        <w:t xml:space="preserve">Stellefson, M., et al., </w:t>
      </w:r>
      <w:r w:rsidRPr="00241C0F">
        <w:rPr>
          <w:i/>
        </w:rPr>
        <w:t>Web 2.0 chronic disease self-management for older adults: a systematic review.</w:t>
      </w:r>
      <w:r w:rsidRPr="00241C0F">
        <w:t xml:space="preserve"> Journal of medical Internet research, 2013. </w:t>
      </w:r>
      <w:r w:rsidRPr="00241C0F">
        <w:rPr>
          <w:b/>
        </w:rPr>
        <w:t>15</w:t>
      </w:r>
      <w:r w:rsidRPr="00241C0F">
        <w:t>(2): p. e35.</w:t>
      </w:r>
    </w:p>
    <w:p w:rsidR="002F7205" w:rsidRPr="00241C0F" w:rsidRDefault="002F7205" w:rsidP="002F7205">
      <w:pPr>
        <w:pStyle w:val="EndNoteBibliography"/>
        <w:spacing w:line="480" w:lineRule="auto"/>
        <w:ind w:left="720" w:hanging="720"/>
      </w:pPr>
      <w:r w:rsidRPr="00241C0F">
        <w:t>34.</w:t>
      </w:r>
      <w:r w:rsidRPr="00241C0F">
        <w:tab/>
        <w:t xml:space="preserve">Cuijpers, P., H. Riper, and G. Andersson, </w:t>
      </w:r>
      <w:r w:rsidRPr="00241C0F">
        <w:rPr>
          <w:i/>
        </w:rPr>
        <w:t>Internet-based treatment of depression.</w:t>
      </w:r>
      <w:r w:rsidRPr="00241C0F">
        <w:t xml:space="preserve"> Current Opinion in Psychology, 2014. </w:t>
      </w:r>
      <w:r w:rsidRPr="00241C0F">
        <w:rPr>
          <w:b/>
        </w:rPr>
        <w:t>4</w:t>
      </w:r>
      <w:r w:rsidRPr="00241C0F">
        <w:t>: p. 131-135.</w:t>
      </w:r>
    </w:p>
    <w:p w:rsidR="002F7205" w:rsidRPr="00241C0F" w:rsidRDefault="002F7205" w:rsidP="002F7205">
      <w:pPr>
        <w:pStyle w:val="EndNoteBibliography"/>
        <w:spacing w:line="480" w:lineRule="auto"/>
        <w:ind w:left="720" w:hanging="720"/>
      </w:pPr>
      <w:r w:rsidRPr="00241C0F">
        <w:t>35.</w:t>
      </w:r>
      <w:r w:rsidRPr="00241C0F">
        <w:tab/>
        <w:t xml:space="preserve">Aaronson, N.K., et al., </w:t>
      </w:r>
      <w:r w:rsidRPr="00241C0F">
        <w:rPr>
          <w:i/>
        </w:rPr>
        <w:t>The European Organization for Research and Treatment of Cancer QLQ-C30: a quality-of-life instrument for use in international clinical trials in oncology.</w:t>
      </w:r>
      <w:r w:rsidRPr="00241C0F">
        <w:t xml:space="preserve"> Journal of the national cancer institute, 1993. </w:t>
      </w:r>
      <w:r w:rsidRPr="00241C0F">
        <w:rPr>
          <w:b/>
        </w:rPr>
        <w:t>85</w:t>
      </w:r>
      <w:r w:rsidRPr="00241C0F">
        <w:t>(5): p. 365-376.</w:t>
      </w:r>
    </w:p>
    <w:p w:rsidR="002F7205" w:rsidRPr="00241C0F" w:rsidRDefault="002F7205" w:rsidP="002F7205">
      <w:pPr>
        <w:pStyle w:val="EndNoteBibliography"/>
        <w:spacing w:line="480" w:lineRule="auto"/>
        <w:ind w:left="720" w:hanging="720"/>
      </w:pPr>
      <w:r w:rsidRPr="00241C0F">
        <w:t>36.</w:t>
      </w:r>
      <w:r w:rsidRPr="00241C0F">
        <w:tab/>
        <w:t xml:space="preserve">Foster, C., et al., </w:t>
      </w:r>
      <w:r w:rsidRPr="00241C0F">
        <w:rPr>
          <w:i/>
        </w:rPr>
        <w:t>Trajectories of quality of life, health status and personal well-being up to two years after curative intent treatment for colorectal cancer: results from the UK ColoREctal Wellbeing (CREW) cohort study.</w:t>
      </w:r>
      <w:r w:rsidRPr="00241C0F">
        <w:t xml:space="preserve"> Psycho-Oncology, 2016. </w:t>
      </w:r>
      <w:r w:rsidRPr="00241C0F">
        <w:rPr>
          <w:b/>
        </w:rPr>
        <w:t>25</w:t>
      </w:r>
      <w:r w:rsidRPr="00241C0F">
        <w:t>(S1): p. 2.</w:t>
      </w:r>
    </w:p>
    <w:p w:rsidR="002F7205" w:rsidRPr="00241C0F" w:rsidRDefault="002F7205" w:rsidP="002F7205">
      <w:pPr>
        <w:pStyle w:val="EndNoteBibliography"/>
        <w:spacing w:line="480" w:lineRule="auto"/>
        <w:ind w:left="720" w:hanging="720"/>
      </w:pPr>
      <w:r w:rsidRPr="00241C0F">
        <w:t>37.</w:t>
      </w:r>
      <w:r w:rsidRPr="00241C0F">
        <w:tab/>
        <w:t xml:space="preserve">Giesinger, J.M., et al., </w:t>
      </w:r>
      <w:r w:rsidRPr="00241C0F">
        <w:rPr>
          <w:i/>
        </w:rPr>
        <w:t>Replication and validation of higher order models demonstrated that a summary score for the EORTC QLQ-C30 is robust.</w:t>
      </w:r>
      <w:r w:rsidRPr="00241C0F">
        <w:t xml:space="preserve"> Journal of Clinical Epidemiology, 2016. </w:t>
      </w:r>
      <w:r w:rsidRPr="00241C0F">
        <w:rPr>
          <w:b/>
        </w:rPr>
        <w:t>69</w:t>
      </w:r>
      <w:r w:rsidRPr="00241C0F">
        <w:t>(Supplement C): p. 79-88.</w:t>
      </w:r>
    </w:p>
    <w:p w:rsidR="002F7205" w:rsidRPr="00241C0F" w:rsidRDefault="002F7205" w:rsidP="002F7205">
      <w:pPr>
        <w:pStyle w:val="EndNoteBibliography"/>
        <w:spacing w:line="480" w:lineRule="auto"/>
        <w:ind w:left="720" w:hanging="720"/>
      </w:pPr>
      <w:r w:rsidRPr="00241C0F">
        <w:lastRenderedPageBreak/>
        <w:t>38.</w:t>
      </w:r>
      <w:r w:rsidRPr="00241C0F">
        <w:tab/>
        <w:t xml:space="preserve">Yardley, L., et al., </w:t>
      </w:r>
      <w:r w:rsidRPr="00241C0F">
        <w:rPr>
          <w:i/>
        </w:rPr>
        <w:t>Introduction to the LifeGuide: software facilitating the development of interactive behaviour change internet interventions.</w:t>
      </w:r>
      <w:r w:rsidRPr="00241C0F">
        <w:t xml:space="preserve"> 2009.</w:t>
      </w:r>
    </w:p>
    <w:p w:rsidR="002F7205" w:rsidRPr="00241C0F" w:rsidRDefault="002F7205" w:rsidP="002F7205">
      <w:pPr>
        <w:pStyle w:val="EndNoteBibliography"/>
        <w:spacing w:line="480" w:lineRule="auto"/>
        <w:ind w:left="720" w:hanging="720"/>
      </w:pPr>
      <w:r w:rsidRPr="00241C0F">
        <w:t>39.</w:t>
      </w:r>
      <w:r w:rsidRPr="00241C0F">
        <w:tab/>
        <w:t xml:space="preserve">Hare, J., et al., </w:t>
      </w:r>
      <w:r w:rsidRPr="00241C0F">
        <w:rPr>
          <w:i/>
        </w:rPr>
        <w:t>LifeGuide: A platform for performing web-based behavioural interventions.</w:t>
      </w:r>
      <w:r w:rsidRPr="00241C0F">
        <w:t xml:space="preserve"> 2009.</w:t>
      </w:r>
    </w:p>
    <w:p w:rsidR="002F7205" w:rsidRPr="00241C0F" w:rsidRDefault="002F7205" w:rsidP="002F7205">
      <w:pPr>
        <w:pStyle w:val="EndNoteBibliography"/>
        <w:spacing w:line="480" w:lineRule="auto"/>
        <w:ind w:left="720" w:hanging="720"/>
      </w:pPr>
      <w:r w:rsidRPr="00241C0F">
        <w:t>40.</w:t>
      </w:r>
      <w:r w:rsidRPr="00241C0F">
        <w:tab/>
        <w:t xml:space="preserve">Corbett, T., Singh, K., Payne, L., Bradbury, K., Foster, C., Richardson, A., Watson, E., Little, P. &amp; Yardley L., </w:t>
      </w:r>
      <w:r w:rsidRPr="00241C0F">
        <w:rPr>
          <w:i/>
        </w:rPr>
        <w:t>Psycho-Oncology Understanding acceptability of and engagement with online interventions for cancer survivors- a systematic review.</w:t>
      </w:r>
      <w:r w:rsidRPr="00241C0F">
        <w:t xml:space="preserve"> 2017.</w:t>
      </w:r>
    </w:p>
    <w:p w:rsidR="002F7205" w:rsidRPr="00241C0F" w:rsidRDefault="002F7205" w:rsidP="002F7205">
      <w:pPr>
        <w:pStyle w:val="EndNoteBibliography"/>
        <w:spacing w:line="480" w:lineRule="auto"/>
        <w:ind w:left="720" w:hanging="720"/>
      </w:pPr>
      <w:r w:rsidRPr="00241C0F">
        <w:t>41.</w:t>
      </w:r>
      <w:r w:rsidRPr="00241C0F">
        <w:tab/>
        <w:t xml:space="preserve">Bradbury, K., et al., </w:t>
      </w:r>
      <w:r w:rsidRPr="00241C0F">
        <w:rPr>
          <w:i/>
        </w:rPr>
        <w:t>Developing digital interventions: a methodological guide.</w:t>
      </w:r>
      <w:r w:rsidRPr="00241C0F">
        <w:t xml:space="preserve"> Evidence-Based Complementary and Alternative Medicine, 2014. </w:t>
      </w:r>
      <w:r w:rsidRPr="00241C0F">
        <w:rPr>
          <w:b/>
        </w:rPr>
        <w:t>2014</w:t>
      </w:r>
      <w:r w:rsidRPr="00241C0F">
        <w:t>.</w:t>
      </w:r>
    </w:p>
    <w:p w:rsidR="002F7205" w:rsidRPr="00241C0F" w:rsidRDefault="002F7205" w:rsidP="002F7205">
      <w:pPr>
        <w:pStyle w:val="EndNoteBibliography"/>
        <w:spacing w:line="480" w:lineRule="auto"/>
        <w:ind w:left="720" w:hanging="720"/>
      </w:pPr>
      <w:r w:rsidRPr="00241C0F">
        <w:t>42.</w:t>
      </w:r>
      <w:r w:rsidRPr="00241C0F">
        <w:tab/>
        <w:t xml:space="preserve">Yardley, L., et al., </w:t>
      </w:r>
      <w:r w:rsidRPr="00241C0F">
        <w:rPr>
          <w:i/>
        </w:rPr>
        <w:t>The person-based approach to intervention development: application to digital health-related behavior change interventions.</w:t>
      </w:r>
      <w:r w:rsidRPr="00241C0F">
        <w:t xml:space="preserve"> Journal of medical Internet research, 2015. </w:t>
      </w:r>
      <w:r w:rsidRPr="00241C0F">
        <w:rPr>
          <w:b/>
        </w:rPr>
        <w:t>17</w:t>
      </w:r>
      <w:r w:rsidRPr="00241C0F">
        <w:t>(1): p. e30.</w:t>
      </w:r>
    </w:p>
    <w:p w:rsidR="002F7205" w:rsidRPr="00241C0F" w:rsidRDefault="002F7205" w:rsidP="002F7205">
      <w:pPr>
        <w:pStyle w:val="EndNoteBibliography"/>
        <w:spacing w:line="480" w:lineRule="auto"/>
        <w:ind w:left="720" w:hanging="720"/>
      </w:pPr>
      <w:r w:rsidRPr="00241C0F">
        <w:t>43.</w:t>
      </w:r>
      <w:r w:rsidRPr="00241C0F">
        <w:tab/>
        <w:t xml:space="preserve">Corbett, T., et al., </w:t>
      </w:r>
      <w:r w:rsidRPr="00241C0F">
        <w:rPr>
          <w:i/>
        </w:rPr>
        <w:t>Exploring cancer survivors’ views of health behavior change’:“Where d</w:t>
      </w:r>
      <w:r w:rsidRPr="00241C0F">
        <w:rPr>
          <w:rFonts w:hint="eastAsia"/>
          <w:i/>
        </w:rPr>
        <w:t>o you start, where do you stop with everything?”.</w:t>
      </w:r>
      <w:r w:rsidRPr="00241C0F">
        <w:rPr>
          <w:rFonts w:hint="eastAsia"/>
        </w:rPr>
        <w:t xml:space="preserve"> Psycho‐Oncology, 2018.</w:t>
      </w:r>
    </w:p>
    <w:p w:rsidR="002F7205" w:rsidRPr="00241C0F" w:rsidRDefault="002F7205" w:rsidP="002F7205">
      <w:pPr>
        <w:pStyle w:val="EndNoteBibliography"/>
        <w:spacing w:line="480" w:lineRule="auto"/>
        <w:ind w:left="720" w:hanging="720"/>
      </w:pPr>
      <w:r w:rsidRPr="00241C0F">
        <w:t>44.</w:t>
      </w:r>
      <w:r w:rsidRPr="00241C0F">
        <w:tab/>
        <w:t xml:space="preserve">Hoffmann, T.C., et al., </w:t>
      </w:r>
      <w:r w:rsidRPr="00241C0F">
        <w:rPr>
          <w:i/>
        </w:rPr>
        <w:t>Better reporting of interventions: template for intervention description and replication (TIDieR) checklist and guide.</w:t>
      </w:r>
      <w:r w:rsidRPr="00241C0F">
        <w:t xml:space="preserve"> Bmj, 2014. </w:t>
      </w:r>
      <w:r w:rsidRPr="00241C0F">
        <w:rPr>
          <w:b/>
        </w:rPr>
        <w:t>348</w:t>
      </w:r>
      <w:r w:rsidRPr="00241C0F">
        <w:t>: p. g1687.</w:t>
      </w:r>
    </w:p>
    <w:p w:rsidR="002F7205" w:rsidRPr="00241C0F" w:rsidRDefault="002F7205" w:rsidP="002F7205">
      <w:pPr>
        <w:pStyle w:val="EndNoteBibliography"/>
        <w:spacing w:line="480" w:lineRule="auto"/>
        <w:ind w:left="720" w:hanging="720"/>
      </w:pPr>
      <w:r w:rsidRPr="00241C0F">
        <w:t>45.</w:t>
      </w:r>
      <w:r w:rsidRPr="00241C0F">
        <w:tab/>
        <w:t xml:space="preserve">Little, P., et al., </w:t>
      </w:r>
      <w:r w:rsidRPr="00241C0F">
        <w:rPr>
          <w:i/>
        </w:rPr>
        <w:t>An internet-based intervention with brief nurse support to manage obesity in primary care (POWeR+): a pragmatic, parallel-group, randomised controlled trial.</w:t>
      </w:r>
      <w:r w:rsidRPr="00241C0F">
        <w:t xml:space="preserve"> The Lancet Diabetes &amp; Endocrinology, 2016. </w:t>
      </w:r>
      <w:r w:rsidRPr="00241C0F">
        <w:rPr>
          <w:b/>
        </w:rPr>
        <w:t>4</w:t>
      </w:r>
      <w:r w:rsidRPr="00241C0F">
        <w:t>(10): p. 821-828.</w:t>
      </w:r>
    </w:p>
    <w:p w:rsidR="002F7205" w:rsidRPr="00241C0F" w:rsidRDefault="002F7205" w:rsidP="002F7205">
      <w:pPr>
        <w:pStyle w:val="EndNoteBibliography"/>
        <w:spacing w:line="480" w:lineRule="auto"/>
        <w:ind w:left="720" w:hanging="720"/>
      </w:pPr>
      <w:r w:rsidRPr="00241C0F">
        <w:t>46.</w:t>
      </w:r>
      <w:r w:rsidRPr="00241C0F">
        <w:tab/>
        <w:t xml:space="preserve">Geraghty, A.W., et al., </w:t>
      </w:r>
      <w:r w:rsidRPr="00241C0F">
        <w:rPr>
          <w:i/>
        </w:rPr>
        <w:t>Developing an Unguided Internet-Delivered Intervention for Emotional Distress in Primary Care Patients: Applying Common Factor and Person-Based Approaches.</w:t>
      </w:r>
      <w:r w:rsidRPr="00241C0F">
        <w:t xml:space="preserve"> JMIR mental health, 2016. </w:t>
      </w:r>
      <w:r w:rsidRPr="00241C0F">
        <w:rPr>
          <w:b/>
        </w:rPr>
        <w:t>3</w:t>
      </w:r>
      <w:r w:rsidRPr="00241C0F">
        <w:t>(4).</w:t>
      </w:r>
    </w:p>
    <w:p w:rsidR="002F7205" w:rsidRPr="00241C0F" w:rsidRDefault="002F7205" w:rsidP="002F7205">
      <w:pPr>
        <w:pStyle w:val="EndNoteBibliography"/>
        <w:spacing w:line="480" w:lineRule="auto"/>
        <w:ind w:left="720" w:hanging="720"/>
      </w:pPr>
      <w:r w:rsidRPr="00241C0F">
        <w:t>47.</w:t>
      </w:r>
      <w:r w:rsidRPr="00241C0F">
        <w:tab/>
        <w:t xml:space="preserve">Cuijpers, P., A. Van Straten, and L. Warmerdam, </w:t>
      </w:r>
      <w:r w:rsidRPr="00241C0F">
        <w:rPr>
          <w:i/>
        </w:rPr>
        <w:t>Behavioral activation treatments of depression: A meta-analysis.</w:t>
      </w:r>
      <w:r w:rsidRPr="00241C0F">
        <w:t xml:space="preserve"> Clinical psychology review, 2007. </w:t>
      </w:r>
      <w:r w:rsidRPr="00241C0F">
        <w:rPr>
          <w:b/>
        </w:rPr>
        <w:t>27</w:t>
      </w:r>
      <w:r w:rsidRPr="00241C0F">
        <w:t>(3): p. 318-326.</w:t>
      </w:r>
    </w:p>
    <w:p w:rsidR="002F7205" w:rsidRPr="00241C0F" w:rsidRDefault="002F7205" w:rsidP="002F7205">
      <w:pPr>
        <w:pStyle w:val="EndNoteBibliography"/>
        <w:spacing w:line="480" w:lineRule="auto"/>
        <w:ind w:left="720" w:hanging="720"/>
      </w:pPr>
      <w:r w:rsidRPr="00241C0F">
        <w:rPr>
          <w:rFonts w:hint="eastAsia"/>
        </w:rPr>
        <w:lastRenderedPageBreak/>
        <w:t>48.</w:t>
      </w:r>
      <w:r w:rsidRPr="00241C0F">
        <w:rPr>
          <w:rFonts w:hint="eastAsia"/>
        </w:rPr>
        <w:tab/>
        <w:t xml:space="preserve">Schwingshackl, L. and G. Hoffmann, </w:t>
      </w:r>
      <w:r w:rsidRPr="00241C0F">
        <w:rPr>
          <w:rFonts w:hint="eastAsia"/>
          <w:i/>
        </w:rPr>
        <w:t>Adherence to Mediterranean diet and risk of cancer: an updated systematic review and meta‐analysis of obs</w:t>
      </w:r>
      <w:r w:rsidRPr="00241C0F">
        <w:rPr>
          <w:i/>
        </w:rPr>
        <w:t>ervational studies.</w:t>
      </w:r>
      <w:r w:rsidRPr="00241C0F">
        <w:t xml:space="preserve"> Cancer medicine, 2015. </w:t>
      </w:r>
      <w:r w:rsidRPr="00241C0F">
        <w:rPr>
          <w:b/>
        </w:rPr>
        <w:t>4</w:t>
      </w:r>
      <w:r w:rsidRPr="00241C0F">
        <w:t>(12): p. 1933-1947.</w:t>
      </w:r>
    </w:p>
    <w:p w:rsidR="002F7205" w:rsidRPr="00241C0F" w:rsidRDefault="002F7205" w:rsidP="002F7205">
      <w:pPr>
        <w:pStyle w:val="EndNoteBibliography"/>
        <w:spacing w:line="480" w:lineRule="auto"/>
        <w:ind w:left="720" w:hanging="720"/>
      </w:pPr>
      <w:r w:rsidRPr="00241C0F">
        <w:t>49.</w:t>
      </w:r>
      <w:r w:rsidRPr="00241C0F">
        <w:tab/>
        <w:t xml:space="preserve">Bradbury, K., et al., </w:t>
      </w:r>
      <w:r w:rsidRPr="00241C0F">
        <w:rPr>
          <w:i/>
        </w:rPr>
        <w:t>Understanding how primary care practitioners perceive an online intervention for the management of hypertension.</w:t>
      </w:r>
      <w:r w:rsidRPr="00241C0F">
        <w:t xml:space="preserve"> BMC medical informatics and decision making, 2017. </w:t>
      </w:r>
      <w:r w:rsidRPr="00241C0F">
        <w:rPr>
          <w:b/>
        </w:rPr>
        <w:t>17</w:t>
      </w:r>
      <w:r w:rsidRPr="00241C0F">
        <w:t>(1): p. 5.</w:t>
      </w:r>
    </w:p>
    <w:p w:rsidR="002F7205" w:rsidRPr="00241C0F" w:rsidRDefault="002F7205" w:rsidP="002F7205">
      <w:pPr>
        <w:pStyle w:val="EndNoteBibliography"/>
        <w:spacing w:line="480" w:lineRule="auto"/>
        <w:ind w:left="720" w:hanging="720"/>
      </w:pPr>
      <w:r w:rsidRPr="00241C0F">
        <w:t>50.</w:t>
      </w:r>
      <w:r w:rsidRPr="00241C0F">
        <w:tab/>
        <w:t xml:space="preserve">Smith, E., et al., </w:t>
      </w:r>
      <w:r w:rsidRPr="00241C0F">
        <w:rPr>
          <w:i/>
        </w:rPr>
        <w:t>Providing online weight management in Primary Care: a mixed methods process evaluation of healthcare practitioners’ experiences of using and supporting patients using POWeR+.</w:t>
      </w:r>
      <w:r w:rsidRPr="00241C0F">
        <w:t xml:space="preserve"> Implementation Science, 2017. </w:t>
      </w:r>
      <w:r w:rsidRPr="00241C0F">
        <w:rPr>
          <w:b/>
        </w:rPr>
        <w:t>12</w:t>
      </w:r>
      <w:r w:rsidRPr="00241C0F">
        <w:t>(1): p. 69.</w:t>
      </w:r>
    </w:p>
    <w:p w:rsidR="002F7205" w:rsidRPr="00241C0F" w:rsidRDefault="002F7205" w:rsidP="002F7205">
      <w:pPr>
        <w:pStyle w:val="EndNoteBibliography"/>
        <w:spacing w:line="480" w:lineRule="auto"/>
        <w:ind w:left="720" w:hanging="720"/>
      </w:pPr>
      <w:r w:rsidRPr="00241C0F">
        <w:t>51.</w:t>
      </w:r>
      <w:r w:rsidRPr="00241C0F">
        <w:tab/>
        <w:t xml:space="preserve">Dillman, D.A., J.D. Smyth, and L.M. Christian, </w:t>
      </w:r>
      <w:r w:rsidRPr="00241C0F">
        <w:rPr>
          <w:i/>
        </w:rPr>
        <w:t>Internet, phone, mail, and mixed-mode surveys: the tailored design method</w:t>
      </w:r>
      <w:r w:rsidRPr="00241C0F">
        <w:t>. 2014: John Wiley &amp; Sons.</w:t>
      </w:r>
    </w:p>
    <w:p w:rsidR="002F7205" w:rsidRPr="00241C0F" w:rsidRDefault="002F7205" w:rsidP="002F7205">
      <w:pPr>
        <w:pStyle w:val="EndNoteBibliography"/>
        <w:spacing w:line="480" w:lineRule="auto"/>
        <w:ind w:left="720" w:hanging="720"/>
      </w:pPr>
      <w:r w:rsidRPr="00241C0F">
        <w:t>52.</w:t>
      </w:r>
      <w:r w:rsidRPr="00241C0F">
        <w:tab/>
        <w:t xml:space="preserve">Giesinger, J.M., et al., </w:t>
      </w:r>
      <w:r w:rsidRPr="00241C0F">
        <w:rPr>
          <w:i/>
        </w:rPr>
        <w:t>Thresholds for clinical importance for four key domains of the EORTC QLQ-C30: physical functioning, emotional functioning, fatigue and pain.</w:t>
      </w:r>
      <w:r w:rsidRPr="00241C0F">
        <w:t xml:space="preserve"> Health and quality of life outcomes, 2016. </w:t>
      </w:r>
      <w:r w:rsidRPr="00241C0F">
        <w:rPr>
          <w:b/>
        </w:rPr>
        <w:t>14</w:t>
      </w:r>
      <w:r w:rsidRPr="00241C0F">
        <w:t>(1): p. 87.</w:t>
      </w:r>
    </w:p>
    <w:p w:rsidR="002F7205" w:rsidRPr="00241C0F" w:rsidRDefault="002F7205" w:rsidP="002F7205">
      <w:pPr>
        <w:pStyle w:val="EndNoteBibliography"/>
        <w:spacing w:line="480" w:lineRule="auto"/>
        <w:ind w:left="720" w:hanging="720"/>
      </w:pPr>
      <w:r w:rsidRPr="00241C0F">
        <w:t>53.</w:t>
      </w:r>
      <w:r w:rsidRPr="00241C0F">
        <w:tab/>
        <w:t xml:space="preserve">Greenberg, D.B., et al., </w:t>
      </w:r>
      <w:r w:rsidRPr="00241C0F">
        <w:rPr>
          <w:i/>
        </w:rPr>
        <w:t>Quality of life for adult leukemia survivors treated on clinical trials of cancer and leukemia group B d</w:t>
      </w:r>
      <w:r w:rsidRPr="00241C0F">
        <w:rPr>
          <w:rFonts w:hint="eastAsia"/>
          <w:i/>
        </w:rPr>
        <w:t>uring the period 1971‐1988.</w:t>
      </w:r>
      <w:r w:rsidRPr="00241C0F">
        <w:rPr>
          <w:rFonts w:hint="eastAsia"/>
        </w:rPr>
        <w:t xml:space="preserve"> Cancer, 1997. </w:t>
      </w:r>
      <w:r w:rsidRPr="00241C0F">
        <w:rPr>
          <w:rFonts w:hint="eastAsia"/>
          <w:b/>
        </w:rPr>
        <w:t>80</w:t>
      </w:r>
      <w:r w:rsidRPr="00241C0F">
        <w:rPr>
          <w:rFonts w:hint="eastAsia"/>
        </w:rPr>
        <w:t>(10): p. 1936-1944.</w:t>
      </w:r>
    </w:p>
    <w:p w:rsidR="002F7205" w:rsidRPr="00241C0F" w:rsidRDefault="002F7205" w:rsidP="002F7205">
      <w:pPr>
        <w:pStyle w:val="EndNoteBibliography"/>
        <w:spacing w:line="480" w:lineRule="auto"/>
        <w:ind w:left="720" w:hanging="720"/>
      </w:pPr>
      <w:r w:rsidRPr="00241C0F">
        <w:t>54.</w:t>
      </w:r>
      <w:r w:rsidRPr="00241C0F">
        <w:tab/>
        <w:t xml:space="preserve">Howie, J.G., et al., </w:t>
      </w:r>
      <w:r w:rsidRPr="00241C0F">
        <w:rPr>
          <w:i/>
        </w:rPr>
        <w:t>Quality at general practice consultations: cross sectional survey.</w:t>
      </w:r>
      <w:r w:rsidRPr="00241C0F">
        <w:t xml:space="preserve"> Bmj, 1999. </w:t>
      </w:r>
      <w:r w:rsidRPr="00241C0F">
        <w:rPr>
          <w:b/>
        </w:rPr>
        <w:t>319</w:t>
      </w:r>
      <w:r w:rsidRPr="00241C0F">
        <w:t>(7212): p. 738-743.</w:t>
      </w:r>
    </w:p>
    <w:p w:rsidR="002F7205" w:rsidRPr="00241C0F" w:rsidRDefault="002F7205" w:rsidP="002F7205">
      <w:pPr>
        <w:pStyle w:val="EndNoteBibliography"/>
        <w:spacing w:line="480" w:lineRule="auto"/>
        <w:ind w:left="720" w:hanging="720"/>
      </w:pPr>
      <w:r w:rsidRPr="00241C0F">
        <w:t>55.</w:t>
      </w:r>
      <w:r w:rsidRPr="00241C0F">
        <w:tab/>
        <w:t xml:space="preserve">Little, P., et al., </w:t>
      </w:r>
      <w:r w:rsidRPr="00241C0F">
        <w:rPr>
          <w:i/>
        </w:rPr>
        <w:t>Randomised controlled trial of Alexander technique lessons, exercise, and massage (ATEAM) for chronic and recurrent back pain.</w:t>
      </w:r>
      <w:r w:rsidRPr="00241C0F">
        <w:t xml:space="preserve"> Bmj, 2008. </w:t>
      </w:r>
      <w:r w:rsidRPr="00241C0F">
        <w:rPr>
          <w:b/>
        </w:rPr>
        <w:t>337</w:t>
      </w:r>
      <w:r w:rsidRPr="00241C0F">
        <w:t>: p. a884.</w:t>
      </w:r>
    </w:p>
    <w:p w:rsidR="002F7205" w:rsidRPr="00241C0F" w:rsidRDefault="002F7205" w:rsidP="002F7205">
      <w:pPr>
        <w:pStyle w:val="EndNoteBibliography"/>
        <w:spacing w:line="480" w:lineRule="auto"/>
        <w:ind w:left="720" w:hanging="720"/>
      </w:pPr>
      <w:r w:rsidRPr="00241C0F">
        <w:t>56.</w:t>
      </w:r>
      <w:r w:rsidRPr="00241C0F">
        <w:tab/>
        <w:t xml:space="preserve">Herdman, M., et al., </w:t>
      </w:r>
      <w:r w:rsidRPr="00241C0F">
        <w:rPr>
          <w:i/>
        </w:rPr>
        <w:t>Development and preliminary testing of the new five-level version of EQ-5D (EQ-5D-5L).</w:t>
      </w:r>
      <w:r w:rsidRPr="00241C0F">
        <w:t xml:space="preserve"> Quality of life research, 2011. </w:t>
      </w:r>
      <w:r w:rsidRPr="00241C0F">
        <w:rPr>
          <w:b/>
        </w:rPr>
        <w:t>20</w:t>
      </w:r>
      <w:r w:rsidRPr="00241C0F">
        <w:t>(10): p. 1727-1736.</w:t>
      </w:r>
    </w:p>
    <w:p w:rsidR="002F7205" w:rsidRPr="00241C0F" w:rsidRDefault="002F7205" w:rsidP="002F7205">
      <w:pPr>
        <w:pStyle w:val="EndNoteBibliography"/>
        <w:spacing w:line="480" w:lineRule="auto"/>
        <w:ind w:left="720" w:hanging="720"/>
      </w:pPr>
      <w:r w:rsidRPr="00241C0F">
        <w:t>57.</w:t>
      </w:r>
      <w:r w:rsidRPr="00241C0F">
        <w:tab/>
        <w:t xml:space="preserve">Van Hout, B., et al., </w:t>
      </w:r>
      <w:r w:rsidRPr="00241C0F">
        <w:rPr>
          <w:i/>
        </w:rPr>
        <w:t>Interim scoring for the EQ-5D-5L: mapping the EQ-5D-5L to EQ-5D-3L value sets.</w:t>
      </w:r>
      <w:r w:rsidRPr="00241C0F">
        <w:t xml:space="preserve"> Value in Health, 2012. </w:t>
      </w:r>
      <w:r w:rsidRPr="00241C0F">
        <w:rPr>
          <w:b/>
        </w:rPr>
        <w:t>15</w:t>
      </w:r>
      <w:r w:rsidRPr="00241C0F">
        <w:t>(5): p. 708-715.</w:t>
      </w:r>
    </w:p>
    <w:p w:rsidR="002F7205" w:rsidRPr="00241C0F" w:rsidRDefault="002F7205" w:rsidP="002F7205">
      <w:pPr>
        <w:pStyle w:val="EndNoteBibliography"/>
        <w:spacing w:line="480" w:lineRule="auto"/>
        <w:ind w:left="720" w:hanging="720"/>
      </w:pPr>
      <w:r w:rsidRPr="00241C0F">
        <w:lastRenderedPageBreak/>
        <w:t>58.</w:t>
      </w:r>
      <w:r w:rsidRPr="00241C0F">
        <w:tab/>
        <w:t xml:space="preserve">Joffe, H. and L. Yardley, </w:t>
      </w:r>
      <w:r w:rsidRPr="00241C0F">
        <w:rPr>
          <w:i/>
        </w:rPr>
        <w:t>4. Content and thematic analysis.</w:t>
      </w:r>
      <w:r w:rsidRPr="00241C0F">
        <w:t xml:space="preserve"> Research methods for clinical and health psychology. California: Sage, 2004: p. 56-68.</w:t>
      </w:r>
    </w:p>
    <w:bookmarkEnd w:id="23"/>
    <w:p w:rsidR="002F7205" w:rsidRDefault="002F7205" w:rsidP="002F7205">
      <w:pPr>
        <w:pStyle w:val="EndNoteBibliography"/>
        <w:spacing w:line="480" w:lineRule="auto"/>
      </w:pPr>
    </w:p>
    <w:p w:rsidR="002F7205" w:rsidRDefault="002F7205" w:rsidP="00721201">
      <w:bookmarkStart w:id="24" w:name="_Toc459899682"/>
      <w:bookmarkStart w:id="25" w:name="_Toc459899683"/>
      <w:bookmarkStart w:id="26" w:name="_Toc459899684"/>
      <w:bookmarkEnd w:id="24"/>
      <w:bookmarkEnd w:id="25"/>
      <w:bookmarkEnd w:id="26"/>
    </w:p>
    <w:p w:rsidR="00246AD8" w:rsidRDefault="00246AD8">
      <w:r>
        <w:br w:type="page"/>
      </w:r>
    </w:p>
    <w:p w:rsidR="00246AD8" w:rsidRDefault="00246AD8" w:rsidP="00246AD8">
      <w:pPr>
        <w:jc w:val="center"/>
      </w:pPr>
      <w:r>
        <w:rPr>
          <w:b/>
        </w:rPr>
        <w:lastRenderedPageBreak/>
        <w:t>Figure Legends</w:t>
      </w:r>
    </w:p>
    <w:p w:rsidR="00246AD8" w:rsidRPr="00D4189A" w:rsidRDefault="00246AD8" w:rsidP="00246AD8">
      <w:pPr>
        <w:pStyle w:val="Heading2"/>
        <w:numPr>
          <w:ilvl w:val="1"/>
          <w:numId w:val="0"/>
        </w:numPr>
        <w:spacing w:before="0" w:after="120" w:line="360" w:lineRule="auto"/>
        <w:ind w:left="576" w:hanging="576"/>
      </w:pPr>
      <w:r w:rsidRPr="007545FC">
        <w:rPr>
          <w:b w:val="0"/>
        </w:rPr>
        <w:t>Figure 1. RCT and Pilot Study Procedure Flowchart</w:t>
      </w:r>
    </w:p>
    <w:p w:rsidR="00246AD8" w:rsidRPr="007545FC" w:rsidRDefault="00246AD8" w:rsidP="00246AD8">
      <w:pPr>
        <w:pStyle w:val="EndNoteBibliography"/>
        <w:ind w:left="0" w:firstLine="0"/>
        <w:rPr>
          <w:b/>
        </w:rPr>
      </w:pPr>
      <w:r w:rsidRPr="007545FC">
        <w:t xml:space="preserve">Figure 2. Renewed Intervention Outline </w:t>
      </w:r>
    </w:p>
    <w:p w:rsidR="002F7205" w:rsidRDefault="002F7205"/>
    <w:sectPr w:rsidR="002F7205" w:rsidSect="007212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9F9" w:rsidRDefault="00C7660E">
      <w:pPr>
        <w:spacing w:before="0" w:line="240" w:lineRule="auto"/>
      </w:pPr>
      <w:r>
        <w:separator/>
      </w:r>
    </w:p>
  </w:endnote>
  <w:endnote w:type="continuationSeparator" w:id="0">
    <w:p w:rsidR="001459F9" w:rsidRDefault="00C7660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terfaceregular">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414642"/>
      <w:docPartObj>
        <w:docPartGallery w:val="Page Numbers (Bottom of Page)"/>
        <w:docPartUnique/>
      </w:docPartObj>
    </w:sdtPr>
    <w:sdtEndPr/>
    <w:sdtContent>
      <w:p w:rsidR="005F29DC" w:rsidRDefault="002F7205">
        <w:pPr>
          <w:pStyle w:val="Footer"/>
        </w:pPr>
        <w:r>
          <w:fldChar w:fldCharType="begin"/>
        </w:r>
        <w:r>
          <w:instrText xml:space="preserve"> PAGE   \* MERGEFORMAT </w:instrText>
        </w:r>
        <w:r>
          <w:fldChar w:fldCharType="separate"/>
        </w:r>
        <w:r>
          <w:rPr>
            <w:noProof/>
          </w:rPr>
          <w:t>24</w:t>
        </w:r>
        <w:r>
          <w:rPr>
            <w:noProof/>
          </w:rPr>
          <w:fldChar w:fldCharType="end"/>
        </w:r>
      </w:p>
    </w:sdtContent>
  </w:sdt>
  <w:p w:rsidR="005F29DC" w:rsidRDefault="005B687D" w:rsidP="004A7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49952"/>
      <w:docPartObj>
        <w:docPartGallery w:val="Page Numbers (Bottom of Page)"/>
        <w:docPartUnique/>
      </w:docPartObj>
    </w:sdtPr>
    <w:sdtEndPr/>
    <w:sdtContent>
      <w:p w:rsidR="005F29DC" w:rsidRDefault="002F7205">
        <w:pPr>
          <w:pStyle w:val="Footer"/>
        </w:pPr>
        <w:r>
          <w:fldChar w:fldCharType="begin"/>
        </w:r>
        <w:r>
          <w:instrText xml:space="preserve"> PAGE   \* MERGEFORMAT </w:instrText>
        </w:r>
        <w:r>
          <w:fldChar w:fldCharType="separate"/>
        </w:r>
        <w:r>
          <w:rPr>
            <w:noProof/>
          </w:rPr>
          <w:t>1</w:t>
        </w:r>
        <w:r>
          <w:rPr>
            <w:noProof/>
          </w:rPr>
          <w:fldChar w:fldCharType="end"/>
        </w:r>
      </w:p>
    </w:sdtContent>
  </w:sdt>
  <w:p w:rsidR="005F29DC" w:rsidRDefault="005B6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9F9" w:rsidRDefault="00C7660E">
      <w:pPr>
        <w:spacing w:before="0" w:line="240" w:lineRule="auto"/>
      </w:pPr>
      <w:r>
        <w:separator/>
      </w:r>
    </w:p>
  </w:footnote>
  <w:footnote w:type="continuationSeparator" w:id="0">
    <w:p w:rsidR="001459F9" w:rsidRDefault="00C7660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9DC" w:rsidRDefault="002F7205">
    <w:pPr>
      <w:pStyle w:val="Header"/>
    </w:pPr>
    <w:r>
      <w:t>RUNNING HEAD: RCT PROTOCOL: RENEWED FOR CANCER SURVIVORS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9DC" w:rsidRDefault="002F7205">
    <w:pPr>
      <w:pStyle w:val="Header"/>
    </w:pPr>
    <w:r>
      <w:t>RUNNING HEAD: DISPOSITIONAL MINDFULNESS IN PREGNANCY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857"/>
    <w:multiLevelType w:val="hybridMultilevel"/>
    <w:tmpl w:val="1A162398"/>
    <w:lvl w:ilvl="0" w:tplc="08090001">
      <w:start w:val="1"/>
      <w:numFmt w:val="bullet"/>
      <w:lvlText w:val=""/>
      <w:lvlJc w:val="left"/>
      <w:pPr>
        <w:tabs>
          <w:tab w:val="num" w:pos="360"/>
        </w:tabs>
        <w:ind w:left="360" w:hanging="360"/>
      </w:pPr>
      <w:rPr>
        <w:rFonts w:ascii="Symbol" w:hAnsi="Symbol" w:hint="default"/>
      </w:rPr>
    </w:lvl>
    <w:lvl w:ilvl="1" w:tplc="020A8196" w:tentative="1">
      <w:start w:val="1"/>
      <w:numFmt w:val="bullet"/>
      <w:lvlText w:val=""/>
      <w:lvlJc w:val="left"/>
      <w:pPr>
        <w:tabs>
          <w:tab w:val="num" w:pos="1080"/>
        </w:tabs>
        <w:ind w:left="1080" w:hanging="360"/>
      </w:pPr>
      <w:rPr>
        <w:rFonts w:ascii="Wingdings" w:hAnsi="Wingdings" w:hint="default"/>
      </w:rPr>
    </w:lvl>
    <w:lvl w:ilvl="2" w:tplc="F8D6BA10" w:tentative="1">
      <w:start w:val="1"/>
      <w:numFmt w:val="bullet"/>
      <w:lvlText w:val=""/>
      <w:lvlJc w:val="left"/>
      <w:pPr>
        <w:tabs>
          <w:tab w:val="num" w:pos="1800"/>
        </w:tabs>
        <w:ind w:left="1800" w:hanging="360"/>
      </w:pPr>
      <w:rPr>
        <w:rFonts w:ascii="Wingdings" w:hAnsi="Wingdings" w:hint="default"/>
      </w:rPr>
    </w:lvl>
    <w:lvl w:ilvl="3" w:tplc="7238407C" w:tentative="1">
      <w:start w:val="1"/>
      <w:numFmt w:val="bullet"/>
      <w:lvlText w:val=""/>
      <w:lvlJc w:val="left"/>
      <w:pPr>
        <w:tabs>
          <w:tab w:val="num" w:pos="2520"/>
        </w:tabs>
        <w:ind w:left="2520" w:hanging="360"/>
      </w:pPr>
      <w:rPr>
        <w:rFonts w:ascii="Wingdings" w:hAnsi="Wingdings" w:hint="default"/>
      </w:rPr>
    </w:lvl>
    <w:lvl w:ilvl="4" w:tplc="4F0E23A8" w:tentative="1">
      <w:start w:val="1"/>
      <w:numFmt w:val="bullet"/>
      <w:lvlText w:val=""/>
      <w:lvlJc w:val="left"/>
      <w:pPr>
        <w:tabs>
          <w:tab w:val="num" w:pos="3240"/>
        </w:tabs>
        <w:ind w:left="3240" w:hanging="360"/>
      </w:pPr>
      <w:rPr>
        <w:rFonts w:ascii="Wingdings" w:hAnsi="Wingdings" w:hint="default"/>
      </w:rPr>
    </w:lvl>
    <w:lvl w:ilvl="5" w:tplc="2DFA22E2" w:tentative="1">
      <w:start w:val="1"/>
      <w:numFmt w:val="bullet"/>
      <w:lvlText w:val=""/>
      <w:lvlJc w:val="left"/>
      <w:pPr>
        <w:tabs>
          <w:tab w:val="num" w:pos="3960"/>
        </w:tabs>
        <w:ind w:left="3960" w:hanging="360"/>
      </w:pPr>
      <w:rPr>
        <w:rFonts w:ascii="Wingdings" w:hAnsi="Wingdings" w:hint="default"/>
      </w:rPr>
    </w:lvl>
    <w:lvl w:ilvl="6" w:tplc="8F702974" w:tentative="1">
      <w:start w:val="1"/>
      <w:numFmt w:val="bullet"/>
      <w:lvlText w:val=""/>
      <w:lvlJc w:val="left"/>
      <w:pPr>
        <w:tabs>
          <w:tab w:val="num" w:pos="4680"/>
        </w:tabs>
        <w:ind w:left="4680" w:hanging="360"/>
      </w:pPr>
      <w:rPr>
        <w:rFonts w:ascii="Wingdings" w:hAnsi="Wingdings" w:hint="default"/>
      </w:rPr>
    </w:lvl>
    <w:lvl w:ilvl="7" w:tplc="8E9EE362" w:tentative="1">
      <w:start w:val="1"/>
      <w:numFmt w:val="bullet"/>
      <w:lvlText w:val=""/>
      <w:lvlJc w:val="left"/>
      <w:pPr>
        <w:tabs>
          <w:tab w:val="num" w:pos="5400"/>
        </w:tabs>
        <w:ind w:left="5400" w:hanging="360"/>
      </w:pPr>
      <w:rPr>
        <w:rFonts w:ascii="Wingdings" w:hAnsi="Wingdings" w:hint="default"/>
      </w:rPr>
    </w:lvl>
    <w:lvl w:ilvl="8" w:tplc="D8C6A93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4A0FD5"/>
    <w:multiLevelType w:val="hybridMultilevel"/>
    <w:tmpl w:val="081C7F4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2537F5"/>
    <w:multiLevelType w:val="hybridMultilevel"/>
    <w:tmpl w:val="DD2E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6673C"/>
    <w:multiLevelType w:val="hybridMultilevel"/>
    <w:tmpl w:val="B64AC6DA"/>
    <w:lvl w:ilvl="0" w:tplc="07744626">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0F502033"/>
    <w:multiLevelType w:val="hybridMultilevel"/>
    <w:tmpl w:val="DB8E66EC"/>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 w15:restartNumberingAfterBreak="0">
    <w:nsid w:val="14FB0C88"/>
    <w:multiLevelType w:val="multilevel"/>
    <w:tmpl w:val="F516CE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4B0F85"/>
    <w:multiLevelType w:val="hybridMultilevel"/>
    <w:tmpl w:val="DB8E66EC"/>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15:restartNumberingAfterBreak="0">
    <w:nsid w:val="160A2CDE"/>
    <w:multiLevelType w:val="hybridMultilevel"/>
    <w:tmpl w:val="02D86756"/>
    <w:lvl w:ilvl="0" w:tplc="9B7A2414">
      <w:start w:val="1"/>
      <w:numFmt w:val="decimal"/>
      <w:lvlText w:val="%1."/>
      <w:lvlJc w:val="left"/>
      <w:pPr>
        <w:ind w:left="436" w:hanging="360"/>
      </w:pPr>
      <w:rPr>
        <w:rFonts w:hint="default"/>
        <w:sz w:val="28"/>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8" w15:restartNumberingAfterBreak="0">
    <w:nsid w:val="23B6316D"/>
    <w:multiLevelType w:val="hybridMultilevel"/>
    <w:tmpl w:val="76BA527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27115F94"/>
    <w:multiLevelType w:val="hybridMultilevel"/>
    <w:tmpl w:val="C9984062"/>
    <w:lvl w:ilvl="0" w:tplc="F6C480DA">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275116A4"/>
    <w:multiLevelType w:val="hybridMultilevel"/>
    <w:tmpl w:val="B21424F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15:restartNumberingAfterBreak="0">
    <w:nsid w:val="35F6573C"/>
    <w:multiLevelType w:val="hybridMultilevel"/>
    <w:tmpl w:val="8174B34C"/>
    <w:lvl w:ilvl="0" w:tplc="99BEA702">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44872AF7"/>
    <w:multiLevelType w:val="hybridMultilevel"/>
    <w:tmpl w:val="05AAAD5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47CA620B"/>
    <w:multiLevelType w:val="hybridMultilevel"/>
    <w:tmpl w:val="D5B89B26"/>
    <w:lvl w:ilvl="0" w:tplc="5A083A2A">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4D4A4EBF"/>
    <w:multiLevelType w:val="hybridMultilevel"/>
    <w:tmpl w:val="98E4F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AF62CA"/>
    <w:multiLevelType w:val="hybridMultilevel"/>
    <w:tmpl w:val="581ECD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54C3771B"/>
    <w:multiLevelType w:val="hybridMultilevel"/>
    <w:tmpl w:val="54968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8E4AAD"/>
    <w:multiLevelType w:val="hybridMultilevel"/>
    <w:tmpl w:val="48123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24D82"/>
    <w:multiLevelType w:val="hybridMultilevel"/>
    <w:tmpl w:val="66A8A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712A38"/>
    <w:multiLevelType w:val="hybridMultilevel"/>
    <w:tmpl w:val="EAB6DAEA"/>
    <w:lvl w:ilvl="0" w:tplc="B2D075C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0" w15:restartNumberingAfterBreak="0">
    <w:nsid w:val="6CDE4BA8"/>
    <w:multiLevelType w:val="multilevel"/>
    <w:tmpl w:val="8BE2CD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10D31"/>
    <w:multiLevelType w:val="hybridMultilevel"/>
    <w:tmpl w:val="4FF4DA5E"/>
    <w:lvl w:ilvl="0" w:tplc="0809000F">
      <w:start w:val="1"/>
      <w:numFmt w:val="decimal"/>
      <w:lvlText w:val="%1."/>
      <w:lvlJc w:val="left"/>
      <w:pPr>
        <w:ind w:left="720" w:hanging="360"/>
      </w:pPr>
      <w:rPr>
        <w:rFonts w:hint="default"/>
        <w:sz w:val="24"/>
      </w:rPr>
    </w:lvl>
    <w:lvl w:ilvl="1" w:tplc="7CFAF590">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8D70E7"/>
    <w:multiLevelType w:val="hybridMultilevel"/>
    <w:tmpl w:val="61A8BED0"/>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3" w15:restartNumberingAfterBreak="0">
    <w:nsid w:val="7BB81381"/>
    <w:multiLevelType w:val="hybridMultilevel"/>
    <w:tmpl w:val="F020BE4C"/>
    <w:lvl w:ilvl="0" w:tplc="0809000F">
      <w:start w:val="1"/>
      <w:numFmt w:val="decimal"/>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4" w15:restartNumberingAfterBreak="0">
    <w:nsid w:val="7D1570A8"/>
    <w:multiLevelType w:val="multilevel"/>
    <w:tmpl w:val="13EEED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4"/>
  </w:num>
  <w:num w:numId="2">
    <w:abstractNumId w:val="21"/>
  </w:num>
  <w:num w:numId="3">
    <w:abstractNumId w:val="14"/>
  </w:num>
  <w:num w:numId="4">
    <w:abstractNumId w:val="17"/>
  </w:num>
  <w:num w:numId="5">
    <w:abstractNumId w:val="18"/>
  </w:num>
  <w:num w:numId="6">
    <w:abstractNumId w:val="0"/>
  </w:num>
  <w:num w:numId="7">
    <w:abstractNumId w:val="1"/>
  </w:num>
  <w:num w:numId="8">
    <w:abstractNumId w:val="2"/>
  </w:num>
  <w:num w:numId="9">
    <w:abstractNumId w:val="16"/>
  </w:num>
  <w:num w:numId="10">
    <w:abstractNumId w:val="12"/>
  </w:num>
  <w:num w:numId="11">
    <w:abstractNumId w:val="15"/>
  </w:num>
  <w:num w:numId="12">
    <w:abstractNumId w:val="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2"/>
  </w:num>
  <w:num w:numId="26">
    <w:abstractNumId w:val="23"/>
  </w:num>
  <w:num w:numId="27">
    <w:abstractNumId w:val="4"/>
  </w:num>
  <w:num w:numId="28">
    <w:abstractNumId w:val="10"/>
  </w:num>
  <w:num w:numId="29">
    <w:abstractNumId w:val="20"/>
  </w:num>
  <w:num w:numId="30">
    <w:abstractNumId w:val="6"/>
  </w:num>
  <w:num w:numId="31">
    <w:abstractNumId w:val="9"/>
  </w:num>
  <w:num w:numId="32">
    <w:abstractNumId w:val="19"/>
  </w:num>
  <w:num w:numId="33">
    <w:abstractNumId w:val="3"/>
  </w:num>
  <w:num w:numId="34">
    <w:abstractNumId w:val="1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F7205"/>
    <w:rsid w:val="001459F9"/>
    <w:rsid w:val="00246AD8"/>
    <w:rsid w:val="002F7205"/>
    <w:rsid w:val="005B687D"/>
    <w:rsid w:val="006C7FB3"/>
    <w:rsid w:val="00721201"/>
    <w:rsid w:val="00732B88"/>
    <w:rsid w:val="00887454"/>
    <w:rsid w:val="00C7660E"/>
    <w:rsid w:val="00FD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1D9A7"/>
  <w15:chartTrackingRefBased/>
  <w15:docId w15:val="{391E782F-83B7-498C-BD32-9153CF8E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205"/>
    <w:pPr>
      <w:autoSpaceDE w:val="0"/>
      <w:autoSpaceDN w:val="0"/>
      <w:adjustRightInd w:val="0"/>
      <w:spacing w:before="240" w:after="0" w:line="480" w:lineRule="auto"/>
      <w:ind w:left="-426" w:right="-472" w:firstLine="284"/>
      <w:contextualSpacing/>
    </w:pPr>
    <w:rPr>
      <w:rFonts w:ascii="Times New Roman" w:eastAsiaTheme="minorEastAsia" w:hAnsi="Times New Roman" w:cs="Times New Roman"/>
      <w:color w:val="222A35" w:themeColor="text2" w:themeShade="80"/>
      <w:sz w:val="24"/>
      <w:szCs w:val="24"/>
    </w:rPr>
  </w:style>
  <w:style w:type="paragraph" w:styleId="Heading1">
    <w:name w:val="heading 1"/>
    <w:basedOn w:val="Normal"/>
    <w:next w:val="Normal"/>
    <w:link w:val="Heading1Char1"/>
    <w:uiPriority w:val="9"/>
    <w:qFormat/>
    <w:rsid w:val="002F7205"/>
    <w:pPr>
      <w:autoSpaceDE/>
      <w:autoSpaceDN/>
      <w:adjustRightInd/>
      <w:spacing w:before="0"/>
      <w:jc w:val="center"/>
      <w:outlineLvl w:val="0"/>
    </w:pPr>
    <w:rPr>
      <w:b/>
      <w:caps/>
    </w:rPr>
  </w:style>
  <w:style w:type="paragraph" w:styleId="Heading2">
    <w:name w:val="heading 2"/>
    <w:basedOn w:val="Normal"/>
    <w:next w:val="Normal"/>
    <w:link w:val="Heading2Char"/>
    <w:uiPriority w:val="9"/>
    <w:unhideWhenUsed/>
    <w:qFormat/>
    <w:rsid w:val="002F7205"/>
    <w:pPr>
      <w:outlineLvl w:val="1"/>
    </w:pPr>
    <w:rPr>
      <w:b/>
    </w:rPr>
  </w:style>
  <w:style w:type="paragraph" w:styleId="Heading3">
    <w:name w:val="heading 3"/>
    <w:basedOn w:val="Normal"/>
    <w:next w:val="Normal"/>
    <w:link w:val="Heading3Char"/>
    <w:uiPriority w:val="9"/>
    <w:unhideWhenUsed/>
    <w:qFormat/>
    <w:rsid w:val="002F7205"/>
    <w:pPr>
      <w:numPr>
        <w:ilvl w:val="2"/>
        <w:numId w:val="1"/>
      </w:numPr>
      <w:pBdr>
        <w:bottom w:val="single" w:sz="4" w:space="1" w:color="8EAADB" w:themeColor="accent1" w:themeTint="99"/>
      </w:pBdr>
      <w:spacing w:before="200" w:after="80"/>
      <w:outlineLvl w:val="2"/>
    </w:pPr>
    <w:rPr>
      <w:rFonts w:eastAsiaTheme="majorEastAsia" w:cstheme="majorBidi"/>
      <w:i/>
      <w:color w:val="44546A" w:themeColor="text2"/>
    </w:rPr>
  </w:style>
  <w:style w:type="paragraph" w:styleId="Heading4">
    <w:name w:val="heading 4"/>
    <w:basedOn w:val="Normal"/>
    <w:next w:val="Normal"/>
    <w:link w:val="Heading4Char"/>
    <w:uiPriority w:val="9"/>
    <w:unhideWhenUsed/>
    <w:qFormat/>
    <w:rsid w:val="002F7205"/>
    <w:pPr>
      <w:numPr>
        <w:ilvl w:val="3"/>
        <w:numId w:val="1"/>
      </w:numPr>
      <w:pBdr>
        <w:bottom w:val="single" w:sz="4" w:space="2" w:color="B4C6E7" w:themeColor="accent1" w:themeTint="66"/>
      </w:pBdr>
      <w:spacing w:before="200" w:after="80"/>
      <w:outlineLvl w:val="3"/>
    </w:pPr>
    <w:rPr>
      <w:rFonts w:eastAsiaTheme="majorEastAsia" w:cstheme="majorBidi"/>
      <w:i/>
      <w:iCs/>
      <w:color w:val="4472C4" w:themeColor="accent1"/>
    </w:rPr>
  </w:style>
  <w:style w:type="paragraph" w:styleId="Heading5">
    <w:name w:val="heading 5"/>
    <w:basedOn w:val="Normal"/>
    <w:next w:val="Normal"/>
    <w:link w:val="Heading5Char"/>
    <w:uiPriority w:val="9"/>
    <w:unhideWhenUsed/>
    <w:qFormat/>
    <w:rsid w:val="002F7205"/>
    <w:pPr>
      <w:numPr>
        <w:ilvl w:val="4"/>
        <w:numId w:val="1"/>
      </w:numPr>
      <w:spacing w:before="200" w:after="80"/>
      <w:outlineLvl w:val="4"/>
    </w:pPr>
    <w:rPr>
      <w:rFonts w:eastAsiaTheme="majorEastAsia" w:cstheme="majorBidi"/>
      <w:color w:val="000000" w:themeColor="text1"/>
      <w:sz w:val="22"/>
      <w:u w:val="single"/>
    </w:rPr>
  </w:style>
  <w:style w:type="paragraph" w:styleId="Heading6">
    <w:name w:val="heading 6"/>
    <w:basedOn w:val="Normal"/>
    <w:next w:val="Normal"/>
    <w:link w:val="Heading6Char"/>
    <w:uiPriority w:val="9"/>
    <w:semiHidden/>
    <w:unhideWhenUsed/>
    <w:qFormat/>
    <w:rsid w:val="002F7205"/>
    <w:pPr>
      <w:numPr>
        <w:ilvl w:val="5"/>
        <w:numId w:val="1"/>
      </w:num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2F7205"/>
    <w:pPr>
      <w:numPr>
        <w:ilvl w:val="6"/>
        <w:numId w:val="1"/>
      </w:num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2F7205"/>
    <w:pPr>
      <w:numPr>
        <w:ilvl w:val="7"/>
        <w:numId w:val="1"/>
      </w:num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2F7205"/>
    <w:pPr>
      <w:numPr>
        <w:ilvl w:val="8"/>
        <w:numId w:val="1"/>
      </w:num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F720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F7205"/>
    <w:rPr>
      <w:rFonts w:ascii="Times New Roman" w:eastAsiaTheme="minorEastAsia" w:hAnsi="Times New Roman" w:cs="Times New Roman"/>
      <w:b/>
      <w:color w:val="222A35" w:themeColor="text2" w:themeShade="80"/>
      <w:sz w:val="24"/>
      <w:szCs w:val="24"/>
    </w:rPr>
  </w:style>
  <w:style w:type="character" w:customStyle="1" w:styleId="Heading3Char">
    <w:name w:val="Heading 3 Char"/>
    <w:basedOn w:val="DefaultParagraphFont"/>
    <w:link w:val="Heading3"/>
    <w:uiPriority w:val="9"/>
    <w:rsid w:val="002F7205"/>
    <w:rPr>
      <w:rFonts w:ascii="Times New Roman" w:eastAsiaTheme="majorEastAsia" w:hAnsi="Times New Roman" w:cstheme="majorBidi"/>
      <w:i/>
      <w:color w:val="44546A" w:themeColor="text2"/>
      <w:sz w:val="24"/>
      <w:szCs w:val="24"/>
    </w:rPr>
  </w:style>
  <w:style w:type="character" w:customStyle="1" w:styleId="Heading4Char">
    <w:name w:val="Heading 4 Char"/>
    <w:basedOn w:val="DefaultParagraphFont"/>
    <w:link w:val="Heading4"/>
    <w:uiPriority w:val="9"/>
    <w:rsid w:val="002F7205"/>
    <w:rPr>
      <w:rFonts w:ascii="Times New Roman" w:eastAsiaTheme="majorEastAsia" w:hAnsi="Times New Roman" w:cstheme="majorBidi"/>
      <w:i/>
      <w:iCs/>
      <w:color w:val="4472C4" w:themeColor="accent1"/>
      <w:sz w:val="24"/>
      <w:szCs w:val="24"/>
    </w:rPr>
  </w:style>
  <w:style w:type="character" w:customStyle="1" w:styleId="Heading5Char">
    <w:name w:val="Heading 5 Char"/>
    <w:basedOn w:val="DefaultParagraphFont"/>
    <w:link w:val="Heading5"/>
    <w:uiPriority w:val="9"/>
    <w:rsid w:val="002F7205"/>
    <w:rPr>
      <w:rFonts w:ascii="Times New Roman" w:eastAsiaTheme="majorEastAsia" w:hAnsi="Times New Roman" w:cstheme="majorBidi"/>
      <w:color w:val="000000" w:themeColor="text1"/>
      <w:szCs w:val="24"/>
      <w:u w:val="single"/>
    </w:rPr>
  </w:style>
  <w:style w:type="character" w:customStyle="1" w:styleId="Heading6Char">
    <w:name w:val="Heading 6 Char"/>
    <w:basedOn w:val="DefaultParagraphFont"/>
    <w:link w:val="Heading6"/>
    <w:uiPriority w:val="9"/>
    <w:semiHidden/>
    <w:rsid w:val="002F7205"/>
    <w:rPr>
      <w:rFonts w:asciiTheme="majorHAnsi" w:eastAsiaTheme="majorEastAsia" w:hAnsiTheme="majorHAnsi" w:cstheme="majorBidi"/>
      <w:i/>
      <w:iCs/>
      <w:color w:val="4472C4" w:themeColor="accent1"/>
      <w:sz w:val="24"/>
      <w:szCs w:val="24"/>
    </w:rPr>
  </w:style>
  <w:style w:type="character" w:customStyle="1" w:styleId="Heading7Char">
    <w:name w:val="Heading 7 Char"/>
    <w:basedOn w:val="DefaultParagraphFont"/>
    <w:link w:val="Heading7"/>
    <w:uiPriority w:val="9"/>
    <w:semiHidden/>
    <w:rsid w:val="002F7205"/>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2F7205"/>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2F7205"/>
    <w:rPr>
      <w:rFonts w:asciiTheme="majorHAnsi" w:eastAsiaTheme="majorEastAsia" w:hAnsiTheme="majorHAnsi" w:cstheme="majorBidi"/>
      <w:i/>
      <w:iCs/>
      <w:color w:val="A5A5A5" w:themeColor="accent3"/>
      <w:sz w:val="20"/>
      <w:szCs w:val="20"/>
    </w:rPr>
  </w:style>
  <w:style w:type="character" w:customStyle="1" w:styleId="Heading1Char1">
    <w:name w:val="Heading 1 Char1"/>
    <w:basedOn w:val="DefaultParagraphFont"/>
    <w:link w:val="Heading1"/>
    <w:uiPriority w:val="9"/>
    <w:rsid w:val="002F7205"/>
    <w:rPr>
      <w:rFonts w:ascii="Times New Roman" w:eastAsiaTheme="minorEastAsia" w:hAnsi="Times New Roman" w:cs="Times New Roman"/>
      <w:b/>
      <w:caps/>
      <w:color w:val="222A35" w:themeColor="text2" w:themeShade="80"/>
      <w:sz w:val="24"/>
      <w:szCs w:val="24"/>
    </w:rPr>
  </w:style>
  <w:style w:type="paragraph" w:styleId="Header">
    <w:name w:val="header"/>
    <w:basedOn w:val="Normal"/>
    <w:link w:val="HeaderChar"/>
    <w:uiPriority w:val="99"/>
    <w:unhideWhenUsed/>
    <w:rsid w:val="002F7205"/>
    <w:pPr>
      <w:tabs>
        <w:tab w:val="center" w:pos="4513"/>
        <w:tab w:val="right" w:pos="9026"/>
      </w:tabs>
      <w:spacing w:line="240" w:lineRule="auto"/>
    </w:pPr>
  </w:style>
  <w:style w:type="character" w:customStyle="1" w:styleId="HeaderChar">
    <w:name w:val="Header Char"/>
    <w:basedOn w:val="DefaultParagraphFont"/>
    <w:link w:val="Header"/>
    <w:uiPriority w:val="99"/>
    <w:rsid w:val="002F7205"/>
    <w:rPr>
      <w:rFonts w:ascii="Times New Roman" w:eastAsiaTheme="minorEastAsia" w:hAnsi="Times New Roman" w:cs="Times New Roman"/>
      <w:color w:val="222A35" w:themeColor="text2" w:themeShade="80"/>
      <w:sz w:val="24"/>
      <w:szCs w:val="24"/>
    </w:rPr>
  </w:style>
  <w:style w:type="paragraph" w:styleId="Footer">
    <w:name w:val="footer"/>
    <w:basedOn w:val="Normal"/>
    <w:link w:val="FooterChar"/>
    <w:uiPriority w:val="99"/>
    <w:unhideWhenUsed/>
    <w:rsid w:val="002F7205"/>
    <w:pPr>
      <w:tabs>
        <w:tab w:val="center" w:pos="4513"/>
        <w:tab w:val="right" w:pos="9026"/>
      </w:tabs>
      <w:spacing w:line="240" w:lineRule="auto"/>
    </w:pPr>
  </w:style>
  <w:style w:type="character" w:customStyle="1" w:styleId="FooterChar">
    <w:name w:val="Footer Char"/>
    <w:basedOn w:val="DefaultParagraphFont"/>
    <w:link w:val="Footer"/>
    <w:uiPriority w:val="99"/>
    <w:rsid w:val="002F7205"/>
    <w:rPr>
      <w:rFonts w:ascii="Times New Roman" w:eastAsiaTheme="minorEastAsia" w:hAnsi="Times New Roman" w:cs="Times New Roman"/>
      <w:color w:val="222A35" w:themeColor="text2" w:themeShade="80"/>
      <w:sz w:val="24"/>
      <w:szCs w:val="24"/>
    </w:rPr>
  </w:style>
  <w:style w:type="paragraph" w:styleId="TOCHeading">
    <w:name w:val="TOC Heading"/>
    <w:basedOn w:val="Normal"/>
    <w:next w:val="Normal"/>
    <w:uiPriority w:val="39"/>
    <w:semiHidden/>
    <w:unhideWhenUsed/>
    <w:qFormat/>
    <w:rsid w:val="002F7205"/>
    <w:rPr>
      <w:lang w:bidi="en-US"/>
    </w:rPr>
  </w:style>
  <w:style w:type="paragraph" w:styleId="BalloonText">
    <w:name w:val="Balloon Text"/>
    <w:basedOn w:val="Normal"/>
    <w:link w:val="BalloonTextChar"/>
    <w:uiPriority w:val="99"/>
    <w:semiHidden/>
    <w:unhideWhenUsed/>
    <w:rsid w:val="002F72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205"/>
    <w:rPr>
      <w:rFonts w:ascii="Tahoma" w:eastAsiaTheme="minorEastAsia" w:hAnsi="Tahoma" w:cs="Tahoma"/>
      <w:color w:val="222A35" w:themeColor="text2" w:themeShade="80"/>
      <w:sz w:val="16"/>
      <w:szCs w:val="16"/>
    </w:rPr>
  </w:style>
  <w:style w:type="paragraph" w:styleId="Caption">
    <w:name w:val="caption"/>
    <w:basedOn w:val="Normal"/>
    <w:next w:val="Normal"/>
    <w:uiPriority w:val="35"/>
    <w:unhideWhenUsed/>
    <w:qFormat/>
    <w:rsid w:val="002F7205"/>
    <w:rPr>
      <w:b/>
      <w:bCs/>
      <w:sz w:val="18"/>
      <w:szCs w:val="18"/>
    </w:rPr>
  </w:style>
  <w:style w:type="paragraph" w:styleId="Title">
    <w:name w:val="Title"/>
    <w:basedOn w:val="Normal"/>
    <w:next w:val="Normal"/>
    <w:link w:val="TitleChar1"/>
    <w:uiPriority w:val="10"/>
    <w:qFormat/>
    <w:rsid w:val="002F7205"/>
    <w:pPr>
      <w:pBdr>
        <w:top w:val="single" w:sz="8" w:space="6" w:color="4472C4" w:themeColor="accent1"/>
        <w:bottom w:val="single" w:sz="12" w:space="1" w:color="4472C4" w:themeColor="accent1"/>
      </w:pBdr>
      <w:spacing w:before="0" w:after="300"/>
      <w:jc w:val="center"/>
    </w:pPr>
    <w:rPr>
      <w:rFonts w:eastAsiaTheme="majorEastAsia" w:cstheme="majorBidi"/>
      <w:b/>
      <w:color w:val="323E4F" w:themeColor="text2" w:themeShade="BF"/>
      <w:spacing w:val="5"/>
      <w:kern w:val="28"/>
      <w:sz w:val="40"/>
      <w:szCs w:val="52"/>
    </w:rPr>
  </w:style>
  <w:style w:type="character" w:customStyle="1" w:styleId="TitleChar">
    <w:name w:val="Title Char"/>
    <w:basedOn w:val="DefaultParagraphFont"/>
    <w:uiPriority w:val="10"/>
    <w:rsid w:val="002F7205"/>
    <w:rPr>
      <w:rFonts w:asciiTheme="majorHAnsi" w:eastAsiaTheme="majorEastAsia" w:hAnsiTheme="majorHAnsi" w:cstheme="majorBidi"/>
      <w:color w:val="323E4F" w:themeColor="text2" w:themeShade="BF"/>
      <w:spacing w:val="5"/>
      <w:kern w:val="28"/>
      <w:sz w:val="52"/>
      <w:szCs w:val="52"/>
    </w:rPr>
  </w:style>
  <w:style w:type="character" w:customStyle="1" w:styleId="TitleChar1">
    <w:name w:val="Title Char1"/>
    <w:basedOn w:val="DefaultParagraphFont"/>
    <w:link w:val="Title"/>
    <w:uiPriority w:val="10"/>
    <w:rsid w:val="002F7205"/>
    <w:rPr>
      <w:rFonts w:ascii="Times New Roman" w:eastAsiaTheme="majorEastAsia" w:hAnsi="Times New Roman" w:cstheme="majorBidi"/>
      <w:b/>
      <w:color w:val="323E4F" w:themeColor="text2" w:themeShade="BF"/>
      <w:spacing w:val="5"/>
      <w:kern w:val="28"/>
      <w:sz w:val="40"/>
      <w:szCs w:val="52"/>
    </w:rPr>
  </w:style>
  <w:style w:type="paragraph" w:styleId="Subtitle">
    <w:name w:val="Subtitle"/>
    <w:basedOn w:val="Normal"/>
    <w:next w:val="Normal"/>
    <w:link w:val="SubtitleChar"/>
    <w:uiPriority w:val="11"/>
    <w:qFormat/>
    <w:rsid w:val="002F7205"/>
    <w:pPr>
      <w:spacing w:before="200" w:after="900"/>
      <w:ind w:firstLine="0"/>
      <w:jc w:val="right"/>
    </w:pPr>
    <w:rPr>
      <w:i/>
      <w:iCs/>
    </w:rPr>
  </w:style>
  <w:style w:type="character" w:customStyle="1" w:styleId="SubtitleChar">
    <w:name w:val="Subtitle Char"/>
    <w:basedOn w:val="DefaultParagraphFont"/>
    <w:link w:val="Subtitle"/>
    <w:uiPriority w:val="11"/>
    <w:rsid w:val="002F7205"/>
    <w:rPr>
      <w:rFonts w:ascii="Times New Roman" w:eastAsiaTheme="minorEastAsia" w:hAnsi="Times New Roman" w:cs="Times New Roman"/>
      <w:i/>
      <w:iCs/>
      <w:color w:val="222A35" w:themeColor="text2" w:themeShade="80"/>
      <w:sz w:val="24"/>
      <w:szCs w:val="24"/>
    </w:rPr>
  </w:style>
  <w:style w:type="character" w:styleId="Strong">
    <w:name w:val="Strong"/>
    <w:basedOn w:val="DefaultParagraphFont"/>
    <w:uiPriority w:val="22"/>
    <w:qFormat/>
    <w:rsid w:val="002F7205"/>
    <w:rPr>
      <w:b/>
      <w:bCs/>
      <w:spacing w:val="0"/>
    </w:rPr>
  </w:style>
  <w:style w:type="character" w:styleId="Emphasis">
    <w:name w:val="Emphasis"/>
    <w:uiPriority w:val="20"/>
    <w:qFormat/>
    <w:rsid w:val="002F7205"/>
    <w:rPr>
      <w:b/>
      <w:bCs/>
      <w:i/>
      <w:iCs/>
      <w:color w:val="5A5A5A" w:themeColor="text1" w:themeTint="A5"/>
    </w:rPr>
  </w:style>
  <w:style w:type="paragraph" w:styleId="NoSpacing">
    <w:name w:val="No Spacing"/>
    <w:basedOn w:val="Normal"/>
    <w:link w:val="NoSpacingChar"/>
    <w:uiPriority w:val="1"/>
    <w:qFormat/>
    <w:rsid w:val="002F7205"/>
    <w:pPr>
      <w:ind w:firstLine="0"/>
    </w:pPr>
  </w:style>
  <w:style w:type="character" w:customStyle="1" w:styleId="NoSpacingChar">
    <w:name w:val="No Spacing Char"/>
    <w:basedOn w:val="DefaultParagraphFont"/>
    <w:link w:val="NoSpacing"/>
    <w:uiPriority w:val="1"/>
    <w:rsid w:val="002F7205"/>
    <w:rPr>
      <w:rFonts w:ascii="Times New Roman" w:eastAsiaTheme="minorEastAsia" w:hAnsi="Times New Roman" w:cs="Times New Roman"/>
      <w:color w:val="222A35" w:themeColor="text2" w:themeShade="80"/>
      <w:sz w:val="24"/>
      <w:szCs w:val="24"/>
    </w:rPr>
  </w:style>
  <w:style w:type="paragraph" w:styleId="ListParagraph">
    <w:name w:val="List Paragraph"/>
    <w:basedOn w:val="Normal"/>
    <w:link w:val="ListParagraphChar"/>
    <w:uiPriority w:val="34"/>
    <w:qFormat/>
    <w:rsid w:val="002F7205"/>
    <w:pPr>
      <w:ind w:left="720"/>
    </w:pPr>
  </w:style>
  <w:style w:type="paragraph" w:styleId="Quote">
    <w:name w:val="Quote"/>
    <w:basedOn w:val="Normal"/>
    <w:next w:val="Normal"/>
    <w:link w:val="QuoteChar"/>
    <w:uiPriority w:val="29"/>
    <w:qFormat/>
    <w:rsid w:val="002F7205"/>
    <w:rPr>
      <w:i/>
      <w:color w:val="44546A" w:themeColor="text2"/>
    </w:rPr>
  </w:style>
  <w:style w:type="character" w:customStyle="1" w:styleId="QuoteChar">
    <w:name w:val="Quote Char"/>
    <w:basedOn w:val="DefaultParagraphFont"/>
    <w:link w:val="Quote"/>
    <w:uiPriority w:val="29"/>
    <w:rsid w:val="002F7205"/>
    <w:rPr>
      <w:rFonts w:ascii="Times New Roman" w:eastAsiaTheme="minorEastAsia" w:hAnsi="Times New Roman" w:cs="Times New Roman"/>
      <w:i/>
      <w:color w:val="44546A" w:themeColor="text2"/>
      <w:sz w:val="24"/>
      <w:szCs w:val="24"/>
    </w:rPr>
  </w:style>
  <w:style w:type="paragraph" w:styleId="IntenseQuote">
    <w:name w:val="Intense Quote"/>
    <w:basedOn w:val="Normal"/>
    <w:next w:val="Normal"/>
    <w:link w:val="IntenseQuoteChar"/>
    <w:uiPriority w:val="30"/>
    <w:qFormat/>
    <w:rsid w:val="002F7205"/>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2F7205"/>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2F7205"/>
    <w:rPr>
      <w:i/>
      <w:iCs/>
      <w:color w:val="5A5A5A" w:themeColor="text1" w:themeTint="A5"/>
    </w:rPr>
  </w:style>
  <w:style w:type="character" w:styleId="IntenseEmphasis">
    <w:name w:val="Intense Emphasis"/>
    <w:uiPriority w:val="21"/>
    <w:qFormat/>
    <w:rsid w:val="002F7205"/>
    <w:rPr>
      <w:b/>
      <w:bCs/>
      <w:i/>
      <w:iCs/>
      <w:color w:val="4472C4" w:themeColor="accent1"/>
      <w:sz w:val="22"/>
      <w:szCs w:val="22"/>
    </w:rPr>
  </w:style>
  <w:style w:type="character" w:styleId="SubtleReference">
    <w:name w:val="Subtle Reference"/>
    <w:uiPriority w:val="31"/>
    <w:qFormat/>
    <w:rsid w:val="002F7205"/>
    <w:rPr>
      <w:color w:val="auto"/>
      <w:u w:val="single" w:color="A5A5A5" w:themeColor="accent3"/>
    </w:rPr>
  </w:style>
  <w:style w:type="character" w:styleId="IntenseReference">
    <w:name w:val="Intense Reference"/>
    <w:basedOn w:val="DefaultParagraphFont"/>
    <w:uiPriority w:val="32"/>
    <w:qFormat/>
    <w:rsid w:val="002F7205"/>
    <w:rPr>
      <w:b/>
      <w:bCs/>
      <w:color w:val="7B7B7B" w:themeColor="accent3" w:themeShade="BF"/>
      <w:u w:val="single" w:color="A5A5A5" w:themeColor="accent3"/>
    </w:rPr>
  </w:style>
  <w:style w:type="character" w:styleId="BookTitle">
    <w:name w:val="Book Title"/>
    <w:basedOn w:val="DefaultParagraphFont"/>
    <w:uiPriority w:val="33"/>
    <w:qFormat/>
    <w:rsid w:val="002F7205"/>
    <w:rPr>
      <w:rFonts w:asciiTheme="majorHAnsi" w:eastAsiaTheme="majorEastAsia" w:hAnsiTheme="majorHAnsi" w:cstheme="majorBidi"/>
      <w:b/>
      <w:bCs/>
      <w:i/>
      <w:iCs/>
      <w:color w:val="auto"/>
    </w:rPr>
  </w:style>
  <w:style w:type="paragraph" w:styleId="TOC2">
    <w:name w:val="toc 2"/>
    <w:basedOn w:val="Normal"/>
    <w:next w:val="Normal"/>
    <w:autoRedefine/>
    <w:uiPriority w:val="39"/>
    <w:unhideWhenUsed/>
    <w:qFormat/>
    <w:rsid w:val="002F7205"/>
    <w:pPr>
      <w:spacing w:before="120"/>
      <w:ind w:left="240"/>
    </w:pPr>
    <w:rPr>
      <w:rFonts w:asciiTheme="minorHAnsi" w:hAnsiTheme="minorHAnsi"/>
      <w:i/>
      <w:iCs/>
      <w:sz w:val="20"/>
      <w:szCs w:val="20"/>
    </w:rPr>
  </w:style>
  <w:style w:type="character" w:styleId="Hyperlink">
    <w:name w:val="Hyperlink"/>
    <w:basedOn w:val="DefaultParagraphFont"/>
    <w:uiPriority w:val="99"/>
    <w:unhideWhenUsed/>
    <w:rsid w:val="002F7205"/>
    <w:rPr>
      <w:color w:val="0563C1" w:themeColor="hyperlink"/>
      <w:u w:val="single"/>
    </w:rPr>
  </w:style>
  <w:style w:type="character" w:styleId="CommentReference">
    <w:name w:val="annotation reference"/>
    <w:basedOn w:val="DefaultParagraphFont"/>
    <w:uiPriority w:val="99"/>
    <w:semiHidden/>
    <w:unhideWhenUsed/>
    <w:rsid w:val="002F7205"/>
    <w:rPr>
      <w:sz w:val="16"/>
      <w:szCs w:val="16"/>
    </w:rPr>
  </w:style>
  <w:style w:type="paragraph" w:styleId="CommentText">
    <w:name w:val="annotation text"/>
    <w:basedOn w:val="Normal"/>
    <w:link w:val="CommentTextChar"/>
    <w:uiPriority w:val="99"/>
    <w:unhideWhenUsed/>
    <w:rsid w:val="002F7205"/>
    <w:rPr>
      <w:sz w:val="20"/>
      <w:szCs w:val="20"/>
    </w:rPr>
  </w:style>
  <w:style w:type="character" w:customStyle="1" w:styleId="CommentTextChar">
    <w:name w:val="Comment Text Char"/>
    <w:basedOn w:val="DefaultParagraphFont"/>
    <w:link w:val="CommentText"/>
    <w:uiPriority w:val="99"/>
    <w:rsid w:val="002F7205"/>
    <w:rPr>
      <w:rFonts w:ascii="Times New Roman" w:eastAsiaTheme="minorEastAsia" w:hAnsi="Times New Roman" w:cs="Times New Roman"/>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2F7205"/>
    <w:rPr>
      <w:b/>
      <w:bCs/>
    </w:rPr>
  </w:style>
  <w:style w:type="character" w:customStyle="1" w:styleId="CommentSubjectChar">
    <w:name w:val="Comment Subject Char"/>
    <w:basedOn w:val="CommentTextChar"/>
    <w:link w:val="CommentSubject"/>
    <w:uiPriority w:val="99"/>
    <w:semiHidden/>
    <w:rsid w:val="002F7205"/>
    <w:rPr>
      <w:rFonts w:ascii="Times New Roman" w:eastAsiaTheme="minorEastAsia" w:hAnsi="Times New Roman" w:cs="Times New Roman"/>
      <w:b/>
      <w:bCs/>
      <w:color w:val="222A35" w:themeColor="text2" w:themeShade="80"/>
      <w:sz w:val="20"/>
      <w:szCs w:val="20"/>
    </w:rPr>
  </w:style>
  <w:style w:type="paragraph" w:styleId="TOC1">
    <w:name w:val="toc 1"/>
    <w:basedOn w:val="Normal"/>
    <w:next w:val="Normal"/>
    <w:autoRedefine/>
    <w:uiPriority w:val="39"/>
    <w:unhideWhenUsed/>
    <w:qFormat/>
    <w:rsid w:val="002F7205"/>
    <w:pPr>
      <w:spacing w:after="120"/>
    </w:pPr>
    <w:rPr>
      <w:rFonts w:asciiTheme="minorHAnsi" w:hAnsiTheme="minorHAnsi"/>
      <w:b/>
      <w:bCs/>
      <w:sz w:val="20"/>
      <w:szCs w:val="20"/>
    </w:rPr>
  </w:style>
  <w:style w:type="paragraph" w:styleId="TOC3">
    <w:name w:val="toc 3"/>
    <w:basedOn w:val="Normal"/>
    <w:next w:val="Normal"/>
    <w:autoRedefine/>
    <w:uiPriority w:val="39"/>
    <w:unhideWhenUsed/>
    <w:qFormat/>
    <w:rsid w:val="002F7205"/>
    <w:pPr>
      <w:spacing w:before="0"/>
      <w:ind w:left="480"/>
    </w:pPr>
    <w:rPr>
      <w:rFonts w:asciiTheme="minorHAnsi" w:hAnsiTheme="minorHAnsi"/>
      <w:sz w:val="20"/>
      <w:szCs w:val="20"/>
    </w:rPr>
  </w:style>
  <w:style w:type="character" w:customStyle="1" w:styleId="pagecontents">
    <w:name w:val="pagecontents"/>
    <w:basedOn w:val="DefaultParagraphFont"/>
    <w:rsid w:val="002F7205"/>
  </w:style>
  <w:style w:type="paragraph" w:styleId="Revision">
    <w:name w:val="Revision"/>
    <w:hidden/>
    <w:uiPriority w:val="99"/>
    <w:semiHidden/>
    <w:rsid w:val="002F7205"/>
    <w:pPr>
      <w:spacing w:after="0" w:line="240" w:lineRule="auto"/>
    </w:pPr>
    <w:rPr>
      <w:rFonts w:eastAsiaTheme="minorEastAsia"/>
      <w:lang w:eastAsia="en-GB"/>
    </w:rPr>
  </w:style>
  <w:style w:type="paragraph" w:styleId="EndnoteText">
    <w:name w:val="endnote text"/>
    <w:basedOn w:val="Normal"/>
    <w:link w:val="EndnoteTextChar"/>
    <w:uiPriority w:val="99"/>
    <w:semiHidden/>
    <w:unhideWhenUsed/>
    <w:rsid w:val="002F7205"/>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F7205"/>
    <w:rPr>
      <w:rFonts w:ascii="Times New Roman" w:eastAsiaTheme="minorEastAsia" w:hAnsi="Times New Roman" w:cs="Times New Roman"/>
      <w:color w:val="222A35" w:themeColor="text2" w:themeShade="80"/>
      <w:sz w:val="20"/>
      <w:szCs w:val="20"/>
    </w:rPr>
  </w:style>
  <w:style w:type="character" w:styleId="EndnoteReference">
    <w:name w:val="endnote reference"/>
    <w:basedOn w:val="DefaultParagraphFont"/>
    <w:uiPriority w:val="99"/>
    <w:semiHidden/>
    <w:unhideWhenUsed/>
    <w:rsid w:val="002F7205"/>
    <w:rPr>
      <w:vertAlign w:val="superscript"/>
    </w:rPr>
  </w:style>
  <w:style w:type="paragraph" w:styleId="FootnoteText">
    <w:name w:val="footnote text"/>
    <w:basedOn w:val="Normal"/>
    <w:link w:val="FootnoteTextChar"/>
    <w:uiPriority w:val="99"/>
    <w:unhideWhenUsed/>
    <w:rsid w:val="002F7205"/>
    <w:pPr>
      <w:spacing w:before="0" w:line="240" w:lineRule="auto"/>
    </w:pPr>
    <w:rPr>
      <w:sz w:val="20"/>
      <w:szCs w:val="20"/>
    </w:rPr>
  </w:style>
  <w:style w:type="character" w:customStyle="1" w:styleId="FootnoteTextChar">
    <w:name w:val="Footnote Text Char"/>
    <w:basedOn w:val="DefaultParagraphFont"/>
    <w:link w:val="FootnoteText"/>
    <w:uiPriority w:val="99"/>
    <w:rsid w:val="002F7205"/>
    <w:rPr>
      <w:rFonts w:ascii="Times New Roman" w:eastAsiaTheme="minorEastAsia" w:hAnsi="Times New Roman" w:cs="Times New Roman"/>
      <w:color w:val="222A35" w:themeColor="text2" w:themeShade="80"/>
      <w:sz w:val="20"/>
      <w:szCs w:val="20"/>
    </w:rPr>
  </w:style>
  <w:style w:type="character" w:styleId="FootnoteReference">
    <w:name w:val="footnote reference"/>
    <w:basedOn w:val="DefaultParagraphFont"/>
    <w:uiPriority w:val="99"/>
    <w:semiHidden/>
    <w:unhideWhenUsed/>
    <w:rsid w:val="002F7205"/>
    <w:rPr>
      <w:vertAlign w:val="superscript"/>
    </w:rPr>
  </w:style>
  <w:style w:type="character" w:customStyle="1" w:styleId="TitleChar2">
    <w:name w:val="Title Char2"/>
    <w:basedOn w:val="DefaultParagraphFont"/>
    <w:uiPriority w:val="10"/>
    <w:rsid w:val="002F7205"/>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unhideWhenUsed/>
    <w:rsid w:val="002F7205"/>
    <w:pPr>
      <w:autoSpaceDE/>
      <w:autoSpaceDN/>
      <w:adjustRightInd/>
      <w:spacing w:before="100" w:beforeAutospacing="1" w:after="100" w:afterAutospacing="1" w:line="240" w:lineRule="auto"/>
      <w:ind w:firstLine="0"/>
    </w:pPr>
    <w:rPr>
      <w:lang w:eastAsia="en-GB"/>
    </w:rPr>
  </w:style>
  <w:style w:type="paragraph" w:styleId="DocumentMap">
    <w:name w:val="Document Map"/>
    <w:basedOn w:val="Normal"/>
    <w:link w:val="DocumentMapChar"/>
    <w:uiPriority w:val="99"/>
    <w:semiHidden/>
    <w:unhideWhenUsed/>
    <w:rsid w:val="002F7205"/>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7205"/>
    <w:rPr>
      <w:rFonts w:ascii="Tahoma" w:eastAsiaTheme="minorEastAsia" w:hAnsi="Tahoma" w:cs="Tahoma"/>
      <w:color w:val="222A35" w:themeColor="text2" w:themeShade="80"/>
      <w:sz w:val="16"/>
      <w:szCs w:val="16"/>
    </w:rPr>
  </w:style>
  <w:style w:type="paragraph" w:styleId="TableofFigures">
    <w:name w:val="table of figures"/>
    <w:basedOn w:val="Normal"/>
    <w:next w:val="Normal"/>
    <w:uiPriority w:val="99"/>
    <w:unhideWhenUsed/>
    <w:rsid w:val="002F7205"/>
  </w:style>
  <w:style w:type="paragraph" w:customStyle="1" w:styleId="EndNoteBibliographyTitle">
    <w:name w:val="EndNote Bibliography Title"/>
    <w:basedOn w:val="Normal"/>
    <w:link w:val="EndNoteBibliographyTitleChar"/>
    <w:rsid w:val="002F7205"/>
    <w:pPr>
      <w:jc w:val="center"/>
    </w:pPr>
    <w:rPr>
      <w:noProof/>
      <w:lang w:val="en-US"/>
    </w:rPr>
  </w:style>
  <w:style w:type="character" w:customStyle="1" w:styleId="EndNoteBibliographyTitleChar">
    <w:name w:val="EndNote Bibliography Title Char"/>
    <w:basedOn w:val="Heading3Char"/>
    <w:link w:val="EndNoteBibliographyTitle"/>
    <w:rsid w:val="002F7205"/>
    <w:rPr>
      <w:rFonts w:ascii="Times New Roman" w:eastAsiaTheme="minorEastAsia" w:hAnsi="Times New Roman" w:cs="Times New Roman"/>
      <w:i w:val="0"/>
      <w:noProof/>
      <w:color w:val="222A35" w:themeColor="text2" w:themeShade="80"/>
      <w:sz w:val="24"/>
      <w:szCs w:val="24"/>
      <w:lang w:val="en-US"/>
    </w:rPr>
  </w:style>
  <w:style w:type="paragraph" w:customStyle="1" w:styleId="EndNoteBibliography">
    <w:name w:val="EndNote Bibliography"/>
    <w:basedOn w:val="Normal"/>
    <w:link w:val="EndNoteBibliographyChar"/>
    <w:rsid w:val="002F7205"/>
    <w:pPr>
      <w:spacing w:line="240" w:lineRule="auto"/>
    </w:pPr>
    <w:rPr>
      <w:noProof/>
      <w:lang w:val="en-US"/>
    </w:rPr>
  </w:style>
  <w:style w:type="character" w:customStyle="1" w:styleId="EndNoteBibliographyChar">
    <w:name w:val="EndNote Bibliography Char"/>
    <w:basedOn w:val="Heading3Char"/>
    <w:link w:val="EndNoteBibliography"/>
    <w:rsid w:val="002F7205"/>
    <w:rPr>
      <w:rFonts w:ascii="Times New Roman" w:eastAsiaTheme="minorEastAsia" w:hAnsi="Times New Roman" w:cs="Times New Roman"/>
      <w:i w:val="0"/>
      <w:noProof/>
      <w:color w:val="222A35" w:themeColor="text2" w:themeShade="80"/>
      <w:sz w:val="24"/>
      <w:szCs w:val="24"/>
      <w:lang w:val="en-US"/>
    </w:rPr>
  </w:style>
  <w:style w:type="paragraph" w:styleId="TOC4">
    <w:name w:val="toc 4"/>
    <w:basedOn w:val="Normal"/>
    <w:next w:val="Normal"/>
    <w:autoRedefine/>
    <w:uiPriority w:val="39"/>
    <w:unhideWhenUsed/>
    <w:rsid w:val="002F7205"/>
    <w:pPr>
      <w:spacing w:before="0"/>
      <w:ind w:left="720"/>
    </w:pPr>
    <w:rPr>
      <w:rFonts w:asciiTheme="minorHAnsi" w:hAnsiTheme="minorHAnsi"/>
      <w:sz w:val="20"/>
      <w:szCs w:val="20"/>
    </w:rPr>
  </w:style>
  <w:style w:type="paragraph" w:styleId="TOC5">
    <w:name w:val="toc 5"/>
    <w:basedOn w:val="Normal"/>
    <w:next w:val="Normal"/>
    <w:autoRedefine/>
    <w:uiPriority w:val="39"/>
    <w:unhideWhenUsed/>
    <w:rsid w:val="002F7205"/>
    <w:pPr>
      <w:spacing w:before="0"/>
      <w:ind w:left="960"/>
    </w:pPr>
    <w:rPr>
      <w:rFonts w:asciiTheme="minorHAnsi" w:hAnsiTheme="minorHAnsi"/>
      <w:sz w:val="20"/>
      <w:szCs w:val="20"/>
    </w:rPr>
  </w:style>
  <w:style w:type="paragraph" w:styleId="TOC6">
    <w:name w:val="toc 6"/>
    <w:basedOn w:val="Normal"/>
    <w:next w:val="Normal"/>
    <w:autoRedefine/>
    <w:uiPriority w:val="39"/>
    <w:unhideWhenUsed/>
    <w:rsid w:val="002F7205"/>
    <w:pPr>
      <w:spacing w:before="0"/>
      <w:ind w:left="1200"/>
    </w:pPr>
    <w:rPr>
      <w:rFonts w:asciiTheme="minorHAnsi" w:hAnsiTheme="minorHAnsi"/>
      <w:sz w:val="20"/>
      <w:szCs w:val="20"/>
    </w:rPr>
  </w:style>
  <w:style w:type="paragraph" w:styleId="TOC7">
    <w:name w:val="toc 7"/>
    <w:basedOn w:val="Normal"/>
    <w:next w:val="Normal"/>
    <w:autoRedefine/>
    <w:uiPriority w:val="39"/>
    <w:unhideWhenUsed/>
    <w:rsid w:val="002F7205"/>
    <w:pPr>
      <w:spacing w:before="0"/>
      <w:ind w:left="1440"/>
    </w:pPr>
    <w:rPr>
      <w:rFonts w:asciiTheme="minorHAnsi" w:hAnsiTheme="minorHAnsi"/>
      <w:sz w:val="20"/>
      <w:szCs w:val="20"/>
    </w:rPr>
  </w:style>
  <w:style w:type="paragraph" w:styleId="TOC8">
    <w:name w:val="toc 8"/>
    <w:basedOn w:val="Normal"/>
    <w:next w:val="Normal"/>
    <w:autoRedefine/>
    <w:uiPriority w:val="39"/>
    <w:unhideWhenUsed/>
    <w:rsid w:val="002F7205"/>
    <w:pPr>
      <w:spacing w:before="0"/>
      <w:ind w:left="1680"/>
    </w:pPr>
    <w:rPr>
      <w:rFonts w:asciiTheme="minorHAnsi" w:hAnsiTheme="minorHAnsi"/>
      <w:sz w:val="20"/>
      <w:szCs w:val="20"/>
    </w:rPr>
  </w:style>
  <w:style w:type="paragraph" w:styleId="TOC9">
    <w:name w:val="toc 9"/>
    <w:basedOn w:val="Normal"/>
    <w:next w:val="Normal"/>
    <w:autoRedefine/>
    <w:uiPriority w:val="39"/>
    <w:unhideWhenUsed/>
    <w:rsid w:val="002F7205"/>
    <w:pPr>
      <w:spacing w:before="0"/>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2F7205"/>
    <w:rPr>
      <w:color w:val="954F72" w:themeColor="followedHyperlink"/>
      <w:u w:val="single"/>
    </w:rPr>
  </w:style>
  <w:style w:type="table" w:styleId="TableGrid">
    <w:name w:val="Table Grid"/>
    <w:basedOn w:val="TableNormal"/>
    <w:uiPriority w:val="59"/>
    <w:rsid w:val="002F7205"/>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2F7205"/>
  </w:style>
  <w:style w:type="character" w:customStyle="1" w:styleId="apple-converted-space">
    <w:name w:val="apple-converted-space"/>
    <w:basedOn w:val="DefaultParagraphFont"/>
    <w:rsid w:val="002F7205"/>
  </w:style>
  <w:style w:type="paragraph" w:styleId="BodyText">
    <w:name w:val="Body Text"/>
    <w:basedOn w:val="Normal"/>
    <w:link w:val="BodyTextChar"/>
    <w:rsid w:val="002F7205"/>
    <w:pPr>
      <w:widowControl w:val="0"/>
      <w:autoSpaceDE/>
      <w:autoSpaceDN/>
      <w:adjustRightInd/>
      <w:spacing w:before="0" w:line="240" w:lineRule="auto"/>
      <w:ind w:firstLine="0"/>
    </w:pPr>
    <w:rPr>
      <w:rFonts w:ascii="Arial" w:eastAsia="Times New Roman" w:hAnsi="Arial"/>
      <w:snapToGrid w:val="0"/>
      <w:color w:val="000000"/>
      <w:szCs w:val="20"/>
      <w:lang w:val="en-US"/>
    </w:rPr>
  </w:style>
  <w:style w:type="character" w:customStyle="1" w:styleId="BodyTextChar">
    <w:name w:val="Body Text Char"/>
    <w:basedOn w:val="DefaultParagraphFont"/>
    <w:link w:val="BodyText"/>
    <w:rsid w:val="002F7205"/>
    <w:rPr>
      <w:rFonts w:ascii="Arial" w:eastAsia="Times New Roman" w:hAnsi="Arial" w:cs="Times New Roman"/>
      <w:snapToGrid w:val="0"/>
      <w:color w:val="000000"/>
      <w:sz w:val="24"/>
      <w:szCs w:val="20"/>
      <w:lang w:val="en-US"/>
    </w:rPr>
  </w:style>
  <w:style w:type="table" w:customStyle="1" w:styleId="TableGrid1">
    <w:name w:val="Table Grid1"/>
    <w:basedOn w:val="TableNormal"/>
    <w:next w:val="TableGrid"/>
    <w:uiPriority w:val="39"/>
    <w:rsid w:val="002F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F7205"/>
    <w:rPr>
      <w:rFonts w:ascii="Times New Roman" w:eastAsiaTheme="minorEastAsia" w:hAnsi="Times New Roman" w:cs="Times New Roman"/>
      <w:color w:val="222A35" w:themeColor="text2" w:themeShade="80"/>
      <w:sz w:val="24"/>
      <w:szCs w:val="24"/>
    </w:rPr>
  </w:style>
  <w:style w:type="paragraph" w:customStyle="1" w:styleId="Normal1">
    <w:name w:val="Normal1"/>
    <w:basedOn w:val="Normal"/>
    <w:rsid w:val="002F7205"/>
    <w:pPr>
      <w:autoSpaceDE/>
      <w:autoSpaceDN/>
      <w:adjustRightInd/>
      <w:spacing w:before="0" w:line="240" w:lineRule="auto"/>
      <w:ind w:firstLine="0"/>
    </w:pPr>
    <w:rPr>
      <w:rFonts w:ascii="Arial" w:eastAsia="Times New Roman" w:hAnsi="Arial"/>
      <w:szCs w:val="20"/>
      <w:lang w:val="en-US"/>
    </w:rPr>
  </w:style>
  <w:style w:type="paragraph" w:customStyle="1" w:styleId="Default">
    <w:name w:val="Default"/>
    <w:rsid w:val="002F7205"/>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2F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feguideonlin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7822</Words>
  <Characters>44586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Krusche A.S.</dc:creator>
  <cp:keywords/>
  <dc:description/>
  <cp:lastModifiedBy>Krusche A.S.</cp:lastModifiedBy>
  <cp:revision>5</cp:revision>
  <dcterms:created xsi:type="dcterms:W3CDTF">2018-11-07T10:16:00Z</dcterms:created>
  <dcterms:modified xsi:type="dcterms:W3CDTF">2018-11-07T12:28:00Z</dcterms:modified>
</cp:coreProperties>
</file>